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 15317</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241300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35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Introductory Note.</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November 16, 2020, Viatris Inc., formerly known as Upjohn Inc. (“Viatris”), Mylan N.V. (“Mylan”) and Pfizer Inc. (“Pfizer”) announced that they had consummated the previously announced combination (the “Combination”) of Mylan with Pfizer’s off-patent branded and generic established medicines business (the “Upjohn Business”) through a Reverse Morris Trust transaction. On November 19, 2020, Viatris filed a Current Report on Form 8-K, as amended, (the “Original Form 8-K”) disclosing, among other things, the consummation of the Combination. Viatris is filing this Form 8-K/A to include the historical financial statements of the Upjohn Business and the pro forma combined financial information required by Items 9.01(a) and 9.01(b) of Form 8-K. This Form 8-K/A should be read in conjunction with the Original Form 8-K.</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information included as Exhibit 99.2 to this Form 8-K/A has been presented for illustrative purposes only, as required by Form 8-K, and is not intended to, and does not purport to, represent what the combined company’s actual results or financial condition would have been if the transactions had occurred on the relevant date, and is not intended to project the future results or financial condition that the combined company may achieve following the Combination.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the Business Acquired</w:t>
      </w:r>
    </w:p>
    <w:p>
      <w:pPr>
        <w:spacing w:after="0" w:line="117" w:lineRule="exact"/>
        <w:rPr>
          <w:sz w:val="20"/>
          <w:szCs w:val="20"/>
          <w:color w:val="auto"/>
        </w:rPr>
      </w:pPr>
    </w:p>
    <w:p>
      <w:pPr>
        <w:ind w:left="440" w:right="280"/>
        <w:spacing w:after="0" w:line="266" w:lineRule="auto"/>
        <w:rPr>
          <w:sz w:val="20"/>
          <w:szCs w:val="20"/>
          <w:color w:val="auto"/>
        </w:rPr>
      </w:pPr>
      <w:r>
        <w:rPr>
          <w:rFonts w:ascii="Times New Roman" w:cs="Times New Roman" w:eastAsia="Times New Roman" w:hAnsi="Times New Roman"/>
          <w:sz w:val="18"/>
          <w:szCs w:val="18"/>
          <w:color w:val="auto"/>
        </w:rPr>
        <w:t>The unaudited condensed combined financial statements of the Upjohn Business as of September 27, 2020 and for the nine months ended September 27, 2020 and September 29, 2019 and condensed combined balance sheet as of December 31, 2019, including the related notes and independent auditors’ review report, are filed as Exhibit 99.1 to this Form 8-K/A and incorporated by reference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117" w:lineRule="exact"/>
        <w:rPr>
          <w:sz w:val="20"/>
          <w:szCs w:val="20"/>
          <w:color w:val="auto"/>
        </w:rPr>
      </w:pPr>
    </w:p>
    <w:p>
      <w:pPr>
        <w:ind w:left="440" w:right="160"/>
        <w:spacing w:after="0" w:line="312"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of Mylan and the Upjohn Business for and as of the nine months ended September 30, 2020 and for the year ended December 31, 2019 is filed as Exhibit 99.2 to this Form 8-K/A and incorporated by reference herein.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6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spacing w:after="0"/>
              <w:rPr>
                <w:sz w:val="24"/>
                <w:szCs w:val="24"/>
                <w:color w:val="auto"/>
              </w:rPr>
            </w:pPr>
          </w:p>
        </w:tc>
        <w:tc>
          <w:tcPr>
            <w:tcW w:w="10080" w:type="dxa"/>
            <w:vAlign w:val="bottom"/>
            <w:gridSpan w:val="7"/>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Acknowledgment letter of KPMG LLP relating to the unaudited condensed combined financial statements the Upjohn Business.</w:t>
              </w:r>
            </w:hyperlink>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080" w:type="dxa"/>
            <w:vAlign w:val="bottom"/>
            <w:gridSpan w:val="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The unaudited condensed combined financial statements of the Upjohn Business as of September 27, 2020 and for the nine months ended</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September 27, 2020 and September 29, 2019 and condensed combined balance sheet as of December 31, 2019, including the related notes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and independent auditors’ review report.</w:t>
              </w:r>
            </w:hyperlink>
          </w:p>
        </w:tc>
        <w:tc>
          <w:tcPr>
            <w:tcW w:w="7020" w:type="dxa"/>
            <w:vAlign w:val="bottom"/>
            <w:tcBorders>
              <w:top w:val="single" w:sz="8" w:color="0000EE"/>
            </w:tcBorders>
            <w:gridSpan w:val="5"/>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0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The unaudited pro forma condensed combined financial information of Mylan and the Upjohn Business for and as of the nine months ended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September 30, 2020 and for the year ended December 31, 2019.</w:t>
              </w:r>
            </w:hyperlink>
          </w:p>
        </w:tc>
        <w:tc>
          <w:tcPr>
            <w:tcW w:w="5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Paul Campbell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January 29, 2021</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99441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94410" cy="48831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No. 333-234337</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respect to the subject registration statement, we acknowledge our awareness of the use therein of our report dated December 23, 2020 related to our review of interim financial information.</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ectPr>
          <w:pgSz w:w="11900" w:h="16838" w:orient="portrait"/>
          <w:cols w:equalWidth="0" w:num="1">
            <w:col w:w="11020"/>
          </w:cols>
          <w:pgMar w:left="440" w:top="117"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172085</wp:posOffset>
            </wp:positionV>
            <wp:extent cx="6861810" cy="1315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1810" cy="13157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Upjohn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 Business Unit of Pfizer Inc.)</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Combined Financial Statements as of September 27, 2020</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and for the Nine Months Ended September 27, 2020 and September 29, 2019</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and Condensed Combined Balance Sheet as of December 31, 2019</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and Independent Auditors’ Review Report</w:t>
      </w:r>
    </w:p>
    <w:p>
      <w:pPr>
        <w:sectPr>
          <w:pgSz w:w="11900" w:h="16838" w:orient="portrait"/>
          <w:cols w:equalWidth="0" w:num="1">
            <w:col w:w="11140"/>
          </w:cols>
          <w:pgMar w:left="320" w:top="118"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740" w:type="dxa"/>
            <w:vAlign w:val="bottom"/>
            <w:gridSpan w:val="4"/>
          </w:tcPr>
          <w:p>
            <w:pPr>
              <w:ind w:left="1440"/>
              <w:spacing w:after="0"/>
              <w:rPr>
                <w:sz w:val="20"/>
                <w:szCs w:val="20"/>
                <w:color w:val="auto"/>
              </w:rPr>
            </w:pPr>
            <w:r>
              <w:rPr>
                <w:rFonts w:ascii="Times New Roman" w:cs="Times New Roman" w:eastAsia="Times New Roman" w:hAnsi="Times New Roman"/>
                <w:sz w:val="18"/>
                <w:szCs w:val="18"/>
                <w:b w:val="1"/>
                <w:bCs w:val="1"/>
                <w:color w:val="auto"/>
              </w:rPr>
              <w:t>Index to Unaudited Condensed Combined Financial Statements</w:t>
            </w:r>
          </w:p>
        </w:tc>
        <w:tc>
          <w:tcPr>
            <w:tcW w:w="1580" w:type="dxa"/>
            <w:vAlign w:val="bottom"/>
          </w:tcPr>
          <w:p>
            <w:pPr>
              <w:spacing w:after="0"/>
              <w:rPr>
                <w:sz w:val="20"/>
                <w:szCs w:val="20"/>
                <w:color w:val="auto"/>
              </w:rPr>
            </w:pPr>
          </w:p>
        </w:tc>
      </w:tr>
      <w:tr>
        <w:trPr>
          <w:trHeight w:val="373"/>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16"/>
        </w:trPr>
        <w:tc>
          <w:tcPr>
            <w:tcW w:w="9360" w:type="dxa"/>
            <w:vAlign w:val="bottom"/>
            <w:gridSpan w:val="7"/>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Independent Auditors’ Review Report</w:t>
              </w:r>
            </w:hyperlink>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4"/>
        </w:trPr>
        <w:tc>
          <w:tcPr>
            <w:tcW w:w="9360" w:type="dxa"/>
            <w:vAlign w:val="bottom"/>
            <w:gridSpan w:val="7"/>
          </w:tcPr>
          <w:p>
            <w:pPr>
              <w:spacing w:after="0" w:line="194"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Unaudited Condensed Combined Statements of Income for the Nine Months Ended September 27, 2020 and September 29,</w:t>
              </w:r>
            </w:hyperlink>
          </w:p>
        </w:tc>
        <w:tc>
          <w:tcPr>
            <w:tcW w:w="1580" w:type="dxa"/>
            <w:vAlign w:val="bottom"/>
          </w:tcPr>
          <w:p>
            <w:pPr>
              <w:spacing w:after="0"/>
              <w:rPr>
                <w:sz w:val="16"/>
                <w:szCs w:val="16"/>
                <w:color w:val="auto"/>
              </w:rPr>
            </w:pPr>
          </w:p>
        </w:tc>
      </w:tr>
      <w:tr>
        <w:trPr>
          <w:trHeight w:val="196"/>
        </w:trPr>
        <w:tc>
          <w:tcPr>
            <w:tcW w:w="540" w:type="dxa"/>
            <w:vAlign w:val="bottom"/>
            <w:tcBorders>
              <w:top w:val="single" w:sz="8" w:color="0000EE"/>
            </w:tcBorders>
            <w:gridSpan w:val="2"/>
          </w:tcPr>
          <w:p>
            <w:pPr>
              <w:ind w:left="180"/>
              <w:spacing w:after="0" w:line="196" w:lineRule="exact"/>
              <w:rPr>
                <w:rFonts w:ascii="Times New Roman" w:cs="Times New Roman" w:eastAsia="Times New Roman" w:hAnsi="Times New Roman"/>
                <w:sz w:val="18"/>
                <w:szCs w:val="18"/>
                <w:color w:val="0000EE"/>
                <w:w w:val="94"/>
              </w:rPr>
            </w:pPr>
            <w:hyperlink w:anchor="page8">
              <w:r>
                <w:rPr>
                  <w:rFonts w:ascii="Times New Roman" w:cs="Times New Roman" w:eastAsia="Times New Roman" w:hAnsi="Times New Roman"/>
                  <w:sz w:val="18"/>
                  <w:szCs w:val="18"/>
                  <w:color w:val="0000EE"/>
                  <w:w w:val="94"/>
                </w:rPr>
                <w:t>2019</w:t>
              </w:r>
            </w:hyperlink>
          </w:p>
        </w:tc>
        <w:tc>
          <w:tcPr>
            <w:tcW w:w="108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360" w:type="dxa"/>
            <w:vAlign w:val="bottom"/>
            <w:gridSpan w:val="7"/>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Unaudited Condensed Combined Statements of Comprehensive Income for the Nine Months Ended September 27, 2020 and</w:t>
              </w:r>
            </w:hyperlink>
          </w:p>
        </w:tc>
        <w:tc>
          <w:tcPr>
            <w:tcW w:w="15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8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September 29, 2019</w:t>
              </w:r>
            </w:hyperlink>
          </w:p>
        </w:tc>
        <w:tc>
          <w:tcPr>
            <w:tcW w:w="38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7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8"/>
        </w:trPr>
        <w:tc>
          <w:tcPr>
            <w:tcW w:w="9360" w:type="dxa"/>
            <w:vAlign w:val="bottom"/>
            <w:gridSpan w:val="7"/>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Unaudited Condensed Combined Balance Sheets as of September 27, 2020 and December 31, 2019</w:t>
              </w:r>
            </w:hyperlink>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360" w:type="dxa"/>
            <w:vAlign w:val="bottom"/>
            <w:gridSpan w:val="7"/>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Unaudited Condensed Combined Statements of Equity for the Nine Months Ended September 27, 2020 and September 29, 2019</w:t>
              </w:r>
            </w:hyperlink>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4"/>
        </w:trPr>
        <w:tc>
          <w:tcPr>
            <w:tcW w:w="9360" w:type="dxa"/>
            <w:vAlign w:val="bottom"/>
            <w:gridSpan w:val="7"/>
          </w:tcPr>
          <w:p>
            <w:pPr>
              <w:spacing w:after="0" w:line="194"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Unaudited Condensed Combined Statements of Cash Flows for the Nine Months Ended September 27, 2020 and September 29,</w:t>
              </w:r>
            </w:hyperlink>
          </w:p>
        </w:tc>
        <w:tc>
          <w:tcPr>
            <w:tcW w:w="1580" w:type="dxa"/>
            <w:vAlign w:val="bottom"/>
          </w:tcPr>
          <w:p>
            <w:pPr>
              <w:spacing w:after="0"/>
              <w:rPr>
                <w:sz w:val="16"/>
                <w:szCs w:val="16"/>
                <w:color w:val="auto"/>
              </w:rPr>
            </w:pPr>
          </w:p>
        </w:tc>
      </w:tr>
      <w:tr>
        <w:trPr>
          <w:trHeight w:val="196"/>
        </w:trPr>
        <w:tc>
          <w:tcPr>
            <w:tcW w:w="540" w:type="dxa"/>
            <w:vAlign w:val="bottom"/>
            <w:tcBorders>
              <w:top w:val="single" w:sz="8" w:color="0000EE"/>
            </w:tcBorders>
            <w:gridSpan w:val="2"/>
          </w:tcPr>
          <w:p>
            <w:pPr>
              <w:ind w:left="180"/>
              <w:spacing w:after="0" w:line="196" w:lineRule="exact"/>
              <w:rPr>
                <w:rFonts w:ascii="Times New Roman" w:cs="Times New Roman" w:eastAsia="Times New Roman" w:hAnsi="Times New Roman"/>
                <w:sz w:val="18"/>
                <w:szCs w:val="18"/>
                <w:color w:val="0000EE"/>
                <w:w w:val="94"/>
              </w:rPr>
            </w:pPr>
            <w:hyperlink w:anchor="page12">
              <w:r>
                <w:rPr>
                  <w:rFonts w:ascii="Times New Roman" w:cs="Times New Roman" w:eastAsia="Times New Roman" w:hAnsi="Times New Roman"/>
                  <w:sz w:val="18"/>
                  <w:szCs w:val="18"/>
                  <w:color w:val="0000EE"/>
                  <w:w w:val="94"/>
                </w:rPr>
                <w:t>2019</w:t>
              </w:r>
            </w:hyperlink>
          </w:p>
        </w:tc>
        <w:tc>
          <w:tcPr>
            <w:tcW w:w="108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2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7"/>
        </w:trPr>
        <w:tc>
          <w:tcPr>
            <w:tcW w:w="9360" w:type="dxa"/>
            <w:vAlign w:val="bottom"/>
            <w:gridSpan w:val="7"/>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Notes to Unaudited Condensed Combined Financial Statements</w:t>
              </w:r>
            </w:hyperlink>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beginning on page 9</w:t>
            </w:r>
          </w:p>
        </w:tc>
      </w:tr>
    </w:tbl>
    <w:p>
      <w:pPr>
        <w:sectPr>
          <w:pgSz w:w="11900" w:h="16838" w:orient="portrait"/>
          <w:cols w:equalWidth="0" w:num="1">
            <w:col w:w="11060"/>
          </w:cols>
          <w:pgMar w:left="320" w:top="455" w:right="5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Independent Auditors’ Review Report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of Pfizer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on the Financial Statements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have reviewed the condensed combined financial statements of Upjohn (a business unit of Pfizer Inc.), which comprise the condensed combined balance sheet as of September 27, 2020, and the related condensed combined statements of income, comprehensive income, equity, and cash flows for the nine-month periods ended September 27, 2020 and September 29, 2019.</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Management’s Responsibility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management is responsible for the preparation and fair presentation of the condensed financial information in accordance with</w:t>
      </w:r>
    </w:p>
    <w:p>
      <w:pPr>
        <w:spacing w:after="0" w:line="2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U.S. generally accepted accounting principles; this responsibility includes the design, implementation, and maintenance of internal control sufficient to provide a reasonable basis for the preparation and fair presentation of interim financial information in accordance with U.S. generally accepted accounting principles.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Auditors’ Responsibility</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responsibility is to conduct our reviews in accordance with auditing standards generally accepted in the United States of America applicable to reviews of interim financial information and in accordance with the auditing standards of the Public Company Accounting Oversight Board (United States) (PCAOB). A review of interim financial information consists principally of applying analytical procedures and making inquiries of persons responsible for financial and accounting matters. It is substantially less in scope than an audit conducted in accordance with auditing standards generally accepted in the United States of America and in accordance with the auditing standards of the PCAOB, the objective of which is the expression of an opinion regarding the financial information. Accordingly, we do not express such an opinion.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Conclusion</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Based on our reviews, we are not aware of any material modifications that should be made to the condensed combined financial information referred to above for it to be in accordance with U.S. generally accepted accounting principles.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on Condensed Balance Sheet as of December 31, 2019</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auditing standards generally accepted in the United States of America and in accordance with the auditing standards of the PCAOB, the combined balance sheet as of December 31, 2019, and the related combined statements of income, comprehensive income, equity, and cash flows for the year then ended (not presented herein); and we expressed an unqualified audit opinion on those audited combined financial statements in our report dated March 20, 2020. In our opinion, the accompanying condensed combined balance sheet of Upjohn as of December 31, 2019 is consistent, in all material respects, with the audited combined financial statements from which it has been derived.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UPJOHN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Unit of Pfizer Inc.)</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COMBINED STATEMENTS OF INCOME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color w:val="auto"/>
              </w:rPr>
              <w:t>Nine Months Ended</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5420" w:type="dxa"/>
            <w:vAlign w:val="bottom"/>
            <w:vMerge w:val="restart"/>
          </w:tcPr>
          <w:p>
            <w:pPr>
              <w:spacing w:after="0"/>
              <w:rPr>
                <w:sz w:val="10"/>
                <w:szCs w:val="10"/>
                <w:color w:val="auto"/>
              </w:rPr>
            </w:pPr>
          </w:p>
        </w:tc>
        <w:tc>
          <w:tcPr>
            <w:tcW w:w="2100" w:type="dxa"/>
            <w:vAlign w:val="bottom"/>
          </w:tcPr>
          <w:p>
            <w:pPr>
              <w:spacing w:after="0"/>
              <w:rPr>
                <w:sz w:val="10"/>
                <w:szCs w:val="10"/>
                <w:color w:val="auto"/>
              </w:rPr>
            </w:pPr>
          </w:p>
        </w:tc>
        <w:tc>
          <w:tcPr>
            <w:tcW w:w="14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42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ind w:right="191"/>
              <w:spacing w:after="0" w:line="158" w:lineRule="exact"/>
              <w:rPr>
                <w:sz w:val="20"/>
                <w:szCs w:val="20"/>
                <w:color w:val="auto"/>
              </w:rPr>
            </w:pPr>
            <w:r>
              <w:rPr>
                <w:rFonts w:ascii="Times New Roman" w:cs="Times New Roman" w:eastAsia="Times New Roman" w:hAnsi="Times New Roman"/>
                <w:sz w:val="14"/>
                <w:szCs w:val="14"/>
                <w:color w:val="auto"/>
                <w:w w:val="92"/>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2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5,506</w:t>
            </w: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8,087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15"/>
                <w:szCs w:val="15"/>
                <w:color w:val="auto"/>
              </w:rPr>
              <w:t>(a)</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1,228</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6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informational and administrative expenses</w:t>
            </w:r>
            <w:r>
              <w:rPr>
                <w:rFonts w:ascii="Times New Roman" w:cs="Times New Roman" w:eastAsia="Times New Roman" w:hAnsi="Times New Roman"/>
                <w:sz w:val="15"/>
                <w:szCs w:val="15"/>
                <w:color w:val="auto"/>
              </w:rPr>
              <w:t>(a)</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1,238</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r>
              <w:rPr>
                <w:rFonts w:ascii="Times New Roman" w:cs="Times New Roman" w:eastAsia="Times New Roman" w:hAnsi="Times New Roman"/>
                <w:sz w:val="15"/>
                <w:szCs w:val="15"/>
                <w:color w:val="auto"/>
              </w:rPr>
              <w:t>(a)</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6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6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(income)/deductions–net</w:t>
            </w:r>
          </w:p>
        </w:tc>
        <w:tc>
          <w:tcPr>
            <w:tcW w:w="2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taxes on income</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2,350</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2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before allocation to noncontrolling interests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2,082</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income/(loss) attributable to noncontrolling interests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Upjohn</w:t>
            </w:r>
          </w:p>
        </w:tc>
        <w:tc>
          <w:tcPr>
            <w:tcW w:w="228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2,083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5"/>
          <w:szCs w:val="15"/>
          <w:color w:val="auto"/>
        </w:rPr>
        <w:t>(a)</w:t>
      </w:r>
      <w:r>
        <w:rPr>
          <w:sz w:val="20"/>
          <w:szCs w:val="20"/>
          <w:color w:val="auto"/>
        </w:rPr>
        <w:tab/>
      </w:r>
      <w:r>
        <w:rPr>
          <w:rFonts w:ascii="Times New Roman" w:cs="Times New Roman" w:eastAsia="Times New Roman" w:hAnsi="Times New Roman"/>
          <w:sz w:val="18"/>
          <w:szCs w:val="18"/>
          <w:color w:val="auto"/>
        </w:rPr>
        <w:t>Excludes amortization of intangible assets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Unaudited Condensed Combined Financial Statements, which are an integral part of these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UPJOHN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Unit of Pfizer Inc.)</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COMBINED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7560" w:type="dxa"/>
            <w:vAlign w:val="bottom"/>
            <w:vMerge w:val="restart"/>
          </w:tcPr>
          <w:p>
            <w:pPr>
              <w:spacing w:after="0"/>
              <w:rPr>
                <w:sz w:val="10"/>
                <w:szCs w:val="10"/>
                <w:color w:val="auto"/>
              </w:rPr>
            </w:pPr>
          </w:p>
        </w:tc>
        <w:tc>
          <w:tcPr>
            <w:tcW w:w="1340" w:type="dxa"/>
            <w:vAlign w:val="bottom"/>
            <w:tcBorders>
              <w:top w:val="single" w:sz="8" w:color="auto"/>
            </w:tcBorders>
            <w:gridSpan w:val="4"/>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tcBorders>
              <w:top w:val="single" w:sz="8" w:color="auto"/>
            </w:tcBorders>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7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1"/>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before allocation to noncontrolling interests</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2,082</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4,459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 actuarial gains/(losses), net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adjustments related to amortization</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related to curtailments and settlements,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(a)</w:t>
            </w:r>
          </w:p>
        </w:tc>
        <w:tc>
          <w:tcPr>
            <w:tcW w:w="18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Benefit plans: prior service (costs)/credits and other, net</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related to amortization</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adjustments related to curtailments, net</w:t>
            </w:r>
          </w:p>
        </w:tc>
        <w:tc>
          <w:tcPr>
            <w:tcW w:w="180" w:type="dxa"/>
            <w:vAlign w:val="bottom"/>
          </w:tcPr>
          <w:p>
            <w:pPr>
              <w:spacing w:after="0"/>
              <w:rPr>
                <w:sz w:val="18"/>
                <w:szCs w:val="18"/>
                <w:color w:val="auto"/>
              </w:rPr>
            </w:pPr>
          </w:p>
        </w:tc>
        <w:tc>
          <w:tcPr>
            <w:tcW w:w="11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(a)</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income/(loss), before tax</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provision/(benefit) on other comprehensive income/(loss)</w:t>
            </w:r>
            <w:r>
              <w:rPr>
                <w:rFonts w:ascii="Times New Roman" w:cs="Times New Roman" w:eastAsia="Times New Roman" w:hAnsi="Times New Roman"/>
                <w:sz w:val="15"/>
                <w:szCs w:val="15"/>
                <w:color w:val="auto"/>
              </w:rPr>
              <w:t>(b)</w:t>
            </w:r>
          </w:p>
        </w:tc>
        <w:tc>
          <w:tcPr>
            <w:tcW w:w="18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income/(loss) before allocation to noncontrolling interests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before allocation to noncontrolling interests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income/(loss) attributable to noncontrolling interests</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Comprehensive income attributable to Upjohn</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620" w:hanging="424"/>
        <w:spacing w:after="0" w:line="261" w:lineRule="auto"/>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the nine months ended September 27, 2020 and September 29, 2019, primarily relates to the impact of foreign exchange in the Upjohn sponsored pension plan in Japan.</w:t>
      </w:r>
    </w:p>
    <w:p>
      <w:pPr>
        <w:ind w:left="540" w:hanging="424"/>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5C. Tax Matters: Tax Provision/(Benefit) on Other Comprehensive Income/(Loss).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Unaudited Condensed Combined Financial Statements, which are an integral part of these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UPJOHN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Unit of Pfizer Inc.)</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COMBINED BALANCE SHEETS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27,</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65"/>
        </w:trPr>
        <w:tc>
          <w:tcPr>
            <w:tcW w:w="90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1"/>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0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short-term investments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Trade accounts receivable, less allowance for doubtful accounts: 2020—$34; 2019—$40</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1,958</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90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15,736</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less accumulated depreciation: 2020—$1,830; 2019—$1,796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Identifiable intangible assets, less accumulated amortization</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8,709</w:t>
            </w: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Noncurrent deferred tax assets and other noncurrent tax assets</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3"/>
        </w:trPr>
        <w:tc>
          <w:tcPr>
            <w:tcW w:w="90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60" w:type="dxa"/>
            <w:vAlign w:val="bottom"/>
            <w:tcBorders>
              <w:bottom w:val="single" w:sz="8" w:color="auto"/>
            </w:tcBorders>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8"/>
              </w:rPr>
              <w:t>Liabilities and Equity</w:t>
            </w:r>
          </w:p>
        </w:tc>
        <w:tc>
          <w:tcPr>
            <w:tcW w:w="7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 items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11,535</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benefit obligations, net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taxes payable</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4,347</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4,623</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0"/>
        </w:trPr>
        <w:tc>
          <w:tcPr>
            <w:tcW w:w="90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Business unit equity</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8,653</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8,224</w:t>
            </w: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30"/>
        </w:trPr>
        <w:tc>
          <w:tcPr>
            <w:tcW w:w="90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16,366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Unaudited Condensed Combined Financial Statements, which are an integral part of these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UPJOHN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Unit of Pfizer Inc.)</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COMBINED STATEMENTS OF EQUITY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Upjohn</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Equity</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7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Business</w:t>
            </w:r>
          </w:p>
        </w:tc>
        <w:tc>
          <w:tcPr>
            <w:tcW w:w="10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w w:val="94"/>
              </w:rPr>
              <w:t>Total</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5360" w:type="dxa"/>
            <w:vAlign w:val="bottom"/>
            <w:vMerge w:val="restart"/>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Unit</w:t>
            </w:r>
          </w:p>
        </w:tc>
        <w:tc>
          <w:tcPr>
            <w:tcW w:w="104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Comp.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780" w:type="dxa"/>
            <w:vAlign w:val="bottom"/>
            <w:gridSpan w:val="3"/>
          </w:tcPr>
          <w:p>
            <w:pPr>
              <w:jc w:val="center"/>
              <w:ind w:right="200"/>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1040" w:type="dxa"/>
            <w:vAlign w:val="bottom"/>
            <w:gridSpan w:val="5"/>
          </w:tcPr>
          <w:p>
            <w:pPr>
              <w:spacing w:after="0" w:line="158" w:lineRule="exact"/>
              <w:rPr>
                <w:sz w:val="20"/>
                <w:szCs w:val="20"/>
                <w:color w:val="auto"/>
              </w:rPr>
            </w:pPr>
            <w:r>
              <w:rPr>
                <w:rFonts w:ascii="Times New Roman" w:cs="Times New Roman" w:eastAsia="Times New Roman" w:hAnsi="Times New Roman"/>
                <w:sz w:val="14"/>
                <w:szCs w:val="14"/>
                <w:color w:val="auto"/>
              </w:rPr>
              <w:t>Income/(Loss)</w:t>
            </w:r>
          </w:p>
        </w:tc>
        <w:tc>
          <w:tcPr>
            <w:tcW w:w="20" w:type="dxa"/>
            <w:vAlign w:val="bottom"/>
          </w:tcPr>
          <w:p>
            <w:pPr>
              <w:spacing w:after="0"/>
              <w:rPr>
                <w:sz w:val="15"/>
                <w:szCs w:val="15"/>
                <w:color w:val="auto"/>
              </w:rPr>
            </w:pPr>
          </w:p>
        </w:tc>
        <w:tc>
          <w:tcPr>
            <w:tcW w:w="820" w:type="dxa"/>
            <w:vAlign w:val="bottom"/>
            <w:gridSpan w:val="4"/>
          </w:tcPr>
          <w:p>
            <w:pPr>
              <w:jc w:val="center"/>
              <w:ind w:right="140"/>
              <w:spacing w:after="0" w:line="158" w:lineRule="exact"/>
              <w:rPr>
                <w:sz w:val="20"/>
                <w:szCs w:val="20"/>
                <w:color w:val="auto"/>
              </w:rPr>
            </w:pPr>
            <w:r>
              <w:rPr>
                <w:rFonts w:ascii="Times New Roman" w:cs="Times New Roman" w:eastAsia="Times New Roman" w:hAnsi="Times New Roman"/>
                <w:sz w:val="14"/>
                <w:szCs w:val="14"/>
                <w:color w:val="auto"/>
              </w:rPr>
              <w:t>Unit Equity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color w:val="auto"/>
              </w:rPr>
              <w:t>Interests</w:t>
            </w:r>
          </w:p>
        </w:tc>
        <w:tc>
          <w:tcPr>
            <w:tcW w:w="6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December 31, 2019</w:t>
            </w: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$ 8,224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(707)</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7,517</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$ 7,517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transactions</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between Pfizer and noncontrolling interests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transfers––Pfizer</w:t>
            </w:r>
            <w:r>
              <w:rPr>
                <w:rFonts w:ascii="Times New Roman" w:cs="Times New Roman" w:eastAsia="Times New Roman" w:hAnsi="Times New Roman"/>
                <w:sz w:val="15"/>
                <w:szCs w:val="15"/>
                <w:color w:val="auto"/>
              </w:rPr>
              <w:t>(a)</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27, 2020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(714)</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$ 7,939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9"/>
              </w:rPr>
              <w:t>Upjohn</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Equity</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Business</w:t>
            </w:r>
          </w:p>
        </w:tc>
        <w:tc>
          <w:tcPr>
            <w:tcW w:w="200" w:type="dxa"/>
            <w:vAlign w:val="bottom"/>
          </w:tcPr>
          <w:p>
            <w:pPr>
              <w:spacing w:after="0"/>
              <w:rPr>
                <w:sz w:val="10"/>
                <w:szCs w:val="10"/>
                <w:color w:val="auto"/>
              </w:rPr>
            </w:pPr>
          </w:p>
        </w:tc>
        <w:tc>
          <w:tcPr>
            <w:tcW w:w="840" w:type="dxa"/>
            <w:vAlign w:val="bottom"/>
            <w:gridSpan w:val="4"/>
          </w:tcPr>
          <w:p>
            <w:pPr>
              <w:jc w:val="center"/>
              <w:ind w:right="6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Other Comp.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53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Unit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Unit</w:t>
            </w:r>
          </w:p>
        </w:tc>
        <w:tc>
          <w:tcPr>
            <w:tcW w:w="6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tcPr>
          <w:p>
            <w:pPr>
              <w:jc w:val="center"/>
              <w:ind w:right="20"/>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180"/>
              <w:spacing w:after="0" w:line="158" w:lineRule="exact"/>
              <w:rPr>
                <w:sz w:val="20"/>
                <w:szCs w:val="20"/>
                <w:color w:val="auto"/>
              </w:rPr>
            </w:pPr>
            <w:r>
              <w:rPr>
                <w:rFonts w:ascii="Times New Roman" w:cs="Times New Roman" w:eastAsia="Times New Roman" w:hAnsi="Times New Roman"/>
                <w:sz w:val="14"/>
                <w:szCs w:val="14"/>
                <w:color w:val="auto"/>
              </w:rPr>
              <w:t>(Loss)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color w:val="auto"/>
              </w:rPr>
              <w:t>Interests</w:t>
            </w:r>
          </w:p>
        </w:tc>
        <w:tc>
          <w:tcPr>
            <w:tcW w:w="6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December 31, 2018</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$ 7,653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(660)</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$ 6,992</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$ 6,992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transactions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between Pfizer and noncontrolling interests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transfers––Pfizer</w:t>
            </w:r>
            <w:r>
              <w:rPr>
                <w:rFonts w:ascii="Times New Roman" w:cs="Times New Roman" w:eastAsia="Times New Roman" w:hAnsi="Times New Roman"/>
                <w:sz w:val="15"/>
                <w:szCs w:val="15"/>
                <w:color w:val="auto"/>
              </w:rPr>
              <w:t>(a)</w:t>
            </w:r>
          </w:p>
        </w:tc>
        <w:tc>
          <w:tcPr>
            <w:tcW w:w="220" w:type="dxa"/>
            <w:vAlign w:val="bottom"/>
          </w:tcPr>
          <w:p>
            <w:pPr>
              <w:spacing w:after="0"/>
              <w:rPr>
                <w:sz w:val="18"/>
                <w:szCs w:val="18"/>
                <w:color w:val="auto"/>
              </w:rPr>
            </w:pPr>
          </w:p>
        </w:tc>
        <w:tc>
          <w:tcPr>
            <w:tcW w:w="76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(3,593)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29, 2019</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$ 8,571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$ 7,856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$ 7,856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20" w:right="6000" w:hanging="4"/>
        <w:spacing w:after="0" w:line="502" w:lineRule="auto"/>
        <w:tabs>
          <w:tab w:leader="none" w:pos="552"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for the major components of </w:t>
      </w:r>
      <w:r>
        <w:rPr>
          <w:rFonts w:ascii="Times New Roman" w:cs="Times New Roman" w:eastAsia="Times New Roman" w:hAnsi="Times New Roman"/>
          <w:sz w:val="18"/>
          <w:szCs w:val="18"/>
          <w:i w:val="1"/>
          <w:iCs w:val="1"/>
          <w:color w:val="auto"/>
        </w:rPr>
        <w:t>Net transfers––Pfizer</w:t>
      </w:r>
      <w:r>
        <w:rPr>
          <w:rFonts w:ascii="Times New Roman" w:cs="Times New Roman" w:eastAsia="Times New Roman" w:hAnsi="Times New Roman"/>
          <w:sz w:val="18"/>
          <w:szCs w:val="18"/>
          <w:color w:val="auto"/>
        </w:rPr>
        <w:t>. Amounts may not add due to rounding.</w:t>
      </w:r>
    </w:p>
    <w:p>
      <w:pPr>
        <w:jc w:val="center"/>
        <w:ind w:right="-99"/>
        <w:spacing w:after="0"/>
        <w:rPr>
          <w:sz w:val="20"/>
          <w:szCs w:val="20"/>
          <w:color w:val="auto"/>
        </w:rPr>
      </w:pPr>
      <w:r>
        <w:rPr>
          <w:rFonts w:ascii="Times New Roman" w:cs="Times New Roman" w:eastAsia="Times New Roman" w:hAnsi="Times New Roman"/>
          <w:sz w:val="18"/>
          <w:szCs w:val="18"/>
          <w:color w:val="auto"/>
        </w:rPr>
        <w:t>See Notes to Unaudited Condensed Combined Financial Statements, which are an integral part of these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140"/>
          </w:cols>
          <w:pgMar w:left="32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UPJOHN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 Business Unit of Pfizer Inc.)</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COMBINED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7860" w:type="dxa"/>
            <w:vAlign w:val="bottom"/>
            <w:gridSpan w:val="4"/>
            <w:vMerge w:val="restart"/>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tcBorders>
              <w:top w:val="single" w:sz="8" w:color="auto"/>
            </w:tcBorders>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786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1"/>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1"/>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60" w:type="dxa"/>
            <w:vAlign w:val="bottom"/>
            <w:tcBorders>
              <w:top w:val="single" w:sz="8" w:color="CCEEFF"/>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Operating Activities</w:t>
            </w:r>
          </w:p>
        </w:tc>
        <w:tc>
          <w:tcPr>
            <w:tcW w:w="75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 before allocation to noncontrolling interests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198"/>
        </w:trPr>
        <w:tc>
          <w:tcPr>
            <w:tcW w:w="90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before allocation to noncontrolling interests to net cash provided by operating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902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writeoffs and impairments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Currency translation loss on Euro notes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Cuts and Jobs Act (TCJA) impact</w:t>
            </w:r>
            <w:r>
              <w:rPr>
                <w:rFonts w:ascii="Times New Roman" w:cs="Times New Roman" w:eastAsia="Times New Roman" w:hAnsi="Times New Roman"/>
                <w:sz w:val="15"/>
                <w:szCs w:val="15"/>
                <w:color w:val="auto"/>
              </w:rPr>
              <w:t>(a)</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90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02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90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Benefit plan contributions in excess of expense/income</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902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adjustments,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90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Other changes in assets and liabilities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183"/>
        </w:trPr>
        <w:tc>
          <w:tcPr>
            <w:tcW w:w="90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(purchases of)/proceeds from redemptions/sales of short-term investments</w:t>
            </w:r>
            <w:r>
              <w:rPr>
                <w:rFonts w:ascii="Times New Roman" w:cs="Times New Roman" w:eastAsia="Times New Roman" w:hAnsi="Times New Roman"/>
                <w:sz w:val="15"/>
                <w:szCs w:val="15"/>
                <w:color w:val="auto"/>
              </w:rPr>
              <w:t>(b)</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(11,413)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9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of intangible assets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83"/>
        </w:trPr>
        <w:tc>
          <w:tcPr>
            <w:tcW w:w="90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 of bank overdraft facility</w:t>
            </w:r>
            <w:r>
              <w:rPr>
                <w:rFonts w:ascii="Times New Roman" w:cs="Times New Roman" w:eastAsia="Times New Roman" w:hAnsi="Times New Roman"/>
                <w:sz w:val="15"/>
                <w:szCs w:val="15"/>
                <w:color w:val="auto"/>
              </w:rPr>
              <w:t>(c)</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Proceeds from issuance of long-term debt</w:t>
            </w:r>
            <w:r>
              <w:rPr>
                <w:rFonts w:ascii="Times New Roman" w:cs="Times New Roman" w:eastAsia="Times New Roman" w:hAnsi="Times New Roman"/>
                <w:sz w:val="15"/>
                <w:szCs w:val="15"/>
                <w:color w:val="auto"/>
              </w:rPr>
              <w:t>(b)</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11,478</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issuance costs paid</w:t>
            </w:r>
            <w:r>
              <w:rPr>
                <w:rFonts w:ascii="Times New Roman" w:cs="Times New Roman" w:eastAsia="Times New Roman" w:hAnsi="Times New Roman"/>
                <w:sz w:val="15"/>
                <w:szCs w:val="15"/>
                <w:color w:val="auto"/>
              </w:rPr>
              <w:t>(b)</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financing activities with Pfizer</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(1,775)</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0"/>
        </w:trPr>
        <w:tc>
          <w:tcPr>
            <w:tcW w:w="90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Effect of exchange-rate changes on cash and cash equivalents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2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902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Cash and cash equivalents, beginning</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 end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90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902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0" w:right="320" w:hanging="424"/>
        <w:spacing w:after="0" w:line="258"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As a result of the enactment of the Tax Cuts and Jobs Act (TCJA) in December 2017, </w:t>
      </w:r>
      <w:r>
        <w:rPr>
          <w:rFonts w:ascii="Times New Roman" w:cs="Times New Roman" w:eastAsia="Times New Roman" w:hAnsi="Times New Roman"/>
          <w:sz w:val="18"/>
          <w:szCs w:val="18"/>
          <w:i w:val="1"/>
          <w:iCs w:val="1"/>
          <w:color w:val="auto"/>
        </w:rPr>
        <w:t>Provision for taxes on income</w:t>
      </w:r>
      <w:r>
        <w:rPr>
          <w:rFonts w:ascii="Times New Roman" w:cs="Times New Roman" w:eastAsia="Times New Roman" w:hAnsi="Times New Roman"/>
          <w:sz w:val="18"/>
          <w:szCs w:val="18"/>
          <w:color w:val="auto"/>
        </w:rPr>
        <w:t xml:space="preserve"> for the nine months ended September 29, 2019 was favorably impacted by approximately $64 million, primarily as a result of additional guidance issued by the U.S. Department of Treasury.</w:t>
      </w:r>
    </w:p>
    <w:p>
      <w:pPr>
        <w:ind w:left="540" w:right="40" w:hanging="424"/>
        <w:spacing w:after="0" w:line="250"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Represents $11.4 billion of proceeds from the long-term debt issuances in the second quarter of 2020, which are included in </w:t>
      </w:r>
      <w:r>
        <w:rPr>
          <w:rFonts w:ascii="Times New Roman" w:cs="Times New Roman" w:eastAsia="Times New Roman" w:hAnsi="Times New Roman"/>
          <w:sz w:val="18"/>
          <w:szCs w:val="18"/>
          <w:i w:val="1"/>
          <w:iCs w:val="1"/>
          <w:color w:val="auto"/>
        </w:rPr>
        <w:t>Restricted short-term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in the condensed combined balance sheet as of September 27, 2020. For additional information about the nature of the investments in</w:t>
      </w:r>
      <w:r>
        <w:rPr>
          <w:rFonts w:ascii="Times New Roman" w:cs="Times New Roman" w:eastAsia="Times New Roman" w:hAnsi="Times New Roman"/>
          <w:sz w:val="18"/>
          <w:szCs w:val="18"/>
          <w:i w:val="1"/>
          <w:iCs w:val="1"/>
          <w:color w:val="auto"/>
        </w:rPr>
        <w:t xml:space="preserve"> Restricted short-term investments</w:t>
      </w:r>
      <w:r>
        <w:rPr>
          <w:rFonts w:ascii="Times New Roman" w:cs="Times New Roman" w:eastAsia="Times New Roman" w:hAnsi="Times New Roman"/>
          <w:sz w:val="18"/>
          <w:szCs w:val="18"/>
          <w:color w:val="auto"/>
        </w:rPr>
        <w:t>, see</w:t>
      </w:r>
      <w:r>
        <w:rPr>
          <w:rFonts w:ascii="Times New Roman" w:cs="Times New Roman" w:eastAsia="Times New Roman" w:hAnsi="Times New Roman"/>
          <w:sz w:val="18"/>
          <w:szCs w:val="18"/>
          <w:i w:val="1"/>
          <w:iCs w:val="1"/>
          <w:color w:val="auto"/>
        </w:rPr>
        <w:t xml:space="preserve"> Note 7A. Financial Instruments: Fair Value Measurements. </w:t>
      </w:r>
      <w:r>
        <w:rPr>
          <w:rFonts w:ascii="Times New Roman" w:cs="Times New Roman" w:eastAsia="Times New Roman" w:hAnsi="Times New Roman"/>
          <w:sz w:val="18"/>
          <w:szCs w:val="18"/>
          <w:color w:val="auto"/>
        </w:rPr>
        <w:t>For additional information about long-term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issuances and debt issuance costs, see </w:t>
      </w:r>
      <w:r>
        <w:rPr>
          <w:rFonts w:ascii="Times New Roman" w:cs="Times New Roman" w:eastAsia="Times New Roman" w:hAnsi="Times New Roman"/>
          <w:sz w:val="18"/>
          <w:szCs w:val="18"/>
          <w:i w:val="1"/>
          <w:iCs w:val="1"/>
          <w:color w:val="auto"/>
        </w:rPr>
        <w:t>Note 7C. Financial Instruments: Long-Term Debt.</w:t>
      </w:r>
    </w:p>
    <w:p>
      <w:pPr>
        <w:spacing w:after="0" w:line="1"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7B. Financial Instruments: Short-Term Borrowings.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Unaudited Condensed Combined Financial Statements, which are an integral part of these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1. Business Description and Basis of Presentation</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Business Description</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Upjohn (collectively, Upjohn, the Upjohn Business, the business, the company, we, us and our) was a business unit of Pfizer Inc. (Pfizer) until November 16, 2020. We are a global pharmaceutical company with a portfolio of well-established, primarily off-patent branded and generic medicines, including </w:t>
      </w:r>
      <w:r>
        <w:rPr>
          <w:rFonts w:ascii="Times New Roman" w:cs="Times New Roman" w:eastAsia="Times New Roman" w:hAnsi="Times New Roman"/>
          <w:sz w:val="18"/>
          <w:szCs w:val="18"/>
          <w:i w:val="1"/>
          <w:iCs w:val="1"/>
          <w:color w:val="auto"/>
        </w:rPr>
        <w:t>Lyrica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Lipitor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Norvasc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Celebrex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Viagra</w:t>
      </w:r>
      <w:r>
        <w:rPr>
          <w:rFonts w:ascii="Times New Roman" w:cs="Times New Roman" w:eastAsia="Times New Roman" w:hAnsi="Times New Roman"/>
          <w:sz w:val="18"/>
          <w:szCs w:val="18"/>
          <w:color w:val="auto"/>
        </w:rPr>
        <w:t>, as well as a U.S.-based generics platform, Greenstone. Our pharmaceutical products are used to treat non-communicable diseases (NCDs). We commercialize, manufacture and develop pharmaceutical products across a broad range of therapeutic areas, including cardiovascular, pain and neurology, psychiatry, urology and ophthalmology. The accompanying condensed combined financial statements include the accounts of all operations that comprise the Upjohn operations of Pfizer.</w:t>
      </w:r>
    </w:p>
    <w:p>
      <w:pPr>
        <w:spacing w:after="0" w:line="18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 xml:space="preserve">On January 23, 2020, Upjohn China entered into a definitive agreement to acquire Shanghai Minghui Pharmaceutical Co., Ltd. (Minghui) from Shanghai Pharmaceutical Co., Ltd., which is a state-owned enterprise in China. After the completion of a listing and bidding process, Upjohn agreed to acquire Minghui for 40 million renminbi (RMB) (approximately $5 million, net of cash acquired of approximately $1 million). In February 2020, Upjohn remitted the total purchase price to SUAEE, the institution managing the listing and bidding process. The closing conditions provided in the transaction documents have been met. Minghui obtained a new business license in April 2020 under which Upjohn Hong Kong is registered as the sole shareholder of Minghui. Minghui’s drug distribution license and good supply practices certification in China have also been updated to reflect such change in ownership. The acquisition of Minghui was accounted for by Upjohn as the acquisition of a group of assets rather than the acquisition of a business. In connection with this asset acquisition, we recorded $5 million in </w:t>
      </w:r>
      <w:r>
        <w:rPr>
          <w:rFonts w:ascii="Times New Roman" w:cs="Times New Roman" w:eastAsia="Times New Roman" w:hAnsi="Times New Roman"/>
          <w:sz w:val="18"/>
          <w:szCs w:val="18"/>
          <w:i w:val="1"/>
          <w:iCs w:val="1"/>
          <w:color w:val="auto"/>
        </w:rPr>
        <w:t>Identifiable intangible assets</w:t>
      </w:r>
      <w:r>
        <w:rPr>
          <w:rFonts w:ascii="Times New Roman" w:cs="Times New Roman" w:eastAsia="Times New Roman" w:hAnsi="Times New Roman"/>
          <w:sz w:val="18"/>
          <w:szCs w:val="18"/>
          <w:color w:val="auto"/>
        </w:rPr>
        <w:t xml:space="preserve">, consisting of a licensing agreement––see </w:t>
      </w:r>
      <w:r>
        <w:rPr>
          <w:rFonts w:ascii="Times New Roman" w:cs="Times New Roman" w:eastAsia="Times New Roman" w:hAnsi="Times New Roman"/>
          <w:sz w:val="18"/>
          <w:szCs w:val="18"/>
          <w:i w:val="1"/>
          <w:iCs w:val="1"/>
          <w:color w:val="auto"/>
        </w:rPr>
        <w:t>Note 9A.</w:t>
      </w:r>
    </w:p>
    <w:p>
      <w:pPr>
        <w:spacing w:after="0" w:line="188"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 xml:space="preserve">On November 16, 2020, Pfizer completed the transaction under the previously announced agreement to combine the Upjohn Business with Mylan N.V. (Mylan), creating a new global pharmaceutical company named Viatris Inc. (Viatris). The transaction was structured as a Reverse Morris Trust transaction (the Transaction) under which Pfizer spun off the Upjohn Business to Pfizer shareholders by way of a pro rata distribution and immediately thereafter the Upjohn Business combined with Mylan. Beginning November 16, 2020, Viatris operates both the Upjohn Business and Mylan as an independent publicly traded company, which is traded under the symbol “VTRS” on the NASDAQ. For additional information, see </w:t>
      </w:r>
      <w:r>
        <w:rPr>
          <w:rFonts w:ascii="Times New Roman" w:cs="Times New Roman" w:eastAsia="Times New Roman" w:hAnsi="Times New Roman"/>
          <w:sz w:val="17"/>
          <w:szCs w:val="17"/>
          <w:i w:val="1"/>
          <w:iCs w:val="1"/>
          <w:color w:val="auto"/>
        </w:rPr>
        <w:t>Note 16</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On December 21, 2020, Pfizer and Viatris completed the termination of a pre-existing strategic collaboration between Pfizer and Mylan for generic drugs in Japan (the Mylan-Japan collaboration). In connection with the termination of the collaboration, Pfizer transferred related inventories to Viatris. Pfizer and Viatris entered into certain commercialization and supply agreements that became effective upon the termination of the collaboration.</w:t>
      </w:r>
    </w:p>
    <w:p>
      <w:pPr>
        <w:spacing w:after="0" w:line="15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Pfizer, Upjohn and Mylan agreed (simultaneous with their entry into the Transaction agreements governing the combination of Upjohn and Mylan) to review and negotiate in good faith a potential transfer of Pfizer’s Meridian Medical Technologies business (the Meridian Business) to Upjohn, such that it would be sold to Mylan in the Transaction for the Upjohn Business. The Meridian Business supplies EpiPen Auto-Injectors to Mylan under a supply agreement (the EpiPen Supply Agreement). Instead of entering into an agreement to transfer the Meridian Business to Mylan, the parties have agreed to extend the EpiPen Supply Agreement (previously expiring on December 31, 2020) for an additional four-year period through December 31, 2024, with an option for Mylan to further extend the term for an additional one-year period thereafter.</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Upjohn Business’s results of operations, financial condition and cash flows presented in these condensed combined financial statements and notes thereto do not include the results of operations, assets and liabilities or cash flows of the Meridian Business or the Mylan-Japan collaboration.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Basis of Presentation</w:t>
      </w:r>
    </w:p>
    <w:p>
      <w:pPr>
        <w:spacing w:after="0" w:line="117"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prepared the accompanying condensed combined financial statements following the requirements of the Securities and Exchange Commission (SEC) for interim reporting. As permitted under those rules, certain footnotes or other financial information that are normally required by accounting principles generally accepted in the United States of America (U.S. GAAP) can be condensed or omitted.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The financial information included in our condensed combined financial statements for subsidiaries operating outside the U.S. is as of and for the nine months ended August 23, 2020 and August 25, 2019. The financial information included in our condensed combined financial statements for U.S. subsidiaries is as of and for the nine months ended September 27, 2020 and September 29, 2019. All significant intercompany balances and transactions among the legal entities that comprise Upjohn have been eliminated. Balances due from or due to Pfizer that are expected to be cash-settled, if any, are included, depending on the nature of the balance, in </w:t>
      </w:r>
      <w:r>
        <w:rPr>
          <w:rFonts w:ascii="Times New Roman" w:cs="Times New Roman" w:eastAsia="Times New Roman" w:hAnsi="Times New Roman"/>
          <w:sz w:val="18"/>
          <w:szCs w:val="18"/>
          <w:i w:val="1"/>
          <w:iCs w:val="1"/>
          <w:color w:val="auto"/>
        </w:rPr>
        <w:t>Other current assets, Other noncurrent assets,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noncurrent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condensed combined balance sheets. All balances and transactions among Upjohn and Pfizer that are not cash-settled are shown as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i w:val="1"/>
          <w:iCs w:val="1"/>
          <w:color w:val="auto"/>
        </w:rPr>
        <w:t>Business unit equity</w:t>
      </w:r>
      <w:r>
        <w:rPr>
          <w:rFonts w:ascii="Times New Roman" w:cs="Times New Roman" w:eastAsia="Times New Roman" w:hAnsi="Times New Roman"/>
          <w:sz w:val="18"/>
          <w:szCs w:val="18"/>
          <w:color w:val="auto"/>
        </w:rPr>
        <w:t xml:space="preserve"> in the condensed combined balance sheets and represent the net of amounts settled without payment (to)/from Pfizer. For additional information about balances and transactions among Upjohn and Pfizer, see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Revenues, expenses, assets and liabilities can vary during each quarter of the year. Therefore, the results and trends in these interim financial statements may not be representative of those for the full year.</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responsible for the unaudited condensed combined financial statements included in this document. The interim financial statements include all normal and recurring adjustments that are considered necessary for the fair presentation of our financial position and operating results. The information included in these interim financial statements should be read in conjunction with the combined financial statements and accompanying notes for the year ended December 31, 2019.</w:t>
      </w:r>
    </w:p>
    <w:p>
      <w:pPr>
        <w:spacing w:after="0" w:line="180"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Certain amounts in the condensed combined financial statements and associated notes may not add due to rounding. All percentages have been calculated using unrounded amounts.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As of January 1, 2020, we adopted four new accounting standards. See </w:t>
      </w:r>
      <w:r>
        <w:rPr>
          <w:rFonts w:ascii="Times New Roman" w:cs="Times New Roman" w:eastAsia="Times New Roman" w:hAnsi="Times New Roman"/>
          <w:sz w:val="18"/>
          <w:szCs w:val="18"/>
          <w:i w:val="1"/>
          <w:iCs w:val="1"/>
          <w:color w:val="auto"/>
        </w:rPr>
        <w:t>Note 2A</w:t>
      </w:r>
      <w:r>
        <w:rPr>
          <w:rFonts w:ascii="Times New Roman" w:cs="Times New Roman" w:eastAsia="Times New Roman" w:hAnsi="Times New Roman"/>
          <w:sz w:val="18"/>
          <w:szCs w:val="18"/>
          <w:color w:val="auto"/>
        </w:rPr>
        <w:t xml:space="preserve"> for further information.</w:t>
      </w:r>
    </w:p>
    <w:p>
      <w:pPr>
        <w:spacing w:after="0" w:line="227"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The condensed combined financial statements have been derived from the consolidated financial statements and accounting records of Pfizer and include allocations for direct costs and indirect costs attributable to the operations of the Upjohn Business of Pfizer. As part of a Pfizer reorganization beginning in 2019, Upjohn was positioned as a standalone division within Pfizer with distinct and dedicated manufacturing, marketing and other commercial activities, research, development, medical, regulatory and limited enabling functions. As a result, many of the costs for certain support functions that, prior to 2019, were provided to Upjohn on a centralized basis within Pfizer are, beginning in 2019, incurred directly by Upjohn.</w:t>
      </w:r>
    </w:p>
    <w:p>
      <w:pPr>
        <w:spacing w:after="0" w:line="168"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These condensed combined financial statements do not purport to reflect what the results of operations, comprehensive income, financial position, equity or cash flows would have been had we operated as an independent standalone company during the periods presented.</w:t>
      </w:r>
    </w:p>
    <w:p>
      <w:pPr>
        <w:spacing w:after="0" w:line="67" w:lineRule="exact"/>
        <w:rPr>
          <w:sz w:val="20"/>
          <w:szCs w:val="20"/>
          <w:color w:val="auto"/>
        </w:rPr>
      </w:pPr>
    </w:p>
    <w:p>
      <w:pPr>
        <w:ind w:left="540" w:right="40" w:hanging="316"/>
        <w:spacing w:after="0" w:line="258"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combined statements of income for the nine months ended September 27, 2020 and September 29, 2019 include limited costs directly incurred by Upjohn for certain support functions (Enabling Functions) and allocations to Upjohn for Enabling Functions that are provided on a centralized basis within Pfizer, such as expenses for digital, facilities, legal, finance, human resources, insurance, public affairs and procurement, among others. Allocations are based on either a specific identification basis or, when specific identification is not practicable, proportional allocation methods (e.g., using third-party sales, headcount, etc.), depending on the nature of the services.</w:t>
      </w:r>
    </w:p>
    <w:p>
      <w:pPr>
        <w:spacing w:after="0" w:line="88" w:lineRule="exact"/>
        <w:rPr>
          <w:rFonts w:ascii="Times New Roman" w:cs="Times New Roman" w:eastAsia="Times New Roman" w:hAnsi="Times New Roman"/>
          <w:sz w:val="18"/>
          <w:szCs w:val="18"/>
          <w:color w:val="auto"/>
        </w:rPr>
      </w:pPr>
    </w:p>
    <w:p>
      <w:pPr>
        <w:ind w:left="540" w:right="60" w:hanging="316"/>
        <w:spacing w:after="0" w:line="255"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combined statements of income for the nine months ended September 27, 2020 and September 29, 2019 include certain manufacturing and supply costs directly incurred by the Upjohn Global Supply network for manufacturing facilities, external supply, and logistics and support as well as allocations of such costs incurred by manufacturing plants that are shared with other Pfizer business units and centralized Pfizer Global Supply (PGS) costs that Pfizer did not routinely allocate to its business units. These costs may include manufacturing variances and changes in the standard costs of inventory, among others. Where used, allocations are based on either a specific identification basis or, when specific identification is not practicable, proportional allocation methods, such as Upjohn identified manufacturing costs, depending on the nature of the costs.</w:t>
      </w:r>
    </w:p>
    <w:p>
      <w:pPr>
        <w:spacing w:after="0" w:line="94" w:lineRule="exact"/>
        <w:rPr>
          <w:rFonts w:ascii="Times New Roman" w:cs="Times New Roman" w:eastAsia="Times New Roman" w:hAnsi="Times New Roman"/>
          <w:sz w:val="18"/>
          <w:szCs w:val="18"/>
          <w:color w:val="auto"/>
        </w:rPr>
      </w:pPr>
    </w:p>
    <w:p>
      <w:pPr>
        <w:ind w:left="540" w:right="140" w:hanging="316"/>
        <w:spacing w:after="0" w:line="258"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combined statements of income for the nine months ended September 27, 2020 and September 29, 2019 include directly incurred costs for certain Upjohn research and development (R&amp;D) activities and allocations of certain research, development and medical (RDM) expenses managed by Pfizer’s R&amp;D organization. Pfizer does not routinely allocate these costs to any of its business units. These allocations are based on either a specific identification basis or, when specific identification is not practicable, our estimates of the costs incurred in connection with the R&amp;D activities associated with Upjohn.</w:t>
      </w:r>
    </w:p>
    <w:p>
      <w:pPr>
        <w:spacing w:after="0" w:line="23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540" w:right="240" w:hanging="316"/>
        <w:spacing w:after="0" w:line="261"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condensed combined statements of income for the nine months ended September 27, 2020 and September 29, 2019 also include allocations from Enabling Functions and PGS for restructuring charges and additional depreciation associated with asset restructuring and implementation costs. Pfizer does not routinely allocate these costs to any of its business units. For additional information about allocations of restructuring charges and other costs associated with cost-reduction/productivity initiatives, see </w:t>
      </w:r>
      <w:r>
        <w:rPr>
          <w:rFonts w:ascii="Times New Roman" w:cs="Times New Roman" w:eastAsia="Times New Roman" w:hAnsi="Times New Roman"/>
          <w:sz w:val="18"/>
          <w:szCs w:val="18"/>
          <w:i w:val="1"/>
          <w:iCs w:val="1"/>
          <w:color w:val="auto"/>
        </w:rPr>
        <w:t>Note 3.</w:t>
      </w:r>
    </w:p>
    <w:p>
      <w:pPr>
        <w:spacing w:after="0" w:line="85" w:lineRule="exact"/>
        <w:rPr>
          <w:rFonts w:ascii="Times New Roman" w:cs="Times New Roman" w:eastAsia="Times New Roman" w:hAnsi="Times New Roman"/>
          <w:sz w:val="18"/>
          <w:szCs w:val="18"/>
          <w:color w:val="auto"/>
        </w:rPr>
      </w:pPr>
    </w:p>
    <w:p>
      <w:pPr>
        <w:ind w:left="540" w:right="260" w:hanging="316"/>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condensed combined statements of income for the nine months ended September 27, 2020 and September 29, 2019 include allocations of pension and postretirement service costs that have been deemed attributable to Upjohn operations. For information about allocations of pension and postretirement costs, see </w:t>
      </w:r>
      <w:r>
        <w:rPr>
          <w:rFonts w:ascii="Times New Roman" w:cs="Times New Roman" w:eastAsia="Times New Roman" w:hAnsi="Times New Roman"/>
          <w:sz w:val="18"/>
          <w:szCs w:val="18"/>
          <w:i w:val="1"/>
          <w:iCs w:val="1"/>
          <w:color w:val="auto"/>
        </w:rPr>
        <w:t>Note 12.</w:t>
      </w:r>
    </w:p>
    <w:p>
      <w:pPr>
        <w:spacing w:after="0" w:line="81" w:lineRule="exact"/>
        <w:rPr>
          <w:rFonts w:ascii="Times New Roman" w:cs="Times New Roman" w:eastAsia="Times New Roman" w:hAnsi="Times New Roman"/>
          <w:sz w:val="18"/>
          <w:szCs w:val="18"/>
          <w:color w:val="auto"/>
        </w:rPr>
      </w:pPr>
    </w:p>
    <w:p>
      <w:pPr>
        <w:ind w:left="540" w:right="80" w:hanging="316"/>
        <w:spacing w:after="0" w:line="254"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combined statements of income for the nine months ended September 27, 2020 and September 29, 2019 include allocations of other corporate and commercial costs, which can include, but are not limited to, certain compensation items, such as share-based compensation expense and certain fringe benefit expenses maintained on a centralized basis within Pfizer, as well as Pfizer hedging activity on intercompany inventory. Pfizer does not routinely allocate these costs to any of its business units. The condensed combined statements of income for the nine months ended September 27, 2020 and September 29, 2019 also include a combination of allocations to Upjohn and directly incurred costs for other corporate and commercial costs for certain strategy, business development, portfolio management and valuation capabilities. Allocations are based on either a specific identification basis or, when specific identification is not practicable, proportional allocation methods (e.g., using third-party sales, headcount, etc.), depending on the nature of the services.</w:t>
      </w:r>
    </w:p>
    <w:p>
      <w:pPr>
        <w:spacing w:after="0" w:line="97" w:lineRule="exact"/>
        <w:rPr>
          <w:rFonts w:ascii="Times New Roman" w:cs="Times New Roman" w:eastAsia="Times New Roman" w:hAnsi="Times New Roman"/>
          <w:sz w:val="18"/>
          <w:szCs w:val="18"/>
          <w:color w:val="auto"/>
        </w:rPr>
      </w:pPr>
    </w:p>
    <w:p>
      <w:pPr>
        <w:ind w:left="540" w:hanging="316"/>
        <w:spacing w:after="0" w:line="261"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combined statements of income for the nine months ended September 27, 2020 and September 29, 2019 include allocations of purchase accounting impacts resulting from business combinations. These impacts are primarily associated with the Upjohn related assets acquired as part of Pfizer’s acquisitions of Pharmacia in 2003 and Wyeth in 2009, and primarily include amortization related to the fair value of the acquired finite-lived intangible assets.</w:t>
      </w:r>
    </w:p>
    <w:p>
      <w:pPr>
        <w:spacing w:after="0" w:line="85" w:lineRule="exact"/>
        <w:rPr>
          <w:rFonts w:ascii="Times New Roman" w:cs="Times New Roman" w:eastAsia="Times New Roman" w:hAnsi="Times New Roman"/>
          <w:sz w:val="18"/>
          <w:szCs w:val="18"/>
          <w:color w:val="auto"/>
        </w:rPr>
      </w:pPr>
    </w:p>
    <w:p>
      <w:pPr>
        <w:ind w:left="540" w:right="100" w:hanging="316"/>
        <w:spacing w:after="0" w:line="254"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condensed combined balance sheets as of September 27, 2020 and December 31, 2019 reflect all of the assets and liabilities of Pfizer that are either specifically identifiable or are directly attributable to Upjohn and its operations. Cash from Upjohn operations in subsidiaries that are not completely Upjohn dedicated is not included in the condensed combined balance sheets since this cash is swept into Pfizer’s centralized cash management system. Prior to April 2020, we only participated in Pfizer’s centralized cash management system where generally all excess cash was transferred to Pfizer on a daily basis. Beginning in April 2020, excess cash receipts in certain Upjohn Business locations are now predominantly remitted to the newly created Upjohn liquidity management vehicle (ULMV) and are included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condensed combined balance sheet as of September 27, 2020. Cash disbursements for operations and/or investing activities are funded as needed by Pfizer and the ULMV. Accordingly, the Upjohn cash balance as of September 27, 2020 and December 31, 2019 is not representative of an independent company and could be significantly different at another point in time.</w:t>
      </w:r>
    </w:p>
    <w:p>
      <w:pPr>
        <w:spacing w:after="0" w:line="93"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benefit plans, the condensed combined balance sheets as of September 27, 2020 and December 31, 2019 only include the assets and liabilities of benefit plans sponsored by Upjohn––see </w:t>
      </w:r>
      <w:r>
        <w:rPr>
          <w:rFonts w:ascii="Times New Roman" w:cs="Times New Roman" w:eastAsia="Times New Roman" w:hAnsi="Times New Roman"/>
          <w:sz w:val="18"/>
          <w:szCs w:val="18"/>
          <w:i w:val="1"/>
          <w:iCs w:val="1"/>
          <w:color w:val="auto"/>
        </w:rPr>
        <w:t>Note 12.</w:t>
      </w:r>
    </w:p>
    <w:p>
      <w:pPr>
        <w:spacing w:after="0" w:line="67" w:lineRule="exact"/>
        <w:rPr>
          <w:rFonts w:ascii="Times New Roman" w:cs="Times New Roman" w:eastAsia="Times New Roman" w:hAnsi="Times New Roman"/>
          <w:sz w:val="18"/>
          <w:szCs w:val="18"/>
          <w:color w:val="auto"/>
        </w:rPr>
      </w:pPr>
    </w:p>
    <w:p>
      <w:pPr>
        <w:ind w:left="540" w:right="100" w:hanging="316"/>
        <w:spacing w:after="0" w:line="254"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condensed combined financial statements as of and for the nine months ended September 27, 2020 include the $11.4 billion of senior unsecured notes issued in June 2020 in the privately placed debt offerings completed by Upjohn Inc., a wholly owned subsidiary of Pfizer and the entity to which Pfizer contributed the Upjohn Business in November 2020, and Upjohn Finance B.V., a wholly-owned subsidiary of Upjohn Inc., in connection with the Transaction. The proceeds from the debt offerings are included in </w:t>
      </w:r>
      <w:r>
        <w:rPr>
          <w:rFonts w:ascii="Times New Roman" w:cs="Times New Roman" w:eastAsia="Times New Roman" w:hAnsi="Times New Roman"/>
          <w:sz w:val="18"/>
          <w:szCs w:val="18"/>
          <w:i w:val="1"/>
          <w:iCs w:val="1"/>
          <w:color w:val="auto"/>
        </w:rPr>
        <w:t>Restricted short-term investments</w:t>
      </w:r>
      <w:r>
        <w:rPr>
          <w:rFonts w:ascii="Times New Roman" w:cs="Times New Roman" w:eastAsia="Times New Roman" w:hAnsi="Times New Roman"/>
          <w:sz w:val="18"/>
          <w:szCs w:val="18"/>
          <w:color w:val="auto"/>
        </w:rPr>
        <w:t xml:space="preserve"> and the senior unsecured notes are included 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condensed combined balance sheet as of September 27, 2020––see </w:t>
      </w:r>
      <w:r>
        <w:rPr>
          <w:rFonts w:ascii="Times New Roman" w:cs="Times New Roman" w:eastAsia="Times New Roman" w:hAnsi="Times New Roman"/>
          <w:sz w:val="18"/>
          <w:szCs w:val="18"/>
          <w:i w:val="1"/>
          <w:iCs w:val="1"/>
          <w:color w:val="auto"/>
        </w:rPr>
        <w:t>Notes 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7C</w:t>
      </w:r>
      <w:r>
        <w:rPr>
          <w:rFonts w:ascii="Times New Roman" w:cs="Times New Roman" w:eastAsia="Times New Roman" w:hAnsi="Times New Roman"/>
          <w:sz w:val="18"/>
          <w:szCs w:val="18"/>
          <w:color w:val="auto"/>
        </w:rPr>
        <w:t xml:space="preserve">. The interest-related expenses associated with the $11.4 billion of senior unsecured notes, which includes the stated interest expense on the notes and amortization of bond discount and issuance costs, and the interest income earned on the $11.4 billion of proceeds from the senior unsecured notes are included in </w:t>
      </w:r>
      <w:r>
        <w:rPr>
          <w:rFonts w:ascii="Times New Roman" w:cs="Times New Roman" w:eastAsia="Times New Roman" w:hAnsi="Times New Roman"/>
          <w:sz w:val="18"/>
          <w:szCs w:val="18"/>
          <w:i w:val="1"/>
          <w:iCs w:val="1"/>
          <w:color w:val="auto"/>
        </w:rPr>
        <w:t>Other (income)/deductions–net</w:t>
      </w:r>
      <w:r>
        <w:rPr>
          <w:rFonts w:ascii="Times New Roman" w:cs="Times New Roman" w:eastAsia="Times New Roman" w:hAnsi="Times New Roman"/>
          <w:sz w:val="18"/>
          <w:szCs w:val="18"/>
          <w:color w:val="auto"/>
        </w:rPr>
        <w:t xml:space="preserve"> in the condensed combined statement of income for the nine months ended September 27, 2020––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540" w:right="60" w:hanging="316"/>
        <w:spacing w:after="0" w:line="255"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combined financial statements do not include allocations of Pfizer corporate debt as none is specifically related to our operations. The condensed combined statements of income for the nine months ended September 27, 2020 and September 29, 2019 include an allocation of Pfizer interest-related expenses, including the effect of hedging activities associated with the Pfizer corporate debt and an allocation for interest income associated with the Pfizer corporate investments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We participated in Pfizer’s centralized hedging and offsetting programs. As such, in the condensed combined statements of income, we include the impact of Pfizer’s derivative financial instruments used for offsetting changes in foreign currency rates net of the related exchange gains and losses for the portion that is deemed to be associated with Upjohn operations.</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Management believes that the allocations are a reasonable reflection of the services received or the costs incurred on behalf of Upjohn and its operations and that the condensed combined statements of income reflect all costs of the Upjohn Business of Pfizer.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allocated expenses from Pfizer primarily include:</w:t>
      </w:r>
    </w:p>
    <w:p>
      <w:pPr>
        <w:spacing w:after="0" w:line="131" w:lineRule="exact"/>
        <w:rPr>
          <w:sz w:val="20"/>
          <w:szCs w:val="20"/>
          <w:color w:val="auto"/>
        </w:rPr>
      </w:pPr>
    </w:p>
    <w:p>
      <w:pPr>
        <w:ind w:left="540" w:right="2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Enabling functions operating expenses––approximately $353 million for the nine months ended September 27, 2020 and $455 million for the nine months ended September 29, 2019 ($11 million and $1 million income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$320 million and $453 million in </w:t>
      </w:r>
      <w:r>
        <w:rPr>
          <w:rFonts w:ascii="Times New Roman" w:cs="Times New Roman" w:eastAsia="Times New Roman" w:hAnsi="Times New Roman"/>
          <w:sz w:val="18"/>
          <w:szCs w:val="18"/>
          <w:i w:val="1"/>
          <w:iCs w:val="1"/>
          <w:color w:val="auto"/>
        </w:rPr>
        <w:t>Selling, informational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administrative expenses</w:t>
      </w:r>
      <w:r>
        <w:rPr>
          <w:rFonts w:ascii="Times New Roman" w:cs="Times New Roman" w:eastAsia="Times New Roman" w:hAnsi="Times New Roman"/>
          <w:sz w:val="18"/>
          <w:szCs w:val="18"/>
          <w:color w:val="auto"/>
        </w:rPr>
        <w:t>; and $22 million and $2 million in</w:t>
      </w:r>
      <w:r>
        <w:rPr>
          <w:rFonts w:ascii="Times New Roman" w:cs="Times New Roman" w:eastAsia="Times New Roman" w:hAnsi="Times New Roman"/>
          <w:sz w:val="18"/>
          <w:szCs w:val="18"/>
          <w:i w:val="1"/>
          <w:iCs w:val="1"/>
          <w:color w:val="auto"/>
        </w:rPr>
        <w:t xml:space="preserve"> Research and development expenses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right="10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PGS manufacturing costs––approximately $70 million for the nine months ended September 27, 2020 and $37 million for the nine months ended September 29, 2019 ($69 million and $37 million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$0.8 million and $0.1 million in </w:t>
      </w:r>
      <w:r>
        <w:rPr>
          <w:rFonts w:ascii="Times New Roman" w:cs="Times New Roman" w:eastAsia="Times New Roman" w:hAnsi="Times New Roman"/>
          <w:sz w:val="18"/>
          <w:szCs w:val="18"/>
          <w:i w:val="1"/>
          <w:iCs w:val="1"/>
          <w:color w:val="auto"/>
        </w:rPr>
        <w:t>Selling, informational and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and $0.2 million and $0.1 million in</w:t>
      </w:r>
      <w:r>
        <w:rPr>
          <w:rFonts w:ascii="Times New Roman" w:cs="Times New Roman" w:eastAsia="Times New Roman" w:hAnsi="Times New Roman"/>
          <w:sz w:val="18"/>
          <w:szCs w:val="18"/>
          <w:i w:val="1"/>
          <w:iCs w:val="1"/>
          <w:color w:val="auto"/>
        </w:rPr>
        <w:t xml:space="preserve"> Research and development expenses)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540" w:right="18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Research, development and medical expenses––approximately $5 million for the nine months ended September 27, 2020 and $7 million for the nine months ended September 29, 2019 ($0.1 million income and negligible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$5 million and $6 million in </w:t>
      </w:r>
      <w:r>
        <w:rPr>
          <w:rFonts w:ascii="Times New Roman" w:cs="Times New Roman" w:eastAsia="Times New Roman" w:hAnsi="Times New Roman"/>
          <w:sz w:val="18"/>
          <w:szCs w:val="18"/>
          <w:i w:val="1"/>
          <w:iCs w:val="1"/>
          <w:color w:val="auto"/>
        </w:rPr>
        <w:t>Selling, informational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administrative expenses</w:t>
      </w:r>
      <w:r>
        <w:rPr>
          <w:rFonts w:ascii="Times New Roman" w:cs="Times New Roman" w:eastAsia="Times New Roman" w:hAnsi="Times New Roman"/>
          <w:sz w:val="18"/>
          <w:szCs w:val="18"/>
          <w:color w:val="auto"/>
        </w:rPr>
        <w:t>; and $0.8 million and $1 million in</w:t>
      </w:r>
      <w:r>
        <w:rPr>
          <w:rFonts w:ascii="Times New Roman" w:cs="Times New Roman" w:eastAsia="Times New Roman" w:hAnsi="Times New Roman"/>
          <w:sz w:val="18"/>
          <w:szCs w:val="18"/>
          <w:i w:val="1"/>
          <w:iCs w:val="1"/>
          <w:color w:val="auto"/>
        </w:rPr>
        <w:t xml:space="preserve"> Research and development expenses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right="6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Restructuring charges/(credits)––approximately $0.3 million income for the nine months ended September 27, 2020 and $3 million charge for the nine months ended September 29, 2019 (all included in </w:t>
      </w:r>
      <w:r>
        <w:rPr>
          <w:rFonts w:ascii="Times New Roman" w:cs="Times New Roman" w:eastAsia="Times New Roman" w:hAnsi="Times New Roman"/>
          <w:sz w:val="18"/>
          <w:szCs w:val="18"/>
          <w:i w:val="1"/>
          <w:iCs w:val="1"/>
          <w:color w:val="auto"/>
        </w:rPr>
        <w:t>Restructuring charges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260" w:hanging="316"/>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costs associated with cost-reduction/productivity initiatives––additional depreciation associated with asset restructuring––approximately $0.1 million for the nine months ended September 27, 2020 and $2 million for the nine months ended September 29, 2019 (negligible and $0.8 million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negligible amounts in both periods in </w:t>
      </w:r>
      <w:r>
        <w:rPr>
          <w:rFonts w:ascii="Times New Roman" w:cs="Times New Roman" w:eastAsia="Times New Roman" w:hAnsi="Times New Roman"/>
          <w:sz w:val="18"/>
          <w:szCs w:val="18"/>
          <w:i w:val="1"/>
          <w:iCs w:val="1"/>
          <w:color w:val="auto"/>
        </w:rPr>
        <w:t>Selling, informational and administrative expenses;</w:t>
      </w:r>
      <w:r>
        <w:rPr>
          <w:rFonts w:ascii="Times New Roman" w:cs="Times New Roman" w:eastAsia="Times New Roman" w:hAnsi="Times New Roman"/>
          <w:sz w:val="18"/>
          <w:szCs w:val="18"/>
          <w:color w:val="auto"/>
        </w:rPr>
        <w:t xml:space="preserve"> and negligible and $0.8 million in </w:t>
      </w: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540" w:hanging="316"/>
        <w:spacing w:after="0" w:line="289" w:lineRule="auto"/>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costs associated with cost-reduction/productivity initiatives––implementation costs––approximately $10 million for the nine months ended September 27, 2020 and $19 million for the nine months ended September 29, 2019 ($7 million and $10 million in </w:t>
      </w:r>
      <w:r>
        <w:rPr>
          <w:rFonts w:ascii="Times New Roman" w:cs="Times New Roman" w:eastAsia="Times New Roman" w:hAnsi="Times New Roman"/>
          <w:sz w:val="17"/>
          <w:szCs w:val="17"/>
          <w:i w:val="1"/>
          <w:iCs w:val="1"/>
          <w:color w:val="auto"/>
        </w:rPr>
        <w:t>Cost of sales</w:t>
      </w:r>
      <w:r>
        <w:rPr>
          <w:rFonts w:ascii="Times New Roman" w:cs="Times New Roman" w:eastAsia="Times New Roman" w:hAnsi="Times New Roman"/>
          <w:sz w:val="17"/>
          <w:szCs w:val="17"/>
          <w:color w:val="auto"/>
        </w:rPr>
        <w:t xml:space="preserve">; $2 million and $8 million in </w:t>
      </w:r>
      <w:r>
        <w:rPr>
          <w:rFonts w:ascii="Times New Roman" w:cs="Times New Roman" w:eastAsia="Times New Roman" w:hAnsi="Times New Roman"/>
          <w:sz w:val="17"/>
          <w:szCs w:val="17"/>
          <w:i w:val="1"/>
          <w:iCs w:val="1"/>
          <w:color w:val="auto"/>
        </w:rPr>
        <w:t>Selling, informational and administrative expenses;</w:t>
      </w:r>
      <w:r>
        <w:rPr>
          <w:rFonts w:ascii="Times New Roman" w:cs="Times New Roman" w:eastAsia="Times New Roman" w:hAnsi="Times New Roman"/>
          <w:sz w:val="17"/>
          <w:szCs w:val="17"/>
          <w:color w:val="auto"/>
        </w:rPr>
        <w:t xml:space="preserve"> and $0.1 million income and $2 million in </w:t>
      </w:r>
      <w:r>
        <w:rPr>
          <w:rFonts w:ascii="Times New Roman" w:cs="Times New Roman" w:eastAsia="Times New Roman" w:hAnsi="Times New Roman"/>
          <w:sz w:val="17"/>
          <w:szCs w:val="17"/>
          <w:i w:val="1"/>
          <w:iCs w:val="1"/>
          <w:color w:val="auto"/>
        </w:rPr>
        <w:t>Research and development expenses</w:t>
      </w:r>
      <w:r>
        <w:rPr>
          <w:rFonts w:ascii="Times New Roman" w:cs="Times New Roman" w:eastAsia="Times New Roman" w:hAnsi="Times New Roman"/>
          <w:sz w:val="17"/>
          <w:szCs w:val="17"/>
          <w:color w:val="auto"/>
        </w:rPr>
        <w:t>).</w:t>
      </w:r>
    </w:p>
    <w:p>
      <w:pPr>
        <w:spacing w:after="0" w:line="63" w:lineRule="exact"/>
        <w:rPr>
          <w:rFonts w:ascii="Times New Roman" w:cs="Times New Roman" w:eastAsia="Times New Roman" w:hAnsi="Times New Roman"/>
          <w:sz w:val="17"/>
          <w:szCs w:val="17"/>
          <w:color w:val="auto"/>
        </w:rPr>
      </w:pPr>
    </w:p>
    <w:p>
      <w:pPr>
        <w:jc w:val="both"/>
        <w:ind w:left="540" w:right="28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Fringe benefit expenses––approximately $5 million income for the nine months ended September 27, 2020 and $1 million income for the nine months ended September 29, 2019 ($0.4 million income and $0.2 million income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$4 million income and $1 million income in </w:t>
      </w:r>
      <w:r>
        <w:rPr>
          <w:rFonts w:ascii="Times New Roman" w:cs="Times New Roman" w:eastAsia="Times New Roman" w:hAnsi="Times New Roman"/>
          <w:sz w:val="18"/>
          <w:szCs w:val="18"/>
          <w:i w:val="1"/>
          <w:iCs w:val="1"/>
          <w:color w:val="auto"/>
        </w:rPr>
        <w:t>Selling, informational and administrative expenses</w:t>
      </w:r>
      <w:r>
        <w:rPr>
          <w:rFonts w:ascii="Times New Roman" w:cs="Times New Roman" w:eastAsia="Times New Roman" w:hAnsi="Times New Roman"/>
          <w:sz w:val="18"/>
          <w:szCs w:val="18"/>
          <w:color w:val="auto"/>
        </w:rPr>
        <w:t>; and negligible amounts in both periods in</w:t>
      </w:r>
      <w:r>
        <w:rPr>
          <w:rFonts w:ascii="Times New Roman" w:cs="Times New Roman" w:eastAsia="Times New Roman" w:hAnsi="Times New Roman"/>
          <w:sz w:val="18"/>
          <w:szCs w:val="18"/>
          <w:i w:val="1"/>
          <w:iCs w:val="1"/>
          <w:color w:val="auto"/>
        </w:rPr>
        <w:t xml:space="preserve"> Research and development expenses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right="44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Share-based compensation expense––approximately $50 million for the nine months ended September 27, 2020 and $53 million for the nine months ended September 29, 2019 ($5 million and $5 million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$38 million and $42 million in </w:t>
      </w:r>
      <w:r>
        <w:rPr>
          <w:rFonts w:ascii="Times New Roman" w:cs="Times New Roman" w:eastAsia="Times New Roman" w:hAnsi="Times New Roman"/>
          <w:sz w:val="18"/>
          <w:szCs w:val="18"/>
          <w:i w:val="1"/>
          <w:iCs w:val="1"/>
          <w:color w:val="auto"/>
        </w:rPr>
        <w:t>Selling, informational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expenses</w:t>
      </w:r>
      <w:r>
        <w:rPr>
          <w:rFonts w:ascii="Times New Roman" w:cs="Times New Roman" w:eastAsia="Times New Roman" w:hAnsi="Times New Roman"/>
          <w:sz w:val="18"/>
          <w:szCs w:val="18"/>
          <w:color w:val="auto"/>
        </w:rPr>
        <w:t>; and $6 million and $6 million in</w:t>
      </w:r>
      <w:r>
        <w:rPr>
          <w:rFonts w:ascii="Times New Roman" w:cs="Times New Roman" w:eastAsia="Times New Roman" w:hAnsi="Times New Roman"/>
          <w:sz w:val="18"/>
          <w:szCs w:val="18"/>
          <w:i w:val="1"/>
          <w:iCs w:val="1"/>
          <w:color w:val="auto"/>
        </w:rPr>
        <w:t xml:space="preserve"> Research and development expenses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100"/>
          </w:cols>
          <w:pgMar w:left="32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540" w:right="40" w:hanging="316"/>
        <w:spacing w:after="0" w:line="25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(income)/deductions-net––approximately $142 million for the nine months ended September 27, 2020 and $157 million for the nine months ended September 29, 2019. Amounts primarily include an allocation of net interest expense of approximately $150 million for the nine months ended September 27, 2020 and $220 million for the nine months ended September 29, 2019, reflecting an allocation for interest-related expenses, including the effect of hedging activities, associated with the Pfizer corporate debt and an allocation for interest income associated with the Pfizer corporate investments. The amount in the nine months ended September 29, 2019 also includes, among other things, an allocation of income from insurance recoveries of $31 million related to the hurricanes in Puerto Rico toward the end of the third quarter of 2017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540" w:right="260" w:hanging="316"/>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corporate and commercial costs––approximately $10 million for the nine months ended September 27, 2020 and $34 million for the nine months ended September 29, 2019 ($15 million income and $27 million income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$23 million and $42 million in </w:t>
      </w: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informational and administrative expenses</w:t>
      </w:r>
      <w:r>
        <w:rPr>
          <w:rFonts w:ascii="Times New Roman" w:cs="Times New Roman" w:eastAsia="Times New Roman" w:hAnsi="Times New Roman"/>
          <w:sz w:val="18"/>
          <w:szCs w:val="18"/>
          <w:color w:val="auto"/>
        </w:rPr>
        <w:t>; and $2 million and $19 million in</w:t>
      </w:r>
      <w:r>
        <w:rPr>
          <w:rFonts w:ascii="Times New Roman" w:cs="Times New Roman" w:eastAsia="Times New Roman" w:hAnsi="Times New Roman"/>
          <w:sz w:val="18"/>
          <w:szCs w:val="18"/>
          <w:i w:val="1"/>
          <w:iCs w:val="1"/>
          <w:color w:val="auto"/>
        </w:rPr>
        <w:t xml:space="preserve"> Research and development expenses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provision for taxes on income in the condensed combined statements of income for the nine months ended September 27, 2020 and September 29, 2019 has been calculated as if Upjohn filed a tax return separate from Pfizer in the various jurisdictions where it does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2. Significant Accounting Policies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Adoption of New Accounting Standards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January 1, 2020, we adopted four new accounting standards.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u w:val="single" w:color="auto"/>
          <w:color w:val="auto"/>
        </w:rPr>
        <w:t>Credit Losses on Financial Instruments</w:t>
      </w:r>
      <w:r>
        <w:rPr>
          <w:rFonts w:ascii="Times New Roman" w:cs="Times New Roman" w:eastAsia="Times New Roman" w:hAnsi="Times New Roman"/>
          <w:sz w:val="18"/>
          <w:szCs w:val="18"/>
          <w:color w:val="auto"/>
        </w:rPr>
        <w:t>––We adopted a new accounting standard for credit losses on financial instruments, which replaces the probable initial recognition threshold for incurred loss estimates under prior guidance with a methodology that reflects expected credit loss estimates. The standard generally impacts financial assets that have a contractual right to receive cash and are not accounted for at fair value through net income, such as accounts receivable and held-to-maturity debt securities. The new guidance requires us to identify, analyze, document and support new methodologies for quantifying expected credit loss estimates for certain financial instruments, using information such as historical experience, current economic conditions and information, and the use of reasonable and supportable forecasted information. The standard also amends existing impairment guidance for available-for-sale debt securities to incorporate a credit loss allowance and allows for reversals of credit impairments in the event the issuer’s credit improves.</w:t>
      </w:r>
    </w:p>
    <w:p>
      <w:pPr>
        <w:spacing w:after="0" w:line="19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 xml:space="preserve">We adopted the new accounting standard utilizing the modified retrospective method, and therefore, no adjustments were made to amounts in our prior period financial statements. The cumulative effect of adopting the standard as an adjustment to the opening balance of </w:t>
      </w:r>
      <w:r>
        <w:rPr>
          <w:rFonts w:ascii="Times New Roman" w:cs="Times New Roman" w:eastAsia="Times New Roman" w:hAnsi="Times New Roman"/>
          <w:sz w:val="18"/>
          <w:szCs w:val="18"/>
          <w:i w:val="1"/>
          <w:iCs w:val="1"/>
          <w:color w:val="auto"/>
        </w:rPr>
        <w:t>Business unit equity</w:t>
      </w:r>
      <w:r>
        <w:rPr>
          <w:rFonts w:ascii="Times New Roman" w:cs="Times New Roman" w:eastAsia="Times New Roman" w:hAnsi="Times New Roman"/>
          <w:sz w:val="18"/>
          <w:szCs w:val="18"/>
          <w:color w:val="auto"/>
        </w:rPr>
        <w:t xml:space="preserve"> was not material. The impact of adoption did not have a material impact on our condensed combined statement of income or condensed combined statement of cash flows for the nine months ended September 27, 2020, nor on our condensed combined balance sheet as of September 27, 2020. For additional information, see </w:t>
      </w:r>
      <w:r>
        <w:rPr>
          <w:rFonts w:ascii="Times New Roman" w:cs="Times New Roman" w:eastAsia="Times New Roman" w:hAnsi="Times New Roman"/>
          <w:sz w:val="18"/>
          <w:szCs w:val="18"/>
          <w:i w:val="1"/>
          <w:iCs w:val="1"/>
          <w:color w:val="auto"/>
        </w:rPr>
        <w:t>Note 2B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Goodwill Impairment Testing</w:t>
      </w:r>
      <w:r>
        <w:rPr>
          <w:rFonts w:ascii="Times New Roman" w:cs="Times New Roman" w:eastAsia="Times New Roman" w:hAnsi="Times New Roman"/>
          <w:sz w:val="18"/>
          <w:szCs w:val="18"/>
          <w:color w:val="auto"/>
        </w:rPr>
        <w:t>––We prospectively adopted the new accounting standard, which eliminates the requirement to perform a hypothetical purchase price allocation to measure goodwill impairment. Under the new guidance, the goodwill impairment test is performed by comparing the fair value of a reporting unit with its carrying amount and recognizing an impairment charge for the amount by which the carrying amount of the reporting unit exceeds its fair value. There was no impact to our condensed combined financial statements from the adoption of this new standard.</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u w:val="single" w:color="auto"/>
          <w:color w:val="auto"/>
        </w:rPr>
        <w:t>Implementation Costs in a Cloud Computing Arrangement</w:t>
      </w:r>
      <w:r>
        <w:rPr>
          <w:rFonts w:ascii="Times New Roman" w:cs="Times New Roman" w:eastAsia="Times New Roman" w:hAnsi="Times New Roman"/>
          <w:sz w:val="18"/>
          <w:szCs w:val="18"/>
          <w:color w:val="auto"/>
        </w:rPr>
        <w:t>––We prospectively adopted the new accounting standard related to customers’ accounting for implementation costs incurred in a cloud computing arrangement that is considered a service contract. The new guidance aligns the requirements for capitalizing implementation costs incurred to develop or obtain internal-use software. There was no material impact to our condensed combined financial statements from the adoption of this new standard.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u w:val="single" w:color="auto"/>
          <w:color w:val="auto"/>
        </w:rPr>
        <w:t>Collaboration Agreements</w:t>
      </w:r>
      <w:r>
        <w:rPr>
          <w:rFonts w:ascii="Times New Roman" w:cs="Times New Roman" w:eastAsia="Times New Roman" w:hAnsi="Times New Roman"/>
          <w:sz w:val="18"/>
          <w:szCs w:val="18"/>
          <w:color w:val="auto"/>
        </w:rPr>
        <w:t>––We prospectively adopted the new accounting standard, which provides new guidance clarifying the interaction between the accounting for collaborative arrangements and revenue from contracts with customers. There was no impact to our condensed combined financial statements from the adoption of this new standard.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On January 1, 2019, we adopted a new accounting standard for lease accounting. For additional information, see Notes to Combined Financial Statements––</w:t>
      </w:r>
      <w:r>
        <w:rPr>
          <w:rFonts w:ascii="Times New Roman" w:cs="Times New Roman" w:eastAsia="Times New Roman" w:hAnsi="Times New Roman"/>
          <w:sz w:val="18"/>
          <w:szCs w:val="18"/>
          <w:i w:val="1"/>
          <w:iCs w:val="1"/>
          <w:color w:val="auto"/>
        </w:rPr>
        <w:t>Note 3A. Significant Accounting Policies: Adoption of New Accounting Standard</w:t>
      </w:r>
      <w:r>
        <w:rPr>
          <w:rFonts w:ascii="Times New Roman" w:cs="Times New Roman" w:eastAsia="Times New Roman" w:hAnsi="Times New Roman"/>
          <w:sz w:val="18"/>
          <w:szCs w:val="18"/>
          <w:color w:val="auto"/>
        </w:rPr>
        <w:t xml:space="preserve"> included in our combined financial statements and accompanying notes for the year ended December 31, 2019.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Revenues and Trade Accounts Receivable</w:t>
      </w:r>
    </w:p>
    <w:p>
      <w:pPr>
        <w:spacing w:after="0" w:line="11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accruals for Medicare rebates, Medicaid and related state program rebates, performance-based contract rebates, chargebacks, sales allowances and sales returns and cash discounts totaled $1.2 billion as of September 27, 2020 and $1.6 billion as of December 31, 2019.</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The following table provides information about the balance sheet classification of these accruals:</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September 27, 2020</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2019</w:t>
            </w:r>
          </w:p>
        </w:tc>
      </w:tr>
      <w:tr>
        <w:trPr>
          <w:trHeight w:val="167"/>
        </w:trPr>
        <w:tc>
          <w:tcPr>
            <w:tcW w:w="520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 xml:space="preserve">Reserve against </w:t>
            </w:r>
            <w:r>
              <w:rPr>
                <w:rFonts w:ascii="Times New Roman" w:cs="Times New Roman" w:eastAsia="Times New Roman" w:hAnsi="Times New Roman"/>
                <w:sz w:val="18"/>
                <w:szCs w:val="18"/>
                <w:b w:val="1"/>
                <w:bCs w:val="1"/>
                <w:i w:val="1"/>
                <w:iCs w:val="1"/>
                <w:color w:val="auto"/>
              </w:rPr>
              <w:t>Trade accounts receivable, less allowance</w:t>
            </w: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38"/>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 doubtful accounts</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Rebate accruals</w:t>
            </w:r>
            <w:r>
              <w:rPr>
                <w:rFonts w:ascii="Times New Roman" w:cs="Times New Roman" w:eastAsia="Times New Roman" w:hAnsi="Times New Roman"/>
                <w:sz w:val="15"/>
                <w:szCs w:val="15"/>
                <w:color w:val="auto"/>
              </w:rPr>
              <w:t>(a)</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accruals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rebates and other accruals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80" w:hanging="424"/>
        <w:spacing w:after="0" w:line="282" w:lineRule="auto"/>
        <w:tabs>
          <w:tab w:leader="none" w:pos="54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decrease in rebate accruals reflects the loss of exclusivity of Lyrica in the United States, with multi-source generic competition beginning in July 2019.</w:t>
      </w:r>
    </w:p>
    <w:p>
      <w:pPr>
        <w:spacing w:after="0" w:line="160"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i w:val="1"/>
          <w:iCs w:val="1"/>
          <w:color w:val="auto"/>
        </w:rPr>
        <w:t>Trade Accounts Receivable––</w:t>
      </w:r>
      <w:r>
        <w:rPr>
          <w:rFonts w:ascii="Times New Roman" w:cs="Times New Roman" w:eastAsia="Times New Roman" w:hAnsi="Times New Roman"/>
          <w:sz w:val="18"/>
          <w:szCs w:val="18"/>
          <w:color w:val="auto"/>
        </w:rPr>
        <w:t>Trade accounts receivable are stated at their net realizable value. The allowance for credit losses against gross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reflects the best estimate of expected credit losses of the receivables portfolio determined on the basis of historical experience, current information, and forecasts of future economic conditions. In developing the estimate for expected credit losses, trade accounts receivables are segmented into pools of assets depending on market (U.S. versus international), delinquency status, and customer type (high risk versus low risk and government versus non-government), and fixed reserve percentages are established for each pool of trade accounts receivables.</w:t>
      </w:r>
    </w:p>
    <w:p>
      <w:pPr>
        <w:spacing w:after="0" w:line="18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determining the reserve percentages for each pool of trade accounts receivables, we considered our historical experience with certain customers and customer types, regulatory and legal environments, country and political risk, and other relevant current and future forecasted macroeconomic factors. These credit risk indicators are monitored on a quarterly basis to determine whether there have been any changes in the economic environment that would indicate the established reserve percentages should be adjusted and are considered on a regional basis to reflect more geographic-specific metrics. Additionally, write-offs and recoveries of customer receivables are tracked against collections on a quarterly basis to determine whether the reserve percentages remain appropriate. When management becomes aware of certain customer-specific factors that impact credit risk, specific allowances for these known troubled accounts are recorded. Trade accounts receivable are written off after all reasonable means to collect the full amount (including litigation, where appropriate) have been exhausted.</w:t>
      </w:r>
    </w:p>
    <w:p>
      <w:pPr>
        <w:spacing w:after="0" w:line="19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27, 2020, additions to the allowance for credit losses, write-offs and recoveries of customer receivables were not material to our condensed combined financial statements.</w:t>
      </w:r>
    </w:p>
    <w:p>
      <w:pPr>
        <w:spacing w:after="0" w:line="16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Amounts recorded for revenue deductions can result from a complex series of judgments about future events and uncertainties and can rely heavily on estimates and assumptions.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 Investments</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Our short-term investments as of September 27, 2020 are comprised of equity securities with readily determinable fair values, which include money market funds primarily invested in U.S. Treasury and government debt. Equity securities with readily determinable fair values are carried at fair value, with changes in fair value reported in </w:t>
      </w:r>
      <w:r>
        <w:rPr>
          <w:rFonts w:ascii="Times New Roman" w:cs="Times New Roman" w:eastAsia="Times New Roman" w:hAnsi="Times New Roman"/>
          <w:sz w:val="18"/>
          <w:szCs w:val="18"/>
          <w:i w:val="1"/>
          <w:iCs w:val="1"/>
          <w:color w:val="auto"/>
        </w:rPr>
        <w:t>Other (income)/deductions—net.</w:t>
      </w:r>
      <w:r>
        <w:rPr>
          <w:rFonts w:ascii="Times New Roman" w:cs="Times New Roman" w:eastAsia="Times New Roman" w:hAnsi="Times New Roman"/>
          <w:sz w:val="18"/>
          <w:szCs w:val="18"/>
          <w:color w:val="auto"/>
        </w:rPr>
        <w:t xml:space="preserve"> Realized gains or losses on sales of investments are determined by using the specific identification cost method. We regularly evaluate our financial assets for impairment. Estimates are used in determining the valuation and recoverability of assets, such as investments. For additional information about the use of estimates and assumptions in preparing the condensed combined financial statements, see Notes to Combined Financial Statements––</w:t>
      </w:r>
      <w:r>
        <w:rPr>
          <w:rFonts w:ascii="Times New Roman" w:cs="Times New Roman" w:eastAsia="Times New Roman" w:hAnsi="Times New Roman"/>
          <w:sz w:val="18"/>
          <w:szCs w:val="18"/>
          <w:i w:val="1"/>
          <w:iCs w:val="1"/>
          <w:color w:val="auto"/>
        </w:rPr>
        <w:t>Note 3B. Significant Accounting Policies: Estimates and Assumptions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Note 3D. Fair Value </w:t>
      </w:r>
      <w:r>
        <w:rPr>
          <w:rFonts w:ascii="Times New Roman" w:cs="Times New Roman" w:eastAsia="Times New Roman" w:hAnsi="Times New Roman"/>
          <w:sz w:val="18"/>
          <w:szCs w:val="18"/>
          <w:color w:val="auto"/>
        </w:rPr>
        <w:t>included in our combined financial statements and accompanying notes for the year ended December 31, 2019.</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3. Restructuring Charges/(Credits) and Other Costs Associated with Cost-Reduction/Productivity Initiatives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condensed combined statements of income include costs associated with Pfizer’s cost-reduction/productivity initiatives. The expenses include direct costs and charges as well as an allocation of indirect costs and charges that have been deemed attributable to Upjohn. The condensed combined balance sheets reflect the accrued restructuring charges directly attributable to the Upjohn operations. In connection with our cost-reduction/productivity initiatives, we typically incur costs and charges associated with site closings and other facility rationalization actions, workforce reductions and the expansion of shared services, including the development of global systems. All operating functions may be impacted by these actions, including sales and marketing, manufacturing and research and development, as well as groups such as digital, shared services and corporate operations.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2017-2019 Initiatives and Organizing for Growth</w:t>
      </w:r>
    </w:p>
    <w:p>
      <w:pPr>
        <w:spacing w:after="0" w:line="11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During 2018, Pfizer reviewed its business operations and determined that, at the start of its 2019 fiscal year, Pfizer would begin operating under a new commercial structure, which reorganized Pfizer operations into three businesses – Biopharma, a science-based innovative medicines business; Upjohn; and a Consumer Healthcare business. As part of a Pfizer reorganization beginning in 2019, Upjohn was positioned as a standalone division within Pfizer with distinct and dedicated manufacturing, marketing and other commercial activities, research, development, medical, regulatory and limited enabling functions, which better enables us to optimize our growth potential. Beginning in the fourth quarter of 2018, Pfizer reviewed previously planned initiatives and new initiatives and combined the 2017-2019 initiatives with its Organizing for Growth initiatives to form one cohesive plan. Initiatives for the combined program include activities related to the optimization of the Pfizer manufacturing plant network, the centralization of Pfizer corporate and platform functions, and the simplification and optimization of the operating business structure and functions that support them.</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Through September 27, 2020, we have incurred cumulative direct restructuring charges (primarily related to employee termination costs) and implementation costs associated with the combined program of 2017-2019 initiatives and Organizing for Growth initiatives of approximately $161 million. In the first nine months of 2020, we incurred total direct restructuring charges and implementation costs of $20 million. Direct restructuring charges and implementation costs to complete remaining activities associated with Pfizer’s combined program of cost-reduction initiatives are not expected to be material and may change as a result of the combination of the Upjohn Business and Mylan.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Current-Period Key Activities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costs incurred in connection with the Pfizer cost-reduction/productivity initiatives described above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color w:val="auto"/>
              </w:rPr>
              <w:t>Nine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620" w:type="dxa"/>
            <w:vAlign w:val="bottom"/>
            <w:vMerge w:val="restart"/>
          </w:tcPr>
          <w:p>
            <w:pPr>
              <w:spacing w:after="0"/>
              <w:rPr>
                <w:sz w:val="10"/>
                <w:szCs w:val="10"/>
                <w:color w:val="auto"/>
              </w:rPr>
            </w:pPr>
          </w:p>
        </w:tc>
        <w:tc>
          <w:tcPr>
            <w:tcW w:w="1640" w:type="dxa"/>
            <w:vAlign w:val="bottom"/>
            <w:gridSpan w:val="4"/>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91"/>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Restructuring Charges/(Credits):</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restructuring charges––direct:</w:t>
            </w:r>
            <w:r>
              <w:rPr>
                <w:rFonts w:ascii="Times New Roman" w:cs="Times New Roman" w:eastAsia="Times New Roman" w:hAnsi="Times New Roman"/>
                <w:sz w:val="15"/>
                <w:szCs w:val="15"/>
                <w:color w:val="auto"/>
              </w:rPr>
              <w:t>(a)</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5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restructuring charges––direct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charges/(credits)––allocated:</w:t>
            </w:r>
            <w:r>
              <w:rPr>
                <w:rFonts w:ascii="Times New Roman" w:cs="Times New Roman" w:eastAsia="Times New Roman" w:hAnsi="Times New Roman"/>
                <w:sz w:val="15"/>
                <w:szCs w:val="15"/>
                <w:color w:val="auto"/>
              </w:rPr>
              <w:t>(a)</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termination costs/(credits)</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80" w:type="dxa"/>
            <w:vAlign w:val="bottom"/>
          </w:tcPr>
          <w:p>
            <w:pPr>
              <w:spacing w:after="0"/>
              <w:rPr>
                <w:sz w:val="18"/>
                <w:szCs w:val="18"/>
                <w:color w:val="auto"/>
              </w:rPr>
            </w:pPr>
          </w:p>
        </w:tc>
        <w:tc>
          <w:tcPr>
            <w:tcW w:w="146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Exit costs</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restructuring charges/(credits)––allocated</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restructuring charges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1"/>
        </w:trPr>
        <w:tc>
          <w:tcPr>
            <w:tcW w:w="57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Other Costs/(Credits) Associated with Cost-</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Reduction/Productivity Initiatives: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depreciation associated with asset restructuring</w:t>
            </w:r>
            <w:r>
              <w:rPr>
                <w:rFonts w:ascii="Times New Roman" w:cs="Times New Roman" w:eastAsia="Times New Roman" w:hAnsi="Times New Roman"/>
                <w:sz w:val="18"/>
                <w:szCs w:val="18"/>
                <w:i w:val="1"/>
                <w:iCs w:val="1"/>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allocated</w:t>
            </w:r>
            <w:r>
              <w:rPr>
                <w:rFonts w:ascii="Times New Roman" w:cs="Times New Roman" w:eastAsia="Times New Roman" w:hAnsi="Times New Roman"/>
                <w:sz w:val="15"/>
                <w:szCs w:val="15"/>
                <w:color w:val="auto"/>
              </w:rPr>
              <w:t>(b)</w:t>
            </w:r>
          </w:p>
        </w:tc>
        <w:tc>
          <w:tcPr>
            <w:tcW w:w="18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Implementation costs/(credits)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direct</w:t>
            </w:r>
            <w:r>
              <w:rPr>
                <w:rFonts w:ascii="Times New Roman" w:cs="Times New Roman" w:eastAsia="Times New Roman" w:hAnsi="Times New Roman"/>
                <w:sz w:val="15"/>
                <w:szCs w:val="15"/>
                <w:color w:val="auto"/>
              </w:rPr>
              <w:t>(c)</w:t>
            </w:r>
          </w:p>
        </w:tc>
        <w:tc>
          <w:tcPr>
            <w:tcW w:w="180" w:type="dxa"/>
            <w:vAlign w:val="bottom"/>
          </w:tcPr>
          <w:p>
            <w:pPr>
              <w:spacing w:after="0"/>
              <w:rPr>
                <w:sz w:val="18"/>
                <w:szCs w:val="18"/>
                <w:color w:val="auto"/>
              </w:rPr>
            </w:pPr>
          </w:p>
        </w:tc>
        <w:tc>
          <w:tcPr>
            <w:tcW w:w="14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Implementation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allocated</w:t>
            </w:r>
            <w:r>
              <w:rPr>
                <w:rFonts w:ascii="Times New Roman" w:cs="Times New Roman" w:eastAsia="Times New Roman" w:hAnsi="Times New Roman"/>
                <w:sz w:val="15"/>
                <w:szCs w:val="15"/>
                <w:color w:val="auto"/>
              </w:rPr>
              <w:t>(c)</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associated with cost-reduction/productivity initiatives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53"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first nine months of 2020 and 2019, restructuring charges were primarily related to employee termination costs associated with cost-reduction and productivity initiatives. Employee termination costs are generally recorded when the actions are probable and estimable and include accrued severance benefits, pension and postretirement benefits, many of which may be paid out during periods after termination. In the first nine months of 2020, direct restructuring charges are primarily related to the Greater China segment (approximately $9 million), Other (approximately $7 million) and the Emerging Markets segment ($2 million). In the first nine months of 2019, direct restructuring charges are primarily related to the Developed Markets segment.</w:t>
      </w:r>
    </w:p>
    <w:p>
      <w:pPr>
        <w:spacing w:after="0" w:line="5" w:lineRule="exact"/>
        <w:rPr>
          <w:rFonts w:ascii="Times New Roman" w:cs="Times New Roman" w:eastAsia="Times New Roman" w:hAnsi="Times New Roman"/>
          <w:sz w:val="15"/>
          <w:szCs w:val="15"/>
          <w:color w:val="auto"/>
        </w:rPr>
      </w:pPr>
    </w:p>
    <w:p>
      <w:pPr>
        <w:ind w:left="540" w:right="640" w:hanging="424"/>
        <w:spacing w:after="0" w:line="250"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Additional depreciation associated with asset restructuring represents the impact of changes in the estimated lives of assets involved in restructuring actions. In the first nine months of 2019, the additional depreciation is primarily included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($0.8 million) and </w:t>
      </w: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($0.8 million).</w:t>
      </w:r>
    </w:p>
    <w:p>
      <w:pPr>
        <w:spacing w:after="0" w:line="1" w:lineRule="exact"/>
        <w:rPr>
          <w:rFonts w:ascii="Times New Roman" w:cs="Times New Roman" w:eastAsia="Times New Roman" w:hAnsi="Times New Roman"/>
          <w:sz w:val="15"/>
          <w:szCs w:val="15"/>
          <w:color w:val="auto"/>
        </w:rPr>
      </w:pPr>
    </w:p>
    <w:p>
      <w:pPr>
        <w:ind w:left="540" w:right="120" w:hanging="424"/>
        <w:spacing w:after="0" w:line="271" w:lineRule="auto"/>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 xml:space="preserve">Implementation costs represent external, incremental costs directly related to implementing cost-reduction/productivity initiatives. Direct implementation costs/(credits) in the first nine months of 2020 and 2019 are primarily included in </w:t>
      </w:r>
      <w:r>
        <w:rPr>
          <w:rFonts w:ascii="Times New Roman" w:cs="Times New Roman" w:eastAsia="Times New Roman" w:hAnsi="Times New Roman"/>
          <w:sz w:val="17"/>
          <w:szCs w:val="17"/>
          <w:i w:val="1"/>
          <w:iCs w:val="1"/>
          <w:color w:val="auto"/>
        </w:rPr>
        <w:t>Cost of sales.</w:t>
      </w:r>
      <w:r>
        <w:rPr>
          <w:rFonts w:ascii="Times New Roman" w:cs="Times New Roman" w:eastAsia="Times New Roman" w:hAnsi="Times New Roman"/>
          <w:sz w:val="17"/>
          <w:szCs w:val="17"/>
          <w:color w:val="auto"/>
        </w:rPr>
        <w:t xml:space="preserve"> In the first nine months of 2020, allocated implementation costs are included in </w:t>
      </w:r>
      <w:r>
        <w:rPr>
          <w:rFonts w:ascii="Times New Roman" w:cs="Times New Roman" w:eastAsia="Times New Roman" w:hAnsi="Times New Roman"/>
          <w:sz w:val="17"/>
          <w:szCs w:val="17"/>
          <w:i w:val="1"/>
          <w:iCs w:val="1"/>
          <w:color w:val="auto"/>
        </w:rPr>
        <w:t>Cost of sales</w:t>
      </w:r>
      <w:r>
        <w:rPr>
          <w:rFonts w:ascii="Times New Roman" w:cs="Times New Roman" w:eastAsia="Times New Roman" w:hAnsi="Times New Roman"/>
          <w:sz w:val="17"/>
          <w:szCs w:val="17"/>
          <w:color w:val="auto"/>
        </w:rPr>
        <w:t xml:space="preserve"> ($7 million), </w:t>
      </w:r>
      <w:r>
        <w:rPr>
          <w:rFonts w:ascii="Times New Roman" w:cs="Times New Roman" w:eastAsia="Times New Roman" w:hAnsi="Times New Roman"/>
          <w:sz w:val="17"/>
          <w:szCs w:val="17"/>
          <w:i w:val="1"/>
          <w:iCs w:val="1"/>
          <w:color w:val="auto"/>
        </w:rPr>
        <w:t>Selling, informational and administrative expenses</w:t>
      </w:r>
      <w:r>
        <w:rPr>
          <w:rFonts w:ascii="Times New Roman" w:cs="Times New Roman" w:eastAsia="Times New Roman" w:hAnsi="Times New Roman"/>
          <w:sz w:val="17"/>
          <w:szCs w:val="17"/>
          <w:color w:val="auto"/>
        </w:rPr>
        <w:t xml:space="preserve"> ($2 million) and </w:t>
      </w: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($0.1 million income). In the first nine months of 2019, allocated implementation costs are included in</w:t>
      </w:r>
      <w:r>
        <w:rPr>
          <w:rFonts w:ascii="Times New Roman" w:cs="Times New Roman" w:eastAsia="Times New Roman" w:hAnsi="Times New Roman"/>
          <w:sz w:val="17"/>
          <w:szCs w:val="17"/>
          <w:i w:val="1"/>
          <w:iCs w:val="1"/>
          <w:color w:val="auto"/>
        </w:rPr>
        <w:t xml:space="preserve"> Cost of sales </w:t>
      </w:r>
      <w:r>
        <w:rPr>
          <w:rFonts w:ascii="Times New Roman" w:cs="Times New Roman" w:eastAsia="Times New Roman" w:hAnsi="Times New Roman"/>
          <w:sz w:val="17"/>
          <w:szCs w:val="17"/>
          <w:color w:val="auto"/>
        </w:rPr>
        <w:t>($10 million),</w:t>
      </w:r>
      <w:r>
        <w:rPr>
          <w:rFonts w:ascii="Times New Roman" w:cs="Times New Roman" w:eastAsia="Times New Roman" w:hAnsi="Times New Roman"/>
          <w:sz w:val="17"/>
          <w:szCs w:val="17"/>
          <w:i w:val="1"/>
          <w:iCs w:val="1"/>
          <w:color w:val="auto"/>
        </w:rPr>
        <w:t xml:space="preserve"> Selling, informational and administrative expenses </w:t>
      </w:r>
      <w:r>
        <w:rPr>
          <w:rFonts w:ascii="Times New Roman" w:cs="Times New Roman" w:eastAsia="Times New Roman" w:hAnsi="Times New Roman"/>
          <w:sz w:val="17"/>
          <w:szCs w:val="17"/>
          <w:color w:val="auto"/>
        </w:rPr>
        <w:t>($8 million) and</w:t>
      </w:r>
      <w:r>
        <w:rPr>
          <w:rFonts w:ascii="Times New Roman" w:cs="Times New Roman" w:eastAsia="Times New Roman" w:hAnsi="Times New Roman"/>
          <w:sz w:val="17"/>
          <w:szCs w:val="17"/>
          <w:i w:val="1"/>
          <w:iCs w:val="1"/>
          <w:color w:val="auto"/>
        </w:rPr>
        <w:t xml:space="preserve"> Research and development expenses </w:t>
      </w:r>
      <w:r>
        <w:rPr>
          <w:rFonts w:ascii="Times New Roman" w:cs="Times New Roman" w:eastAsia="Times New Roman" w:hAnsi="Times New Roman"/>
          <w:sz w:val="17"/>
          <w:szCs w:val="17"/>
          <w:color w:val="auto"/>
        </w:rPr>
        <w:t>($2 million).</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and activity of direct restructuring charges identified with Upjohn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color w:val="auto"/>
              </w:rPr>
              <w:t>Employee</w:t>
            </w:r>
          </w:p>
        </w:tc>
        <w:tc>
          <w:tcPr>
            <w:tcW w:w="160" w:type="dxa"/>
            <w:vAlign w:val="bottom"/>
          </w:tcPr>
          <w:p>
            <w:pPr>
              <w:spacing w:after="0"/>
              <w:rPr>
                <w:sz w:val="13"/>
                <w:szCs w:val="13"/>
                <w:color w:val="auto"/>
              </w:rPr>
            </w:pPr>
          </w:p>
        </w:tc>
        <w:tc>
          <w:tcPr>
            <w:tcW w:w="8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Asset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7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Termination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Exit Costs</w:t>
            </w:r>
          </w:p>
        </w:tc>
        <w:tc>
          <w:tcPr>
            <w:tcW w:w="28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Accrual</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720"/>
              <w:spacing w:after="0" w:line="158" w:lineRule="exact"/>
              <w:rPr>
                <w:sz w:val="20"/>
                <w:szCs w:val="20"/>
                <w:color w:val="auto"/>
              </w:rPr>
            </w:pPr>
            <w:r>
              <w:rPr>
                <w:rFonts w:ascii="Times New Roman" w:cs="Times New Roman" w:eastAsia="Times New Roman" w:hAnsi="Times New Roman"/>
                <w:sz w:val="14"/>
                <w:szCs w:val="14"/>
                <w:color w:val="auto"/>
              </w:rPr>
              <w:t>Costs</w:t>
            </w:r>
          </w:p>
        </w:tc>
        <w:tc>
          <w:tcPr>
            <w:tcW w:w="102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Impairments</w:t>
            </w:r>
          </w:p>
        </w:tc>
        <w:tc>
          <w:tcPr>
            <w:tcW w:w="2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December 31, 2019</w:t>
            </w:r>
            <w:r>
              <w:rPr>
                <w:rFonts w:ascii="Times New Roman" w:cs="Times New Roman" w:eastAsia="Times New Roman" w:hAnsi="Times New Roman"/>
                <w:sz w:val="15"/>
                <w:szCs w:val="15"/>
                <w:color w:val="auto"/>
              </w:rPr>
              <w:t>(a)</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 and other</w:t>
            </w:r>
            <w:r>
              <w:rPr>
                <w:rFonts w:ascii="Times New Roman" w:cs="Times New Roman" w:eastAsia="Times New Roman" w:hAnsi="Times New Roman"/>
                <w:sz w:val="15"/>
                <w:szCs w:val="15"/>
                <w:color w:val="auto"/>
              </w:rPr>
              <w:t>(b)</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27, 2020</w:t>
            </w:r>
            <w:r>
              <w:rPr>
                <w:rFonts w:ascii="Times New Roman" w:cs="Times New Roman" w:eastAsia="Times New Roman" w:hAnsi="Times New Roman"/>
                <w:sz w:val="15"/>
                <w:szCs w:val="15"/>
                <w:color w:val="auto"/>
              </w:rPr>
              <w:t>(c)</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($153 million) and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($49 million).</w:t>
      </w:r>
    </w:p>
    <w:p>
      <w:pPr>
        <w:spacing w:after="0" w:line="29"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adjustments for foreign currency translation.</w:t>
      </w:r>
    </w:p>
    <w:p>
      <w:pPr>
        <w:spacing w:after="0" w:line="9"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($76 million) and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($49 million).</w:t>
      </w:r>
    </w:p>
    <w:p>
      <w:pPr>
        <w:spacing w:after="0" w:line="139" w:lineRule="exact"/>
        <w:rPr>
          <w:rFonts w:ascii="Times New Roman" w:cs="Times New Roman" w:eastAsia="Times New Roman" w:hAnsi="Times New Roman"/>
          <w:sz w:val="15"/>
          <w:szCs w:val="15"/>
          <w:color w:val="auto"/>
        </w:rPr>
      </w:pPr>
    </w:p>
    <w:p>
      <w:pPr>
        <w:ind w:left="5540" w:hanging="111"/>
        <w:spacing w:after="0"/>
        <w:tabs>
          <w:tab w:leader="none" w:pos="5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1080"/>
          </w:cols>
          <w:pgMar w:left="320" w:top="455" w:right="4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4. Other (Income)/Deductions—Net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following table provides components of </w:t>
      </w:r>
      <w:r>
        <w:rPr>
          <w:rFonts w:ascii="Times New Roman" w:cs="Times New Roman" w:eastAsia="Times New Roman" w:hAnsi="Times New Roman"/>
          <w:sz w:val="18"/>
          <w:szCs w:val="18"/>
          <w:i w:val="1"/>
          <w:iCs w:val="1"/>
          <w:color w:val="auto"/>
        </w:rPr>
        <w:t>Other (income)/deductions––net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color w:val="auto"/>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760" w:type="dxa"/>
            <w:vAlign w:val="bottom"/>
            <w:vMerge w:val="restart"/>
          </w:tcPr>
          <w:p>
            <w:pPr>
              <w:spacing w:after="0"/>
              <w:rPr>
                <w:sz w:val="10"/>
                <w:szCs w:val="10"/>
                <w:color w:val="auto"/>
              </w:rPr>
            </w:pPr>
          </w:p>
        </w:tc>
        <w:tc>
          <w:tcPr>
            <w:tcW w:w="1500" w:type="dxa"/>
            <w:vAlign w:val="bottom"/>
            <w:gridSpan w:val="4"/>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160" w:type="dxa"/>
            <w:vAlign w:val="bottom"/>
            <w:tcBorders>
              <w:bottom w:val="single" w:sz="8" w:color="auto"/>
            </w:tcBorders>
            <w:vMerge w:val="continue"/>
          </w:tcPr>
          <w:p>
            <w:pPr>
              <w:spacing w:after="0"/>
              <w:rPr>
                <w:sz w:val="13"/>
                <w:szCs w:val="13"/>
                <w:color w:val="auto"/>
              </w:rPr>
            </w:pPr>
          </w:p>
        </w:tc>
        <w:tc>
          <w:tcPr>
            <w:tcW w:w="4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93"/>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ind w:right="191"/>
              <w:spacing w:after="0" w:line="158" w:lineRule="exact"/>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2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tcBorders>
              <w:right w:val="single" w:sz="8" w:color="CCEEFF"/>
            </w:tcBorders>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620"/>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15"/>
                <w:szCs w:val="15"/>
                <w:color w:val="auto"/>
              </w:rPr>
              <w:t>(a)</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direct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currency (gain)/loss</w:t>
            </w:r>
            <w:r>
              <w:rPr>
                <w:rFonts w:ascii="Times New Roman" w:cs="Times New Roman" w:eastAsia="Times New Roman" w:hAnsi="Times New Roman"/>
                <w:sz w:val="15"/>
                <w:szCs w:val="15"/>
                <w:color w:val="auto"/>
              </w:rPr>
              <w:t>(b)</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legal matters, net</w:t>
            </w:r>
            <w:r>
              <w:rPr>
                <w:rFonts w:ascii="Times New Roman" w:cs="Times New Roman" w:eastAsia="Times New Roman" w:hAnsi="Times New Roman"/>
                <w:sz w:val="15"/>
                <w:szCs w:val="15"/>
                <w:color w:val="auto"/>
              </w:rPr>
              <w:t>(c)</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benefit costs/(credits) other than service costs</w:t>
            </w:r>
            <w:r>
              <w:rPr>
                <w:rFonts w:ascii="Times New Roman" w:cs="Times New Roman" w:eastAsia="Times New Roman" w:hAnsi="Times New Roman"/>
                <w:sz w:val="15"/>
                <w:szCs w:val="15"/>
                <w:color w:val="auto"/>
              </w:rPr>
              <w:t>(d)</w:t>
            </w:r>
          </w:p>
        </w:tc>
        <w:tc>
          <w:tcPr>
            <w:tcW w:w="16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9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15"/>
                <w:szCs w:val="15"/>
                <w:color w:val="auto"/>
              </w:rPr>
              <w:t>(e)</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(income)/deductions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direct</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allocated</w:t>
            </w:r>
            <w:r>
              <w:rPr>
                <w:rFonts w:ascii="Times New Roman" w:cs="Times New Roman" w:eastAsia="Times New Roman" w:hAnsi="Times New Roman"/>
                <w:sz w:val="15"/>
                <w:szCs w:val="15"/>
                <w:color w:val="auto"/>
              </w:rPr>
              <w:t>(f)</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allocated</w:t>
            </w:r>
            <w:r>
              <w:rPr>
                <w:rFonts w:ascii="Times New Roman" w:cs="Times New Roman" w:eastAsia="Times New Roman" w:hAnsi="Times New Roman"/>
                <w:sz w:val="15"/>
                <w:szCs w:val="15"/>
                <w:color w:val="auto"/>
              </w:rPr>
              <w:t>(g)</w:t>
            </w:r>
          </w:p>
        </w:tc>
        <w:tc>
          <w:tcPr>
            <w:tcW w:w="16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(income)/deductions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allocated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(income)/deductions––net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320" w:hanging="424"/>
        <w:spacing w:after="0" w:line="257"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In the first nine months of 2020, primarily includes interest expense of approximately $76 million associated with the $11.4 billion of senior unsecured notes issued in June 2020, which includes the stated interest expense on the notes of approximately $74 million and amortization of bond discount and issuance costs of approximately $3 million (see </w:t>
      </w:r>
      <w:r>
        <w:rPr>
          <w:rFonts w:ascii="Times New Roman" w:cs="Times New Roman" w:eastAsia="Times New Roman" w:hAnsi="Times New Roman"/>
          <w:sz w:val="18"/>
          <w:szCs w:val="18"/>
          <w:i w:val="1"/>
          <w:iCs w:val="1"/>
          <w:color w:val="auto"/>
        </w:rPr>
        <w:t>Note 7C</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5"/>
          <w:szCs w:val="15"/>
          <w:color w:val="auto"/>
        </w:rPr>
      </w:pPr>
    </w:p>
    <w:p>
      <w:pPr>
        <w:ind w:left="540" w:right="240" w:hanging="424"/>
        <w:spacing w:after="0" w:line="250"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In the first nine months of 2020, primarily includes net currency exchange losses of $144 million related to the translation of Euro denominated senior unsecured notes issued in June 2020 (see </w:t>
      </w:r>
      <w:r>
        <w:rPr>
          <w:rFonts w:ascii="Times New Roman" w:cs="Times New Roman" w:eastAsia="Times New Roman" w:hAnsi="Times New Roman"/>
          <w:sz w:val="18"/>
          <w:szCs w:val="18"/>
          <w:i w:val="1"/>
          <w:iCs w:val="1"/>
          <w:color w:val="auto"/>
        </w:rPr>
        <w:t>Note 7C)</w:t>
      </w:r>
      <w:r>
        <w:rPr>
          <w:rFonts w:ascii="Times New Roman" w:cs="Times New Roman" w:eastAsia="Times New Roman" w:hAnsi="Times New Roman"/>
          <w:sz w:val="18"/>
          <w:szCs w:val="18"/>
          <w:color w:val="auto"/>
        </w:rPr>
        <w:t>.</w:t>
      </w:r>
    </w:p>
    <w:p>
      <w:pPr>
        <w:ind w:left="540" w:right="40" w:hanging="424"/>
        <w:spacing w:after="0" w:line="250"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In the first nine months of 2020, represents legal reserves for pending matters. In the first nine months of 2019, represents legal reserves for certain pending matters, partially offset by the reversal of a legal accrual where a loss was no longer deemed probable. For additional information, see </w:t>
      </w:r>
      <w:r>
        <w:rPr>
          <w:rFonts w:ascii="Times New Roman" w:cs="Times New Roman" w:eastAsia="Times New Roman" w:hAnsi="Times New Roman"/>
          <w:sz w:val="18"/>
          <w:szCs w:val="18"/>
          <w:i w:val="1"/>
          <w:iCs w:val="1"/>
          <w:color w:val="auto"/>
        </w:rPr>
        <w:t>Note 13A</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5"/>
          <w:szCs w:val="15"/>
          <w:color w:val="auto"/>
        </w:rPr>
      </w:pPr>
    </w:p>
    <w:p>
      <w:pPr>
        <w:jc w:val="both"/>
        <w:ind w:left="540" w:right="500" w:hanging="424"/>
        <w:spacing w:after="0" w:line="250"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In the first nine months of 2020, includes a settlement charge of approximately $22 million primarily related to lump sum payouts to certain terminated plan participants in our pension plan in Puerto Rico, of which $14 million is related to payments to non-Upjohn participants. For additional information,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5"/>
          <w:szCs w:val="15"/>
          <w:color w:val="auto"/>
        </w:rPr>
      </w:pPr>
    </w:p>
    <w:p>
      <w:pPr>
        <w:ind w:left="540" w:right="20" w:hanging="424"/>
        <w:spacing w:after="0" w:line="265" w:lineRule="auto"/>
        <w:tabs>
          <w:tab w:leader="none" w:pos="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 xml:space="preserve">In the first nine months of 2020, includes, among other items, $35 million of rental income associated with related party leasing arrangements in Singapore entered into with Pfizer on May 27, 2019 (for additional information, see </w:t>
      </w:r>
      <w:r>
        <w:rPr>
          <w:rFonts w:ascii="Times New Roman" w:cs="Times New Roman" w:eastAsia="Times New Roman" w:hAnsi="Times New Roman"/>
          <w:sz w:val="17"/>
          <w:szCs w:val="17"/>
          <w:i w:val="1"/>
          <w:iCs w:val="1"/>
          <w:color w:val="auto"/>
        </w:rPr>
        <w:t>Note 15</w:t>
      </w:r>
      <w:r>
        <w:rPr>
          <w:rFonts w:ascii="Times New Roman" w:cs="Times New Roman" w:eastAsia="Times New Roman" w:hAnsi="Times New Roman"/>
          <w:sz w:val="17"/>
          <w:szCs w:val="17"/>
          <w:color w:val="auto"/>
        </w:rPr>
        <w:t xml:space="preserve">), $25 million of net gains associated with hedging activities and $10 million of income from government refunds in China. In the first nine months of 2019, includes, among other items, $11 million of rental income associated with related party leasing arrangements in Singapore entered into with Pfizer on May 27, 2019 (see </w:t>
      </w:r>
      <w:r>
        <w:rPr>
          <w:rFonts w:ascii="Times New Roman" w:cs="Times New Roman" w:eastAsia="Times New Roman" w:hAnsi="Times New Roman"/>
          <w:sz w:val="17"/>
          <w:szCs w:val="17"/>
          <w:i w:val="1"/>
          <w:iCs w:val="1"/>
          <w:color w:val="auto"/>
        </w:rPr>
        <w:t>Note 15</w:t>
      </w:r>
      <w:r>
        <w:rPr>
          <w:rFonts w:ascii="Times New Roman" w:cs="Times New Roman" w:eastAsia="Times New Roman" w:hAnsi="Times New Roman"/>
          <w:sz w:val="17"/>
          <w:szCs w:val="17"/>
          <w:color w:val="auto"/>
        </w:rPr>
        <w:t>) and</w:t>
      </w: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$4 million of income from government refunds in China.</w:t>
      </w:r>
    </w:p>
    <w:p>
      <w:pPr>
        <w:spacing w:after="0" w:line="9" w:lineRule="exact"/>
        <w:rPr>
          <w:rFonts w:ascii="Times New Roman" w:cs="Times New Roman" w:eastAsia="Times New Roman" w:hAnsi="Times New Roman"/>
          <w:sz w:val="14"/>
          <w:szCs w:val="14"/>
          <w:color w:val="auto"/>
        </w:rPr>
      </w:pPr>
    </w:p>
    <w:p>
      <w:pPr>
        <w:ind w:left="540" w:hanging="424"/>
        <w:spacing w:after="0" w:line="250"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an allocation of interest expense associated with the Pfizer corporate debt and an allocation of interest income associated with the Pfizer corporate investments. Allocated capitalized interest expense totaled $10 million in the first nine months of 2020 and $14 million in the first nine months of 2019.</w:t>
      </w:r>
    </w:p>
    <w:p>
      <w:pPr>
        <w:spacing w:after="0" w:line="1" w:lineRule="exact"/>
        <w:rPr>
          <w:rFonts w:ascii="Times New Roman" w:cs="Times New Roman" w:eastAsia="Times New Roman" w:hAnsi="Times New Roman"/>
          <w:sz w:val="15"/>
          <w:szCs w:val="15"/>
          <w:color w:val="auto"/>
        </w:rPr>
      </w:pPr>
    </w:p>
    <w:p>
      <w:pPr>
        <w:ind w:left="540" w:right="140" w:hanging="424"/>
        <w:spacing w:after="0" w:line="252"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allocation of miscellaneous other income and deductions. In the first nine months of 2020, among other items, includes allocations of net gains associated with Pfizer’s hedging activities and investments and an allocation of miscellaneous other income, partially offset by an allocation of net currency exchange losses. In the first nine months of 2019, among other items, includes allocations of net currency exchange gains and net gains associated with Pfizer’s investments, partially offset by an allocation of net losses associated with Pfizer’s hedging activities. The first nine months of 2019 also includes an allocation of income from insurance recoveries of $31 million related to the hurricanes in Puerto Rico toward the end of the third quarter of 2017.</w:t>
      </w:r>
    </w:p>
    <w:p>
      <w:pPr>
        <w:spacing w:after="0" w:line="19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Pfizer incurred a net loss of approximately $138 million in the first nine months of 2019 due to the early retirement of corporate debt, inclusive of the related termination of cross currency swaps. The condensed combined statement of income for the first nine months of 2019 does not include an allocation of the net loss incurred by Pfizer on the early retirement of corporate debt. Pfizer does not routinely allocate these costs to any of its business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5. Tax Matters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Taxes on Income</w:t>
      </w:r>
    </w:p>
    <w:p>
      <w:pPr>
        <w:spacing w:after="0" w:line="11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During the periods presented in the condensed combined financial statements, Upjohn did not generally file separate tax returns, as Upjohn was generally included in the tax grouping of other Pfizer entities within the respective entity’s tax jurisdiction. The income tax provision included in these condensed combined financial statements has been calculated using the separate return basis, as if Upjohn filed a separate tax return.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effective tax rate for income was 11.4% for the first nine months of 2020, compared to 6.7% for the first nine months of 2019.</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higher effective tax rate for the first nine months of 2020 in comparison with the same period in 2019 was primarily due to:</w:t>
      </w:r>
    </w:p>
    <w:p>
      <w:pPr>
        <w:spacing w:after="0" w:line="131" w:lineRule="exact"/>
        <w:rPr>
          <w:sz w:val="20"/>
          <w:szCs w:val="20"/>
          <w:color w:val="auto"/>
        </w:rPr>
      </w:pPr>
    </w:p>
    <w:p>
      <w:pPr>
        <w:ind w:left="540" w:right="300" w:hanging="316"/>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non-recurrence of the $290 million tax benefit, representing taxes and interest, recorded in the second quarter of 2019 due to the favorable settlement of an Internal Revenue Service (IRS) audit for multiple tax years; and</w:t>
      </w:r>
    </w:p>
    <w:p>
      <w:pPr>
        <w:spacing w:after="0" w:line="67" w:lineRule="exact"/>
        <w:rPr>
          <w:rFonts w:ascii="Times New Roman" w:cs="Times New Roman" w:eastAsia="Times New Roman" w:hAnsi="Times New Roman"/>
          <w:sz w:val="18"/>
          <w:szCs w:val="18"/>
          <w:color w:val="auto"/>
        </w:rPr>
      </w:pPr>
    </w:p>
    <w:p>
      <w:pPr>
        <w:ind w:left="540" w:right="320" w:hanging="316"/>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non-recurrence of the tax benefit of approximately $64 million recorded in the first nine months of 2019 as a result of additional guidance issued by the U.S. Department of Treasury related to the enactment of the TCJA,</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31" w:lineRule="exact"/>
        <w:rPr>
          <w:sz w:val="20"/>
          <w:szCs w:val="20"/>
          <w:color w:val="auto"/>
        </w:rPr>
      </w:pPr>
    </w:p>
    <w:p>
      <w:pPr>
        <w:ind w:left="540" w:hanging="316"/>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change in the jurisdictional mix of earnings as a result of operating fluctuations in the normal course of business.</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We have elected, with the filing of our 2018 U.S. Federal Consolidated Income Tax Return, to pay our initial estimated $4.3 billion repatriation tax liability on accumulated post-1986 foreign earnings over eight years through 2026. The third annual installment of this liability, which is due to be paid in April 2021, is reported in current </w:t>
      </w:r>
      <w:r>
        <w:rPr>
          <w:rFonts w:ascii="Times New Roman" w:cs="Times New Roman" w:eastAsia="Times New Roman" w:hAnsi="Times New Roman"/>
          <w:sz w:val="18"/>
          <w:szCs w:val="18"/>
          <w:i w:val="1"/>
          <w:iCs w:val="1"/>
          <w:color w:val="auto"/>
        </w:rPr>
        <w:t>Income taxes payable</w:t>
      </w:r>
      <w:r>
        <w:rPr>
          <w:rFonts w:ascii="Times New Roman" w:cs="Times New Roman" w:eastAsia="Times New Roman" w:hAnsi="Times New Roman"/>
          <w:sz w:val="18"/>
          <w:szCs w:val="18"/>
          <w:color w:val="auto"/>
        </w:rPr>
        <w:t xml:space="preserve">, and the remaining liability is reported in noncurrent </w:t>
      </w:r>
      <w:r>
        <w:rPr>
          <w:rFonts w:ascii="Times New Roman" w:cs="Times New Roman" w:eastAsia="Times New Roman" w:hAnsi="Times New Roman"/>
          <w:sz w:val="18"/>
          <w:szCs w:val="18"/>
          <w:i w:val="1"/>
          <w:iCs w:val="1"/>
          <w:color w:val="auto"/>
        </w:rPr>
        <w:t>Other taxes payable</w:t>
      </w:r>
      <w:r>
        <w:rPr>
          <w:rFonts w:ascii="Times New Roman" w:cs="Times New Roman" w:eastAsia="Times New Roman" w:hAnsi="Times New Roman"/>
          <w:sz w:val="18"/>
          <w:szCs w:val="18"/>
          <w:color w:val="auto"/>
        </w:rPr>
        <w:t xml:space="preserve"> in our condensed combined balance sheet as of September 27, 2020. Our obligations may vary as a result of changes in our uncertain tax positions and/or availability of attributes such as foreign tax and other credit carryforwards.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in the U.S. to provide certain relief as a result of the COVID-19 pandemic. In addition, governments around the world have enacted or implemented various forms of tax relief measures in response to the economic conditions in the wake of COVID-19. As of September 27, 2020, neither the CARES Act nor changes to income tax laws or regulations in other jurisdictions had a significant impact on our effective tax rate.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Tax Contingencies</w:t>
      </w:r>
    </w:p>
    <w:p>
      <w:pPr>
        <w:spacing w:after="0" w:line="1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subject to income tax in many jurisdictions, and a certain degree of estimation is required in recording the assets and liabilities related to income taxes. All our tax positions are subject to audit by the local taxing authorities in each tax jurisdiction. These tax audits can involve complex issues, interpretations and judgments, and the resolution of matters may span multiple years, particularly if subject to negotiation or litigation. Our assessments are based on estimates and assumptions that have been deemed reasonable by management, but our estimates of unrecognized tax benefits and potential tax benefits may not be representative of actual outcomes, and variation from such estimates could materially affect our financial statements in the period of settlement or when the statutes of limitations expire, as we treat these events as discrete items in the period of resolution.</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U.S. is one of our major tax jurisdictions, and we are regularly audited by the IRS. The IRS has issued a Revenue Agent’s Report (RAR) for tax years 2011-2013. We are not in agreement with the RAR and are currently appealing certain disputed issues. Tax years 2014-2015 are currently under audit. Tax years 2016-2020 are open but not under audit. All other tax years are closed.</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addition to the open audit years in the U.S., we have open audit years in other major tax jurisdictions, such as Asia (2009-2020, primarily reflecting Japan, China and Singapore), Canada (2013-2020), Europe (2011-2020, primarily reflecting Ireland, the United Kingdom, France, Italy, Spain and Germany), Latin America (1998-2020, primarily reflecting Brazil) and Puerto Rico (2016-2020).</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 Tax Provision/(Benefit) on Other Comprehensive Income/(Loss)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following table provides the components of the </w:t>
      </w:r>
      <w:r>
        <w:rPr>
          <w:rFonts w:ascii="Times New Roman" w:cs="Times New Roman" w:eastAsia="Times New Roman" w:hAnsi="Times New Roman"/>
          <w:sz w:val="18"/>
          <w:szCs w:val="18"/>
          <w:i w:val="1"/>
          <w:iCs w:val="1"/>
          <w:color w:val="auto"/>
        </w:rPr>
        <w:t>Tax provision/(benefit) on other comprehensive income/(loss)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color w:val="auto"/>
              </w:rPr>
              <w:t>Nine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640" w:type="dxa"/>
            <w:vAlign w:val="bottom"/>
            <w:vMerge w:val="restart"/>
          </w:tcPr>
          <w:p>
            <w:pPr>
              <w:spacing w:after="0"/>
              <w:rPr>
                <w:sz w:val="10"/>
                <w:szCs w:val="10"/>
                <w:color w:val="auto"/>
              </w:rPr>
            </w:pPr>
          </w:p>
        </w:tc>
        <w:tc>
          <w:tcPr>
            <w:tcW w:w="162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160" w:type="dxa"/>
            <w:vAlign w:val="bottom"/>
            <w:tcBorders>
              <w:bottom w:val="single" w:sz="8" w:color="auto"/>
            </w:tcBorders>
            <w:vMerge w:val="continue"/>
          </w:tcPr>
          <w:p>
            <w:pPr>
              <w:spacing w:after="0"/>
              <w:rPr>
                <w:sz w:val="13"/>
                <w:szCs w:val="13"/>
                <w:color w:val="auto"/>
              </w:rPr>
            </w:pPr>
          </w:p>
        </w:tc>
        <w:tc>
          <w:tcPr>
            <w:tcW w:w="4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3"/>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 actuarial gains/(losses), net</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20"/>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adjustments related to amortization</w:t>
            </w:r>
          </w:p>
        </w:tc>
        <w:tc>
          <w:tcPr>
            <w:tcW w:w="18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related to curtailments and settlements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plans: prior service (costs)/credits and other, net</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related to amortization</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adjustments related to curtailments, net</w:t>
            </w:r>
          </w:p>
        </w:tc>
        <w:tc>
          <w:tcPr>
            <w:tcW w:w="18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Tax provision/(benefit) on other comprehensive income/(loss)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6. Accumulated Other Comprehensive Income/(Loss)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following table provides the changes, net of tax,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for the first nine months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Net Unrealized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color w:val="auto"/>
              </w:rPr>
              <w:t>Benefit Plans</w:t>
            </w: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Gains/(Losses)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
              <w:spacing w:after="0" w:line="119" w:lineRule="exact"/>
              <w:rPr>
                <w:sz w:val="20"/>
                <w:szCs w:val="20"/>
                <w:color w:val="auto"/>
              </w:rPr>
            </w:pPr>
            <w:r>
              <w:rPr>
                <w:rFonts w:ascii="Times New Roman" w:cs="Times New Roman" w:eastAsia="Times New Roman" w:hAnsi="Times New Roman"/>
                <w:sz w:val="13"/>
                <w:szCs w:val="13"/>
                <w:color w:val="auto"/>
              </w:rPr>
              <w:t>Foreign</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Prior Service</w:t>
            </w:r>
          </w:p>
        </w:tc>
        <w:tc>
          <w:tcPr>
            <w:tcW w:w="660" w:type="dxa"/>
            <w:vAlign w:val="bottom"/>
            <w:vMerge w:val="restart"/>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color w:val="auto"/>
              </w:rPr>
              <w:t>Actuarial</w:t>
            </w: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(Costs)/Credits</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0" w:type="dxa"/>
            <w:vAlign w:val="bottom"/>
          </w:tcPr>
          <w:p>
            <w:pPr>
              <w:spacing w:after="0"/>
              <w:rPr>
                <w:sz w:val="1"/>
                <w:szCs w:val="1"/>
                <w:color w:val="auto"/>
              </w:rPr>
            </w:pPr>
          </w:p>
        </w:tc>
      </w:tr>
      <w:tr>
        <w:trPr>
          <w:trHeight w:val="158"/>
        </w:trPr>
        <w:tc>
          <w:tcPr>
            <w:tcW w:w="3620" w:type="dxa"/>
            <w:vAlign w:val="bottom"/>
            <w:gridSpan w:val="3"/>
            <w:vMerge w:val="continue"/>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4"/>
                <w:szCs w:val="14"/>
                <w:color w:val="auto"/>
              </w:rPr>
              <w:t>Adjustment</w:t>
            </w:r>
          </w:p>
        </w:tc>
        <w:tc>
          <w:tcPr>
            <w:tcW w:w="300" w:type="dxa"/>
            <w:vAlign w:val="bottom"/>
          </w:tcPr>
          <w:p>
            <w:pPr>
              <w:spacing w:after="0"/>
              <w:rPr>
                <w:sz w:val="13"/>
                <w:szCs w:val="13"/>
                <w:color w:val="auto"/>
              </w:rPr>
            </w:pP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Gains/(Losses)</w:t>
            </w:r>
          </w:p>
        </w:tc>
        <w:tc>
          <w:tcPr>
            <w:tcW w:w="120" w:type="dxa"/>
            <w:vAlign w:val="bottom"/>
          </w:tcPr>
          <w:p>
            <w:pPr>
              <w:spacing w:after="0"/>
              <w:rPr>
                <w:sz w:val="13"/>
                <w:szCs w:val="13"/>
                <w:color w:val="auto"/>
              </w:rPr>
            </w:pPr>
          </w:p>
        </w:tc>
        <w:tc>
          <w:tcPr>
            <w:tcW w:w="1420" w:type="dxa"/>
            <w:vAlign w:val="bottom"/>
            <w:gridSpan w:val="2"/>
          </w:tcPr>
          <w:p>
            <w:pPr>
              <w:jc w:val="right"/>
              <w:ind w:right="820"/>
              <w:spacing w:after="0" w:line="158" w:lineRule="exact"/>
              <w:rPr>
                <w:sz w:val="20"/>
                <w:szCs w:val="20"/>
                <w:color w:val="auto"/>
              </w:rPr>
            </w:pPr>
            <w:r>
              <w:rPr>
                <w:rFonts w:ascii="Times New Roman" w:cs="Times New Roman" w:eastAsia="Times New Roman" w:hAnsi="Times New Roman"/>
                <w:sz w:val="14"/>
                <w:szCs w:val="14"/>
                <w:color w:val="auto"/>
              </w:rPr>
              <w:t>and Other</w:t>
            </w:r>
          </w:p>
        </w:tc>
        <w:tc>
          <w:tcPr>
            <w:tcW w:w="100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color w:val="auto"/>
              </w:rPr>
              <w:t>Income/(Loss)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December 31, 2019</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(341)</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(424)</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income/(loss)</w:t>
            </w:r>
            <w:r>
              <w:rPr>
                <w:rFonts w:ascii="Times New Roman" w:cs="Times New Roman" w:eastAsia="Times New Roman" w:hAnsi="Times New Roman"/>
                <w:sz w:val="15"/>
                <w:szCs w:val="15"/>
                <w:color w:val="auto"/>
              </w:rPr>
              <w:t>(a)</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27, 2020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(294)</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82"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do not include foreign currency translation adjustments attributable to noncontrolling interests of $0.5 million gain for the first nine months of 2020.</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following table provides the changes, net of tax,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for the first nine months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Net Unrealized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vMerge w:val="restart"/>
          </w:tcPr>
          <w:p>
            <w:pPr>
              <w:jc w:val="right"/>
              <w:ind w:right="555"/>
              <w:spacing w:after="0"/>
              <w:rPr>
                <w:sz w:val="20"/>
                <w:szCs w:val="20"/>
                <w:color w:val="auto"/>
              </w:rPr>
            </w:pPr>
            <w:r>
              <w:rPr>
                <w:rFonts w:ascii="Times New Roman" w:cs="Times New Roman" w:eastAsia="Times New Roman" w:hAnsi="Times New Roman"/>
                <w:sz w:val="14"/>
                <w:szCs w:val="14"/>
                <w:color w:val="auto"/>
              </w:rPr>
              <w:t>Benefit Plans</w:t>
            </w:r>
          </w:p>
        </w:tc>
        <w:tc>
          <w:tcPr>
            <w:tcW w:w="6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Gains/(Losses)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0"/>
              <w:spacing w:after="0" w:line="119" w:lineRule="exact"/>
              <w:rPr>
                <w:sz w:val="20"/>
                <w:szCs w:val="20"/>
                <w:color w:val="auto"/>
              </w:rPr>
            </w:pPr>
            <w:r>
              <w:rPr>
                <w:rFonts w:ascii="Times New Roman" w:cs="Times New Roman" w:eastAsia="Times New Roman" w:hAnsi="Times New Roman"/>
                <w:sz w:val="13"/>
                <w:szCs w:val="13"/>
                <w:color w:val="auto"/>
              </w:rPr>
              <w:t>Foreign</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Actuarial</w:t>
            </w:r>
          </w:p>
        </w:tc>
        <w:tc>
          <w:tcPr>
            <w:tcW w:w="540" w:type="dxa"/>
            <w:vAlign w:val="bottom"/>
          </w:tcPr>
          <w:p>
            <w:pPr>
              <w:spacing w:after="0"/>
              <w:rPr>
                <w:sz w:val="10"/>
                <w:szCs w:val="10"/>
                <w:color w:val="auto"/>
              </w:rPr>
            </w:pP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Prior Service</w:t>
            </w:r>
          </w:p>
        </w:tc>
        <w:tc>
          <w:tcPr>
            <w:tcW w:w="10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2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148"/>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1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28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Gains/</w:t>
            </w:r>
          </w:p>
        </w:tc>
        <w:tc>
          <w:tcPr>
            <w:tcW w:w="54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(Costs)/Credits</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0" w:type="dxa"/>
            <w:vAlign w:val="bottom"/>
          </w:tcPr>
          <w:p>
            <w:pPr>
              <w:spacing w:after="0"/>
              <w:rPr>
                <w:sz w:val="1"/>
                <w:szCs w:val="1"/>
                <w:color w:val="auto"/>
              </w:rPr>
            </w:pPr>
          </w:p>
        </w:tc>
      </w:tr>
      <w:tr>
        <w:trPr>
          <w:trHeight w:val="158"/>
        </w:trPr>
        <w:tc>
          <w:tcPr>
            <w:tcW w:w="4960" w:type="dxa"/>
            <w:vAlign w:val="bottom"/>
            <w:gridSpan w:val="3"/>
            <w:vMerge w:val="continue"/>
          </w:tcPr>
          <w:p>
            <w:pPr>
              <w:spacing w:after="0"/>
              <w:rPr>
                <w:sz w:val="13"/>
                <w:szCs w:val="13"/>
                <w:color w:val="auto"/>
              </w:rPr>
            </w:pPr>
          </w:p>
        </w:tc>
        <w:tc>
          <w:tcPr>
            <w:tcW w:w="122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4"/>
                <w:szCs w:val="14"/>
                <w:color w:val="auto"/>
              </w:rPr>
              <w:t>Adjustments</w:t>
            </w:r>
          </w:p>
        </w:tc>
        <w:tc>
          <w:tcPr>
            <w:tcW w:w="280" w:type="dxa"/>
            <w:vAlign w:val="bottom"/>
          </w:tcPr>
          <w:p>
            <w:pPr>
              <w:spacing w:after="0"/>
              <w:rPr>
                <w:sz w:val="13"/>
                <w:szCs w:val="13"/>
                <w:color w:val="auto"/>
              </w:rPr>
            </w:pPr>
          </w:p>
        </w:tc>
        <w:tc>
          <w:tcPr>
            <w:tcW w:w="6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u w:val="single" w:color="auto"/>
                <w:color w:val="auto"/>
              </w:rPr>
              <w:t>(Losses)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780"/>
              <w:spacing w:after="0" w:line="158" w:lineRule="exact"/>
              <w:rPr>
                <w:sz w:val="20"/>
                <w:szCs w:val="20"/>
                <w:color w:val="auto"/>
              </w:rPr>
            </w:pPr>
            <w:r>
              <w:rPr>
                <w:rFonts w:ascii="Times New Roman" w:cs="Times New Roman" w:eastAsia="Times New Roman" w:hAnsi="Times New Roman"/>
                <w:sz w:val="14"/>
                <w:szCs w:val="14"/>
                <w:color w:val="auto"/>
              </w:rPr>
              <w:t>and Other</w:t>
            </w:r>
          </w:p>
        </w:tc>
        <w:tc>
          <w:tcPr>
            <w:tcW w:w="100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u w:val="single" w:color="auto"/>
                <w:color w:val="auto"/>
              </w:rPr>
              <w:t>Income/(Loss)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income/(loss)</w:t>
            </w:r>
            <w:r>
              <w:rPr>
                <w:rFonts w:ascii="Times New Roman" w:cs="Times New Roman" w:eastAsia="Times New Roman" w:hAnsi="Times New Roman"/>
                <w:sz w:val="15"/>
                <w:szCs w:val="15"/>
                <w:color w:val="auto"/>
              </w:rPr>
              <w:t>(a)</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29, 2019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40" w:hanging="424"/>
        <w:spacing w:after="0" w:line="282"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do not include foreign currency translation adjustments attributable to noncontrolling interests of $0.7 million loss for the first nine months of 2019.</w:t>
      </w:r>
    </w:p>
    <w:p>
      <w:pPr>
        <w:spacing w:after="0" w:line="94" w:lineRule="exact"/>
        <w:rPr>
          <w:rFonts w:ascii="Times New Roman" w:cs="Times New Roman" w:eastAsia="Times New Roman" w:hAnsi="Times New Roman"/>
          <w:sz w:val="15"/>
          <w:szCs w:val="15"/>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0720"/>
          </w:cols>
          <w:pgMar w:left="320" w:top="455" w:right="8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7. Financial Instruments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condensed combined balance sheets include the financial assets and liabilities that are directly attributable to Upjohn––see </w:t>
      </w:r>
      <w:r>
        <w:rPr>
          <w:rFonts w:ascii="Times New Roman" w:cs="Times New Roman" w:eastAsia="Times New Roman" w:hAnsi="Times New Roman"/>
          <w:sz w:val="18"/>
          <w:szCs w:val="18"/>
          <w:i w:val="1"/>
          <w:iCs w:val="1"/>
          <w:color w:val="auto"/>
        </w:rPr>
        <w:t>Note 1B.</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Fair Value Measurements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Financial Assets and Liabilities Measured at Fair Value on a Recurring Basis</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financial assets measured at fair value using a market approach on a recurring basis by balance sheet categories and fair value hierarchy level as defined in Notes to Combined Financial Statements</w:t>
      </w:r>
      <w:r>
        <w:rPr>
          <w:rFonts w:ascii="Times New Roman" w:cs="Times New Roman" w:eastAsia="Times New Roman" w:hAnsi="Times New Roman"/>
          <w:sz w:val="18"/>
          <w:szCs w:val="18"/>
          <w:i w:val="1"/>
          <w:iCs w:val="1"/>
          <w:color w:val="auto"/>
        </w:rPr>
        <w:t>––Note 3D. Significant Accounting Policies: Fair Value</w:t>
      </w:r>
      <w:r>
        <w:rPr>
          <w:rFonts w:ascii="Times New Roman" w:cs="Times New Roman" w:eastAsia="Times New Roman" w:hAnsi="Times New Roman"/>
          <w:sz w:val="18"/>
          <w:szCs w:val="18"/>
          <w:color w:val="auto"/>
        </w:rPr>
        <w:t xml:space="preserve"> in our combined financial statements and accompanying notes for the year ended December 31, 2019:</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September 27, 2020</w:t>
            </w:r>
          </w:p>
        </w:tc>
        <w:tc>
          <w:tcPr>
            <w:tcW w:w="13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color w:val="auto"/>
              </w:rPr>
              <w:t>December 31, 2019</w:t>
            </w:r>
          </w:p>
        </w:tc>
        <w:tc>
          <w:tcPr>
            <w:tcW w:w="0" w:type="dxa"/>
            <w:vAlign w:val="bottom"/>
          </w:tcPr>
          <w:p>
            <w:pPr>
              <w:spacing w:after="0"/>
              <w:rPr>
                <w:sz w:val="1"/>
                <w:szCs w:val="1"/>
                <w:color w:val="auto"/>
              </w:rPr>
            </w:pPr>
          </w:p>
        </w:tc>
      </w:tr>
      <w:tr>
        <w:trPr>
          <w:trHeight w:val="129"/>
        </w:trPr>
        <w:tc>
          <w:tcPr>
            <w:tcW w:w="6900" w:type="dxa"/>
            <w:vAlign w:val="bottom"/>
            <w:gridSpan w:val="3"/>
            <w:vMerge w:val="continue"/>
          </w:tcPr>
          <w:p>
            <w:pPr>
              <w:spacing w:after="0"/>
              <w:rPr>
                <w:sz w:val="11"/>
                <w:szCs w:val="11"/>
                <w:color w:val="auto"/>
              </w:rPr>
            </w:pPr>
          </w:p>
        </w:tc>
        <w:tc>
          <w:tcPr>
            <w:tcW w:w="760" w:type="dxa"/>
            <w:vAlign w:val="bottom"/>
            <w:tcBorders>
              <w:top w:val="single" w:sz="8" w:color="auto"/>
            </w:tcBorders>
            <w:gridSpan w:val="2"/>
          </w:tcPr>
          <w:p>
            <w:pPr>
              <w:jc w:val="center"/>
              <w:ind w:right="160"/>
              <w:spacing w:after="0" w:line="129" w:lineRule="exact"/>
              <w:rPr>
                <w:sz w:val="20"/>
                <w:szCs w:val="20"/>
                <w:color w:val="auto"/>
              </w:rPr>
            </w:pPr>
            <w:r>
              <w:rPr>
                <w:rFonts w:ascii="Times New Roman" w:cs="Times New Roman" w:eastAsia="Times New Roman" w:hAnsi="Times New Roman"/>
                <w:sz w:val="14"/>
                <w:szCs w:val="14"/>
                <w:color w:val="auto"/>
                <w:w w:val="94"/>
              </w:rPr>
              <w:t>Total</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8"/>
              </w:rPr>
              <w:t>Level 2</w:t>
            </w:r>
          </w:p>
        </w:tc>
        <w:tc>
          <w:tcPr>
            <w:tcW w:w="340" w:type="dxa"/>
            <w:vAlign w:val="bottom"/>
          </w:tcPr>
          <w:p>
            <w:pPr>
              <w:spacing w:after="0"/>
              <w:rPr>
                <w:sz w:val="11"/>
                <w:szCs w:val="11"/>
                <w:color w:val="auto"/>
              </w:rPr>
            </w:pPr>
          </w:p>
        </w:tc>
        <w:tc>
          <w:tcPr>
            <w:tcW w:w="42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Level 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8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assets measured at fair value on a recurring basis:</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equity securities with readily determinable fair values: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15"/>
                <w:szCs w:val="15"/>
                <w:color w:val="auto"/>
              </w:rPr>
              <w:t>(a)</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11,413</w:t>
            </w:r>
          </w:p>
        </w:tc>
        <w:tc>
          <w:tcPr>
            <w:tcW w:w="16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11,413</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11,413</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11,413</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0" w:right="120" w:hanging="424"/>
        <w:spacing w:after="0" w:line="290" w:lineRule="auto"/>
        <w:tabs>
          <w:tab w:leader="none" w:pos="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 xml:space="preserve">As of September 27, 2020, $11.4 billion of proceeds from the debt issuances completed in June 2020 (see </w:t>
      </w:r>
      <w:r>
        <w:rPr>
          <w:rFonts w:ascii="Times New Roman" w:cs="Times New Roman" w:eastAsia="Times New Roman" w:hAnsi="Times New Roman"/>
          <w:sz w:val="17"/>
          <w:szCs w:val="17"/>
          <w:i w:val="1"/>
          <w:iCs w:val="1"/>
          <w:color w:val="auto"/>
        </w:rPr>
        <w:t>Note 7C</w:t>
      </w:r>
      <w:r>
        <w:rPr>
          <w:rFonts w:ascii="Times New Roman" w:cs="Times New Roman" w:eastAsia="Times New Roman" w:hAnsi="Times New Roman"/>
          <w:sz w:val="17"/>
          <w:szCs w:val="17"/>
          <w:color w:val="auto"/>
        </w:rPr>
        <w:t xml:space="preserve">) are invested in money market funds and are included in </w:t>
      </w:r>
      <w:r>
        <w:rPr>
          <w:rFonts w:ascii="Times New Roman" w:cs="Times New Roman" w:eastAsia="Times New Roman" w:hAnsi="Times New Roman"/>
          <w:sz w:val="17"/>
          <w:szCs w:val="17"/>
          <w:i w:val="1"/>
          <w:iCs w:val="1"/>
          <w:color w:val="auto"/>
        </w:rPr>
        <w:t>Restricted short-term investments</w:t>
      </w:r>
      <w:r>
        <w:rPr>
          <w:rFonts w:ascii="Times New Roman" w:cs="Times New Roman" w:eastAsia="Times New Roman" w:hAnsi="Times New Roman"/>
          <w:sz w:val="17"/>
          <w:szCs w:val="17"/>
          <w:color w:val="auto"/>
        </w:rPr>
        <w:t xml:space="preserve"> in the condensed combined balance sheet, pursuant to the terms of the Transaction agreements. The money market funds are primarily invested in U.S. Treasury and government debt with readily determinable fair values.</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Financial Assets and Liabilities Not Measured at Fair Value on a Recurring Basis</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liabilities not measured at fair value on a recurring basis, including the carrying values and estimated fair values using a market approach:</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color w:val="auto"/>
              </w:rPr>
              <w:t>September 27, 2020</w:t>
            </w:r>
          </w:p>
        </w:tc>
        <w:tc>
          <w:tcPr>
            <w:tcW w:w="260" w:type="dxa"/>
            <w:vAlign w:val="bottom"/>
          </w:tcPr>
          <w:p>
            <w:pPr>
              <w:spacing w:after="0"/>
              <w:rPr>
                <w:sz w:val="14"/>
                <w:szCs w:val="14"/>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5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Carrying</w:t>
            </w:r>
          </w:p>
        </w:tc>
        <w:tc>
          <w:tcPr>
            <w:tcW w:w="260" w:type="dxa"/>
            <w:vAlign w:val="bottom"/>
          </w:tcPr>
          <w:p>
            <w:pPr>
              <w:spacing w:after="0"/>
              <w:rPr>
                <w:sz w:val="10"/>
                <w:szCs w:val="10"/>
                <w:color w:val="auto"/>
              </w:rPr>
            </w:pPr>
          </w:p>
        </w:tc>
        <w:tc>
          <w:tcPr>
            <w:tcW w:w="17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color w:val="auto"/>
              </w:rPr>
              <w:t>Estimated Fair Value</w:t>
            </w: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Carrying</w:t>
            </w:r>
          </w:p>
        </w:tc>
        <w:tc>
          <w:tcPr>
            <w:tcW w:w="260" w:type="dxa"/>
            <w:vAlign w:val="bottom"/>
          </w:tcPr>
          <w:p>
            <w:pPr>
              <w:spacing w:after="0"/>
              <w:rPr>
                <w:sz w:val="10"/>
                <w:szCs w:val="10"/>
                <w:color w:val="auto"/>
              </w:rPr>
            </w:pPr>
          </w:p>
        </w:tc>
        <w:tc>
          <w:tcPr>
            <w:tcW w:w="106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3"/>
                <w:szCs w:val="13"/>
                <w:color w:val="auto"/>
              </w:rPr>
              <w:t>Estimated 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580" w:type="dxa"/>
            <w:vAlign w:val="bottom"/>
            <w:gridSpan w:val="2"/>
            <w:vMerge w:val="continue"/>
          </w:tcPr>
          <w:p>
            <w:pPr>
              <w:spacing w:after="0"/>
              <w:rPr>
                <w:sz w:val="14"/>
                <w:szCs w:val="14"/>
                <w:color w:val="auto"/>
              </w:rPr>
            </w:pPr>
          </w:p>
        </w:tc>
        <w:tc>
          <w:tcPr>
            <w:tcW w:w="5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Value</w:t>
            </w:r>
          </w:p>
        </w:tc>
        <w:tc>
          <w:tcPr>
            <w:tcW w:w="260" w:type="dxa"/>
            <w:vAlign w:val="bottom"/>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520" w:type="dxa"/>
            <w:vAlign w:val="bottom"/>
          </w:tcPr>
          <w:p>
            <w:pPr>
              <w:jc w:val="right"/>
              <w:ind w:right="25"/>
              <w:spacing w:after="0" w:line="158" w:lineRule="exact"/>
              <w:rPr>
                <w:sz w:val="20"/>
                <w:szCs w:val="20"/>
                <w:color w:val="auto"/>
              </w:rPr>
            </w:pPr>
            <w:r>
              <w:rPr>
                <w:rFonts w:ascii="Times New Roman" w:cs="Times New Roman" w:eastAsia="Times New Roman" w:hAnsi="Times New Roman"/>
                <w:sz w:val="14"/>
                <w:szCs w:val="14"/>
                <w:color w:val="auto"/>
              </w:rPr>
              <w:t>Value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3"/>
          </w:tcPr>
          <w:p>
            <w:pPr>
              <w:jc w:val="center"/>
              <w:ind w:right="440"/>
              <w:spacing w:after="0" w:line="158" w:lineRule="exact"/>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148"/>
        </w:trPr>
        <w:tc>
          <w:tcPr>
            <w:tcW w:w="1160" w:type="dxa"/>
            <w:vAlign w:val="bottom"/>
            <w:tcBorders>
              <w:top w:val="single" w:sz="8" w:color="auto"/>
            </w:tcBorders>
          </w:tcPr>
          <w:p>
            <w:pPr>
              <w:spacing w:after="0"/>
              <w:rPr>
                <w:sz w:val="12"/>
                <w:szCs w:val="12"/>
                <w:color w:val="auto"/>
              </w:rPr>
            </w:pPr>
          </w:p>
        </w:tc>
        <w:tc>
          <w:tcPr>
            <w:tcW w:w="54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4"/>
              </w:rPr>
              <w:t>Total</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Level 2</w:t>
            </w:r>
          </w:p>
        </w:tc>
        <w:tc>
          <w:tcPr>
            <w:tcW w:w="2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w w:val="98"/>
              </w:rPr>
              <w:t>Level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11,535</w:t>
            </w:r>
          </w:p>
        </w:tc>
        <w:tc>
          <w:tcPr>
            <w:tcW w:w="9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12,577</w:t>
            </w: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12,577</w:t>
            </w:r>
          </w:p>
        </w:tc>
        <w:tc>
          <w:tcPr>
            <w:tcW w:w="520" w:type="dxa"/>
            <w:vAlign w:val="bottom"/>
          </w:tcPr>
          <w:p>
            <w:pPr>
              <w:jc w:val="right"/>
              <w:ind w:right="25"/>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w:t>
            </w:r>
          </w:p>
        </w:tc>
        <w:tc>
          <w:tcPr>
            <w:tcW w:w="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Short-Term Borrowings</w:t>
      </w:r>
    </w:p>
    <w:p>
      <w:pPr>
        <w:spacing w:after="0" w:line="115" w:lineRule="exact"/>
        <w:rPr>
          <w:sz w:val="20"/>
          <w:szCs w:val="20"/>
          <w:color w:val="auto"/>
        </w:rPr>
      </w:pPr>
    </w:p>
    <w:p>
      <w:pPr>
        <w:ind w:left="5420" w:right="5320" w:hanging="5312"/>
        <w:spacing w:after="0" w:line="456" w:lineRule="auto"/>
        <w:rPr>
          <w:sz w:val="20"/>
          <w:szCs w:val="20"/>
          <w:color w:val="auto"/>
        </w:rPr>
      </w:pPr>
      <w:r>
        <w:rPr>
          <w:rFonts w:ascii="Times New Roman" w:cs="Times New Roman" w:eastAsia="Times New Roman" w:hAnsi="Times New Roman"/>
          <w:sz w:val="18"/>
          <w:szCs w:val="18"/>
          <w:color w:val="auto"/>
        </w:rPr>
        <w:t xml:space="preserve">As of September 27, 2020, </w:t>
      </w:r>
      <w:r>
        <w:rPr>
          <w:rFonts w:ascii="Times New Roman" w:cs="Times New Roman" w:eastAsia="Times New Roman" w:hAnsi="Times New Roman"/>
          <w:sz w:val="18"/>
          <w:szCs w:val="18"/>
          <w:i w:val="1"/>
          <w:iCs w:val="1"/>
          <w:color w:val="auto"/>
        </w:rPr>
        <w:t>Short-term borrowings</w:t>
      </w:r>
      <w:r>
        <w:rPr>
          <w:rFonts w:ascii="Times New Roman" w:cs="Times New Roman" w:eastAsia="Times New Roman" w:hAnsi="Times New Roman"/>
          <w:sz w:val="18"/>
          <w:szCs w:val="18"/>
          <w:color w:val="auto"/>
        </w:rPr>
        <w:t xml:space="preserve"> consist of bank overdrafts. -20-</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 Long-Term Debt</w:t>
      </w:r>
    </w:p>
    <w:p>
      <w:pPr>
        <w:spacing w:after="0" w:line="11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in June 2020, Upjohn Inc. and Upjohn Finance B.V. completed privately placed debt offerings of $7.45 billion and €3.60 billion aggregate principal amount of senior unsecured notes, respectively (the Upjohn Debt Transactions), and entered into other financing arrangements described below. Upjohn Inc. and Upjohn Finance B.V. are U.S. dollar functional entities. The following table provides information about the senior unsecured notes issued in June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6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(millions of dollars/euros)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Principal</w:t>
            </w:r>
          </w:p>
        </w:tc>
        <w:tc>
          <w:tcPr>
            <w:tcW w:w="0" w:type="dxa"/>
            <w:vAlign w:val="bottom"/>
          </w:tcPr>
          <w:p>
            <w:pPr>
              <w:spacing w:after="0"/>
              <w:rPr>
                <w:sz w:val="1"/>
                <w:szCs w:val="1"/>
                <w:color w:val="auto"/>
              </w:rPr>
            </w:pPr>
          </w:p>
        </w:tc>
      </w:tr>
      <w:tr>
        <w:trPr>
          <w:trHeight w:val="126"/>
        </w:trPr>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Issue</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34"/>
              <w:spacing w:after="0" w:line="126" w:lineRule="exact"/>
              <w:rPr>
                <w:sz w:val="20"/>
                <w:szCs w:val="20"/>
                <w:color w:val="auto"/>
              </w:rPr>
            </w:pPr>
            <w:r>
              <w:rPr>
                <w:rFonts w:ascii="Times New Roman" w:cs="Times New Roman" w:eastAsia="Times New Roman" w:hAnsi="Times New Roman"/>
                <w:sz w:val="14"/>
                <w:szCs w:val="14"/>
                <w:color w:val="auto"/>
              </w:rPr>
              <w:t>As of</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Interest Rate</w:t>
            </w:r>
          </w:p>
        </w:tc>
        <w:tc>
          <w:tcPr>
            <w:tcW w:w="6920" w:type="dxa"/>
            <w:vAlign w:val="bottom"/>
            <w:gridSpan w:val="5"/>
            <w:vMerge w:val="restart"/>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Maturity Date</w:t>
            </w:r>
          </w:p>
        </w:tc>
        <w:tc>
          <w:tcPr>
            <w:tcW w:w="1120" w:type="dxa"/>
            <w:vAlign w:val="bottom"/>
            <w:gridSpan w:val="2"/>
            <w:vMerge w:val="continue"/>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September 27,</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6920" w:type="dxa"/>
            <w:vAlign w:val="bottom"/>
            <w:gridSpan w:val="5"/>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Pr>
          <w:p>
            <w:pPr>
              <w:spacing w:after="0"/>
              <w:rPr>
                <w:sz w:val="15"/>
                <w:szCs w:val="15"/>
                <w:color w:val="auto"/>
              </w:rPr>
            </w:pPr>
          </w:p>
        </w:tc>
        <w:tc>
          <w:tcPr>
            <w:tcW w:w="720" w:type="dxa"/>
            <w:vAlign w:val="bottom"/>
          </w:tcPr>
          <w:p>
            <w:pPr>
              <w:jc w:val="center"/>
              <w:ind w:right="34"/>
              <w:spacing w:after="0" w:line="158" w:lineRule="exact"/>
              <w:rPr>
                <w:sz w:val="20"/>
                <w:szCs w:val="20"/>
                <w:color w:val="auto"/>
              </w:rPr>
            </w:pPr>
            <w:r>
              <w:rPr>
                <w:rFonts w:ascii="Times New Roman" w:cs="Times New Roman" w:eastAsia="Times New Roman" w:hAnsi="Times New Roman"/>
                <w:sz w:val="14"/>
                <w:szCs w:val="14"/>
                <w:color w:val="auto"/>
                <w:w w:val="99"/>
              </w:rPr>
              <w:t>2020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660" w:type="dxa"/>
            <w:vAlign w:val="bottom"/>
            <w:tcBorders>
              <w:top w:val="single" w:sz="8" w:color="CCEEFF"/>
            </w:tcBorders>
            <w:gridSpan w:val="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Upjohn Inc.</w:t>
            </w:r>
            <w:r>
              <w:rPr>
                <w:rFonts w:ascii="Times New Roman" w:cs="Times New Roman" w:eastAsia="Times New Roman" w:hAnsi="Times New Roman"/>
                <w:sz w:val="14"/>
                <w:szCs w:val="14"/>
                <w:color w:val="auto"/>
              </w:rPr>
              <w:t>(a)</w:t>
            </w:r>
          </w:p>
        </w:tc>
        <w:tc>
          <w:tcPr>
            <w:tcW w:w="10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June 22, 2022</w:t>
            </w:r>
          </w:p>
        </w:tc>
        <w:tc>
          <w:tcPr>
            <w:tcW w:w="11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 dollar</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June 22, 2025</w:t>
            </w: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 dollar</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June 22, 2027</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 dollar</w:t>
            </w: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June 22, 2030</w:t>
            </w: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 dollar</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3.850%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June 22, 2040</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 dollar</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June 22, 2050</w:t>
            </w: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 dollar</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60" w:type="dxa"/>
            <w:vAlign w:val="bottom"/>
            <w:tcBorders>
              <w:bottom w:val="single" w:sz="8" w:color="CCEE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Upjohn Finance B.V., a wholly-owned subsidiary of Upjohn Inc.</w:t>
            </w: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9"/>
              </w:rPr>
              <w:t>(a)</w:t>
            </w:r>
          </w:p>
        </w:tc>
        <w:tc>
          <w:tcPr>
            <w:tcW w:w="28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0.816%</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June 23, 2022</w:t>
            </w:r>
          </w:p>
        </w:tc>
        <w:tc>
          <w:tcPr>
            <w:tcW w:w="11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Euro</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June 23, 2024</w:t>
            </w: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Euro</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June 23, 2027</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Euro</w:t>
            </w: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June 23, 2032</w:t>
            </w: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Euro</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40" w:hanging="424"/>
        <w:spacing w:after="0" w:line="266" w:lineRule="auto"/>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notes may be redeemed by Upjohn Inc. and Upjohn Finance B.V., as applicable, at any time, in whole, or in part, at varying redemption prices plus accrued and unpaid interest. The weighted-average effective interest rates at issuance were 2.95% for the $7.45 billion notes and 1.37% for the €3.60 billion notes.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senior unsecured notes were offered in connection with the Transaction. The U.S. dollar notes were issued at a discount of approximately</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$15 million, which will be amortized as interest expense over the life of the U.S. dollar notes. Issuance costs related to the U.S. dollar notes and the euro notes were approximately $89 million and will be amortized as interest expense over the life of the notes. The unamortized discount and issuance costs are presented in the condensed combined balance sheet as a deduction to the carrying value of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as of September 27, 2020 is accrued interest payable of $74 million associated with the senior unsecured notes (see </w:t>
      </w:r>
      <w:r>
        <w:rPr>
          <w:rFonts w:ascii="Times New Roman" w:cs="Times New Roman" w:eastAsia="Times New Roman" w:hAnsi="Times New Roman"/>
          <w:sz w:val="18"/>
          <w:szCs w:val="18"/>
          <w:i w:val="1"/>
          <w:iCs w:val="1"/>
          <w:color w:val="auto"/>
        </w:rPr>
        <w:t>Note 11A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 xml:space="preserve">The euro notes are exposed to changes in foreign exchange rates and there are no derivatives in place to mitigate that risk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The proceeds of the euro notes were converted to U.S. dollars at the time of issuance.</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June 2020, Upjohn Inc. (i) entered into a $600 million delayed draw term loan agreement and (ii) entered into a revolving credit facility agreement for up to $4 billion, $1.5 billion of which was available in a single draw at or around the closing of the Combination for the purpose of funding the</w:t>
      </w:r>
    </w:p>
    <w:p>
      <w:pPr>
        <w:ind w:left="120" w:right="380"/>
        <w:spacing w:after="0" w:line="252" w:lineRule="auto"/>
        <w:rPr>
          <w:sz w:val="20"/>
          <w:szCs w:val="20"/>
          <w:color w:val="auto"/>
        </w:rPr>
      </w:pPr>
      <w:r>
        <w:rPr>
          <w:rFonts w:ascii="Times New Roman" w:cs="Times New Roman" w:eastAsia="Times New Roman" w:hAnsi="Times New Roman"/>
          <w:sz w:val="18"/>
          <w:szCs w:val="18"/>
          <w:color w:val="auto"/>
        </w:rPr>
        <w:t xml:space="preserve">$12 billion cash payment by Upjohn Inc. to Pfizer as partial consideration for Pfizer’s contribution of the Upjohn Business to Upjohn Inc. (the Cash Distribution). Upjohn Inc. used the net proceeds from the Upjohn Debt Transactions, together with the proceeds from the $600 million term loan agreement and the revolving credit agreement to fund in full the Cash Distribution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and related transaction fees and expenses. In the interim, the $11.4 billion of proceeds, net of debt issuance costs paid, from the Upjohn Debt Transactions are classified as </w:t>
      </w:r>
      <w:r>
        <w:rPr>
          <w:rFonts w:ascii="Times New Roman" w:cs="Times New Roman" w:eastAsia="Times New Roman" w:hAnsi="Times New Roman"/>
          <w:sz w:val="18"/>
          <w:szCs w:val="18"/>
          <w:i w:val="1"/>
          <w:iCs w:val="1"/>
          <w:color w:val="auto"/>
        </w:rPr>
        <w:t>Restricted short-term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in the condensed combined balance sheet as of September 27, 2020 pursuant to the terms of the Transaction agreements. Upjohn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intends to use any remaining balance of net proceeds from these financing transactions after the Cash Distribution for general corporate purposes.</w:t>
      </w:r>
    </w:p>
    <w:p>
      <w:pPr>
        <w:spacing w:after="0" w:line="19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U.S. dollar notes are senior unsecured obligations of Upjohn Inc. The euro notes are senior unsecured obligations of Upjohn Finance B.V. The U.S. dollar notes and euro notes were initially guaranteed on a senior unsecured basis by Pfizer. The guarantee by Pfizer was automatically and unconditionally terminated and released without the consent of the holders of the notes upon the consummation of the Distribution. Upjohn Inc. has guaranteed the notes issued by Upjohn Finance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B.V., and Upjohn Inc. remains a guarantor of such notes following the Distribution. Following the Distribution and the Combination, Upjohn Inc. and Upjohn Finance B.V., as applicable, remain the obligor with respect to such notes. Upon the consummation of the Combination, the Mylan entities (which are subsidiaries of Upjohn Inc. following the Combination) that are issuers or guarantors of the outstanding senior unsecured notes issued by Mylan or Mylan Inc. became guarantors of the U.S. dollar notes and euro notes, substantially concurrent with Upjohn Inc.’s becoming a guarantor of the existing Mylan notes.</w:t>
      </w:r>
    </w:p>
    <w:p>
      <w:pPr>
        <w:spacing w:after="0" w:line="210"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the senior unsecured long-term debt, including the weighted-average annual stated interest rate by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76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September 27,</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December 31,</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2"/>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9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Notes due 2022 (0.981%)</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1,872</w:t>
            </w: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due 2024 (1.023%)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2025 (1.650%)</w:t>
            </w:r>
          </w:p>
        </w:tc>
        <w:tc>
          <w:tcPr>
            <w:tcW w:w="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due 2027 (1.767%)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2030 (2.700%)</w:t>
            </w:r>
          </w:p>
        </w:tc>
        <w:tc>
          <w:tcPr>
            <w:tcW w:w="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due 2032 (1.908%)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2040 (3.850%)</w:t>
            </w:r>
          </w:p>
        </w:tc>
        <w:tc>
          <w:tcPr>
            <w:tcW w:w="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due 2050 (4.000%)</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principal amount</w:t>
            </w:r>
          </w:p>
        </w:tc>
        <w:tc>
          <w:tcPr>
            <w:tcW w:w="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11,638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unamortized discounts and debt issuance costs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carried at historical proceeds, as adjusted</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11,535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Note 8. Inventories</w:t>
            </w:r>
          </w:p>
        </w:tc>
        <w:tc>
          <w:tcPr>
            <w:tcW w:w="5780" w:type="dxa"/>
            <w:vAlign w:val="bottom"/>
            <w:gridSpan w:val="2"/>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60" w:type="dxa"/>
            <w:vAlign w:val="bottom"/>
            <w:tcBorders>
              <w:bottom w:val="single" w:sz="8" w:color="auto"/>
            </w:tcBorders>
            <w:gridSpan w:val="2"/>
            <w:vMerge w:val="continue"/>
          </w:tcPr>
          <w:p>
            <w:pPr>
              <w:spacing w:after="0"/>
              <w:rPr>
                <w:sz w:val="24"/>
                <w:szCs w:val="24"/>
                <w:color w:val="auto"/>
              </w:rPr>
            </w:pPr>
          </w:p>
        </w:tc>
        <w:tc>
          <w:tcPr>
            <w:tcW w:w="57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condensed combined balance sheets include all of the inventory directly attributable to Upjohn.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 xml:space="preserve">The following table provides 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320" w:type="dxa"/>
            <w:vAlign w:val="bottom"/>
          </w:tcPr>
          <w:p>
            <w:pPr>
              <w:spacing w:after="0"/>
              <w:rPr>
                <w:sz w:val="24"/>
                <w:szCs w:val="24"/>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76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September 27,</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December 31,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32"/>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9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Finished goods</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left w:val="single" w:sz="8" w:color="CCEEFF"/>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469</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88"/>
              </w:rPr>
              <w:t>441</w:t>
            </w:r>
          </w:p>
        </w:tc>
        <w:tc>
          <w:tcPr>
            <w:tcW w:w="13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593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121</w:t>
            </w:r>
          </w:p>
        </w:tc>
        <w:tc>
          <w:tcPr>
            <w:tcW w:w="1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inventories not included above</w:t>
            </w:r>
            <w:r>
              <w:rPr>
                <w:rFonts w:ascii="Times New Roman" w:cs="Times New Roman" w:eastAsia="Times New Roman" w:hAnsi="Times New Roman"/>
                <w:sz w:val="15"/>
                <w:szCs w:val="15"/>
                <w:color w:val="auto"/>
              </w:rPr>
              <w:t>(a)</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3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noncurrent assets––</w:t>
      </w: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10B</w:t>
      </w:r>
      <w:r>
        <w:rPr>
          <w:rFonts w:ascii="Times New Roman" w:cs="Times New Roman" w:eastAsia="Times New Roman" w:hAnsi="Times New Roman"/>
          <w:sz w:val="18"/>
          <w:szCs w:val="18"/>
          <w:color w:val="auto"/>
        </w:rPr>
        <w:t>. There are no recoverability issues associated with these amounts.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9. Identifiable Intangible Assets and Goodwill</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condensed combined balance sheets include all of the goodwill and identifiable intangible assets directly attributable to Upjohn. The condensed combined statements of income include all of the amortization expense associated with finite-lived identifiable intangible assets.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Identifiable Intangible Assets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Balance Sheet Information</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following table provides the components of </w:t>
      </w:r>
      <w:r>
        <w:rPr>
          <w:rFonts w:ascii="Times New Roman" w:cs="Times New Roman" w:eastAsia="Times New Roman" w:hAnsi="Times New Roman"/>
          <w:sz w:val="18"/>
          <w:szCs w:val="18"/>
          <w:i w:val="1"/>
          <w:iCs w:val="1"/>
          <w:color w:val="auto"/>
        </w:rPr>
        <w:t>Identifiable intangible assets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September 27, 2020</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December 31, 2019</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Identifiable</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Identifiable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7"/>
              </w:rPr>
              <w:t>Gross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Intangible</w:t>
            </w: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Gross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Intangible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10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Assets, less</w:t>
            </w: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Accumulated</w:t>
            </w:r>
          </w:p>
        </w:tc>
        <w:tc>
          <w:tcPr>
            <w:tcW w:w="8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Assets, less</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2940" w:type="dxa"/>
            <w:vAlign w:val="bottom"/>
            <w:gridSpan w:val="2"/>
            <w:vMerge w:val="restart"/>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294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5"/>
                <w:szCs w:val="15"/>
                <w:color w:val="auto"/>
              </w:rPr>
            </w:pPr>
          </w:p>
        </w:tc>
        <w:tc>
          <w:tcPr>
            <w:tcW w:w="108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Amortization</w:t>
            </w:r>
          </w:p>
        </w:tc>
        <w:tc>
          <w:tcPr>
            <w:tcW w:w="102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Amortization</w:t>
            </w:r>
          </w:p>
        </w:tc>
        <w:tc>
          <w:tcPr>
            <w:tcW w:w="68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5"/>
                <w:szCs w:val="15"/>
                <w:color w:val="auto"/>
              </w:rPr>
            </w:pPr>
          </w:p>
        </w:tc>
        <w:tc>
          <w:tcPr>
            <w:tcW w:w="108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Amortization</w:t>
            </w:r>
          </w:p>
        </w:tc>
        <w:tc>
          <w:tcPr>
            <w:tcW w:w="840" w:type="dxa"/>
            <w:vAlign w:val="bottom"/>
            <w:gridSpan w:val="3"/>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Amortization</w:t>
            </w:r>
          </w:p>
        </w:tc>
        <w:tc>
          <w:tcPr>
            <w:tcW w:w="0" w:type="dxa"/>
            <w:vAlign w:val="bottom"/>
          </w:tcPr>
          <w:p>
            <w:pPr>
              <w:spacing w:after="0"/>
              <w:rPr>
                <w:sz w:val="1"/>
                <w:szCs w:val="1"/>
                <w:color w:val="auto"/>
              </w:rPr>
            </w:pPr>
          </w:p>
        </w:tc>
      </w:tr>
      <w:tr>
        <w:trPr>
          <w:trHeight w:val="149"/>
        </w:trPr>
        <w:tc>
          <w:tcPr>
            <w:tcW w:w="4100" w:type="dxa"/>
            <w:vAlign w:val="bottom"/>
            <w:tcBorders>
              <w:top w:val="single" w:sz="8" w:color="CCEE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Finite-lived intangible assets</w:t>
            </w:r>
          </w:p>
        </w:tc>
        <w:tc>
          <w:tcPr>
            <w:tcW w:w="1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Developed technology rights</w:t>
            </w:r>
          </w:p>
        </w:tc>
        <w:tc>
          <w:tcPr>
            <w:tcW w:w="1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$16,416</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(16,256)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$16,282</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Licensing agreements and other</w:t>
            </w:r>
          </w:p>
        </w:tc>
        <w:tc>
          <w:tcPr>
            <w:tcW w:w="1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(16,339)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Indefinite-lived intangible assets-Brands</w:t>
            </w: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r>
              <w:rPr>
                <w:rFonts w:ascii="Times New Roman" w:cs="Times New Roman" w:eastAsia="Times New Roman" w:hAnsi="Times New Roman"/>
                <w:sz w:val="15"/>
                <w:szCs w:val="15"/>
                <w:color w:val="auto"/>
              </w:rPr>
              <w:t>(a)</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17,669</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(16,339)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17,530</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0" w:right="180" w:hanging="424"/>
        <w:spacing w:after="0" w:line="267" w:lineRule="auto"/>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The decrease in </w:t>
      </w:r>
      <w:r>
        <w:rPr>
          <w:rFonts w:ascii="Times New Roman" w:cs="Times New Roman" w:eastAsia="Times New Roman" w:hAnsi="Times New Roman"/>
          <w:sz w:val="18"/>
          <w:szCs w:val="18"/>
          <w:i w:val="1"/>
          <w:iCs w:val="1"/>
          <w:color w:val="auto"/>
        </w:rPr>
        <w:t>Identifiable intangible assets, less accumulated amortization</w:t>
      </w:r>
      <w:r>
        <w:rPr>
          <w:rFonts w:ascii="Times New Roman" w:cs="Times New Roman" w:eastAsia="Times New Roman" w:hAnsi="Times New Roman"/>
          <w:sz w:val="18"/>
          <w:szCs w:val="18"/>
          <w:color w:val="auto"/>
        </w:rPr>
        <w:t xml:space="preserve"> from December 31, 2019 is primarily due to amortization, partially offset by the addition of a new licensing agreement with a useful life of ten years as a result of the acquisition of Shanghai Minghui Pharmaceutical Co., Ltd. (see </w:t>
      </w:r>
      <w:r>
        <w:rPr>
          <w:rFonts w:ascii="Times New Roman" w:cs="Times New Roman" w:eastAsia="Times New Roman" w:hAnsi="Times New Roman"/>
          <w:sz w:val="18"/>
          <w:szCs w:val="18"/>
          <w:i w:val="1"/>
          <w:iCs w:val="1"/>
          <w:color w:val="auto"/>
        </w:rPr>
        <w:t>Note 1A</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Amortization</w:t>
      </w:r>
    </w:p>
    <w:p>
      <w:pPr>
        <w:spacing w:after="0" w:line="11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Total amortization expense for finite-lived intangible assets was $109 million in the first nine months of 2020 and $112 million in the first nine months of 2019.</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Goodwill</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following table provides the components of and changes in the carrying amount of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Developed</w:t>
            </w: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Greater</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Emerging</w:t>
            </w: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8"/>
        </w:trPr>
        <w:tc>
          <w:tcPr>
            <w:tcW w:w="6660" w:type="dxa"/>
            <w:vAlign w:val="bottom"/>
            <w:gridSpan w:val="3"/>
            <w:vMerge w:val="continue"/>
          </w:tcPr>
          <w:p>
            <w:pPr>
              <w:spacing w:after="0"/>
              <w:rPr>
                <w:sz w:val="13"/>
                <w:szCs w:val="13"/>
                <w:color w:val="auto"/>
              </w:rPr>
            </w:pPr>
          </w:p>
        </w:tc>
        <w:tc>
          <w:tcPr>
            <w:tcW w:w="104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color w:val="auto"/>
              </w:rPr>
              <w:t>Markets</w:t>
            </w:r>
          </w:p>
        </w:tc>
        <w:tc>
          <w:tcPr>
            <w:tcW w:w="92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4"/>
                <w:szCs w:val="14"/>
                <w:color w:val="auto"/>
              </w:rPr>
              <w:t>China</w:t>
            </w:r>
          </w:p>
        </w:tc>
        <w:tc>
          <w:tcPr>
            <w:tcW w:w="96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color w:val="auto"/>
              </w:rPr>
              <w:t>Markets</w:t>
            </w: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December 31, 2019</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5,883</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$1,944</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883</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$8,709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(a)</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27, 2020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1,945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838</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Reflects the impact of foreign exchange.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10. Other Current and Noncurrent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Other Current Assets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following table provides the components of </w:t>
      </w:r>
      <w:r>
        <w:rPr>
          <w:rFonts w:ascii="Times New Roman" w:cs="Times New Roman" w:eastAsia="Times New Roman" w:hAnsi="Times New Roman"/>
          <w:sz w:val="18"/>
          <w:szCs w:val="18"/>
          <w:i w:val="1"/>
          <w:iCs w:val="1"/>
          <w:color w:val="auto"/>
        </w:rPr>
        <w:t>Other current assets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760" w:type="dxa"/>
            <w:vAlign w:val="bottom"/>
            <w:vMerge w:val="restart"/>
          </w:tcPr>
          <w:p>
            <w:pPr>
              <w:spacing w:after="0"/>
              <w:rPr>
                <w:sz w:val="13"/>
                <w:szCs w:val="13"/>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September 27,</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3"/>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3"/>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VAT receivables</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party receivable</w:t>
            </w:r>
            <w:r>
              <w:rPr>
                <w:rFonts w:ascii="Times New Roman" w:cs="Times New Roman" w:eastAsia="Times New Roman" w:hAnsi="Times New Roman"/>
                <w:sz w:val="15"/>
                <w:szCs w:val="15"/>
                <w:color w:val="auto"/>
              </w:rPr>
              <w:t>(a)</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5"/>
          <w:szCs w:val="15"/>
          <w:color w:val="auto"/>
        </w:rPr>
        <w:t>(a)</w:t>
      </w:r>
      <w:r>
        <w:rPr>
          <w:sz w:val="20"/>
          <w:szCs w:val="20"/>
          <w:color w:val="auto"/>
        </w:rPr>
        <w:tab/>
      </w: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Other Noncurrent Assets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following table provides the components of </w:t>
      </w:r>
      <w:r>
        <w:rPr>
          <w:rFonts w:ascii="Times New Roman" w:cs="Times New Roman" w:eastAsia="Times New Roman" w:hAnsi="Times New Roman"/>
          <w:sz w:val="18"/>
          <w:szCs w:val="18"/>
          <w:i w:val="1"/>
          <w:iCs w:val="1"/>
          <w:color w:val="auto"/>
        </w:rPr>
        <w:t>Other noncurrent assets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760" w:type="dxa"/>
            <w:vAlign w:val="bottom"/>
            <w:vMerge w:val="restart"/>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27,</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2"/>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2"/>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Pension plan assets, net</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179</w:t>
            </w: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inventory</w:t>
            </w:r>
            <w:r>
              <w:rPr>
                <w:rFonts w:ascii="Times New Roman" w:cs="Times New Roman" w:eastAsia="Times New Roman" w:hAnsi="Times New Roman"/>
                <w:sz w:val="15"/>
                <w:szCs w:val="15"/>
                <w:color w:val="auto"/>
              </w:rPr>
              <w:t>(a)</w:t>
            </w:r>
          </w:p>
        </w:tc>
        <w:tc>
          <w:tcPr>
            <w:tcW w:w="1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Spare parts inventory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 for operating leases</w:t>
            </w:r>
            <w:r>
              <w:rPr>
                <w:rFonts w:ascii="Times New Roman" w:cs="Times New Roman" w:eastAsia="Times New Roman" w:hAnsi="Times New Roman"/>
                <w:sz w:val="15"/>
                <w:szCs w:val="15"/>
                <w:color w:val="auto"/>
              </w:rPr>
              <w:t>(b)</w:t>
            </w:r>
          </w:p>
        </w:tc>
        <w:tc>
          <w:tcPr>
            <w:tcW w:w="1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VAT receivables</w:t>
            </w:r>
          </w:p>
        </w:tc>
        <w:tc>
          <w:tcPr>
            <w:tcW w:w="1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advances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noncurrent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w:t>
      </w:r>
    </w:p>
    <w:p>
      <w:pPr>
        <w:spacing w:after="0" w:line="29"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increase in right of use assets for operating leases from December 31, 2019 is primarily due to a right of use asset of approximately</w:t>
      </w:r>
    </w:p>
    <w:p>
      <w:pPr>
        <w:spacing w:after="0" w:line="9" w:lineRule="exact"/>
        <w:rPr>
          <w:rFonts w:ascii="Times New Roman" w:cs="Times New Roman" w:eastAsia="Times New Roman" w:hAnsi="Times New Roman"/>
          <w:sz w:val="15"/>
          <w:szCs w:val="15"/>
          <w:color w:val="auto"/>
        </w:rPr>
      </w:pPr>
    </w:p>
    <w:p>
      <w:pPr>
        <w:ind w:left="54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$22 million for a lease at the Vega Baja site in Puerto Rico whereby the Upjohn Business leased a combined heat and power facility to receive the economic benefit of electric and thermal energy. The lease commenced in September 2020 and has a term of 15 years.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11. Other Current and Noncurrent Liabilities</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Other Current Liabilities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following table provides the components of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8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September 27,</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4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1"/>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1"/>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Rebate accruals</w:t>
            </w:r>
            <w:r>
              <w:rPr>
                <w:rFonts w:ascii="Times New Roman" w:cs="Times New Roman" w:eastAsia="Times New Roman" w:hAnsi="Times New Roman"/>
                <w:sz w:val="15"/>
                <w:szCs w:val="15"/>
                <w:color w:val="auto"/>
              </w:rPr>
              <w:t>(a)</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485</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contingencies</w:t>
            </w:r>
            <w:r>
              <w:rPr>
                <w:rFonts w:ascii="Times New Roman" w:cs="Times New Roman" w:eastAsia="Times New Roman" w:hAnsi="Times New Roman"/>
                <w:sz w:val="15"/>
                <w:szCs w:val="15"/>
                <w:color w:val="auto"/>
              </w:rPr>
              <w:t>(b)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returns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accruals</w:t>
            </w:r>
            <w:r>
              <w:rPr>
                <w:rFonts w:ascii="Times New Roman" w:cs="Times New Roman" w:eastAsia="Times New Roman" w:hAnsi="Times New Roman"/>
                <w:sz w:val="15"/>
                <w:szCs w:val="15"/>
                <w:color w:val="auto"/>
              </w:rPr>
              <w:t>(c)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r>
              <w:rPr>
                <w:rFonts w:ascii="Times New Roman" w:cs="Times New Roman" w:eastAsia="Times New Roman" w:hAnsi="Times New Roman"/>
                <w:sz w:val="15"/>
                <w:szCs w:val="15"/>
                <w:color w:val="auto"/>
              </w:rPr>
              <w:t>(d)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Co-marketing expense accruals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Healthcare fee accruals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VAT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other tax accruals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related accruals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accruals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share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Utility accruals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discount accruals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promotional accruals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costs associated with financing arrangements</w:t>
            </w:r>
            <w:r>
              <w:rPr>
                <w:rFonts w:ascii="Times New Roman" w:cs="Times New Roman" w:eastAsia="Times New Roman" w:hAnsi="Times New Roman"/>
                <w:sz w:val="15"/>
                <w:szCs w:val="15"/>
                <w:color w:val="auto"/>
              </w:rPr>
              <w:t>(d)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accruals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Chargeback accruals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20" w:hanging="424"/>
        <w:spacing w:after="0" w:line="260"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decrease in rebate accruals reflects the loss of exclusivity of Lyrica in the United States, with multi-source generic competition beginning in July 2019.</w:t>
      </w:r>
    </w:p>
    <w:p>
      <w:pPr>
        <w:ind w:left="540" w:hanging="42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13A.</w:t>
      </w:r>
    </w:p>
    <w:p>
      <w:pPr>
        <w:spacing w:after="0" w:line="9"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3.</w:t>
      </w:r>
    </w:p>
    <w:p>
      <w:pPr>
        <w:spacing w:after="0" w:line="10"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Associated with the U.S. dollar and euro senior unsecured notes issued in June 2020 (see </w:t>
      </w:r>
      <w:r>
        <w:rPr>
          <w:rFonts w:ascii="Times New Roman" w:cs="Times New Roman" w:eastAsia="Times New Roman" w:hAnsi="Times New Roman"/>
          <w:sz w:val="18"/>
          <w:szCs w:val="18"/>
          <w:i w:val="1"/>
          <w:iCs w:val="1"/>
          <w:color w:val="auto"/>
        </w:rPr>
        <w:t>Note 7C)</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5"/>
          <w:szCs w:val="15"/>
          <w:color w:val="auto"/>
        </w:rPr>
      </w:pPr>
    </w:p>
    <w:p>
      <w:pPr>
        <w:ind w:left="5540" w:hanging="111"/>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060"/>
          </w:cols>
          <w:pgMar w:left="320" w:top="455" w:right="5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Other Noncurrent Liabilities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following table provides the components of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760" w:type="dxa"/>
            <w:vAlign w:val="bottom"/>
            <w:vMerge w:val="restart"/>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27,</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2"/>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2"/>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sales returns</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w:t>
            </w: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contingencies</w:t>
            </w:r>
            <w:r>
              <w:rPr>
                <w:rFonts w:ascii="Times New Roman" w:cs="Times New Roman" w:eastAsia="Times New Roman" w:hAnsi="Times New Roman"/>
                <w:sz w:val="15"/>
                <w:szCs w:val="15"/>
                <w:color w:val="auto"/>
              </w:rPr>
              <w:t>(a)</w:t>
            </w:r>
          </w:p>
        </w:tc>
        <w:tc>
          <w:tcPr>
            <w:tcW w:w="1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accruals</w:t>
            </w:r>
            <w:r>
              <w:rPr>
                <w:rFonts w:ascii="Times New Roman" w:cs="Times New Roman" w:eastAsia="Times New Roman" w:hAnsi="Times New Roman"/>
                <w:sz w:val="15"/>
                <w:szCs w:val="15"/>
                <w:color w:val="auto"/>
              </w:rPr>
              <w:t>(b)</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r>
              <w:rPr>
                <w:rFonts w:ascii="Times New Roman" w:cs="Times New Roman" w:eastAsia="Times New Roman" w:hAnsi="Times New Roman"/>
                <w:sz w:val="15"/>
                <w:szCs w:val="15"/>
                <w:color w:val="auto"/>
              </w:rPr>
              <w:t>(c)</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reserves</w:t>
            </w:r>
          </w:p>
        </w:tc>
        <w:tc>
          <w:tcPr>
            <w:tcW w:w="1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w:t>
            </w:r>
            <w:r>
              <w:rPr>
                <w:rFonts w:ascii="Times New Roman" w:cs="Times New Roman" w:eastAsia="Times New Roman" w:hAnsi="Times New Roman"/>
                <w:sz w:val="15"/>
                <w:szCs w:val="15"/>
                <w:color w:val="auto"/>
              </w:rPr>
              <w:t>(d)</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noncurrent 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13A</w:t>
      </w:r>
      <w:r>
        <w:rPr>
          <w:rFonts w:ascii="Times New Roman" w:cs="Times New Roman" w:eastAsia="Times New Roman" w:hAnsi="Times New Roman"/>
          <w:sz w:val="18"/>
          <w:szCs w:val="18"/>
          <w:color w:val="auto"/>
        </w:rPr>
        <w:t>.</w:t>
      </w:r>
    </w:p>
    <w:p>
      <w:pPr>
        <w:spacing w:after="0" w:line="28"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3.</w:t>
      </w:r>
    </w:p>
    <w:p>
      <w:pPr>
        <w:spacing w:after="0" w:line="10"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increase in operating lease liabilities from December 31, 2019 is primarily due to noncurrent operating lease liabilities of approximately</w:t>
      </w:r>
    </w:p>
    <w:p>
      <w:pPr>
        <w:spacing w:after="0" w:line="9" w:lineRule="exact"/>
        <w:rPr>
          <w:rFonts w:ascii="Times New Roman" w:cs="Times New Roman" w:eastAsia="Times New Roman" w:hAnsi="Times New Roman"/>
          <w:sz w:val="15"/>
          <w:szCs w:val="15"/>
          <w:color w:val="auto"/>
        </w:rPr>
      </w:pPr>
    </w:p>
    <w:p>
      <w:pPr>
        <w:ind w:left="540" w:right="60"/>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$21 million for a lease at the Vega Baja site in Puerto Rico whereby the Upjohn Business leased a combined heat and power facility to receive the economic benefit of electric and thermal energy. The lease commenced in September 2020 and has a term of 15 years.</w:t>
      </w:r>
    </w:p>
    <w:p>
      <w:pPr>
        <w:spacing w:after="0" w:line="1"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12. Benefit Plans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condensed combined statements of income include benefit plan expenses attributable to Upjohn, including expenses associated with defined benefit and defined contribution plans, as well as other postretirement plans, consisting primarily of retiree medical benefits. The expenses include allocations of direct expenses as well as expenses that have been deemed attributable to the Upjohn operations.</w:t>
      </w:r>
    </w:p>
    <w:p>
      <w:pPr>
        <w:spacing w:after="0" w:line="176"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condensed combined statements of income include the net periodic pension and postretirement costs associated with plans sponsored by Upjohn (service cost component is for the Upjohn participants only). Net periodic pension and postretirement costs other than service costs are recognized, as required, in </w:t>
      </w:r>
      <w:r>
        <w:rPr>
          <w:rFonts w:ascii="Times New Roman" w:cs="Times New Roman" w:eastAsia="Times New Roman" w:hAnsi="Times New Roman"/>
          <w:sz w:val="18"/>
          <w:szCs w:val="18"/>
          <w:i w:val="1"/>
          <w:iCs w:val="1"/>
          <w:color w:val="auto"/>
        </w:rPr>
        <w:t>Other (income)/deductions––net</w:t>
      </w:r>
      <w:r>
        <w:rPr>
          <w:rFonts w:ascii="Times New Roman" w:cs="Times New Roman" w:eastAsia="Times New Roman" w:hAnsi="Times New Roman"/>
          <w:sz w:val="18"/>
          <w:szCs w:val="18"/>
          <w:color w:val="auto"/>
        </w:rPr>
        <w:t xml:space="preserve">. Net periodic pension and postretirement service costs for the Upjohn participants only are recognized, as required, in </w:t>
      </w:r>
      <w:r>
        <w:rPr>
          <w:rFonts w:ascii="Times New Roman" w:cs="Times New Roman" w:eastAsia="Times New Roman" w:hAnsi="Times New Roman"/>
          <w:sz w:val="18"/>
          <w:szCs w:val="18"/>
          <w:i w:val="1"/>
          <w:iCs w:val="1"/>
          <w:color w:val="auto"/>
        </w:rPr>
        <w:t>Cost of sales, Selling, informational and administrative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as appropriate.</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condensed combined balance sheets include the pension and postretirement benefit plan assets and liabilities of only those plans or arrangements sponsored by Upjohn. </w:t>
      </w:r>
      <w:r>
        <w:rPr>
          <w:rFonts w:ascii="Times New Roman" w:cs="Times New Roman" w:eastAsia="Times New Roman" w:hAnsi="Times New Roman"/>
          <w:sz w:val="18"/>
          <w:szCs w:val="18"/>
          <w:i w:val="1"/>
          <w:iCs w:val="1"/>
          <w:color w:val="auto"/>
        </w:rPr>
        <w:t>Pension benefit obligations, net</w:t>
      </w:r>
      <w:r>
        <w:rPr>
          <w:rFonts w:ascii="Times New Roman" w:cs="Times New Roman" w:eastAsia="Times New Roman" w:hAnsi="Times New Roman"/>
          <w:sz w:val="18"/>
          <w:szCs w:val="18"/>
          <w:color w:val="auto"/>
        </w:rPr>
        <w:t xml:space="preserve"> as of September 27, 2020 include an actuarial loss of $71 million in the nine months ended September 27, 2020, resulting from a remeasurement of the Upjohn sponsored pension plan in Puerto Rico, which is recorded in </w:t>
      </w:r>
      <w:r>
        <w:rPr>
          <w:rFonts w:ascii="Times New Roman" w:cs="Times New Roman" w:eastAsia="Times New Roman" w:hAnsi="Times New Roman"/>
          <w:sz w:val="18"/>
          <w:szCs w:val="18"/>
          <w:i w:val="1"/>
          <w:iCs w:val="1"/>
          <w:color w:val="auto"/>
        </w:rPr>
        <w:t>Other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income/(loss), before tax</w:t>
      </w:r>
      <w:r>
        <w:rPr>
          <w:rFonts w:ascii="Times New Roman" w:cs="Times New Roman" w:eastAsia="Times New Roman" w:hAnsi="Times New Roman"/>
          <w:sz w:val="18"/>
          <w:szCs w:val="18"/>
          <w:color w:val="auto"/>
        </w:rPr>
        <w:t>. There was no change in the plan’s expected rate of return on assets for full year 2020 as a result of the remeasurement.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September 27, 2020, Upjohn is the sponsor of pension plans, primarily in Puerto Rico, Japan, Taiwan, United Arab Emirates, Italy, South Korea, Mexico, the Philippines, Greece, Thailand, China, Germany, France and Kuwait, among other countries. In 2020, there are newly formed pension plans in Mexico for participants who previously participated in plans sponsored by Pfizer. The newly formed pension plans are partially funded and have aggregate net pension liabilities of approximately $1.8 million included in </w:t>
      </w:r>
      <w:r>
        <w:rPr>
          <w:rFonts w:ascii="Times New Roman" w:cs="Times New Roman" w:eastAsia="Times New Roman" w:hAnsi="Times New Roman"/>
          <w:sz w:val="18"/>
          <w:szCs w:val="18"/>
          <w:i w:val="1"/>
          <w:iCs w:val="1"/>
          <w:color w:val="auto"/>
        </w:rPr>
        <w:t>Pension benefit obligations, net</w:t>
      </w:r>
      <w:r>
        <w:rPr>
          <w:rFonts w:ascii="Times New Roman" w:cs="Times New Roman" w:eastAsia="Times New Roman" w:hAnsi="Times New Roman"/>
          <w:sz w:val="18"/>
          <w:szCs w:val="18"/>
          <w:color w:val="auto"/>
        </w:rPr>
        <w:t xml:space="preserve"> ($1.7 million) and </w:t>
      </w:r>
      <w:r>
        <w:rPr>
          <w:rFonts w:ascii="Times New Roman" w:cs="Times New Roman" w:eastAsia="Times New Roman" w:hAnsi="Times New Roman"/>
          <w:sz w:val="18"/>
          <w:szCs w:val="18"/>
          <w:i w:val="1"/>
          <w:iCs w:val="1"/>
          <w:color w:val="auto"/>
        </w:rPr>
        <w:t>Accrued compensation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items </w:t>
      </w:r>
      <w:r>
        <w:rPr>
          <w:rFonts w:ascii="Times New Roman" w:cs="Times New Roman" w:eastAsia="Times New Roman" w:hAnsi="Times New Roman"/>
          <w:sz w:val="18"/>
          <w:szCs w:val="18"/>
          <w:color w:val="auto"/>
        </w:rPr>
        <w:t>($0.1 million) in the condensed combined balance sheet as of September 27, 2020. Upjohn is the sponsor of one postretirement plan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Puerto Rico. Included in certain of the Upjohn sponsored plans are both Upjohn and non-Upjohn Pfizer participants. The condensed combined balance sheets as of September 27, 2020 and December 31, 2019 reflect the pension plan assets and pension and postretirement plan obligations associated with the non-Upjohn Pfizer active plan participants and inactive members as follows: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Pension Plans:</w:t>
      </w:r>
    </w:p>
    <w:p>
      <w:pPr>
        <w:spacing w:after="0" w:line="131" w:lineRule="exact"/>
        <w:rPr>
          <w:sz w:val="20"/>
          <w:szCs w:val="20"/>
          <w:color w:val="auto"/>
        </w:rPr>
      </w:pPr>
    </w:p>
    <w:p>
      <w:pPr>
        <w:ind w:left="540" w:right="500" w:hanging="316"/>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pension benefit obligations associated with non-Upjohn Pfizer active plan participants and inactive members included in the condensed combined balance sheets are approximately $1,858 million as of September 27, 2020 and $1,811 million as of December 31, 2019.</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540" w:right="500" w:hanging="316"/>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pension benefit plan assets associated with non-Upjohn Pfizer active plan participants and inactive members included in the condensed combined balance sheets are approximately $1,743 million as of September 27, 2020 and $1,728 million as of December 31, 2019.</w:t>
      </w:r>
    </w:p>
    <w:p>
      <w:pPr>
        <w:spacing w:after="0" w:line="67" w:lineRule="exact"/>
        <w:rPr>
          <w:rFonts w:ascii="Times New Roman" w:cs="Times New Roman" w:eastAsia="Times New Roman" w:hAnsi="Times New Roman"/>
          <w:sz w:val="18"/>
          <w:szCs w:val="18"/>
          <w:color w:val="auto"/>
        </w:rPr>
      </w:pPr>
    </w:p>
    <w:p>
      <w:pPr>
        <w:ind w:left="540" w:right="340" w:hanging="316"/>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pension plan assets and pension plan obligations associated with the non-Upjohn Pfizer active plan participants and inactive members are related to the Japan, Puerto Rico and China pension plans:</w:t>
      </w:r>
    </w:p>
    <w:p>
      <w:pPr>
        <w:spacing w:after="0" w:line="51" w:lineRule="exact"/>
        <w:rPr>
          <w:rFonts w:ascii="Times New Roman" w:cs="Times New Roman" w:eastAsia="Times New Roman" w:hAnsi="Times New Roman"/>
          <w:sz w:val="18"/>
          <w:szCs w:val="18"/>
          <w:color w:val="auto"/>
        </w:rPr>
      </w:pPr>
    </w:p>
    <w:p>
      <w:pPr>
        <w:ind w:left="560" w:right="1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Japan Pension Plan</w:t>
      </w:r>
      <w:r>
        <w:rPr>
          <w:rFonts w:ascii="Times New Roman" w:cs="Times New Roman" w:eastAsia="Times New Roman" w:hAnsi="Times New Roman"/>
          <w:sz w:val="18"/>
          <w:szCs w:val="18"/>
          <w:color w:val="auto"/>
        </w:rPr>
        <w:t>––The total pension benefit obligations of the Japan pension plan included in the condensed combined balance sheets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approximately $1,156 million as of September 27, 2020 and $1,138 million as of December 31, 2019. The total pension benefit plan assets of the Japan pension plan included in the condensed combined balance sheets are approximately $1,335 million as of September 27, 2020 and $1,303 million as of December 31, 2019. The net funded status of the Japan pension plan is a net pension asset of approximately $179 million as of September 27, 2020 and $165 million as of December 31, 2019 and is included in </w:t>
      </w:r>
      <w:r>
        <w:rPr>
          <w:rFonts w:ascii="Times New Roman" w:cs="Times New Roman" w:eastAsia="Times New Roman" w:hAnsi="Times New Roman"/>
          <w:sz w:val="18"/>
          <w:szCs w:val="18"/>
          <w:i w:val="1"/>
          <w:iCs w:val="1"/>
          <w:color w:val="auto"/>
        </w:rPr>
        <w:t>Other noncurrent assets</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Note 10B</w:t>
      </w:r>
      <w:r>
        <w:rPr>
          <w:rFonts w:ascii="Times New Roman" w:cs="Times New Roman" w:eastAsia="Times New Roman" w:hAnsi="Times New Roman"/>
          <w:sz w:val="18"/>
          <w:szCs w:val="18"/>
          <w:color w:val="auto"/>
        </w:rPr>
        <w:t>). Included in the Japan pension plan balances are:</w:t>
      </w:r>
    </w:p>
    <w:p>
      <w:pPr>
        <w:spacing w:after="0" w:line="89"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benefit obligations associated with non-Upjohn Pfizer active plan participants and inactive members in the Japan pension plan of approximately $1,019 million as of September 27, 2020 and $1,010 million as of December 31, 2019;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benefit plan assets associated with non-Upjohn Pfizer active plan participants and inactive members in the Japan pension plan of approximately $1,177 million as of September 27, 2020 and $1,156 million as of December 31, 2019.</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Puerto Rico Pension Plan</w:t>
      </w:r>
      <w:r>
        <w:rPr>
          <w:rFonts w:ascii="Times New Roman" w:cs="Times New Roman" w:eastAsia="Times New Roman" w:hAnsi="Times New Roman"/>
          <w:sz w:val="18"/>
          <w:szCs w:val="18"/>
          <w:color w:val="auto"/>
        </w:rPr>
        <w:t>––The pension benefit obligations of the Puerto Rico pension plan included in the condensed combined balance sheets</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are approximately $1,021 million as of September 27, 2020 and $969 million as of December 31, 2019. The pension benefit plan assets of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Puerto Rico pension plan included in the condensed combined balance sheets are approximately $689 million as of September 27, 2020 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$692 million as of December 31, 2019. The net funded status of the Puerto Rico pension plan is a net pension obligation of approximately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$332 million as of September 27, 2020 and $276 million as of December 31, 2019 and is included in </w:t>
      </w:r>
      <w:r>
        <w:rPr>
          <w:rFonts w:ascii="Times New Roman" w:cs="Times New Roman" w:eastAsia="Times New Roman" w:hAnsi="Times New Roman"/>
          <w:sz w:val="18"/>
          <w:szCs w:val="18"/>
          <w:i w:val="1"/>
          <w:iCs w:val="1"/>
          <w:color w:val="auto"/>
        </w:rPr>
        <w:t>Pension benefit obligations, net</w:t>
      </w:r>
      <w:r>
        <w:rPr>
          <w:rFonts w:ascii="Times New Roman" w:cs="Times New Roman" w:eastAsia="Times New Roman" w:hAnsi="Times New Roman"/>
          <w:sz w:val="18"/>
          <w:szCs w:val="18"/>
          <w:color w:val="auto"/>
        </w:rPr>
        <w:t>. Included in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Puerto Rico pension plan balances are:</w:t>
      </w:r>
    </w:p>
    <w:p>
      <w:pPr>
        <w:spacing w:after="0" w:line="112" w:lineRule="exact"/>
        <w:rPr>
          <w:sz w:val="20"/>
          <w:szCs w:val="20"/>
          <w:color w:val="auto"/>
        </w:rPr>
      </w:pPr>
    </w:p>
    <w:p>
      <w:pPr>
        <w:ind w:left="1080" w:right="2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benefit obligations associated with non-Upjohn Pfizer active plan participants and inactive members in the Puerto Rico pension plan of approximately $838 million as of September 27, 2020 and $800 million as of December 31, 2019;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benefit plan assets associated with non-Upjohn Pfizer active plan participants and inactive members in the Puerto Rico pension plan of approximately $566 million as of September 27, 2020 and $572 million as of December 31, 2019.</w:t>
      </w:r>
    </w:p>
    <w:p>
      <w:pPr>
        <w:spacing w:after="0" w:line="52"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China Heating Allowance Pension Plan</w:t>
      </w:r>
      <w:r>
        <w:rPr>
          <w:rFonts w:ascii="Times New Roman" w:cs="Times New Roman" w:eastAsia="Times New Roman" w:hAnsi="Times New Roman"/>
          <w:sz w:val="18"/>
          <w:szCs w:val="18"/>
          <w:color w:val="auto"/>
        </w:rPr>
        <w:t>––The pension benefit obligations of the China Heating Allowance pension plan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condensed combined balance sheets are approximately $1 million as of September 27, 2020 and December 31, 2019 and are primarily included in </w:t>
      </w:r>
      <w:r>
        <w:rPr>
          <w:rFonts w:ascii="Times New Roman" w:cs="Times New Roman" w:eastAsia="Times New Roman" w:hAnsi="Times New Roman"/>
          <w:sz w:val="18"/>
          <w:szCs w:val="18"/>
          <w:i w:val="1"/>
          <w:iCs w:val="1"/>
          <w:color w:val="auto"/>
        </w:rPr>
        <w:t>Pension benefit obligations, net</w:t>
      </w:r>
      <w:r>
        <w:rPr>
          <w:rFonts w:ascii="Times New Roman" w:cs="Times New Roman" w:eastAsia="Times New Roman" w:hAnsi="Times New Roman"/>
          <w:sz w:val="18"/>
          <w:szCs w:val="18"/>
          <w:color w:val="auto"/>
        </w:rPr>
        <w:t>. There are no assets associated with this pension plan. Included in the China Heating Allowance pension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are:</w:t>
      </w:r>
    </w:p>
    <w:p>
      <w:pPr>
        <w:spacing w:after="0" w:line="87" w:lineRule="exact"/>
        <w:rPr>
          <w:sz w:val="20"/>
          <w:szCs w:val="20"/>
          <w:color w:val="auto"/>
        </w:rPr>
      </w:pPr>
    </w:p>
    <w:p>
      <w:pPr>
        <w:ind w:left="1080" w:right="6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benefit obligations associated with non-Upjohn Pfizer active plan participants and inactive members in the China Heating Allowance pension plan of approximately $0.4 million as of September 27, 2020 and $0.7 million as of December 31, 2019.</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Postretirement Benefit Plan:</w:t>
      </w:r>
    </w:p>
    <w:p>
      <w:pPr>
        <w:spacing w:after="0" w:line="131" w:lineRule="exact"/>
        <w:rPr>
          <w:sz w:val="20"/>
          <w:szCs w:val="20"/>
          <w:color w:val="auto"/>
        </w:rPr>
      </w:pPr>
    </w:p>
    <w:p>
      <w:pPr>
        <w:ind w:left="540" w:hanging="316"/>
        <w:spacing w:after="0" w:line="266"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postretirement benefit obligations associated with non-Upjohn Pfizer active plan participants and inactive members included in the condensed combined balance sheets are approximately $168 million as of September 27, 2020 and December 31, 2019. There are no assets associated with the postretirement benefit plan.</w:t>
      </w:r>
    </w:p>
    <w:p>
      <w:pPr>
        <w:spacing w:after="0" w:line="6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Many of our employees participate in benefit plans sponsored by Pfizer. The condensed combined statements of income include the service cost associated with direct Upjohn employees participating in plans sponsored by Pfizer as well as an allocation of service cost that has been deemed attributable to Upjohn operations. The condensed combined balance sheets do not include benefit plan assets and liabilities associated with Upjohn employees participating in plans that are not sponsored by Upjohn. Service costs are recognized, as required, in </w:t>
      </w:r>
      <w:r>
        <w:rPr>
          <w:rFonts w:ascii="Times New Roman" w:cs="Times New Roman" w:eastAsia="Times New Roman" w:hAnsi="Times New Roman"/>
          <w:sz w:val="18"/>
          <w:szCs w:val="18"/>
          <w:i w:val="1"/>
          <w:iCs w:val="1"/>
          <w:color w:val="auto"/>
        </w:rPr>
        <w:t>Cost of sales, Selling, informational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Research and development expenses</w:t>
      </w:r>
      <w:r>
        <w:rPr>
          <w:rFonts w:ascii="Times New Roman" w:cs="Times New Roman" w:eastAsia="Times New Roman" w:hAnsi="Times New Roman"/>
          <w:sz w:val="18"/>
          <w:szCs w:val="18"/>
          <w:color w:val="auto"/>
        </w:rPr>
        <w:t>, as appropriate. The projected benefit obligation associated with direct Upjohn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participating in plans sponsored by Pfizer that is not included in the condensed combined balance sheets but may be required by law in certain jurisdictions to transfer upon a separation of Upjohn from Pfizer was approximately $110 million as of September 27, 2020. There were approximately $70 million of assets associated with these obligations as of September 27,</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2020. The projected benefit obligation associated with direct Upjohn employees participating in an unfunded postretirement benefit plan sponsored by Pfizer in Canada that is not included in the condensed combined balance sheets but may be required to transfer upon a separation of Upjohn from Pfizer was approximately $0.1 million as of September 27, 2020.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Pension and Postretirement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expense/(income) associated with the U.S. and international locations is included in the condensed combined statements of income as follows:</w:t>
      </w:r>
    </w:p>
    <w:p>
      <w:pPr>
        <w:spacing w:after="0" w:line="131" w:lineRule="exact"/>
        <w:rPr>
          <w:sz w:val="20"/>
          <w:szCs w:val="20"/>
          <w:color w:val="auto"/>
        </w:rPr>
      </w:pPr>
    </w:p>
    <w:p>
      <w:pPr>
        <w:ind w:left="540" w:hanging="316"/>
        <w:spacing w:after="0" w:line="25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nine months ended September 27, 2020––approximately $22 million expense, reflecting approximately $17 million of net periodic pension expense (service cost component is for the Upjohn participants only) associated with plans sponsored by Upjohn and approximately $6 million of service cost associated with direct Upjohn employees participating in plans sponsored by Pfizer as well as an allocation of service cost that has been deemed attributable to Upjohn operations. Included in net periodic pension expense for the first nine months of 2020 is a settlement charge of approximately $22 million primarily related to lump sum payouts to certain terminated plan participants in the Upjohn sponsored pension plan in Puerto Rico, of which $14 million is related to payments to non-Upjohn participants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540" w:right="40" w:hanging="316"/>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29, 2019––approximately $0.4 million expense, reflecting approximately $6 million of net periodic pension income (service cost component is for the Upjohn participants only) associated with plans sponsored by Upjohn and approximately $6 million of service cost associated with direct Upjohn employees participating in plans sponsored by Pfizer as well as an allocation of service cost that has been deemed attributable to Upjohn operations.</w:t>
      </w:r>
    </w:p>
    <w:p>
      <w:pPr>
        <w:spacing w:after="0" w:line="18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Postretirement expense/(income) associated with the U.S. and international locations is included in the condensed combined statements of income as follows:</w:t>
      </w:r>
    </w:p>
    <w:p>
      <w:pPr>
        <w:spacing w:after="0" w:line="65" w:lineRule="exact"/>
        <w:rPr>
          <w:sz w:val="20"/>
          <w:szCs w:val="20"/>
          <w:color w:val="auto"/>
        </w:rPr>
      </w:pPr>
    </w:p>
    <w:p>
      <w:pPr>
        <w:ind w:left="540" w:right="180" w:hanging="316"/>
        <w:spacing w:after="0" w:line="284"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27, 2020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approximately $5 million of net periodic postretirement income (service cost component is for the Upjohn participants only) primarily associated with the postretirement plan sponsored by Upjohn.</w:t>
      </w:r>
    </w:p>
    <w:p>
      <w:pPr>
        <w:spacing w:after="0" w:line="63" w:lineRule="exact"/>
        <w:rPr>
          <w:rFonts w:ascii="Times New Roman" w:cs="Times New Roman" w:eastAsia="Times New Roman" w:hAnsi="Times New Roman"/>
          <w:sz w:val="18"/>
          <w:szCs w:val="18"/>
          <w:color w:val="auto"/>
        </w:rPr>
      </w:pPr>
    </w:p>
    <w:p>
      <w:pPr>
        <w:ind w:left="540" w:right="100" w:hanging="316"/>
        <w:spacing w:after="0" w:line="26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29,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approximately $30 million of net periodic postretirement income (service cost component is for the Upjohn participants only) primarily associated with the postretirement plan sponsored by Upjohn. Included in net periodic postretirement income for the nine months ended September 29, 2019 are curtailment and settlement gains of approximately $25 million related to the elimination of coverage for certain non-Upjohn plan participants.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Net Periodic Benefit Costs/(Credits)––Upjohn Sponsored Plans</w:t>
      </w: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the components of net periodic benefit cost/(credit) for the Upjohn sponsored pension and 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color w:val="auto"/>
              </w:rPr>
              <w:t>Nine Months Ended</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Pension Plans</w:t>
            </w:r>
          </w:p>
        </w:tc>
        <w:tc>
          <w:tcPr>
            <w:tcW w:w="6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340"/>
              <w:spacing w:after="0" w:line="142" w:lineRule="exact"/>
              <w:rPr>
                <w:sz w:val="20"/>
                <w:szCs w:val="20"/>
                <w:color w:val="auto"/>
              </w:rPr>
            </w:pPr>
            <w:r>
              <w:rPr>
                <w:rFonts w:ascii="Times New Roman" w:cs="Times New Roman" w:eastAsia="Times New Roman" w:hAnsi="Times New Roman"/>
                <w:sz w:val="14"/>
                <w:szCs w:val="14"/>
                <w:color w:val="auto"/>
              </w:rPr>
              <w:t>Postretirement Plan</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48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30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3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4"/>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194"/>
              <w:spacing w:after="0" w:line="158" w:lineRule="exact"/>
              <w:rPr>
                <w:sz w:val="20"/>
                <w:szCs w:val="20"/>
                <w:color w:val="auto"/>
              </w:rPr>
            </w:pPr>
            <w:r>
              <w:rPr>
                <w:rFonts w:ascii="Times New Roman" w:cs="Times New Roman" w:eastAsia="Times New Roman" w:hAnsi="Times New Roman"/>
                <w:sz w:val="14"/>
                <w:szCs w:val="14"/>
                <w:color w:val="auto"/>
                <w:w w:val="99"/>
              </w:rPr>
              <w:t>2020</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192"/>
              <w:spacing w:after="0" w:line="158" w:lineRule="exact"/>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Service cost</w:t>
            </w:r>
          </w:p>
        </w:tc>
        <w:tc>
          <w:tcPr>
            <w:tcW w:w="30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Actuarial (gains)/losses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Prior service credits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Curtailments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periodic benefit cost/(credit) reported in </w:t>
            </w:r>
            <w:r>
              <w:rPr>
                <w:rFonts w:ascii="Times New Roman" w:cs="Times New Roman" w:eastAsia="Times New Roman" w:hAnsi="Times New Roman"/>
                <w:sz w:val="18"/>
                <w:szCs w:val="18"/>
                <w:i w:val="1"/>
                <w:iCs w:val="1"/>
                <w:color w:val="auto"/>
              </w:rPr>
              <w:t>Income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amounts contributed, and the amounts expected to be contributed during 2020, to the Upjohn sponsored pension and postretirement plans from general assets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5160" w:type="dxa"/>
            <w:vAlign w:val="bottom"/>
            <w:vMerge w:val="restart"/>
          </w:tcPr>
          <w:p>
            <w:pPr>
              <w:spacing w:after="0"/>
              <w:rPr>
                <w:sz w:val="13"/>
                <w:szCs w:val="13"/>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Pension</w:t>
            </w:r>
          </w:p>
        </w:tc>
        <w:tc>
          <w:tcPr>
            <w:tcW w:w="34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Postretirement</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5160" w:type="dxa"/>
            <w:vAlign w:val="bottom"/>
            <w:vMerge w:val="continue"/>
          </w:tcPr>
          <w:p>
            <w:pPr>
              <w:spacing w:after="0"/>
              <w:rPr>
                <w:sz w:val="15"/>
                <w:szCs w:val="15"/>
                <w:color w:val="auto"/>
              </w:rPr>
            </w:pPr>
          </w:p>
        </w:tc>
        <w:tc>
          <w:tcPr>
            <w:tcW w:w="8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color w:val="auto"/>
                <w:w w:val="98"/>
              </w:rPr>
              <w:t>Plans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color w:val="auto"/>
              </w:rPr>
              <w:t>Plan</w:t>
            </w:r>
          </w:p>
        </w:tc>
        <w:tc>
          <w:tcPr>
            <w:tcW w:w="0" w:type="dxa"/>
            <w:vAlign w:val="bottom"/>
          </w:tcPr>
          <w:p>
            <w:pPr>
              <w:spacing w:after="0"/>
              <w:rPr>
                <w:sz w:val="1"/>
                <w:szCs w:val="1"/>
                <w:color w:val="auto"/>
              </w:rPr>
            </w:pPr>
          </w:p>
        </w:tc>
      </w:tr>
      <w:tr>
        <w:trPr>
          <w:trHeight w:val="171"/>
        </w:trPr>
        <w:tc>
          <w:tcPr>
            <w:tcW w:w="63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Contributions from our general assets for the nine months ended</w:t>
            </w:r>
          </w:p>
        </w:tc>
        <w:tc>
          <w:tcPr>
            <w:tcW w:w="4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27, 2020</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26</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contributions from our general assets during 2020</w:t>
            </w:r>
            <w:r>
              <w:rPr>
                <w:rFonts w:ascii="Times New Roman" w:cs="Times New Roman" w:eastAsia="Times New Roman" w:hAnsi="Times New Roman"/>
                <w:sz w:val="15"/>
                <w:szCs w:val="15"/>
                <w:color w:val="auto"/>
              </w:rPr>
              <w:t>(a)</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3980"/>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540" w:right="680" w:hanging="424"/>
        <w:spacing w:after="0" w:line="282"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Contributions expected to be made for 2020 are inclusive of amounts contributed during the nine months ended September 27, 2020. The contributions from general assets include direct employer benefit payments.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13. Commitments and Contingencies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 xml:space="preserve">Upjohn is subject to numerous contingencies arising in the ordinary course of business, including but not limited to those discussed below. For a discussion of our tax contingencies, see </w:t>
      </w:r>
      <w:r>
        <w:rPr>
          <w:rFonts w:ascii="Times New Roman" w:cs="Times New Roman" w:eastAsia="Times New Roman" w:hAnsi="Times New Roman"/>
          <w:sz w:val="18"/>
          <w:szCs w:val="18"/>
          <w:i w:val="1"/>
          <w:iCs w:val="1"/>
          <w:color w:val="auto"/>
        </w:rPr>
        <w:t>Note 5B</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Legal Proceedings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non-tax contingencies can include, but are not limited to, the following:</w:t>
      </w:r>
    </w:p>
    <w:p>
      <w:pPr>
        <w:spacing w:after="0" w:line="131" w:lineRule="exact"/>
        <w:rPr>
          <w:sz w:val="20"/>
          <w:szCs w:val="20"/>
          <w:color w:val="auto"/>
        </w:rPr>
      </w:pPr>
    </w:p>
    <w:p>
      <w:pPr>
        <w:ind w:left="540" w:hanging="316"/>
        <w:spacing w:after="0" w:line="261"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litigation, which typically involves challenges to the coverage and/or validity of patents on various products, processes or dosage forms. We are the plaintiff in many but not all of these actions. An adverse outcome in actions in which we are the plaintiff could result in loss of patent protection for a drug, a significant loss of revenues from that drug or impairment of the value of associated assets, and in some cases, liability where we are defendants for allegedly causing delay of generic entry.</w:t>
      </w:r>
    </w:p>
    <w:p>
      <w:pPr>
        <w:spacing w:after="0" w:line="85" w:lineRule="exact"/>
        <w:rPr>
          <w:rFonts w:ascii="Times New Roman" w:cs="Times New Roman" w:eastAsia="Times New Roman" w:hAnsi="Times New Roman"/>
          <w:sz w:val="18"/>
          <w:szCs w:val="18"/>
          <w:color w:val="auto"/>
        </w:rPr>
      </w:pPr>
    </w:p>
    <w:p>
      <w:pPr>
        <w:ind w:left="540" w:right="80" w:hanging="316"/>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and other product-related litigation, which can include personal injury, consumer, off-label promotion, antitrust and breach of contract claims, among others, often involves highly complex issues relating to medical causation, label warnings and reliance on those warnings, scientific evidence and findings, actual, provable injury and other matters.</w:t>
      </w:r>
    </w:p>
    <w:p>
      <w:pPr>
        <w:spacing w:after="0" w:line="81" w:lineRule="exact"/>
        <w:rPr>
          <w:rFonts w:ascii="Times New Roman" w:cs="Times New Roman" w:eastAsia="Times New Roman" w:hAnsi="Times New Roman"/>
          <w:sz w:val="18"/>
          <w:szCs w:val="18"/>
          <w:color w:val="auto"/>
        </w:rPr>
      </w:pPr>
    </w:p>
    <w:p>
      <w:pPr>
        <w:ind w:left="540" w:right="360" w:hanging="316"/>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other matters, which can include product-pricing claims, environmental claims and proceedings and employee litigation, can involve complexities that will vary from matter to matter.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which can involve regulation by national, state and local government agencies in the U.S. and in other countries.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Certain of these contingencies could result in losses, including damages, fines and/or civil penalties, which could be substantial, and/or criminal charges.</w:t>
      </w:r>
    </w:p>
    <w:p>
      <w:pPr>
        <w:spacing w:after="0" w:line="23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believe that our claims and defenses in these matters are substantial, but litigation is inherently unpredictable and excessive verdicts do occur. We could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accrued for losses that are both probable and reasonably estimable. Substantially all of our contingencies are subject to significant uncertainties and, therefore, determining the likelihood of a loss and/or the measurement of any loss can be complex. Consequently, we are unable to estimate the range of reasonably possible loss in excess of amounts accrued. Our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w:t>
      </w:r>
    </w:p>
    <w:p>
      <w:pPr>
        <w:spacing w:after="0" w:line="183"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Amounts recorded for legal and environmental contingencies can result from a complex series of judgments about future events and uncertainties and can rely heavily on estimates and assumptions.</w:t>
      </w:r>
    </w:p>
    <w:p>
      <w:pPr>
        <w:spacing w:after="0" w:line="162"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The principal pending matters to which we are a party are discussed below. In determining whether a pending matter is a principal matter, we consider both quantitative and qualitative factors in order to assess materiality, such as, among other things, the amount of damages and the nature of any other relief sought in the proceeding, if such damages and other relief are specified; our view of the merits of the claims and of the strength of our defenses; whether the action purports to be, or is, a class action and, if not certified, our view of the likelihood that a class will be certified by the court; the jurisdiction in which the proceeding is pending; whether related actions have been transferred to a multi-district litigation; any experience that we or, to our knowledge, other companies have had in similar proceedings; whether disclosure of the action would be important to a reader of our financial statements, including whether disclosure might change a reader’s judgment about our financial statements in light of all of the information that is available to the reader; the potential impact of the proceeding on our reputation; and the extent of public interest in the matter. In addition, with respect to patent matters in which we are the plaintiff, we consider, among other things, the financial significance of the product protected by the patent. As a result of considering qualitative factors in our determination of principal matters, there are some matters discussed below with respect to which management believes that the likelihood of possible loss in excess of amounts accrued is remote.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A1. Legal Proceedings––Patent Litigation</w:t>
      </w:r>
    </w:p>
    <w:p>
      <w:pPr>
        <w:spacing w:after="0" w:line="11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Like other pharmaceutical companies, we are involved in numerous suits relating to our patents, including but not limited to those discussed below. Most of the suits involve claims by generic drug manufacturers that patents covering our products, processes or dosage forms are invalid and/or do not cover the product of the generic drug manufacturer. Also, counterclaims, as well as various independent actions, have been filed alleging that our assertions of, or attempts to enforce, patent rights with respect to certain products constitute unfair competition and/or violations of antitrust laws. Patent rights to certain of our products are being challenged in various jurisdictions throughout the world. We are also party to patent damages suits in various jurisdictions pursuant to which generic drug manufacturers, payers, governments or other parties are seeking damages from us for allegedly causing delay of generic entry. We also may be involved in other proceedings, such as inter partes review, post-grant review, re-examination or opposition proceedings, before the U.S. Patent and Trademark Office, the European Patent Office, or other foreign counterparts relating to our intellectual property or the intellectual property rights of others. Also, if one of our patents is found to be invalid by such proceedings, generic or competitive products could be introduced into the market resulting in the erosion of sales of our existing products. We are also subject to patent litigation pursuant to which one or more third parties seeks damages and/or injunctive relief to compensate for alleged infringement of its patents by our commercial or other activities. If one of our marketed products is found to infringe valid patent rights of a third party, such third party may be awarded significant damages, or we may be prevented from further sales of that product. Such damages may be enhanced as much as three-fold in the event that we or one of our subsidiaries is found to have willfully infringed valid patent rights of a third party.</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Lyrica</w:t>
      </w:r>
    </w:p>
    <w:p>
      <w:pPr>
        <w:spacing w:after="0" w:line="376"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Canada</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June 2014, Pharmascience Inc. commenced an action against Pfizer Canada Inc., Warner-Lambert Company and Warner-Lambert Company LLC (the Pfizer Canada Defendants) seeking damages in connection with an earlier unsuccessful patent litigation brought by the Pfizer Canada Defendants involving pregabalin. The case is in the discovery phase and a trial date has been set for the first quarter of 2021.</w:t>
      </w:r>
    </w:p>
    <w:p>
      <w:pPr>
        <w:spacing w:after="0" w:line="322"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Japan</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January 2017, Sawai Pharmaceutical Company Limited (a Japanese generic company) (Sawai) filed an invalidation action against the Lyrica pain use patent in the Japanese Patent Office (JPO). Hexal AG has filed a separate invalidation action that was stayed pending the result of the Sawai action. Multiple parties were allowed to intervene in the Sawai case. In July 2020, the JPO recognized the validity of certain amended claims of the patent covering Lyrica. We are appealing the decision. In August 2020, the Japanese regulatory authority granted regulatory approval to multiple generic companies and we filed legal actions against the generic companies seeking preliminary and permanent injunctions to prevent infringement of our patent.</w:t>
      </w:r>
    </w:p>
    <w:p>
      <w:pPr>
        <w:spacing w:after="0" w:line="334"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Kingdom</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June 2014, Generics (U.K.) Ltd (trading as Mylan) filed an invalidity action against the Lyrica pain use patent in the High Court of Justice in London. Subsequently, Actavis Group PTC ehf filed an invalidity action in the same court, and Pfizer sued for infringement against Actavis Group PTC ehf, Actavis U.K. Ltd and Caduceus Pharma Ltd (together, Actavis), in addition to requesting preliminary relief. Our request for preliminary relief was denied in a January 2015 hearing, and the denial subsequently was confirmed on appeal.</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February 2015, the National Health Service (NHS) England was ordered by the High Court, as an intermediary, to issue guidance for prescribers and pharmacists directing the prescription and dispensing of Lyrica by brand when pregabalin was prescribed for the treatment of neuropathic pain. NHS Wales and NHS Northern Ireland also issued prescribing guidance. The guidance to prescribe and dispense Lyrica for neuropathic pain was withdrawn upon patent expiration in July 2017.</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also filed infringement actions against (i) Teva UK Ltd, and (ii) Dr. Reddy’s Laboratories (UK) Ltd and Caduceus Pharma Ltd (together,</w:t>
      </w:r>
    </w:p>
    <w:p>
      <w:pPr>
        <w:spacing w:after="0" w:line="27"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Dr. Reddy’s) in February 2015, seeking the same relief as in the action against Actavis. Dr. Reddy’s filed an invalidity counterclaim. These actions were stayed pending the outcome of the Mylan and Actavis cases.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Mylan and Actavis invalidity actions were heard in the High Court at the same time as the Actavis infringement action. The High Court ruled against us, holding that the asserted claims were either not infringed or invalid, and appeals followed. In November 2018, the U.K. Supreme Court ruled that all the relevant claims directed to neuropathic pain were invalid.</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October 2015, after Sandoz GmbH and Sandoz Ltd (together, Sandoz) launched a full label generic pregabalin product, we obtained from the High Court a preliminary injunction enjoining Sandoz from further sales of the product and ordering Sandoz to provide the identity of the parties holding its product. Sandoz identified wholesaler AAH Pharmaceuticals Ltd and pharmacy chain Lloyds Pharmacy Ltd (supplied by AAH), and we requested that these parties cease further sales and withdraw the Sandoz full label product. In October 2015, Lloyds was added to the Sandoz action, and we obtained a preliminary order from the High Court requiring Lloyds to advise its pharmacists that the Sandoz full label product should not be dispensed. In November 2015, the High Court confirmed the preliminary injunction against Sandoz and Lloyds. Sandoz filed an invalidity counterclaim. Upon agreement of the parties, in December 2015, the proceedings against Lloyds were discontinued, and the proceedings against Sandoz were stayed pending outcome of the Mylan and Actavis cases. The preliminary injunction against Sandoz remained in place until patent expiration in July 2017.</w:t>
      </w:r>
    </w:p>
    <w:p>
      <w:pPr>
        <w:spacing w:after="0" w:line="192"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In May 2020, Dr. Reddy’s filed a claim for damages in connection with the above-referenced legal actions. In July 2020, the Scottish Ministers and fourteen Scottish Health Boards (together, NHS Scotland) filed a claim for damages in connection with the above-referenced legal action concerning Sandoz. In September 2020, Teva, Sandoz, Ranbaxy, Inc. (Ranbaxy), Actavis, and the Secretary of State for Health and Social Care, together with 32 other National Health Service entities (together, NHS England, Wales, and Northern Ireland) filed claims for damages in the above-referenced legal actions.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A2. Legal Proceedings—Product Litigation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Like other pharmaceutical companies, we are defendants in numerous cases, including but not limited to those discussed below, related to our products.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Plaintiffs in these cases seek damages and other relief on various grounds for alleged personal injury and economic loss.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Effexor</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Beginning in May 2011, actions, including purported class actions, were filed in various federal courts against Wyeth (a subsidiary of Pfizer) and, in certain of the actions, affiliates of Wyeth and certain other defendants relating to Effexor XR, which is the extended-release formulation of Effexor. The plaintiffs in each of the class actions seek to represent a class consisting of all persons in the U.S. and its territories who directly purchased, indirectly purchased or reimbursed patients for the purchase of Effexor XR or generic Effexor XR from any of the defendants from June 14, 2008 until the time the defendants’ allegedly unlawful conduct ceased. The plaintiffs in all of the actions allege delay in the launch of generic Effexor XR in the U.S. and its territories, in violation of federal antitrust laws and, in certain of the actions, the antitrust, consumer protection and various other laws of certain states, as the result of Wyeth fraudulently obtaining and improperly listing certain patents for Effexor XR in the Orange Book, enforcing certain patents for Effexor XR and entering into a litigation settlement agreement with a generic drug manufacturer with respect to Effexor XR. Each of the plaintiffs seeks treble damages (for itself in the individual actions or on behalf of the putative class in the purported class actions) for alleged price overcharges for Effexor XR or generic Effexor XR in the U.S. and its territories since June 14, 2008. All of these actions have been consolidated in the U.S. District Court for the District of New Jersey.</w:t>
      </w:r>
    </w:p>
    <w:p>
      <w:pPr>
        <w:spacing w:after="0" w:line="192"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In October 2014, the District Court dismissed the direct purchaser plaintiffs’ claims based on the litigation settlement agreement, but declined to dismiss the other direct purchaser plaintiff claims. In January 2015, the District Court entered partial final judgments as to all settlement agreement claims, including those asserted by direct purchasers and end-payer plaintiffs, which plaintiffs appealed to the U.S. Court of Appeals for the Third Circuit. In August 2017, the U.S. Court of Appeals for the Third Circuit reversed the District Court’s decisions and remanded the claims to the District Court.</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Lipitor</w:t>
      </w:r>
    </w:p>
    <w:p>
      <w:pPr>
        <w:spacing w:after="0" w:line="133"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Antitrust Actions</w:t>
      </w:r>
    </w:p>
    <w:p>
      <w:pPr>
        <w:spacing w:after="0" w:line="11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Beginning in November 2011, purported class actions relating to Lipitor were filed in various federal courts against, among others, Pfizer, certain affiliates of Pfizer, and, in most of the actions, Ranbaxy, Inc. (Ranbaxy) and certain affiliates of Ranbaxy. The plaintiffs in these various actions seek to represent nationwide, multi-state or statewide classes consisting of persons or entities who directly purchased, indirectly purchased or reimbursed patients for the purchase of Lipitor (or, in certain of the actions, generic Lipitor) from any of the defendants from March 2010 until the cessation of the defendants’ allegedly unlawful conduct (the Class Period). The plaintiffs allege delay in the launch of generic Lipitor, in violation of federal antitrust laws and/or state antitrust, consumer protection and various other laws, resulting from (i) the 2008 agreement pursuant to which Pfizer and Ranbaxy settled certain patent litigation involving Lipitor, and Pfizer granted Ranbaxy a license to sell a generic version of Lipitor in various markets beginning on varying dates, and (ii) in certain of the actions, the procurement and/or enforcement of certain patents for Lipitor. Each of the actions seeks, among other things, treble damages on behalf of the putative class for alleged price overcharges for Lipitor (or, in certain of the actions, generic Lipitor) during the Class Period. In addition, individual actions have been filed against Pfizer, Ranbaxy and certain of their affiliates, among others, that assert claims and seek relief for the plaintiffs that are substantially similar to the claims asserted and the relief sought in the purported class actions described above. These various actions have been consolidated for pre-trial proceedings in a Multi-District Litigation (</w:t>
      </w:r>
      <w:r>
        <w:rPr>
          <w:rFonts w:ascii="Times New Roman" w:cs="Times New Roman" w:eastAsia="Times New Roman" w:hAnsi="Times New Roman"/>
          <w:sz w:val="18"/>
          <w:szCs w:val="18"/>
          <w:i w:val="1"/>
          <w:iCs w:val="1"/>
          <w:color w:val="auto"/>
        </w:rPr>
        <w:t>In re Lipitor Antitrust Litigation MDL-2332</w:t>
      </w:r>
      <w:r>
        <w:rPr>
          <w:rFonts w:ascii="Times New Roman" w:cs="Times New Roman" w:eastAsia="Times New Roman" w:hAnsi="Times New Roman"/>
          <w:sz w:val="18"/>
          <w:szCs w:val="18"/>
          <w:color w:val="auto"/>
        </w:rPr>
        <w:t>) in the U.S. District Court for the District of New Jersey.</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September 2013 and 2014, the District Court dismissed with prejudice the claims by direct purchasers. In October and November 2014, the District Court dismissed with prejudice the claims of all other Multi-District Litigation plaintiffs. All plaintiffs have appealed the District Court’s orders dismissing their claims with prejudice to the U.S. Court of Appeals for the Third Circuit. In addition, the direct purchaser class plaintiffs appealed the order denying their motion to amend the judgment and for leave to amend their complaint to the U.S. Court of Appeals for the Third Circuit. In August 2017, the U.S. Court of Appeals for the Third Circuit reversed the District Court’s decisions and remanded the claims to the District Court.</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Also, in January 2013, the State of West Virginia filed an action in West Virginia state court against Pfizer and Ranbaxy, among others, that asserts claims and seeks relief on behalf of the State of West Virginia and residents of that state that are substantially similar to the claims asserted and the relief sought in the purported class actions described above.</w:t>
      </w:r>
    </w:p>
    <w:p>
      <w:pPr>
        <w:spacing w:after="0" w:line="322"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Personal Injury Actions</w:t>
      </w:r>
    </w:p>
    <w:p>
      <w:pPr>
        <w:spacing w:after="0" w:line="11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 number of individual and multi-plaintiff lawsuits have been filed against us in various federal and state courts alleging that the plaintiffs developed type 2 diabetes purportedly as a result of the ingestion of Lipitor. Plaintiffs seek compensatory and punitive damages.</w:t>
      </w:r>
    </w:p>
    <w:p>
      <w:pPr>
        <w:spacing w:after="0" w:line="52"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In February 2014, the federal actions were transferred for consolidated pre-trial proceedings to a Multi-District Litigation (</w:t>
      </w:r>
      <w:r>
        <w:rPr>
          <w:rFonts w:ascii="Times New Roman" w:cs="Times New Roman" w:eastAsia="Times New Roman" w:hAnsi="Times New Roman"/>
          <w:sz w:val="18"/>
          <w:szCs w:val="18"/>
          <w:i w:val="1"/>
          <w:iCs w:val="1"/>
          <w:color w:val="auto"/>
        </w:rPr>
        <w:t>In re Lipitor (Atorvastatin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Calcium) Marketing, Sales Practices and Products Liability Litigation (No. II) MDL-2502</w:t>
      </w:r>
      <w:r>
        <w:rPr>
          <w:rFonts w:ascii="Times New Roman" w:cs="Times New Roman" w:eastAsia="Times New Roman" w:hAnsi="Times New Roman"/>
          <w:sz w:val="18"/>
          <w:szCs w:val="18"/>
          <w:color w:val="auto"/>
        </w:rPr>
        <w:t>) in the U.S. District Court for the District of South Carolina.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2016, certain cases in the Multi-District Litigation were remanded to certain state courts. In January 2017, the District Court granted our motion for summary judgment, dismissing substantially all of the remaining cases pending in the Multi-District Litigation. In January 2017, the plaintiffs appealed the District Court’s decision to the U.S. Court of Appeals for the Fourth Circuit. In June 2018, the U.S. Court of Appeals for the Fourth Circuit affirmed the District Court’s decision.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Viagra</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Since April 2016, a Multi-District Litigation has been pending in the U.S. District Court for the Northern District of California (</w:t>
      </w:r>
      <w:r>
        <w:rPr>
          <w:rFonts w:ascii="Times New Roman" w:cs="Times New Roman" w:eastAsia="Times New Roman" w:hAnsi="Times New Roman"/>
          <w:sz w:val="18"/>
          <w:szCs w:val="18"/>
          <w:i w:val="1"/>
          <w:iCs w:val="1"/>
          <w:color w:val="auto"/>
        </w:rPr>
        <w:t>In Re: Viagra (Sildenafil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Citrate) Products Liability Litigation, MDL-2691</w:t>
      </w:r>
      <w:r>
        <w:rPr>
          <w:rFonts w:ascii="Times New Roman" w:cs="Times New Roman" w:eastAsia="Times New Roman" w:hAnsi="Times New Roman"/>
          <w:sz w:val="18"/>
          <w:szCs w:val="18"/>
          <w:color w:val="auto"/>
        </w:rPr>
        <w:t>), in which plaintiffs allege that they developed melanoma and/or the exacerbation of melanoma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purportedly as a result of the ingestion of Viagra. Additional cases filed against Eli Lilly and Company (Lilly) with respect to Cialis have also been consolidated in the Multi-District Litigation </w:t>
      </w:r>
      <w:r>
        <w:rPr>
          <w:rFonts w:ascii="Times New Roman" w:cs="Times New Roman" w:eastAsia="Times New Roman" w:hAnsi="Times New Roman"/>
          <w:sz w:val="18"/>
          <w:szCs w:val="18"/>
          <w:i w:val="1"/>
          <w:iCs w:val="1"/>
          <w:color w:val="auto"/>
        </w:rPr>
        <w:t>(In re: Viagra (Sildenafil Citrate) and Cialis (Tadalafil) Products Liability Litigation, MDL-2691</w:t>
      </w:r>
      <w:r>
        <w:rPr>
          <w:rFonts w:ascii="Times New Roman" w:cs="Times New Roman" w:eastAsia="Times New Roman" w:hAnsi="Times New Roman"/>
          <w:sz w:val="18"/>
          <w:szCs w:val="18"/>
          <w:color w:val="auto"/>
        </w:rPr>
        <w:t>). In January 2020, the District Court granted our and Lilly’s motion to exclude all of plaintiffs’ general causation opinions. As a result, in April 2020, the District Court entered summary judgment in favor of defendants and dismissed all of plaintiffs’ claims. In April 2020, plaintiffs filed a notice of appeal in the U.S. Court of Appeals for the Ninth Circuit.</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A3. Legal Proceedings—Commercial and Other Matters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Contracts with Iraqi Ministry of Health</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October 2017, a number of United States service members, civilians, and their families brought a complaint in the U.S. District Court for the District of Columbia against a number of pharmaceutical and medical devices companies, including Pfizer and certain of its subsidiaries, alleging that the defendants violated the United States Anti-Terrorism Act. The complaint alleges that the defendants provided funding for terrorist organizations through their sales practices pursuant to pharmaceutical and medical device contracts with the Iraqi Ministry of Health, and seeks monetary relief. In July 2020, the District Court granted defendants’ motions to dismiss and dismissed all of plaintiffs’ claims. The plaintiffs are appealing the District Court’s decision.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A4. Legal Proceedings––Government Investigations</w:t>
      </w:r>
    </w:p>
    <w:p>
      <w:pPr>
        <w:spacing w:after="0" w:line="11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Like other pharmaceutical companies, we are subject to extensive regulation by government agencies in the U.S., other developed markets and multiple emerging markets in which we operate. Criminal charges, substantial fines and/or civil penalties, limitations on our ability to conduct business in applicable jurisdictions, corporate integrity or deferred prosecution agreements, as well as reputational harm and increased public interest in the matter could result from government investigations. In addition, in a qui tam lawsuit in which the government declines to intervene, the relator may still pursue a suit for the recovery of civil damages and penalties on behalf of the government. Among the investigations by government agencies are the matters discussed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Phenytoin Sodium Capsules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2012, Pfizer sold the U.K. Marketing Authorisation for phenytoin sodium capsules to a third party, but retained the right to supply the finished product to that third party. In May 2013, the U.K. Competition &amp; Markets Authority (CMA) informed us that it had launched an investigation into the supply of phenytoin sodium capsules in the U.K. market. In August 2015, the CMA issued a Statement of Objections alleging that Pfizer and Pfizer Limited, a U.K. subsidiary, engaged in conduct that violates U.K. and EU antitrust laws. In December 2016, the CMA imposed a £84.2 million fine on Pfizer and Pfizer Limited. Pfizer appealed the CMA decision to The Competition Appeal Tribunal (the Tribunal) in February 2017. On June 7, 2018, the Tribunal overturned the CMA decision as well as the associated fine. The CMA appealed the judgment to the Court of Appeal. In March 2020, the Court of Appeal affirmed the Tribunal’s decision.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Greenstone Investigations</w:t>
      </w:r>
    </w:p>
    <w:p>
      <w:pPr>
        <w:spacing w:after="0" w:line="376"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Department of Justice Antitrust Division Investigation</w:t>
      </w:r>
    </w:p>
    <w:p>
      <w:pPr>
        <w:spacing w:after="0" w:line="11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Since July 2017, the U.S. Department of Justice’s Antitrust Division has been investigating our Greenstone generics business. We believe this is related to an ongoing broader antitrust investigation of the generic pharmaceutical industry. The government has been obtaining information from Greenstone relating to this investigation.</w:t>
      </w:r>
    </w:p>
    <w:p>
      <w:pPr>
        <w:spacing w:after="0" w:line="322"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 Attorneys General Generics Antitrust Litigation</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April 2018, Greenstone received requests for information from the Antitrust Department of the Connecticut Office of the Attorney General. In May 2019, Attorneys General of more than 40 states plus the District of Columbia and Puerto Rico filed a complaint against a number of pharmaceutical companies, including Greenstone and Pfizer. The matter has been consolidated with a Multi-District Litigation (</w:t>
      </w:r>
      <w:r>
        <w:rPr>
          <w:rFonts w:ascii="Times New Roman" w:cs="Times New Roman" w:eastAsia="Times New Roman" w:hAnsi="Times New Roman"/>
          <w:sz w:val="18"/>
          <w:szCs w:val="18"/>
          <w:i w:val="1"/>
          <w:iCs w:val="1"/>
          <w:color w:val="auto"/>
        </w:rPr>
        <w:t>In re: Generic Pharmaceuticals 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Antitrust Litigation MDL No. 2724) </w:t>
      </w:r>
      <w:r>
        <w:rPr>
          <w:rFonts w:ascii="Times New Roman" w:cs="Times New Roman" w:eastAsia="Times New Roman" w:hAnsi="Times New Roman"/>
          <w:sz w:val="18"/>
          <w:szCs w:val="18"/>
          <w:color w:val="auto"/>
        </w:rPr>
        <w:t>in the Eastern District of Pennsylvania. As to Greenstone and Pfizer, the complaint alleges anticompetitive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violation of federal and state antitrust laws and state consumer protection laws. In June 2020, the State Attorneys General filed a new complaint against a large number of companies, including Greenstone and Pfizer, making similar allegations, but concerning a new set of drugs. This complaint was transferred to the Multi-District Litigation in July 2020.</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Guarantees and Indemnifications</w:t>
      </w:r>
    </w:p>
    <w:p>
      <w:pPr>
        <w:spacing w:after="0" w:line="11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and in connection with the sale of assets and businesses, we often indemnify our counterparties against certain liabilities that may arise in connection with the transaction or related to activities prior to or following the transaction. These indemnifications typically pertain to environmental, tax, employee and/or product-related matters and patent-infringement claims. If the indemnified party were to make a successful claim pursuant to the terms of the indemnification, we may be required to reimburse the loss. These indemnifications are generally subject to various restrictions and limitations. Historically, we have not paid significant amounts under these provisions and, as of September 27, 2020, recorded amounts for the estimated fair value of these indemnifications are not significant.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14. Segment, Geographic and Revenue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 Segment Information</w:t>
      </w:r>
    </w:p>
    <w:p>
      <w:pPr>
        <w:spacing w:after="0" w:line="11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We manage our commercial operations through three distinct business segments: Developed Markets; Greater China; and Emerging Markets. The operating segments are each led by a single manager. Each operating segment has responsibility for its commercial activities.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regularly review our segments and the approach used by management to evaluate performance and allocate resources.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Operating Segments</w:t>
      </w:r>
    </w:p>
    <w:p>
      <w:pPr>
        <w:spacing w:after="0" w:line="131" w:lineRule="exact"/>
        <w:rPr>
          <w:sz w:val="20"/>
          <w:szCs w:val="20"/>
          <w:color w:val="auto"/>
        </w:rPr>
      </w:pPr>
    </w:p>
    <w:p>
      <w:pPr>
        <w:ind w:left="540" w:right="340" w:hanging="316"/>
        <w:spacing w:after="0" w:line="28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Markets consists of the U.S., Canada, Europe (including Eastern Europe), Russia and other former Soviet Union countries, Turkey, Israel, Japan, South Korea, Australia, and New Zealand.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consists of China, Hong Kong, Macau and Taiwan.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consists of Asia (excluding Greater China, Japan and South Korea), Latin America, Africa, and the Middle East.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chief operating decision maker uses the revenues and earnings of the three operating segments, among other factors, for performance evaluation and resource allocation.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Other Costs and Business Activities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costs are not allocated to our operating segment results, such as costs, if any, associated with the following:</w:t>
      </w:r>
    </w:p>
    <w:p>
      <w:pPr>
        <w:spacing w:after="0" w:line="131" w:lineRule="exact"/>
        <w:rPr>
          <w:sz w:val="20"/>
          <w:szCs w:val="20"/>
          <w:color w:val="auto"/>
        </w:rPr>
      </w:pPr>
    </w:p>
    <w:p>
      <w:pPr>
        <w:ind w:left="540" w:hanging="316"/>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RDM costs managed by the Upjohn R&amp;D organization as well as costs managed by Pfizer’s R&amp;D organization, primarily for safety and regulatory related activities.</w:t>
      </w:r>
    </w:p>
    <w:p>
      <w:pPr>
        <w:spacing w:after="0" w:line="67" w:lineRule="exact"/>
        <w:rPr>
          <w:rFonts w:ascii="Times New Roman" w:cs="Times New Roman" w:eastAsia="Times New Roman" w:hAnsi="Times New Roman"/>
          <w:sz w:val="18"/>
          <w:szCs w:val="18"/>
          <w:color w:val="auto"/>
        </w:rPr>
      </w:pPr>
    </w:p>
    <w:p>
      <w:pPr>
        <w:ind w:left="540" w:right="160" w:hanging="316"/>
        <w:spacing w:after="0" w:line="256"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commercial operations that are not directly assessed to an operating segment (such as all strategy, business development, portfolio management and valuation capabilities, which previously had been reported in various parts of the organization) as business unit (segment) management does not manage these costs.</w:t>
      </w:r>
    </w:p>
    <w:p>
      <w:pPr>
        <w:spacing w:after="0" w:line="92" w:lineRule="exact"/>
        <w:rPr>
          <w:rFonts w:ascii="Times New Roman" w:cs="Times New Roman" w:eastAsia="Times New Roman" w:hAnsi="Times New Roman"/>
          <w:sz w:val="18"/>
          <w:szCs w:val="18"/>
          <w:color w:val="auto"/>
        </w:rPr>
      </w:pPr>
    </w:p>
    <w:p>
      <w:pPr>
        <w:ind w:left="540" w:right="80" w:hanging="316"/>
        <w:spacing w:after="0" w:line="255"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transactions and events such as (i) purchase accounting adjustments, where we incur expenses associated with the amortization of fair value adjustments to inventory, intangible assets and property, plant and equipment; (ii) acquisition-related costs, where we incur costs for executing the transaction, integrating the acquired operations and restructuring the combined company; and (iii) certain significant items, which are substantive and/or unusual, and in some cases recurring, items (such as restructuring or legal charges) that are evaluated on an individual basis by management and that, either as a result of their nature or size, would not be expected to occur as part of our normal business on a regular basis. Such items can include, but are not limited to, non-acquisition-related restructuring costs, as well as costs incurred for legal settlements, asset impairments and disposals of assets or businesses, including, as applicable, any associated transition activities.</w:t>
      </w:r>
    </w:p>
    <w:p>
      <w:pPr>
        <w:spacing w:after="0" w:line="12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114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Segment Assets</w:t>
      </w:r>
    </w:p>
    <w:p>
      <w:pPr>
        <w:spacing w:after="0" w:line="11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We manage our assets on a total company basis, not by operating segment. Therefore, our chief operating decision maker does not regularly review any asset information by operating segment and, accordingly, we do not report asset information by operating segment. Total assets were approximately $28.0 billion as of September 27, 2020 and $16.4 billion as of December 31, 2019. The increase in total assets from December 31, 2019 is primarily due to the $11.4 billion of proceeds from the debt issuances completed in June 2020, which are included in </w:t>
      </w:r>
      <w:r>
        <w:rPr>
          <w:rFonts w:ascii="Times New Roman" w:cs="Times New Roman" w:eastAsia="Times New Roman" w:hAnsi="Times New Roman"/>
          <w:sz w:val="18"/>
          <w:szCs w:val="18"/>
          <w:i w:val="1"/>
          <w:iCs w:val="1"/>
          <w:color w:val="auto"/>
        </w:rPr>
        <w:t>Restricted short-term investments</w:t>
      </w:r>
      <w:r>
        <w:rPr>
          <w:rFonts w:ascii="Times New Roman" w:cs="Times New Roman" w:eastAsia="Times New Roman" w:hAnsi="Times New Roman"/>
          <w:sz w:val="18"/>
          <w:szCs w:val="18"/>
          <w:color w:val="auto"/>
        </w:rPr>
        <w:t xml:space="preserve"> in the condensed combined balance sheet as of September 27, 2020 (see </w:t>
      </w:r>
      <w:r>
        <w:rPr>
          <w:rFonts w:ascii="Times New Roman" w:cs="Times New Roman" w:eastAsia="Times New Roman" w:hAnsi="Times New Roman"/>
          <w:sz w:val="18"/>
          <w:szCs w:val="18"/>
          <w:i w:val="1"/>
          <w:iCs w:val="1"/>
          <w:color w:val="auto"/>
        </w:rPr>
        <w:t>Notes 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7C</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Selected Income Statement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selected income statement information by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13"/>
              <w:spacing w:after="0"/>
              <w:rPr>
                <w:sz w:val="20"/>
                <w:szCs w:val="20"/>
                <w:color w:val="auto"/>
              </w:rPr>
            </w:pPr>
            <w:r>
              <w:rPr>
                <w:rFonts w:ascii="Times New Roman" w:cs="Times New Roman" w:eastAsia="Times New Roman" w:hAnsi="Times New Roman"/>
                <w:sz w:val="14"/>
                <w:szCs w:val="14"/>
                <w:color w:val="auto"/>
                <w:w w:val="99"/>
              </w:rPr>
              <w:t>Revenues</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color w:val="auto"/>
              </w:rPr>
              <w:t>Earnings</w:t>
            </w:r>
            <w:r>
              <w:rPr>
                <w:rFonts w:ascii="Times New Roman" w:cs="Times New Roman" w:eastAsia="Times New Roman" w:hAnsi="Times New Roman"/>
                <w:sz w:val="12"/>
                <w:szCs w:val="12"/>
                <w:color w:val="auto"/>
              </w:rPr>
              <w:t>(a)</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4"/>
          </w:tcPr>
          <w:p>
            <w:pPr>
              <w:jc w:val="center"/>
              <w:ind w:right="92"/>
              <w:spacing w:after="0" w:line="142" w:lineRule="exact"/>
              <w:rPr>
                <w:sz w:val="20"/>
                <w:szCs w:val="20"/>
                <w:color w:val="auto"/>
              </w:rPr>
            </w:pPr>
            <w:r>
              <w:rPr>
                <w:rFonts w:ascii="Times New Roman" w:cs="Times New Roman" w:eastAsia="Times New Roman" w:hAnsi="Times New Roman"/>
                <w:sz w:val="14"/>
                <w:szCs w:val="14"/>
                <w:color w:val="auto"/>
              </w:rPr>
              <w:t>Nine Months Ended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5"/>
          </w:tcPr>
          <w:p>
            <w:pPr>
              <w:jc w:val="right"/>
              <w:ind w:right="452"/>
              <w:spacing w:after="0" w:line="142" w:lineRule="exact"/>
              <w:rPr>
                <w:sz w:val="20"/>
                <w:szCs w:val="20"/>
                <w:color w:val="auto"/>
              </w:rPr>
            </w:pPr>
            <w:r>
              <w:rPr>
                <w:rFonts w:ascii="Times New Roman" w:cs="Times New Roman" w:eastAsia="Times New Roman" w:hAnsi="Times New Roman"/>
                <w:sz w:val="14"/>
                <w:szCs w:val="14"/>
                <w:color w:val="auto"/>
              </w:rPr>
              <w:t>Nine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278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58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2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Reportable Segments:</w:t>
            </w:r>
          </w:p>
        </w:tc>
        <w:tc>
          <w:tcPr>
            <w:tcW w:w="10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Developed Markets</w:t>
            </w:r>
          </w:p>
        </w:tc>
        <w:tc>
          <w:tcPr>
            <w:tcW w:w="11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7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5,425</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2,035</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Greater China</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23"/>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Emerging Markets</w:t>
            </w: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734</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789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8,087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5,878</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business activities</w:t>
            </w:r>
            <w:r>
              <w:rPr>
                <w:rFonts w:ascii="Times New Roman" w:cs="Times New Roman" w:eastAsia="Times New Roman" w:hAnsi="Times New Roman"/>
                <w:sz w:val="15"/>
                <w:szCs w:val="15"/>
                <w:color w:val="auto"/>
              </w:rPr>
              <w:t>(b)</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and other unallocated</w:t>
            </w:r>
            <w:r>
              <w:rPr>
                <w:rFonts w:ascii="Times New Roman" w:cs="Times New Roman" w:eastAsia="Times New Roman" w:hAnsi="Times New Roman"/>
                <w:sz w:val="15"/>
                <w:szCs w:val="15"/>
                <w:color w:val="auto"/>
              </w:rPr>
              <w:t>(c)</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accounting adjustments</w:t>
            </w:r>
            <w:r>
              <w:rPr>
                <w:rFonts w:ascii="Times New Roman" w:cs="Times New Roman" w:eastAsia="Times New Roman" w:hAnsi="Times New Roman"/>
                <w:sz w:val="15"/>
                <w:szCs w:val="15"/>
                <w:color w:val="auto"/>
              </w:rPr>
              <w:t>(c)</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Certain significant items</w:t>
            </w:r>
            <w:r>
              <w:rPr>
                <w:rFonts w:ascii="Times New Roman" w:cs="Times New Roman" w:eastAsia="Times New Roman" w:hAnsi="Times New Roman"/>
                <w:sz w:val="15"/>
                <w:szCs w:val="15"/>
                <w:color w:val="auto"/>
              </w:rPr>
              <w:t>(c), (d)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2,350</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Income before provision for taxes on income.</w:t>
      </w:r>
    </w:p>
    <w:p>
      <w:pPr>
        <w:spacing w:after="0" w:line="27" w:lineRule="exact"/>
        <w:rPr>
          <w:rFonts w:ascii="Times New Roman" w:cs="Times New Roman" w:eastAsia="Times New Roman" w:hAnsi="Times New Roman"/>
          <w:sz w:val="15"/>
          <w:szCs w:val="15"/>
          <w:color w:val="auto"/>
        </w:rPr>
      </w:pPr>
    </w:p>
    <w:p>
      <w:pPr>
        <w:ind w:left="540" w:right="920" w:hanging="424"/>
        <w:spacing w:after="0" w:line="250" w:lineRule="auto"/>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business activities include the (i) costs managed by the Upjohn R&amp;D organization, primarily for existing brand innovation; and (ii) allocation of costs managed by Pfizer’s R&amp;D organization, primarily for safety and regulatory related activities.</w:t>
      </w:r>
    </w:p>
    <w:p>
      <w:pPr>
        <w:ind w:left="540" w:hanging="424"/>
        <w:spacing w:after="0"/>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a description, see the “Other Costs and Business Activities” section above.</w:t>
      </w:r>
    </w:p>
    <w:p>
      <w:pPr>
        <w:spacing w:after="0" w:line="9" w:lineRule="exact"/>
        <w:rPr>
          <w:rFonts w:ascii="Times New Roman" w:cs="Times New Roman" w:eastAsia="Times New Roman" w:hAnsi="Times New Roman"/>
          <w:sz w:val="15"/>
          <w:szCs w:val="15"/>
          <w:color w:val="auto"/>
        </w:rPr>
      </w:pPr>
    </w:p>
    <w:p>
      <w:pPr>
        <w:ind w:left="540" w:hanging="424"/>
        <w:spacing w:after="0" w:line="260" w:lineRule="auto"/>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Certain significant items are substantive and/or unusual, and in some cases recurring, items (such as restructuring or legal charges) that, either as a result of their nature or size, would not be expected to occur as part of our normal business on a regular basis.</w:t>
      </w:r>
    </w:p>
    <w:p>
      <w:pPr>
        <w:spacing w:after="0" w:line="73" w:lineRule="exact"/>
        <w:rPr>
          <w:rFonts w:ascii="Times New Roman" w:cs="Times New Roman" w:eastAsia="Times New Roman" w:hAnsi="Times New Roman"/>
          <w:sz w:val="15"/>
          <w:szCs w:val="15"/>
          <w:color w:val="auto"/>
        </w:rPr>
      </w:pPr>
    </w:p>
    <w:p>
      <w:pPr>
        <w:ind w:left="560" w:right="20"/>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For Earnings in the first nine months of 2020, certain significant items include: (i) restructuring charges and implementation costs associated with our cost-reduction/productivity initiatives that are not associated with an acquisition of $29 million (of which $20 million is direct)–see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and (ii) other charges of $72 million, which primarily includes, among other items, charges for certain legal matters of $59 million; a settlement charge of approximately $14 million related to lump sum payouts to certain terminated non-Upjohn plan participants in the Upjohn sponsored pension plan in Puerto Rico–see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and gains on investments allocated from Pfizer of $2 million–see </w:t>
      </w:r>
      <w:r>
        <w:rPr>
          <w:rFonts w:ascii="Times New Roman" w:cs="Times New Roman" w:eastAsia="Times New Roman" w:hAnsi="Times New Roman"/>
          <w:sz w:val="18"/>
          <w:szCs w:val="18"/>
          <w:i w:val="1"/>
          <w:iCs w:val="1"/>
          <w:color w:val="auto"/>
        </w:rPr>
        <w:t>Note 4.</w:t>
      </w:r>
    </w:p>
    <w:p>
      <w:pPr>
        <w:spacing w:after="0" w:line="75" w:lineRule="exact"/>
        <w:rPr>
          <w:rFonts w:ascii="Times New Roman" w:cs="Times New Roman" w:eastAsia="Times New Roman" w:hAnsi="Times New Roman"/>
          <w:sz w:val="15"/>
          <w:szCs w:val="15"/>
          <w:color w:val="auto"/>
        </w:rPr>
      </w:pPr>
    </w:p>
    <w:p>
      <w:pPr>
        <w:ind w:left="560" w:right="2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For Earnings in the first nine months of 2019, certain significant items include: (i) restructuring charges and implementation costs associated with our cost-reduction/productivity initiatives that are not associated with an acquisition of $47 million (of which $23 million is direct)–see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and (ii) other miscellaneous net charges of $5 million.</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operating segment information does not purport to represent the revenues, costs and income before provision for taxes on income that each of our operating segments would have recorded had each segment operated as a standalone company during the periods presented.</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 Other Revenue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Revenues by Major Product and by Segment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significant revenues by major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color w:val="auto"/>
              </w:rPr>
              <w:t>Nine Months Ended</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2480" w:type="dxa"/>
            <w:vAlign w:val="bottom"/>
            <w:vMerge w:val="restart"/>
          </w:tcPr>
          <w:p>
            <w:pPr>
              <w:spacing w:after="0"/>
              <w:rPr>
                <w:sz w:val="10"/>
                <w:szCs w:val="10"/>
                <w:color w:val="auto"/>
              </w:rPr>
            </w:pPr>
          </w:p>
        </w:tc>
        <w:tc>
          <w:tcPr>
            <w:tcW w:w="2360" w:type="dxa"/>
            <w:vAlign w:val="bottom"/>
          </w:tcPr>
          <w:p>
            <w:pPr>
              <w:spacing w:after="0"/>
              <w:rPr>
                <w:sz w:val="10"/>
                <w:szCs w:val="10"/>
                <w:color w:val="auto"/>
              </w:rPr>
            </w:pPr>
          </w:p>
        </w:tc>
        <w:tc>
          <w:tcPr>
            <w:tcW w:w="148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191"/>
              <w:spacing w:after="0" w:line="158" w:lineRule="exact"/>
              <w:rPr>
                <w:sz w:val="20"/>
                <w:szCs w:val="20"/>
                <w:color w:val="auto"/>
              </w:rPr>
            </w:pPr>
            <w:r>
              <w:rPr>
                <w:rFonts w:ascii="Times New Roman" w:cs="Times New Roman" w:eastAsia="Times New Roman" w:hAnsi="Times New Roman"/>
                <w:sz w:val="14"/>
                <w:szCs w:val="14"/>
                <w:color w:val="auto"/>
                <w:w w:val="99"/>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Lipitor</w:t>
            </w:r>
          </w:p>
        </w:tc>
        <w:tc>
          <w:tcPr>
            <w:tcW w:w="2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1,194</w:t>
            </w:r>
          </w:p>
        </w:tc>
        <w:tc>
          <w:tcPr>
            <w:tcW w:w="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1,512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Lyrica</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1,045</w:t>
            </w:r>
          </w:p>
        </w:tc>
        <w:tc>
          <w:tcPr>
            <w:tcW w:w="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Norvasc</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Celebrex</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Viagra</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Effexor</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Zoloft</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Xalatan/Xalacom</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Xanax</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Revatio</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Greenstone</w:t>
            </w:r>
            <w:r>
              <w:rPr>
                <w:rFonts w:ascii="Times New Roman" w:cs="Times New Roman" w:eastAsia="Times New Roman" w:hAnsi="Times New Roman"/>
                <w:sz w:val="15"/>
                <w:szCs w:val="15"/>
                <w:color w:val="auto"/>
              </w:rPr>
              <w:t>(a)</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665</w:t>
            </w:r>
          </w:p>
        </w:tc>
        <w:tc>
          <w:tcPr>
            <w:tcW w:w="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5,506</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66" w:lineRule="auto"/>
        <w:tabs>
          <w:tab w:leader="none" w:pos="5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revenues of approximately $124 million in the first nine months of 2020 and $133 million in the first nine months of 2019 associated with the sale of generic medicines under a three-year license agreement entered into with Allergan in March 2016. In October 2018, the agreement was extended through December 2021. Under the agreement, on a quarterly basis, we make a profit-sharing payment to Allergan.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significant revenues by major product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color w:val="auto"/>
              </w:rPr>
              <w:t>Nine Months Ended September 27, 2020</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3520" w:type="dxa"/>
            <w:vAlign w:val="bottom"/>
          </w:tcPr>
          <w:p>
            <w:pPr>
              <w:spacing w:after="0"/>
              <w:rPr>
                <w:sz w:val="10"/>
                <w:szCs w:val="10"/>
                <w:color w:val="auto"/>
              </w:rPr>
            </w:pPr>
          </w:p>
        </w:tc>
        <w:tc>
          <w:tcPr>
            <w:tcW w:w="86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3"/>
                <w:szCs w:val="13"/>
                <w:color w:val="auto"/>
              </w:rPr>
              <w:t>Developed</w:t>
            </w:r>
          </w:p>
        </w:tc>
        <w:tc>
          <w:tcPr>
            <w:tcW w:w="200" w:type="dxa"/>
            <w:vAlign w:val="bottom"/>
          </w:tcPr>
          <w:p>
            <w:pPr>
              <w:spacing w:after="0"/>
              <w:rPr>
                <w:sz w:val="10"/>
                <w:szCs w:val="10"/>
                <w:color w:val="auto"/>
              </w:rPr>
            </w:pPr>
          </w:p>
        </w:tc>
        <w:tc>
          <w:tcPr>
            <w:tcW w:w="940" w:type="dxa"/>
            <w:vAlign w:val="bottom"/>
            <w:gridSpan w:val="3"/>
          </w:tcPr>
          <w:p>
            <w:pPr>
              <w:jc w:val="right"/>
              <w:ind w:right="480"/>
              <w:spacing w:after="0" w:line="119" w:lineRule="exact"/>
              <w:rPr>
                <w:sz w:val="20"/>
                <w:szCs w:val="20"/>
                <w:color w:val="auto"/>
              </w:rPr>
            </w:pPr>
            <w:r>
              <w:rPr>
                <w:rFonts w:ascii="Times New Roman" w:cs="Times New Roman" w:eastAsia="Times New Roman" w:hAnsi="Times New Roman"/>
                <w:sz w:val="13"/>
                <w:szCs w:val="13"/>
                <w:color w:val="auto"/>
              </w:rPr>
              <w:t>Greater</w:t>
            </w:r>
          </w:p>
        </w:tc>
        <w:tc>
          <w:tcPr>
            <w:tcW w:w="10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Emerging</w:t>
            </w: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3060" w:type="dxa"/>
            <w:vAlign w:val="bottom"/>
            <w:gridSpan w:val="3"/>
            <w:vMerge w:val="continue"/>
          </w:tcPr>
          <w:p>
            <w:pPr>
              <w:spacing w:after="0"/>
              <w:rPr>
                <w:sz w:val="15"/>
                <w:szCs w:val="15"/>
                <w:color w:val="auto"/>
              </w:rPr>
            </w:pPr>
          </w:p>
        </w:tc>
        <w:tc>
          <w:tcPr>
            <w:tcW w:w="3520" w:type="dxa"/>
            <w:vAlign w:val="bottom"/>
          </w:tcPr>
          <w:p>
            <w:pPr>
              <w:spacing w:after="0"/>
              <w:rPr>
                <w:sz w:val="15"/>
                <w:szCs w:val="15"/>
                <w:color w:val="auto"/>
              </w:rPr>
            </w:pPr>
          </w:p>
        </w:tc>
        <w:tc>
          <w:tcPr>
            <w:tcW w:w="860" w:type="dxa"/>
            <w:vAlign w:val="bottom"/>
            <w:gridSpan w:val="3"/>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Markets</w:t>
            </w:r>
          </w:p>
        </w:tc>
        <w:tc>
          <w:tcPr>
            <w:tcW w:w="200" w:type="dxa"/>
            <w:vAlign w:val="bottom"/>
          </w:tcPr>
          <w:p>
            <w:pPr>
              <w:spacing w:after="0"/>
              <w:rPr>
                <w:sz w:val="15"/>
                <w:szCs w:val="15"/>
                <w:color w:val="auto"/>
              </w:rPr>
            </w:pPr>
          </w:p>
        </w:tc>
        <w:tc>
          <w:tcPr>
            <w:tcW w:w="940" w:type="dxa"/>
            <w:vAlign w:val="bottom"/>
            <w:gridSpan w:val="3"/>
          </w:tcPr>
          <w:p>
            <w:pPr>
              <w:jc w:val="right"/>
              <w:ind w:right="520"/>
              <w:spacing w:after="0" w:line="158" w:lineRule="exact"/>
              <w:rPr>
                <w:sz w:val="20"/>
                <w:szCs w:val="20"/>
                <w:color w:val="auto"/>
              </w:rPr>
            </w:pPr>
            <w:r>
              <w:rPr>
                <w:rFonts w:ascii="Times New Roman" w:cs="Times New Roman" w:eastAsia="Times New Roman" w:hAnsi="Times New Roman"/>
                <w:sz w:val="14"/>
                <w:szCs w:val="14"/>
                <w:color w:val="auto"/>
              </w:rPr>
              <w:t>China</w:t>
            </w:r>
          </w:p>
        </w:tc>
        <w:tc>
          <w:tcPr>
            <w:tcW w:w="1000" w:type="dxa"/>
            <w:vAlign w:val="bottom"/>
            <w:gridSpan w:val="3"/>
          </w:tcPr>
          <w:p>
            <w:pPr>
              <w:jc w:val="right"/>
              <w:ind w:right="480"/>
              <w:spacing w:after="0" w:line="158" w:lineRule="exact"/>
              <w:rPr>
                <w:sz w:val="20"/>
                <w:szCs w:val="20"/>
                <w:color w:val="auto"/>
              </w:rPr>
            </w:pPr>
            <w:r>
              <w:rPr>
                <w:rFonts w:ascii="Times New Roman" w:cs="Times New Roman" w:eastAsia="Times New Roman" w:hAnsi="Times New Roman"/>
                <w:sz w:val="14"/>
                <w:szCs w:val="14"/>
                <w:color w:val="auto"/>
              </w:rPr>
              <w:t>Markets</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Lipitor</w:t>
            </w:r>
          </w:p>
        </w:tc>
        <w:tc>
          <w:tcPr>
            <w:tcW w:w="190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668</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w:t>
            </w: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$1,194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Lyrica</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Norvasc</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Celebrex</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71</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Viagra</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Effexor</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Zoloft</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Xalatan/Xalacom</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Xanax</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Revatio</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Greenstone</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142</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3"/>
              </w:rPr>
              <w:t>1,463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734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2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significant revenues by major product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color w:val="auto"/>
              </w:rPr>
              <w:t>Nine Months Ended September 29, 2019</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2660" w:type="dxa"/>
            <w:vAlign w:val="bottom"/>
          </w:tcPr>
          <w:p>
            <w:pPr>
              <w:spacing w:after="0"/>
              <w:rPr>
                <w:sz w:val="10"/>
                <w:szCs w:val="10"/>
                <w:color w:val="auto"/>
              </w:rPr>
            </w:pPr>
          </w:p>
        </w:tc>
        <w:tc>
          <w:tcPr>
            <w:tcW w:w="86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3"/>
                <w:szCs w:val="13"/>
                <w:color w:val="auto"/>
              </w:rPr>
              <w:t>Developed</w:t>
            </w:r>
          </w:p>
        </w:tc>
        <w:tc>
          <w:tcPr>
            <w:tcW w:w="200" w:type="dxa"/>
            <w:vAlign w:val="bottom"/>
          </w:tcPr>
          <w:p>
            <w:pPr>
              <w:spacing w:after="0"/>
              <w:rPr>
                <w:sz w:val="10"/>
                <w:szCs w:val="10"/>
                <w:color w:val="auto"/>
              </w:rPr>
            </w:pPr>
          </w:p>
        </w:tc>
        <w:tc>
          <w:tcPr>
            <w:tcW w:w="940" w:type="dxa"/>
            <w:vAlign w:val="bottom"/>
            <w:gridSpan w:val="3"/>
          </w:tcPr>
          <w:p>
            <w:pPr>
              <w:jc w:val="right"/>
              <w:ind w:right="480"/>
              <w:spacing w:after="0" w:line="119" w:lineRule="exact"/>
              <w:rPr>
                <w:sz w:val="20"/>
                <w:szCs w:val="20"/>
                <w:color w:val="auto"/>
              </w:rPr>
            </w:pPr>
            <w:r>
              <w:rPr>
                <w:rFonts w:ascii="Times New Roman" w:cs="Times New Roman" w:eastAsia="Times New Roman" w:hAnsi="Times New Roman"/>
                <w:sz w:val="13"/>
                <w:szCs w:val="13"/>
                <w:color w:val="auto"/>
              </w:rPr>
              <w:t>Greater</w:t>
            </w:r>
          </w:p>
        </w:tc>
        <w:tc>
          <w:tcPr>
            <w:tcW w:w="10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Emerging</w:t>
            </w: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3920" w:type="dxa"/>
            <w:vAlign w:val="bottom"/>
            <w:gridSpan w:val="3"/>
            <w:vMerge w:val="continue"/>
          </w:tcPr>
          <w:p>
            <w:pPr>
              <w:spacing w:after="0"/>
              <w:rPr>
                <w:sz w:val="15"/>
                <w:szCs w:val="15"/>
                <w:color w:val="auto"/>
              </w:rPr>
            </w:pPr>
          </w:p>
        </w:tc>
        <w:tc>
          <w:tcPr>
            <w:tcW w:w="2660" w:type="dxa"/>
            <w:vAlign w:val="bottom"/>
          </w:tcPr>
          <w:p>
            <w:pPr>
              <w:spacing w:after="0"/>
              <w:rPr>
                <w:sz w:val="15"/>
                <w:szCs w:val="15"/>
                <w:color w:val="auto"/>
              </w:rPr>
            </w:pPr>
          </w:p>
        </w:tc>
        <w:tc>
          <w:tcPr>
            <w:tcW w:w="860" w:type="dxa"/>
            <w:vAlign w:val="bottom"/>
            <w:gridSpan w:val="3"/>
          </w:tcPr>
          <w:p>
            <w:pPr>
              <w:jc w:val="right"/>
              <w:ind w:right="300"/>
              <w:spacing w:after="0" w:line="158" w:lineRule="exact"/>
              <w:rPr>
                <w:sz w:val="20"/>
                <w:szCs w:val="20"/>
                <w:color w:val="auto"/>
              </w:rPr>
            </w:pPr>
            <w:r>
              <w:rPr>
                <w:rFonts w:ascii="Times New Roman" w:cs="Times New Roman" w:eastAsia="Times New Roman" w:hAnsi="Times New Roman"/>
                <w:sz w:val="14"/>
                <w:szCs w:val="14"/>
                <w:color w:val="auto"/>
              </w:rPr>
              <w:t>Markets</w:t>
            </w:r>
          </w:p>
        </w:tc>
        <w:tc>
          <w:tcPr>
            <w:tcW w:w="200" w:type="dxa"/>
            <w:vAlign w:val="bottom"/>
          </w:tcPr>
          <w:p>
            <w:pPr>
              <w:spacing w:after="0"/>
              <w:rPr>
                <w:sz w:val="15"/>
                <w:szCs w:val="15"/>
                <w:color w:val="auto"/>
              </w:rPr>
            </w:pPr>
          </w:p>
        </w:tc>
        <w:tc>
          <w:tcPr>
            <w:tcW w:w="940" w:type="dxa"/>
            <w:vAlign w:val="bottom"/>
            <w:gridSpan w:val="3"/>
          </w:tcPr>
          <w:p>
            <w:pPr>
              <w:jc w:val="right"/>
              <w:ind w:right="520"/>
              <w:spacing w:after="0" w:line="158" w:lineRule="exact"/>
              <w:rPr>
                <w:sz w:val="20"/>
                <w:szCs w:val="20"/>
                <w:color w:val="auto"/>
              </w:rPr>
            </w:pPr>
            <w:r>
              <w:rPr>
                <w:rFonts w:ascii="Times New Roman" w:cs="Times New Roman" w:eastAsia="Times New Roman" w:hAnsi="Times New Roman"/>
                <w:sz w:val="14"/>
                <w:szCs w:val="14"/>
                <w:color w:val="auto"/>
              </w:rPr>
              <w:t>China</w:t>
            </w:r>
          </w:p>
        </w:tc>
        <w:tc>
          <w:tcPr>
            <w:tcW w:w="1000" w:type="dxa"/>
            <w:vAlign w:val="bottom"/>
            <w:gridSpan w:val="3"/>
          </w:tcPr>
          <w:p>
            <w:pPr>
              <w:jc w:val="right"/>
              <w:ind w:right="480"/>
              <w:spacing w:after="0" w:line="158" w:lineRule="exact"/>
              <w:rPr>
                <w:sz w:val="20"/>
                <w:szCs w:val="20"/>
                <w:color w:val="auto"/>
              </w:rPr>
            </w:pPr>
            <w:r>
              <w:rPr>
                <w:rFonts w:ascii="Times New Roman" w:cs="Times New Roman" w:eastAsia="Times New Roman" w:hAnsi="Times New Roman"/>
                <w:sz w:val="14"/>
                <w:szCs w:val="14"/>
                <w:color w:val="auto"/>
              </w:rPr>
              <w:t>Markets</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Lipitor</w:t>
            </w:r>
          </w:p>
        </w:tc>
        <w:tc>
          <w:tcPr>
            <w:tcW w:w="276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956</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$1,512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Lyrica</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Norvasc</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Celebrex</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Viagra</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Effexor</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Zoloft</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Xalatan/Xalacom</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Xanax</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Revatio</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Greenstone</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147</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3"/>
              </w:rPr>
              <w:t>1,873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789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15. Related Party Transactions</w:t>
      </w:r>
    </w:p>
    <w:p>
      <w:pPr>
        <w:spacing w:after="0" w:line="121"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These condensed combined financial statements include related party transactions, such as sales to Pfizer, the costs of goods manufactured in manufacturing plants that were shared with other Pfizer business units and other operating activities between Pfizer and Upjohn.</w:t>
      </w:r>
    </w:p>
    <w:p>
      <w:pPr>
        <w:spacing w:after="0" w:line="162" w:lineRule="exact"/>
        <w:rPr>
          <w:sz w:val="20"/>
          <w:szCs w:val="20"/>
          <w:color w:val="auto"/>
        </w:rPr>
      </w:pPr>
    </w:p>
    <w:p>
      <w:pPr>
        <w:ind w:left="120" w:right="120"/>
        <w:spacing w:after="0" w:line="272" w:lineRule="auto"/>
        <w:rPr>
          <w:sz w:val="20"/>
          <w:szCs w:val="20"/>
          <w:color w:val="auto"/>
        </w:rPr>
      </w:pPr>
      <w:r>
        <w:rPr>
          <w:rFonts w:ascii="Times New Roman" w:cs="Times New Roman" w:eastAsia="Times New Roman" w:hAnsi="Times New Roman"/>
          <w:sz w:val="17"/>
          <w:szCs w:val="17"/>
          <w:color w:val="auto"/>
        </w:rPr>
        <w:t xml:space="preserve">Substantially all balances from transactions among Upjohn and Pfizer that are expected to be cash-settled, if any, are included, depending on the nature of the balance, in </w:t>
      </w:r>
      <w:r>
        <w:rPr>
          <w:rFonts w:ascii="Times New Roman" w:cs="Times New Roman" w:eastAsia="Times New Roman" w:hAnsi="Times New Roman"/>
          <w:sz w:val="17"/>
          <w:szCs w:val="17"/>
          <w:i w:val="1"/>
          <w:iCs w:val="1"/>
          <w:color w:val="auto"/>
        </w:rPr>
        <w:t>Other current assets, Other noncurrent assets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 current liabilities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Other noncurrent liabilities</w:t>
      </w:r>
      <w:r>
        <w:rPr>
          <w:rFonts w:ascii="Times New Roman" w:cs="Times New Roman" w:eastAsia="Times New Roman" w:hAnsi="Times New Roman"/>
          <w:sz w:val="17"/>
          <w:szCs w:val="17"/>
          <w:color w:val="auto"/>
        </w:rPr>
        <w:t xml:space="preserve"> in the condensed combined balance sheets. As of September 27, 2020 and December 31, 2019, included in </w:t>
      </w:r>
      <w:r>
        <w:rPr>
          <w:rFonts w:ascii="Times New Roman" w:cs="Times New Roman" w:eastAsia="Times New Roman" w:hAnsi="Times New Roman"/>
          <w:sz w:val="17"/>
          <w:szCs w:val="17"/>
          <w:i w:val="1"/>
          <w:iCs w:val="1"/>
          <w:color w:val="auto"/>
        </w:rPr>
        <w:t>Other current assets</w:t>
      </w:r>
      <w:r>
        <w:rPr>
          <w:rFonts w:ascii="Times New Roman" w:cs="Times New Roman" w:eastAsia="Times New Roman" w:hAnsi="Times New Roman"/>
          <w:sz w:val="17"/>
          <w:szCs w:val="17"/>
          <w:color w:val="auto"/>
        </w:rPr>
        <w:t xml:space="preserve"> are related party receivables from Pfizer of</w:t>
      </w:r>
    </w:p>
    <w:p>
      <w:pPr>
        <w:spacing w:after="0" w:line="2"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 xml:space="preserve">$9 million and $4 million, respectively, related to an employee secondment agreement and related intercompany lease agreement at our Tuas, Singapore manufacturing site described below (see </w:t>
      </w:r>
      <w:r>
        <w:rPr>
          <w:rFonts w:ascii="Times New Roman" w:cs="Times New Roman" w:eastAsia="Times New Roman" w:hAnsi="Times New Roman"/>
          <w:sz w:val="18"/>
          <w:szCs w:val="18"/>
          <w:i w:val="1"/>
          <w:iCs w:val="1"/>
          <w:color w:val="auto"/>
        </w:rPr>
        <w:t>Note 10A</w:t>
      </w:r>
      <w:r>
        <w:rPr>
          <w:rFonts w:ascii="Times New Roman" w:cs="Times New Roman" w:eastAsia="Times New Roman" w:hAnsi="Times New Roman"/>
          <w:sz w:val="18"/>
          <w:szCs w:val="18"/>
          <w:color w:val="auto"/>
        </w:rPr>
        <w:t xml:space="preserve">). Included in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is a related party payable to Pfizer of $3 million as of September 27, 2020 and $1 million as of December 31, 2019 related to a transfer agreement for certain manufacturing assets (see </w:t>
      </w:r>
      <w:r>
        <w:rPr>
          <w:rFonts w:ascii="Times New Roman" w:cs="Times New Roman" w:eastAsia="Times New Roman" w:hAnsi="Times New Roman"/>
          <w:sz w:val="18"/>
          <w:szCs w:val="18"/>
          <w:i w:val="1"/>
          <w:iCs w:val="1"/>
          <w:color w:val="auto"/>
        </w:rPr>
        <w:t>Note 11B</w:t>
      </w:r>
      <w:r>
        <w:rPr>
          <w:rFonts w:ascii="Times New Roman" w:cs="Times New Roman" w:eastAsia="Times New Roman" w:hAnsi="Times New Roman"/>
          <w:sz w:val="18"/>
          <w:szCs w:val="18"/>
          <w:color w:val="auto"/>
        </w:rPr>
        <w:t xml:space="preserve">). All balances and transactions among Upjohn and Pfizer that are not cash-settled are shown as part of </w:t>
      </w:r>
      <w:r>
        <w:rPr>
          <w:rFonts w:ascii="Times New Roman" w:cs="Times New Roman" w:eastAsia="Times New Roman" w:hAnsi="Times New Roman"/>
          <w:sz w:val="18"/>
          <w:szCs w:val="18"/>
          <w:i w:val="1"/>
          <w:iCs w:val="1"/>
          <w:color w:val="auto"/>
        </w:rPr>
        <w:t>Business unit equity</w:t>
      </w:r>
      <w:r>
        <w:rPr>
          <w:rFonts w:ascii="Times New Roman" w:cs="Times New Roman" w:eastAsia="Times New Roman" w:hAnsi="Times New Roman"/>
          <w:sz w:val="18"/>
          <w:szCs w:val="18"/>
          <w:color w:val="auto"/>
        </w:rPr>
        <w:t xml:space="preserve"> in the condensed combined balance sheets, for all periods presented, and represent the net of amounts settled without payment (to)/from Pfizer. Such amounts are reflected in the condensed combined statements of cash flows based on the cash flows made by Pfizer on behalf of Upjohn, with the offset reflected in </w:t>
      </w:r>
      <w:r>
        <w:rPr>
          <w:rFonts w:ascii="Times New Roman" w:cs="Times New Roman" w:eastAsia="Times New Roman" w:hAnsi="Times New Roman"/>
          <w:sz w:val="18"/>
          <w:szCs w:val="18"/>
          <w:i w:val="1"/>
          <w:iCs w:val="1"/>
          <w:color w:val="auto"/>
        </w:rPr>
        <w:t>Net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activities with Pfizer </w:t>
      </w:r>
      <w:r>
        <w:rPr>
          <w:rFonts w:ascii="Times New Roman" w:cs="Times New Roman" w:eastAsia="Times New Roman" w:hAnsi="Times New Roman"/>
          <w:sz w:val="18"/>
          <w:szCs w:val="18"/>
          <w:color w:val="auto"/>
        </w:rPr>
        <w:t>in the financing section.</w:t>
      </w:r>
    </w:p>
    <w:p>
      <w:pPr>
        <w:spacing w:after="0" w:line="18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 xml:space="preserve">Pfizer uses a centralized approach to cash management and financing its operations. Prior to April 2020, during the periods covered by these condensed combined financial statements, excess cash receipts were remitted to Pfizer on a regular basis and are reflected within </w:t>
      </w:r>
      <w:r>
        <w:rPr>
          <w:rFonts w:ascii="Times New Roman" w:cs="Times New Roman" w:eastAsia="Times New Roman" w:hAnsi="Times New Roman"/>
          <w:sz w:val="18"/>
          <w:szCs w:val="18"/>
          <w:i w:val="1"/>
          <w:iCs w:val="1"/>
          <w:color w:val="auto"/>
        </w:rPr>
        <w:t>Business unit equity</w:t>
      </w:r>
      <w:r>
        <w:rPr>
          <w:rFonts w:ascii="Times New Roman" w:cs="Times New Roman" w:eastAsia="Times New Roman" w:hAnsi="Times New Roman"/>
          <w:sz w:val="18"/>
          <w:szCs w:val="18"/>
          <w:color w:val="auto"/>
        </w:rPr>
        <w:t xml:space="preserve"> in the condensed combined financial statements. Similarly, Upjohn cash disbursements were predominantly funded through Pfizer’s cash accounts and are reflected within </w:t>
      </w:r>
      <w:r>
        <w:rPr>
          <w:rFonts w:ascii="Times New Roman" w:cs="Times New Roman" w:eastAsia="Times New Roman" w:hAnsi="Times New Roman"/>
          <w:sz w:val="18"/>
          <w:szCs w:val="18"/>
          <w:i w:val="1"/>
          <w:iCs w:val="1"/>
          <w:color w:val="auto"/>
        </w:rPr>
        <w:t>Business unit equity</w:t>
      </w:r>
      <w:r>
        <w:rPr>
          <w:rFonts w:ascii="Times New Roman" w:cs="Times New Roman" w:eastAsia="Times New Roman" w:hAnsi="Times New Roman"/>
          <w:sz w:val="18"/>
          <w:szCs w:val="18"/>
          <w:color w:val="auto"/>
        </w:rPr>
        <w:t xml:space="preserve"> in the condensed combined financial statements. Beginning in April 2020, excess cash receipts in certain Upjohn Business locations are now predominantly remitted to the newly created ULMV and are reflected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condensed combined balance sheet as of September 27, 2020.</w:t>
      </w:r>
    </w:p>
    <w:p>
      <w:pPr>
        <w:spacing w:after="0" w:line="187"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 xml:space="preserve">Historically, Pfizer has provided significant corporate, manufacturing and shared services functions and resources to us. Our condensed combined financial statements reflect an allocation of these costs (see </w:t>
      </w:r>
      <w:r>
        <w:rPr>
          <w:rFonts w:ascii="Times New Roman" w:cs="Times New Roman" w:eastAsia="Times New Roman" w:hAnsi="Times New Roman"/>
          <w:sz w:val="18"/>
          <w:szCs w:val="18"/>
          <w:i w:val="1"/>
          <w:iCs w:val="1"/>
          <w:color w:val="auto"/>
        </w:rPr>
        <w:t>Note 1B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believes that these allocations are a reasonable reflection of the services received. However, these allocations may not reflect the expenses that would have been incurred if we had operated as an independent standalone company during the periods presented.</w:t>
      </w:r>
    </w:p>
    <w:p>
      <w:pPr>
        <w:spacing w:after="0" w:line="178"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color w:val="auto"/>
        </w:rPr>
        <w:t xml:space="preserve">Pfizer and Viatris (see </w:t>
      </w:r>
      <w:r>
        <w:rPr>
          <w:rFonts w:ascii="Times New Roman" w:cs="Times New Roman" w:eastAsia="Times New Roman" w:hAnsi="Times New Roman"/>
          <w:sz w:val="17"/>
          <w:szCs w:val="17"/>
          <w:i w:val="1"/>
          <w:iCs w:val="1"/>
          <w:color w:val="auto"/>
        </w:rPr>
        <w:t>Note 1A</w:t>
      </w:r>
      <w:r>
        <w:rPr>
          <w:rFonts w:ascii="Times New Roman" w:cs="Times New Roman" w:eastAsia="Times New Roman" w:hAnsi="Times New Roman"/>
          <w:sz w:val="17"/>
          <w:szCs w:val="17"/>
          <w:color w:val="auto"/>
        </w:rPr>
        <w:t>) entered into certain additional agreements that will govern certain arrangements between them following the consummation of the Transaction relating to, among other things, tax matters, employee matters, intellectual property matters, transition services and manufacturing and supply arrangements. Such agreements generally became effective upon the consummation of the combination of Upjohn and Mylan.</w:t>
      </w: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Intercompany Leases and Agreement with Pfizer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Effective May 27, 2019, Upjohn entered into operating leases with a subsidiary of Pfizer (lessee)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its manufacturing plant and equipment in Singapore to Pfizer. The leases were originally for five years but the lessee may terminate or extend the term upon agreement without penalty. On July 2, 2020, Pfizer extended the leases for an additional two years. The lease payment includes variable payments for property tax and plant insurance. The residual value of the underlying assets was calculated using the depreciation and book value included in the lease contract terms. To manage the risk of the residual assets, plant insurance is included in the lease payments.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We had the following lease income related to these operating leases with Pfizer, which is included in </w:t>
      </w:r>
      <w:r>
        <w:rPr>
          <w:rFonts w:ascii="Times New Roman" w:cs="Times New Roman" w:eastAsia="Times New Roman" w:hAnsi="Times New Roman"/>
          <w:sz w:val="18"/>
          <w:szCs w:val="18"/>
          <w:i w:val="1"/>
          <w:iCs w:val="1"/>
          <w:color w:val="auto"/>
        </w:rPr>
        <w:t>Other (income)/deductions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color w:val="auto"/>
              </w:rPr>
              <w:t>Nine Months Ended</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2860" w:type="dxa"/>
            <w:vAlign w:val="bottom"/>
            <w:vMerge w:val="restart"/>
          </w:tcPr>
          <w:p>
            <w:pPr>
              <w:spacing w:after="0"/>
              <w:rPr>
                <w:sz w:val="10"/>
                <w:szCs w:val="10"/>
                <w:color w:val="auto"/>
              </w:rPr>
            </w:pPr>
          </w:p>
        </w:tc>
        <w:tc>
          <w:tcPr>
            <w:tcW w:w="1820" w:type="dxa"/>
            <w:vAlign w:val="bottom"/>
          </w:tcPr>
          <w:p>
            <w:pPr>
              <w:spacing w:after="0"/>
              <w:rPr>
                <w:sz w:val="10"/>
                <w:szCs w:val="10"/>
                <w:color w:val="auto"/>
              </w:rPr>
            </w:pPr>
          </w:p>
        </w:tc>
        <w:tc>
          <w:tcPr>
            <w:tcW w:w="1640" w:type="dxa"/>
            <w:vAlign w:val="bottom"/>
            <w:gridSpan w:val="3"/>
          </w:tcPr>
          <w:p>
            <w:pPr>
              <w:jc w:val="right"/>
              <w:ind w:right="800"/>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7"/>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95"/>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Buildings</w:t>
            </w:r>
          </w:p>
        </w:tc>
        <w:tc>
          <w:tcPr>
            <w:tcW w:w="1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income from Pfizer</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value associated with the leased assets was $288 million as of September 27, 2020 inclusive of accumulated depreciation of $382 million.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value associated with the leased assets was $308 million as of December 31, 2019 inclusive of accumulated depreciation of $360 million.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undiscounted cash flows we expect to receive from Pfizer under these operating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wp:posOffset>
            </wp:positionV>
            <wp:extent cx="6995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2" w:lineRule="exact"/>
        <w:rPr>
          <w:sz w:val="20"/>
          <w:szCs w:val="20"/>
          <w:color w:val="auto"/>
        </w:rPr>
      </w:pPr>
    </w:p>
    <w:tbl>
      <w:tblPr>
        <w:tblLayout w:type="fixed"/>
        <w:tblInd w:w="1880" w:type="dxa"/>
        <w:tblCellMar>
          <w:top w:w="0" w:type="dxa"/>
          <w:left w:w="0" w:type="dxa"/>
          <w:bottom w:w="0" w:type="dxa"/>
          <w:right w:w="0" w:type="dxa"/>
        </w:tblCellMar>
      </w:tblPr>
      <w:tr>
        <w:trPr>
          <w:trHeight w:val="185"/>
        </w:trPr>
        <w:tc>
          <w:tcPr>
            <w:tcW w:w="4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1360" w:type="dxa"/>
            <w:vAlign w:val="bottom"/>
          </w:tcPr>
          <w:p>
            <w:pPr>
              <w:spacing w:after="0"/>
              <w:rPr>
                <w:sz w:val="16"/>
                <w:szCs w:val="16"/>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Expected Undiscounted Cash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136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360" w:type="dxa"/>
            <w:vAlign w:val="bottom"/>
            <w:gridSpan w:val="3"/>
            <w:vMerge w:val="continue"/>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tcPr>
          <w:p>
            <w:pPr>
              <w:jc w:val="right"/>
              <w:ind w:right="680"/>
              <w:spacing w:after="0" w:line="158" w:lineRule="exact"/>
              <w:rPr>
                <w:sz w:val="20"/>
                <w:szCs w:val="20"/>
                <w:color w:val="auto"/>
              </w:rPr>
            </w:pPr>
            <w:r>
              <w:rPr>
                <w:rFonts w:ascii="Times New Roman" w:cs="Times New Roman" w:eastAsia="Times New Roman" w:hAnsi="Times New Roman"/>
                <w:sz w:val="14"/>
                <w:szCs w:val="14"/>
                <w:color w:val="auto"/>
              </w:rPr>
              <w:t>Inflows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Next one year</w:t>
            </w:r>
            <w:r>
              <w:rPr>
                <w:rFonts w:ascii="Times New Roman" w:cs="Times New Roman" w:eastAsia="Times New Roman" w:hAnsi="Times New Roman"/>
                <w:sz w:val="15"/>
                <w:szCs w:val="15"/>
                <w:color w:val="auto"/>
              </w:rPr>
              <w:t>(a)</w:t>
            </w: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years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2-3 years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 years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 years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5-6 years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Reflects lease payments due within 12 months subsequent to the September 27, 2020 balance sheet date.</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Also, in connection with the property and equipment lease agreements in Singapore, Pfizer and Upjohn entered into an employee secondment agreement whereby certain Upjohn employees carry out the Pfizer manufacturing operations at the leased site, and in return Pfizer reimburses Upjohn for the costs, primarily salaries, of those employees (see above for the receivable due from Pfizer related to this agreement). The service agreement was originally for a term of five years but, subject to the terms of the agreement, can be terminated or extended upon agreement without penalty. On July 2, 2020, Pfizer extended the service agreement for an additional two years.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Net Transfers—Pfizer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Net transfers (to)/from Pfizer are included within</w:t>
      </w:r>
      <w:r>
        <w:rPr>
          <w:rFonts w:ascii="Times New Roman" w:cs="Times New Roman" w:eastAsia="Times New Roman" w:hAnsi="Times New Roman"/>
          <w:sz w:val="18"/>
          <w:szCs w:val="18"/>
          <w:i w:val="1"/>
          <w:iCs w:val="1"/>
          <w:color w:val="auto"/>
        </w:rPr>
        <w:t xml:space="preserve"> Total Equity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Net transfers—Pfizer</w:t>
      </w:r>
      <w:r>
        <w:rPr>
          <w:rFonts w:ascii="Times New Roman" w:cs="Times New Roman" w:eastAsia="Times New Roman" w:hAnsi="Times New Roman"/>
          <w:sz w:val="18"/>
          <w:szCs w:val="18"/>
          <w:color w:val="auto"/>
        </w:rPr>
        <w:t xml:space="preserve"> in the condensed combined statements of equity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color w:val="auto"/>
              </w:rPr>
              <w:t>Nine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(millions of dollars)</w:t>
            </w:r>
          </w:p>
        </w:tc>
        <w:tc>
          <w:tcPr>
            <w:tcW w:w="2540" w:type="dxa"/>
            <w:vAlign w:val="bottom"/>
            <w:vMerge w:val="restart"/>
          </w:tcPr>
          <w:p>
            <w:pPr>
              <w:spacing w:after="0"/>
              <w:rPr>
                <w:sz w:val="10"/>
                <w:szCs w:val="10"/>
                <w:color w:val="auto"/>
              </w:rPr>
            </w:pPr>
          </w:p>
        </w:tc>
        <w:tc>
          <w:tcPr>
            <w:tcW w:w="22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September 27,</w:t>
            </w:r>
          </w:p>
        </w:tc>
        <w:tc>
          <w:tcPr>
            <w:tcW w:w="8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September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ind w:right="193"/>
              <w:spacing w:after="0" w:line="158" w:lineRule="exact"/>
              <w:rPr>
                <w:sz w:val="20"/>
                <w:szCs w:val="20"/>
                <w:color w:val="auto"/>
              </w:rPr>
            </w:pPr>
            <w:r>
              <w:rPr>
                <w:rFonts w:ascii="Times New Roman" w:cs="Times New Roman" w:eastAsia="Times New Roman" w:hAnsi="Times New Roman"/>
                <w:sz w:val="14"/>
                <w:szCs w:val="14"/>
                <w:color w:val="auto"/>
                <w:w w:val="92"/>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Centralized cash management</w:t>
            </w:r>
            <w:r>
              <w:rPr>
                <w:rFonts w:ascii="Times New Roman" w:cs="Times New Roman" w:eastAsia="Times New Roman" w:hAnsi="Times New Roman"/>
                <w:sz w:val="15"/>
                <w:szCs w:val="15"/>
                <w:color w:val="auto"/>
              </w:rPr>
              <w:t>(a)</w:t>
            </w:r>
          </w:p>
        </w:tc>
        <w:tc>
          <w:tcPr>
            <w:tcW w:w="2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(2,806)</w:t>
            </w:r>
          </w:p>
        </w:tc>
        <w:tc>
          <w:tcPr>
            <w:tcW w:w="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Pfizer cost allocations</w:t>
            </w:r>
            <w:r>
              <w:rPr>
                <w:rFonts w:ascii="Times New Roman" w:cs="Times New Roman" w:eastAsia="Times New Roman" w:hAnsi="Times New Roman"/>
                <w:sz w:val="15"/>
                <w:szCs w:val="15"/>
                <w:color w:val="auto"/>
              </w:rPr>
              <w:t>(b)</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584</w:t>
            </w:r>
          </w:p>
        </w:tc>
        <w:tc>
          <w:tcPr>
            <w:tcW w:w="2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taxes paid</w:t>
            </w:r>
            <w:r>
              <w:rPr>
                <w:rFonts w:ascii="Times New Roman" w:cs="Times New Roman" w:eastAsia="Times New Roman" w:hAnsi="Times New Roman"/>
                <w:sz w:val="15"/>
                <w:szCs w:val="15"/>
                <w:color w:val="auto"/>
              </w:rPr>
              <w:t>(c)</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519</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plans transferred from Pfizer</w:t>
            </w:r>
            <w:r>
              <w:rPr>
                <w:rFonts w:ascii="Times New Roman" w:cs="Times New Roman" w:eastAsia="Times New Roman" w:hAnsi="Times New Roman"/>
                <w:sz w:val="15"/>
                <w:szCs w:val="15"/>
                <w:color w:val="auto"/>
              </w:rPr>
              <w:t>(d)</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transfers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Pfizer</w:t>
            </w:r>
            <w:r>
              <w:rPr>
                <w:rFonts w:ascii="Times New Roman" w:cs="Times New Roman" w:eastAsia="Times New Roman" w:hAnsi="Times New Roman"/>
                <w:sz w:val="15"/>
                <w:szCs w:val="15"/>
                <w:color w:val="auto"/>
              </w:rPr>
              <w:t>(e)</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(1,704)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6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540" w:right="120" w:hanging="424"/>
        <w:spacing w:after="0" w:line="254"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Includes net cash remitted to Pfizer under Pfizer’s centralized cash management system. The Upjohn Business participated in Pfizer’s centralized cash management system and prior to April 2020, generally all excess cash was transferred to Pfizer on a daily basis. Beginning in April 2020, excess cash receipts in certain Upjohn Business locations were predominantly remitted to the ULMV and are reflected in </w:t>
      </w:r>
      <w:r>
        <w:rPr>
          <w:rFonts w:ascii="Times New Roman" w:cs="Times New Roman" w:eastAsia="Times New Roman" w:hAnsi="Times New Roman"/>
          <w:sz w:val="18"/>
          <w:szCs w:val="18"/>
          <w:i w:val="1"/>
          <w:iCs w:val="1"/>
          <w:color w:val="auto"/>
        </w:rPr>
        <w:t>Cash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equivalents </w:t>
      </w:r>
      <w:r>
        <w:rPr>
          <w:rFonts w:ascii="Times New Roman" w:cs="Times New Roman" w:eastAsia="Times New Roman" w:hAnsi="Times New Roman"/>
          <w:sz w:val="18"/>
          <w:szCs w:val="18"/>
          <w:color w:val="auto"/>
        </w:rPr>
        <w:t>in the condensed combined balance sheet as of September 27, 2020. Cash disbursements for operations and/or investing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predominantly funded as needed by Pfizer and the ULMV.</w:t>
      </w:r>
    </w:p>
    <w:p>
      <w:pPr>
        <w:spacing w:after="0" w:line="3"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Reflects allocations of costs for certain support functions that were provided to Upjohn on a centralized basis within Pfizer (see </w:t>
      </w:r>
      <w:r>
        <w:rPr>
          <w:rFonts w:ascii="Times New Roman" w:cs="Times New Roman" w:eastAsia="Times New Roman" w:hAnsi="Times New Roman"/>
          <w:sz w:val="18"/>
          <w:szCs w:val="18"/>
          <w:i w:val="1"/>
          <w:iCs w:val="1"/>
          <w:color w:val="auto"/>
        </w:rPr>
        <w:t>Note 1B</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5"/>
          <w:szCs w:val="15"/>
          <w:color w:val="auto"/>
        </w:rPr>
      </w:pPr>
    </w:p>
    <w:p>
      <w:pPr>
        <w:ind w:left="540" w:right="180" w:hanging="424"/>
        <w:spacing w:after="0" w:line="250"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taxes deemed paid by Pfizer on behalf of Upjohn, which were derived as if Upjohn filed a tax return separate from Pfizer in the various jurisdictions where it does business.</w:t>
      </w:r>
    </w:p>
    <w:p>
      <w:pPr>
        <w:ind w:left="540" w:right="180" w:hanging="424"/>
        <w:spacing w:after="0" w:line="250"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Represents newly formed Upjohn defined benefit plans for participants who previously participated in defined benefit plans sponsored by Pfizer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w:t>
      </w:r>
    </w:p>
    <w:p>
      <w:pPr>
        <w:ind w:left="540" w:hanging="424"/>
        <w:spacing w:after="0"/>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presented in the condensed combined statements of equity for the nine months ended September 27, 2020 and September 29, 2019.</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Note 16. Subsequent Events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November 16, 2020, Pfizer completed the transaction under the previously disclosed Transaction contemplated by (i) the Business Combination Agreement, dated as of July 29, 2019, as amended (the Business Combination Agreement), by and among Pfizer, Viatris Inc., formerly known as Upjohn Inc. (Viatris), Utah Acquisition Sub Inc., a wholly owned subsidiary of Viatris, Mylan, Mylan I B.V., a wholly owned subsidiary of Mylan (Mylan Newco), and Mylan II B.V., a wholly owned subsidiary of Mylan Newco; and (ii) the Separation and Distribution Agreement, dated as of July 29, 2019, as amended (the Separation and Distribution Agreement), by and between Pfizer and Viatris. Specifically, (1) Pfizer contributed the Upjohn Business to Viatris,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all of the shares of Viatris common stock held by Pfizer to Pfizer stockholders as of the record date (the Distribution); and (3) immediately after the Distribution, the Upjohn Business combined with Mylan in a series of transactions in which Mylan shareholders received one share of Viatris common stock for each Mylan ordinary share held by such shareholder, subject to any applicable withholding taxes (the Combination). Prior to the Distribution, Viatris made a cash payment to Pfizer equal to $12 billion as partial consideration for the contribution of the Upjohn Business from Pfizer to Viatris. As of the closing of the Combination, Pfizer stockholders owned approximately 57% of the outstanding shares of Viatris common stock, and Mylan shareholders owned approximately 43% of the outstanding shares of Viatris common stock, in each case on a fully diluted, as-converted and as-exercised basis. The Transaction is generally expected to be tax free to Pfizer and Pfizer stockholders. Beginning November 16, 2020, Viatris operates both the Upjohn Business and Mylan as an independent publicly traded company, which is traded under the symbol “VTRS” on the NASDAQ. As a condition of approval of the combination of the Upjohn Business and Mylan, certain products immaterial to the Upjohn Business in the U.S., Australia and New Zealand were required by regulatory authorities to be divested, with such divestments occurring in November 2020.</w:t>
      </w:r>
    </w:p>
    <w:p>
      <w:pPr>
        <w:spacing w:after="0" w:line="30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On December 7, 2020, Viatris and Astellas Pharma Inc. (Astellas) announced that the two companies have agreed to end the joint sales promotion (co-promotion) of the non-steroidal anti-inflammatory and analgesic Celecox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Tablets 100mg, 200mg (generic name: celecoxib, “Celecox”; global product name: Celebrex) manufactured and sold by Astellas and co-promoted by both companies in Japan on December 31, 2020. In accordance with this agreement, Celecox promotion, which to date has been carried out jointly by both companies, will be conducted solely by Viatris as of January 1, 2021. Astellas will continue its distribution until the termination of the agreement on July 31, 2021, after which time Viatris will be the Marketing Authorization Holder of Celecox.</w:t>
      </w:r>
    </w:p>
    <w:p>
      <w:pPr>
        <w:spacing w:after="0" w:line="7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On December 21, 2020, Pfizer and Viatris completed the termination of the Mylan-Japan collaboration. In connection with the termination of the collaboration, Pfizer transferred related inventories to Viatris. Pfizer and Viatris entered into certain commercialization and supply agreements that became effective upon the termination of the collaboration.</w:t>
      </w:r>
    </w:p>
    <w:p>
      <w:pPr>
        <w:spacing w:after="0" w:line="176"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Upjohn has evaluated subsequent events from the balance sheet date through December 23, 2020, the date at which the financial statements were available to be issued and determined that there are no other items to disclose.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 OF MYLAN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AND THE UPJOHN BUSINESS</w:t>
      </w:r>
    </w:p>
    <w:p>
      <w:pPr>
        <w:spacing w:after="0" w:line="207" w:lineRule="exact"/>
        <w:rPr>
          <w:sz w:val="20"/>
          <w:szCs w:val="20"/>
          <w:color w:val="auto"/>
        </w:rPr>
      </w:pPr>
    </w:p>
    <w:p>
      <w:pPr>
        <w:ind w:left="4" w:right="320" w:firstLine="991"/>
        <w:spacing w:after="0" w:line="267" w:lineRule="auto"/>
        <w:rPr>
          <w:sz w:val="20"/>
          <w:szCs w:val="20"/>
          <w:color w:val="auto"/>
        </w:rPr>
      </w:pPr>
      <w:r>
        <w:rPr>
          <w:rFonts w:ascii="Times New Roman" w:cs="Times New Roman" w:eastAsia="Times New Roman" w:hAnsi="Times New Roman"/>
          <w:sz w:val="17"/>
          <w:szCs w:val="17"/>
          <w:color w:val="auto"/>
        </w:rPr>
        <w:t>On November 16, 2020, Viatris Inc., formerly known as Upjohn Inc. (“Viatris”), Mylan N.V. (“Mylan”) and Pfizer Inc. (“Pfizer”) announced that they had consummated the previously announced combination of Mylan with Pfizer’s off-patent branded and generic established medicines business (the “Upjohn Business”) through a Reverse Morris Trust transaction. In accordance with the terms and conditions of a Business Combination Agreement, dated as of July 29, 2019, as amended (the “BCA”), among Viatris, Mylan, Pfizer and certain of their affiliates, and a Separation and Distribution Agreement, dated as of July 29, 2019, as amended (the “SDA”) between Viatris and Pfizer, (1) Pfizer contributed the Upjohn Business to Viatris (the “Contribution”),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stockholders as of the Record Date (the “Distribution” and the time at which the Distribution occurred, the “Distribution Time”), and</w:t>
      </w:r>
    </w:p>
    <w:p>
      <w:pPr>
        <w:spacing w:after="0" w:line="5" w:lineRule="exact"/>
        <w:rPr>
          <w:sz w:val="20"/>
          <w:szCs w:val="20"/>
          <w:color w:val="auto"/>
        </w:rPr>
      </w:pPr>
    </w:p>
    <w:p>
      <w:pPr>
        <w:ind w:left="4" w:right="60" w:hanging="4"/>
        <w:spacing w:after="0" w:line="251"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Distribution, Viatris and Mylan engaged in a strategic business combination transaction (the “Combination”). In addition, pursuant to the SDA and immediately prior to the Distribution, Viatris made a cash payment to Pfizer equal to $12 billion (the “Cash Distribution”) as partial consideration for the Contribution. As a result of the Combination, Viatris holds the combined Upjohn Business and Mylan business. Upon completion of the Distribution and the Combination, holders of Pfizer’s common stock as of the Record Date owned approximately 57% of the outstanding shares of Viatris common stock, and former Mylan shareholders owned approximately 43% of the outstanding shares of Viatris common stock, in each case on a fully diluted, as-converted and as-exercised basis. In connection with the Combination, on November 16, 2020, Mylan merged with and into Mylan II B.V., a company incorporated under the laws of the Netherlands and an indirect wholly owned subsidiary of Viatris, pursuant to and in accordance with the BCA. As a result of such merger, Mylan ceased to exist as a separate legal entity.</w:t>
      </w:r>
    </w:p>
    <w:p>
      <w:pPr>
        <w:spacing w:after="0" w:line="194"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nine months ended September 30, 2020 and for the year ended December 31, 2019 combine the historical unaudited condensed consolidated and the historical audited consolidated statements of operations of Mylan and the historical unaudited condensed combined and the historical audited combined statements of income for the Upjohn Business, respectively, giving effect to the Combination as if it had been consummated on January 1, 2019. The unaudited pro forma condensed combined balance sheet combines the historical unaudited condensed consolidated balance sheet of Mylan as of September 30, 2020 and the historical unaudited condensed combined balance sheet of the Upjohn Business as of September 27, 2020, giving effect to the Combination as if it had been consummated on September 30, 2020.</w:t>
      </w:r>
    </w:p>
    <w:p>
      <w:pPr>
        <w:spacing w:after="0" w:line="189" w:lineRule="exact"/>
        <w:rPr>
          <w:sz w:val="20"/>
          <w:szCs w:val="20"/>
          <w:color w:val="auto"/>
        </w:rPr>
      </w:pPr>
    </w:p>
    <w:p>
      <w:pPr>
        <w:ind w:left="4" w:right="80" w:firstLine="991"/>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in accordance with accounting principles generally accepted in the United States of America (“U.S. GAAP”) using the acquisition method of accounting in accordance with the Financial Accounting Standards Board Accounting Standards Codifications (“ASC”) 805, with Mylan considered the accounting acquirer of the Upjohn Business. Under the acquisition method of accounting, the purchase price is allocated to the underlying tangible and intangible assets acquired and liabilities assumed based on their respective fair market values with any excess purchase price allocated to goodwill. The unaudited pro forma condensed combined financial information is for informational purposes only and does not purport to indicate the results that would have actually been attained had the Combination been completed on the assumed date or for the periods presented, or which may be realized in the future. The allocation of the purchase price of the Upjohn Business is dependent upon certain valuation and other studies that are not yet final. Accordingly, the pro forma purchase price adjustments are preliminary and subject to further adjustments as additional information becomes available, and as additional analysis is performed. There can be no assurances that the final valuations will not result in material changes to the purchase price allocation. The unaudited pro forma condensed combined financial information does not reflect these potential expenses, cost savings, operating synergies, or revenue enhancements or the costs necessary to achieve these cost savings, operating synergies, and revenue enhancements. Furthermore, Viatris could have reorganization and restructuring expenses as well as potential cost savings, operating synergies, or revenue enhancements as a result of the Combination. The unaudited pro forma condensed combined financial information reflects only the pro forma adjustments that are factually supportable, directly attributable to the Combination and, with respect to the unaudited pro forma condensed combined statements of operations, expected to have a continuing impact on the combined results of Viatris.</w:t>
      </w:r>
    </w:p>
    <w:p>
      <w:pPr>
        <w:spacing w:after="0" w:line="19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BCA provides that Viatris will pay Pfizer for certain losses arising out of certain third-party actions following the closing date. See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 3: “Purchase Price” below for more information on the litigation matters for which Viatris has agreed to pay Pfizer for a certain amount of losses.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September 30, 2020, Viatris has not estimated or accrued any amounts related to such contingency. Any such amount will be considered additional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purchase price in the form of contingent consideration. At this time, Viatris does not have sufficient information available to make a preliminary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estimate of the fair value of any contingent consideration.</w:t>
      </w:r>
    </w:p>
    <w:p>
      <w:pPr>
        <w:sectPr>
          <w:pgSz w:w="11900" w:h="16838" w:orient="portrait"/>
          <w:cols w:equalWidth="0" w:num="1">
            <w:col w:w="11024"/>
          </w:cols>
          <w:pgMar w:left="436" w:top="117" w:right="439" w:bottom="1440" w:gutter="0" w:footer="0" w:header="0"/>
        </w:sectPr>
      </w:pPr>
    </w:p>
    <w:bookmarkStart w:id="43" w:name="page44"/>
    <w:bookmarkEnd w:id="43"/>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Upjohn Business’ historical combined financial statements have been derived from the consolidated financial statements and accounting records of Pfizer and include allocations for direct costs and indirect costs attributable to the operations of the Upjohn Business. These historical combined financial statements do not purport to reflect what the results of operations, comprehensive income, financial position, equity or cash flows would have been had the Upjohn Business operated as an independent standalone company during the periods presented.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 the following materials:</w:t>
      </w:r>
    </w:p>
    <w:p>
      <w:pPr>
        <w:spacing w:after="0" w:line="131" w:lineRule="exact"/>
        <w:rPr>
          <w:sz w:val="20"/>
          <w:szCs w:val="20"/>
          <w:color w:val="auto"/>
        </w:rPr>
      </w:pPr>
    </w:p>
    <w:p>
      <w:pPr>
        <w:ind w:left="960" w:hanging="424"/>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information;</w:t>
      </w:r>
    </w:p>
    <w:p>
      <w:pPr>
        <w:spacing w:after="0" w:line="130"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Mylan’s historical audited consolidated financial statements and related notes contained in Mylan’s Annual Report on Form 10-K, as amended, as of and for the year ended December 31, 2019, which were filed with the U.S. Securities and Exchange Commission (“SEC”) on February 28, 2020;</w:t>
      </w:r>
    </w:p>
    <w:p>
      <w:pPr>
        <w:spacing w:after="0" w:line="81"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Mylan’s historical unaudited condensed consolidated financial statements and related notes contained in Mylan’s Quarterly Report on Form 10-Q, as of and for the nine months ended September 30, 2020, which were filed with the SEC on November 6, 2020;</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Upjohn Business’ historical audited combined financial statements and related notes as of and for the year ended December 31, 2019, which were filed with the SEC on May 29, 2020;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Upjohn Business’ historical unaudited condensed combined financial statements and related notes as of and for the nine months ended September 27, 2020, which were filed with the SEC on January 29, 2021.</w:t>
      </w:r>
    </w:p>
    <w:p>
      <w:pPr>
        <w:sectPr>
          <w:pgSz w:w="11900" w:h="16838" w:orient="portrait"/>
          <w:cols w:equalWidth="0" w:num="1">
            <w:col w:w="10960"/>
          </w:cols>
          <w:pgMar w:left="440" w:top="270"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Viatris—Unaudited Pro Forma Condensed Combined 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Upjohn</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Business after</w:t>
            </w:r>
          </w:p>
        </w:tc>
        <w:tc>
          <w:tcPr>
            <w:tcW w:w="11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Mylan</w:t>
            </w:r>
          </w:p>
        </w:tc>
        <w:tc>
          <w:tcPr>
            <w:tcW w:w="32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reclassifications</w:t>
            </w:r>
          </w:p>
        </w:tc>
        <w:tc>
          <w:tcPr>
            <w:tcW w:w="116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tcBorders>
            <w:shd w:val="clear" w:color="auto" w:fill="CCEEFF"/>
          </w:tcPr>
          <w:p>
            <w:pPr>
              <w:ind w:left="236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w:t>
            </w:r>
          </w:p>
        </w:tc>
        <w:tc>
          <w:tcPr>
            <w:tcW w:w="4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(362)</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6i</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(192)</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6i</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6g</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1,766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1,271</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1,695</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6d</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6c</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12,091</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(11,413)</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6l</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277</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6p</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6c</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424</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6o</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10,966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1,330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18,220</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30,516</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9,817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8,754</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2,648</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6b</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(8,754)</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6b</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(296)</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6c</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23"/>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31,243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1,448</w:t>
            </w:r>
          </w:p>
        </w:tc>
        <w:tc>
          <w:tcPr>
            <w:tcW w:w="4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borrowings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(352)</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6c</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and other long-term obligations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1,958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(279)</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6c</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6c</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(659)</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9,516</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11,535</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759</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6m</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21,996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600</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3,661</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6f</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6c</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taxes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4,347</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(4,347)</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6c</w:t>
            </w: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6j</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6c</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18,695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38,366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8,653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10,765</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18,453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(8,653)</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6h</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6k</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(362)</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6i</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(192)</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6i</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6g</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714</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6h</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13,547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shares, at cost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6k</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12,548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22,728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31,243</w:t>
            </w:r>
          </w:p>
        </w:tc>
        <w:tc>
          <w:tcPr>
            <w:tcW w:w="4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27,566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2,286</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61,094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may not add due to rounding</w:t>
      </w:r>
    </w:p>
    <w:p>
      <w:pPr>
        <w:sectPr>
          <w:pgSz w:w="11900" w:h="16838" w:orient="portrait"/>
          <w:cols w:equalWidth="0" w:num="1">
            <w:col w:w="11020"/>
          </w:cols>
          <w:pgMar w:left="440" w:top="266" w:right="439" w:bottom="1440" w:gutter="0" w:footer="0" w:header="0"/>
        </w:sectPr>
      </w:pPr>
    </w:p>
    <w:bookmarkStart w:id="45" w:name="page46"/>
    <w:bookmarkEnd w:id="45"/>
    <w:p>
      <w:pPr>
        <w:ind w:right="49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Viatris—Unaudited Pro Forma Condensed Combined Statement of Operations For the nine months ended September 30,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Upjohn</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Business after</w:t>
            </w:r>
          </w:p>
        </w:tc>
        <w:tc>
          <w:tcPr>
            <w:tcW w:w="1240" w:type="dxa"/>
            <w:vAlign w:val="bottom"/>
            <w:gridSpan w:val="3"/>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for per share data)</w:t>
            </w:r>
          </w:p>
        </w:tc>
        <w:tc>
          <w:tcPr>
            <w:tcW w:w="780" w:type="dxa"/>
            <w:vAlign w:val="bottom"/>
          </w:tcPr>
          <w:p>
            <w:pPr>
              <w:spacing w:after="0"/>
              <w:rPr>
                <w:sz w:val="12"/>
                <w:szCs w:val="12"/>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Mylan</w:t>
            </w:r>
          </w:p>
        </w:tc>
        <w:tc>
          <w:tcPr>
            <w:tcW w:w="32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reclassifications</w:t>
            </w:r>
          </w:p>
        </w:tc>
        <w:tc>
          <w:tcPr>
            <w:tcW w:w="124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8,232</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5,506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(122)</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13,616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8,322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5,232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706</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7a</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7,320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(38)</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7e</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7f</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3,090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8"/>
                <w:szCs w:val="18"/>
                <w:color w:val="auto"/>
              </w:rPr>
            </w:pPr>
          </w:p>
        </w:tc>
        <w:tc>
          <w:tcPr>
            <w:tcW w:w="10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1,983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1,198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(197)</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7b</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2,984</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10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2,420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1,448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(197)</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83</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10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 and noncontrolling interest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(701)</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18"/>
                <w:szCs w:val="18"/>
                <w:color w:val="auto"/>
              </w:rPr>
            </w:pPr>
          </w:p>
        </w:tc>
        <w:tc>
          <w:tcPr>
            <w:tcW w:w="10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(126)</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7c</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2,080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(575)</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Loss attributable to noncontrolling interests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ordinary shareholders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2,081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(575)</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applicable to ordinary shareholders:</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0.48</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(0.83)</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516.8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692.8</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7d</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1,209.6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517.3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692.8</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7d</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1,210.1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may not add due to rounding</w:t>
      </w:r>
    </w:p>
    <w:p>
      <w:pPr>
        <w:sectPr>
          <w:pgSz w:w="11900" w:h="16838" w:orient="portrait"/>
          <w:cols w:equalWidth="0" w:num="1">
            <w:col w:w="11020"/>
          </w:cols>
          <w:pgMar w:left="440" w:top="266" w:right="439" w:bottom="1440" w:gutter="0" w:footer="0" w:header="0"/>
        </w:sectPr>
      </w:pPr>
    </w:p>
    <w:bookmarkStart w:id="46" w:name="page47"/>
    <w:bookmarkEnd w:id="46"/>
    <w:p>
      <w:pPr>
        <w:ind w:right="49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Viatris—Unaudited Pro Forma Condensed Combined Statement of Operations For the year ended December 31,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Upjohn</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Business after</w:t>
            </w:r>
          </w:p>
        </w:tc>
        <w:tc>
          <w:tcPr>
            <w:tcW w:w="1160" w:type="dxa"/>
            <w:vAlign w:val="bottom"/>
            <w:gridSpan w:val="3"/>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for per share data)</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Mylan</w:t>
            </w:r>
          </w:p>
        </w:tc>
        <w:tc>
          <w:tcPr>
            <w:tcW w:w="32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reclassifications</w:t>
            </w:r>
          </w:p>
        </w:tc>
        <w:tc>
          <w:tcPr>
            <w:tcW w:w="116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4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11,370</w:t>
            </w:r>
          </w:p>
        </w:tc>
        <w:tc>
          <w:tcPr>
            <w:tcW w:w="4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10,244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(144)</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21,470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11,501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974</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7a</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7e</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34</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7f</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Pr>
          <w:p>
            <w:pPr>
              <w:spacing w:after="0"/>
              <w:rPr>
                <w:sz w:val="18"/>
                <w:szCs w:val="18"/>
                <w:color w:val="auto"/>
              </w:rPr>
            </w:pPr>
          </w:p>
        </w:tc>
        <w:tc>
          <w:tcPr>
            <w:tcW w:w="9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2,343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7b</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4,833</w:t>
            </w: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8"/>
                <w:szCs w:val="18"/>
                <w:color w:val="auto"/>
              </w:rPr>
            </w:pPr>
          </w:p>
        </w:tc>
        <w:tc>
          <w:tcPr>
            <w:tcW w:w="9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(74)</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5,992</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217</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c>
          <w:tcPr>
            <w:tcW w:w="9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 and noncontrolling interest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(1,256)</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(253)</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7c</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(1,003)</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Earnings attributable to noncontrolling interests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ordinary shareholders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4,917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(1,003)</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3,931</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applicable to ordinary shareholders:</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4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(1.45)</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692.8</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7d</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1,208.6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692.8</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7d</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1,209.4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may not add due to rounding</w:t>
      </w:r>
    </w:p>
    <w:p>
      <w:pPr>
        <w:sectPr>
          <w:pgSz w:w="11900" w:h="16838" w:orient="portrait"/>
          <w:cols w:equalWidth="0" w:num="1">
            <w:col w:w="11020"/>
          </w:cols>
          <w:pgMar w:left="440" w:top="266" w:right="439" w:bottom="1440" w:gutter="0" w:footer="0" w:header="0"/>
        </w:sectPr>
      </w:pPr>
    </w:p>
    <w:bookmarkStart w:id="47" w:name="page48"/>
    <w:bookmarkEnd w:id="4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Unaudited Pro Forma Condensed Combined Financial Information</w:t>
      </w:r>
    </w:p>
    <w:p>
      <w:pPr>
        <w:spacing w:after="0" w:line="252"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information was prepared in accordance with U.S. GAAP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with Mylan considered to be the accounting acquirer of the Upjohn Business. The historical financial information has been adjusted to give effect to pro forma events that are: factually supportable; directly attributable to the Combination; and, with respect to the unaudited pro forma condensed combined statements of operations, expected to have a continuing impact on the results of Viatris. As such, the impact from transaction-related expenses are not included in the unaudited pro forma condensed combined statements of operations. However, the impact of these expenses is reflected in the unaudited pro forma condensed combined balance sheet as a decrease to cash and cash equivalents with a corresponding decrease to retained earnings.</w:t>
      </w:r>
    </w:p>
    <w:p>
      <w:pPr>
        <w:spacing w:after="0" w:line="189"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Assumptions and estimates underlying the pro forma adjustments are described in Notes 3 through 7. Since the unaudited pro forma condensed combined financial information has been prepared based on preliminary estimates, the final amounts recorded at the date of consummation of the Combination may differ materially from the information presented. These estimates are subject to change pending further review of the assets acquired and liabilities assumed and the final purchase price and its allocation thereof.</w:t>
      </w:r>
    </w:p>
    <w:p>
      <w:pPr>
        <w:spacing w:after="0" w:line="180" w:lineRule="exact"/>
        <w:rPr>
          <w:sz w:val="20"/>
          <w:szCs w:val="20"/>
          <w:color w:val="auto"/>
        </w:rPr>
      </w:pPr>
    </w:p>
    <w:p>
      <w:pPr>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informational purposes only and does not purport to indicate the results that would have actually been attained had the Combination been completed on the assumed date or for the periods presented, or which may be realized in the future.</w:t>
      </w:r>
    </w:p>
    <w:p>
      <w:pPr>
        <w:spacing w:after="0" w:line="320"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4" w:right="180" w:firstLine="991"/>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 “Management’s Discussion and Analysis of Financial Condition and Results of Operations of the Upjohn Business” and the historical combined financial statements of the Upjohn Business and the related notes thereto for the year ended December 31, 2019, that were previously filed with the SEC and the historical combined financial statements for the nine months ended September 27, 2020 filed with the SEC on January 29, 2021, as well as the sections entitled “Management’s Discussion and Analysis of Financial Condition and Results of Operations” contained in Mylan’s Annual Report on Form 10-K, as amended, for the year ended December 31, 2019 and Mylan’s Quarterly Report on Form 10-Q for the period ended September 30, 2020, that were previously filed with the SEC, and the consolidated financial statements of Mylan and the related notes thereto previously filed with the SEC covering these periods.</w:t>
      </w:r>
    </w:p>
    <w:p>
      <w:pPr>
        <w:spacing w:after="0" w:line="192"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The Combination has been accounted for using Mylan’s historical information and accounting policies and combining the assets and liabilities of the Upjohn Business at their respective estimated fair values. The assets and liabilities of the Upjohn Business have been measured at fair value based on various preliminary estimates using assumptions that Mylan’s management believes are reasonable utilizing information currently available. Use of different estimates and judgments could yield materially different results. The total purchase price has been measured using the closing market price of Mylan ordinary shares as of November 16, 2020 (the date of the closing of the Combination). The purchase price allocation is preliminary and subject to finalization. Differences from these preliminary estimates could be material.</w:t>
      </w:r>
    </w:p>
    <w:p>
      <w:pPr>
        <w:spacing w:after="0" w:line="187" w:lineRule="exact"/>
        <w:rPr>
          <w:sz w:val="20"/>
          <w:szCs w:val="20"/>
          <w:color w:val="auto"/>
        </w:rPr>
      </w:pPr>
    </w:p>
    <w:p>
      <w:pPr>
        <w:ind w:left="4" w:right="340" w:firstLine="991"/>
        <w:spacing w:after="0" w:line="261" w:lineRule="auto"/>
        <w:rPr>
          <w:sz w:val="20"/>
          <w:szCs w:val="20"/>
          <w:color w:val="auto"/>
        </w:rPr>
      </w:pPr>
      <w:r>
        <w:rPr>
          <w:rFonts w:ascii="Times New Roman" w:cs="Times New Roman" w:eastAsia="Times New Roman" w:hAnsi="Times New Roman"/>
          <w:sz w:val="18"/>
          <w:szCs w:val="18"/>
          <w:color w:val="auto"/>
        </w:rPr>
        <w:t>The Upjohn Business’ historical combined financial statements have been derived from the consolidated financial statements and accounting records of Pfizer and include allocations for direct costs and indirect costs attributable to the operations of the Upjohn Business. These historical combined financial statements do not purport to reflect what the results of operations, comprehensive income, financial position, equity or cash flows would have been had the Upjohn Business operated as an independent standalone company during the periods presented.</w:t>
      </w:r>
    </w:p>
    <w:p>
      <w:pPr>
        <w:spacing w:after="0" w:line="180"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Acquisition-related transaction costs, such as investment banker, advisory, legal, valuation, and other professional fees are not included as a component of consideration transferred but are expensed as incurred. Transaction costs incurred by Mylan totaled $197 million and $74 million for the nine months ended September 30, 2020 and the year ended December 31, 2019, respectively. These costs are included in the results of operations and eliminated in the unaudited pro forma condensed combined statements of operations adjustments. Transaction costs are not included in the historical combined financial statements of the Upjohn Business and therefore no related elimination was necessary in preparing the unaudited pro forma condensed combined statements of operations. Additionally, the unaudited pro forma condensed combined balance sheet reflects approximately</w:t>
      </w:r>
    </w:p>
    <w:p>
      <w:pPr>
        <w:spacing w:after="0" w:line="5"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$362 million and $192 million of estimated additional acquisition-related transaction costs to be incurred by Mylan and on behalf of the Upjohn Business, respectively, as a reduction of cash with a corresponding decrease in retained earnings. No tax effect was recorded for these costs as their deductibility has not been assessed. These costs are not presented in the unaudited pro forma condensed combined statements of operations because they will not have a continuing impact on the consolidated results of Viatris.</w:t>
      </w:r>
    </w:p>
    <w:p>
      <w:pPr>
        <w:sectPr>
          <w:pgSz w:w="11900" w:h="16838" w:orient="portrait"/>
          <w:cols w:equalWidth="0" w:num="1">
            <w:col w:w="11004"/>
          </w:cols>
          <w:pgMar w:left="436" w:top="266" w:right="459" w:bottom="1440" w:gutter="0" w:footer="0" w:header="0"/>
        </w:sectPr>
      </w:pPr>
    </w:p>
    <w:bookmarkStart w:id="48" w:name="page49"/>
    <w:bookmarkEnd w:id="48"/>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unaudited pro forma condensed combined financial information does not reflect potential cost savings, operating synergies, or revenue enhancements that Viatris may achieve as a result of the Combination or the costs to combine the operations of Mylan and the Upjohn Business or the costs necessary to achieve these cost savings, operating synergies, and revenue enhancements.</w:t>
      </w:r>
    </w:p>
    <w:p>
      <w:pPr>
        <w:spacing w:after="0" w:line="320"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Price</w:t>
      </w:r>
    </w:p>
    <w:p>
      <w:pPr>
        <w:spacing w:after="0" w:line="121"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Upon completion of the Combination the number of shares of Viatris common stock issued to Pfizer stockholders was approximately 692.8 million shares.</w:t>
      </w:r>
    </w:p>
    <w:p>
      <w:pPr>
        <w:spacing w:after="0" w:line="180" w:lineRule="exact"/>
        <w:rPr>
          <w:sz w:val="20"/>
          <w:szCs w:val="20"/>
          <w:color w:val="auto"/>
        </w:rPr>
      </w:pPr>
    </w:p>
    <w:tbl>
      <w:tblPr>
        <w:tblLayout w:type="fixed"/>
        <w:tblInd w:w="1764" w:type="dxa"/>
        <w:tblCellMar>
          <w:top w:w="0" w:type="dxa"/>
          <w:left w:w="0" w:type="dxa"/>
          <w:bottom w:w="0" w:type="dxa"/>
          <w:right w:w="0" w:type="dxa"/>
        </w:tblCellMar>
      </w:tblPr>
      <w:tr>
        <w:trPr>
          <w:trHeight w:val="175"/>
        </w:trPr>
        <w:tc>
          <w:tcPr>
            <w:tcW w:w="5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 and per share amounts)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issued to Pfizer stockholders (refer to Note 7d)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692,757,066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Mylan ordinary share closing price, as of November 16, 2020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value of common shares issued</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Pfizer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 net of cash received</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4" w:right="80" w:hanging="424"/>
        <w:spacing w:after="0" w:line="282" w:lineRule="auto"/>
        <w:tabs>
          <w:tab w:leader="none" w:pos="424"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a receivable from Pfizer for the additional cash balances due to the Upjohn Business under the SDA. The amounts were received from Pfizer in 2021.</w:t>
      </w:r>
    </w:p>
    <w:p>
      <w:pPr>
        <w:spacing w:after="0" w:line="162" w:lineRule="exact"/>
        <w:rPr>
          <w:sz w:val="20"/>
          <w:szCs w:val="20"/>
          <w:color w:val="auto"/>
        </w:rPr>
      </w:pPr>
    </w:p>
    <w:p>
      <w:pPr>
        <w:jc w:val="both"/>
        <w:ind w:left="4" w:right="520" w:firstLine="991"/>
        <w:spacing w:after="0" w:line="266" w:lineRule="auto"/>
        <w:rPr>
          <w:sz w:val="20"/>
          <w:szCs w:val="20"/>
          <w:color w:val="auto"/>
        </w:rPr>
      </w:pPr>
      <w:r>
        <w:rPr>
          <w:rFonts w:ascii="Times New Roman" w:cs="Times New Roman" w:eastAsia="Times New Roman" w:hAnsi="Times New Roman"/>
          <w:sz w:val="18"/>
          <w:szCs w:val="18"/>
          <w:color w:val="auto"/>
        </w:rPr>
        <w:t>The BCA provides that Viatris will pay Pfizer following the closing date an amount equal to 57% of any losses actually incurred or suffered by Mylan, Viatris or their respective subsidiaries, after the date of the BCA, arising out of third-party actions relating to the manufacture, distribution, marketing, promotion or sale of opioids by or on behalf of Mylan or its subsidiaries.</w:t>
      </w:r>
    </w:p>
    <w:p>
      <w:pPr>
        <w:spacing w:after="0" w:line="176"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On July 27, 2017, Mylan received a subpoena from the DOJ seeking information relating to opioids manufactured, marketed or sold by Mylan during the period from January 1, 2013 to December 31, 2016. On August 29, 2017, Mylan received a civil investigative demand from the Attorney General of the State of Missouri seeking information relating to opioids manufactured, marketed or sold by Mylan during the period from January 1, 2010 to the present and related subject matter. In November 2019, a subsidiary of Mylan received a subpoena from the New York Department of Financial Services as part of an industry-wide inquiry into the effect of opioid prescriptions on New York health insurance premiums. Mylan has, and Viatris continues to, fully cooperate with these subpoena requests.</w:t>
      </w:r>
    </w:p>
    <w:p>
      <w:pPr>
        <w:spacing w:after="0" w:line="187" w:lineRule="exact"/>
        <w:rPr>
          <w:sz w:val="20"/>
          <w:szCs w:val="20"/>
          <w:color w:val="auto"/>
        </w:rPr>
      </w:pPr>
    </w:p>
    <w:p>
      <w:pPr>
        <w:ind w:left="4" w:right="140" w:firstLine="991"/>
        <w:spacing w:after="0" w:line="253" w:lineRule="auto"/>
        <w:rPr>
          <w:sz w:val="20"/>
          <w:szCs w:val="20"/>
          <w:color w:val="auto"/>
        </w:rPr>
      </w:pPr>
      <w:r>
        <w:rPr>
          <w:rFonts w:ascii="Times New Roman" w:cs="Times New Roman" w:eastAsia="Times New Roman" w:hAnsi="Times New Roman"/>
          <w:sz w:val="18"/>
          <w:szCs w:val="18"/>
          <w:color w:val="auto"/>
        </w:rPr>
        <w:t>Mylan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 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 A liability-only trial has been scheduled for November 2021 in a coordinated proceeding in West Virginia state court involving Mylan and numerous other manufacturers, distributors, and pharmacies. A trial has also been scheduled in a proceeding in Jefferson County, Missouri on June 6, 2022 involving Mylan and numerous other manufacturers, distributors and pharmacies. Viatris believes that the claims in these lawsuits are without merit and intends to defend against them vigorously.</w:t>
      </w:r>
    </w:p>
    <w:p>
      <w:pPr>
        <w:spacing w:after="0" w:line="192"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At September 30, 2020, management has not estimated or accrued any amounts related to such contingency. Any such amount will be considered additional purchase price in the form of contingent consideration.</w:t>
      </w:r>
    </w:p>
    <w:p>
      <w:pPr>
        <w:sectPr>
          <w:pgSz w:w="11900" w:h="16838" w:orient="portrait"/>
          <w:cols w:equalWidth="0" w:num="1">
            <w:col w:w="11004"/>
          </w:cols>
          <w:pgMar w:left="436" w:top="270" w:right="459" w:bottom="1440" w:gutter="0" w:footer="0" w:header="0"/>
        </w:sectPr>
      </w:pPr>
    </w:p>
    <w:bookmarkStart w:id="49" w:name="page50"/>
    <w:bookmarkEnd w:id="49"/>
    <w:p>
      <w:pPr>
        <w:ind w:left="424" w:hanging="424"/>
        <w:spacing w:after="0"/>
        <w:tabs>
          <w:tab w:leader="none" w:pos="424"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Financing Adjustments</w:t>
      </w:r>
    </w:p>
    <w:p>
      <w:pPr>
        <w:spacing w:after="0" w:line="121"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On June 16, 2020, Viatris entered into a delayed draw term loan credit agreement (the “Upjohn Term Loan Credit Agreement”), by and among Viatris, Mizuho Bank, Ltd. and MUFG Bank, Ltd., as administrative agent. The Upjohn Term Loan Credit Agreement provides for an 18-month $600.0 million principal amount delayed draw senior unsecured term loan facility (the “Upjohn Term Loan Credit Facility”). The $600.0 million was borrowed in connection with the closing of the Separation, Distribution and Combination in November 2020 to complete the transactions.</w:t>
      </w:r>
    </w:p>
    <w:p>
      <w:pPr>
        <w:spacing w:after="0" w:line="180"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On June 22, 2020, Viatris completed a private offering of $7.45 billion aggregate principal amount of Viatris’ senior, U.S. dollar-denominated notes (the “Upjohn U.S. Dollar Notes”) and on June 23, 2020, Upjohn Finance B.V. (“Finco”), a wholly-owned financing subsidiary of Viatris, completed a private offering of €3.60 billion aggregate principal amount of Finco’s senior, euro-denominated notes (the “Upjohn Euro Notes” and, together with the Upjohn U.S. Dollar Notes, the “Upjohn Notes”), which are guaranteed on a senior unsecured basis by Viatris. Viatris utilized the net proceeds from the offerings of the Upjohn Notes, together with the net proceeds from the Upjohn Term Loan Credit Facility, to fund in full the Cash Distribution and related transaction fees and expenses. As the Upjohn Notes offerings occurred in June 2020, the Upjohn Notes are included in the long-term debt of the Upjohn Business as of September 30, 2020.</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Adjustments to pro forma interest expense</w:t>
      </w:r>
    </w:p>
    <w:p>
      <w:pPr>
        <w:spacing w:after="0" w:line="133" w:lineRule="exact"/>
        <w:rPr>
          <w:sz w:val="20"/>
          <w:szCs w:val="20"/>
          <w:color w:val="auto"/>
        </w:rPr>
      </w:pPr>
    </w:p>
    <w:p>
      <w:pPr>
        <w:ind w:left="964" w:hanging="532"/>
        <w:spacing w:after="0" w:line="258" w:lineRule="auto"/>
        <w:tabs>
          <w:tab w:leader="none" w:pos="9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 to interest expense for the nine-months ended September 30, 2020 represents an incremental adjustment to pro forma interest expense of $83 million resulting from (i) interest expense of $168 million for the Upjohn U.S. Dollar Notes and Upjohn Term Loan Credit Facility using a weighted average interest rate of 2.84%, reduced by $24 million of premium amortization, (ii) interest expense of $40 million for the Upjohn Euro Notes using a weighted average interest rate of 1.37%, reduced by $24 million of premium amortization and (iii) reduced by the historical interest expense incurred by the Upjohn Business of $76 million.</w:t>
      </w:r>
    </w:p>
    <w:p>
      <w:pPr>
        <w:spacing w:after="0" w:line="88" w:lineRule="exact"/>
        <w:rPr>
          <w:rFonts w:ascii="Times New Roman" w:cs="Times New Roman" w:eastAsia="Times New Roman" w:hAnsi="Times New Roman"/>
          <w:sz w:val="18"/>
          <w:szCs w:val="18"/>
          <w:color w:val="auto"/>
        </w:rPr>
      </w:pPr>
    </w:p>
    <w:p>
      <w:pPr>
        <w:ind w:left="964" w:right="40" w:hanging="532"/>
        <w:spacing w:after="0" w:line="258" w:lineRule="auto"/>
        <w:tabs>
          <w:tab w:leader="none" w:pos="9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 to interest expense for the year ended December 31, 2019 represents an incremental adjustment to pro forma interest expense of $217 million resulting from (i) interest expense of $228 million for the Upjohn U.S. Dollar Notes and Upjohn Term Loan Credit Facility using a weighted average interest rate of 2.84%, reduced by $33 million of premium amortization and (ii) interest expense of $55 million for the Upjohn Euro Notes using a weighted average interest rate of 1.37%, reduced by $33 million of premium amortization.</w:t>
      </w:r>
    </w:p>
    <w:p>
      <w:pPr>
        <w:spacing w:after="0" w:line="328"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 Forma Reclassification Adjustments</w:t>
      </w:r>
    </w:p>
    <w:p>
      <w:pPr>
        <w:spacing w:after="0" w:line="121"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recorded to the Upjohn Business’ historical combined financial information to conform to Mylan’s presentation, as follows: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Balance Sheet Reclassifications</w:t>
      </w:r>
    </w:p>
    <w:p>
      <w:pPr>
        <w:sectPr>
          <w:pgSz w:w="11900" w:h="16838" w:orient="portrait"/>
          <w:cols w:equalWidth="0" w:num="1">
            <w:col w:w="11004"/>
          </w:cols>
          <w:pgMar w:left="436" w:top="266" w:right="459" w:bottom="1440" w:gutter="0" w:footer="0" w:header="0"/>
        </w:sectPr>
      </w:pPr>
    </w:p>
    <w:bookmarkStart w:id="50" w:name="page51"/>
    <w:bookmarkEnd w:id="50"/>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of September 27, 2020 (unaudited)</w:t>
      </w:r>
    </w:p>
    <w:p>
      <w:pPr>
        <w:spacing w:after="0" w:line="26" w:lineRule="exact"/>
        <w:rPr>
          <w:sz w:val="20"/>
          <w:szCs w:val="20"/>
          <w:color w:val="auto"/>
        </w:rPr>
      </w:pPr>
    </w:p>
    <w:tbl>
      <w:tblPr>
        <w:tblLayout w:type="fixed"/>
        <w:tblInd w:w="444" w:type="dxa"/>
        <w:tblCellMar>
          <w:top w:w="0" w:type="dxa"/>
          <w:left w:w="0" w:type="dxa"/>
          <w:bottom w:w="0" w:type="dxa"/>
          <w:right w:w="0" w:type="dxa"/>
        </w:tblCellMar>
      </w:tblPr>
      <w:tr>
        <w:trPr>
          <w:trHeight w:val="117"/>
        </w:trPr>
        <w:tc>
          <w:tcPr>
            <w:tcW w:w="48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Upjohn Business</w:t>
            </w:r>
          </w:p>
        </w:tc>
        <w:tc>
          <w:tcPr>
            <w:tcW w:w="15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5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540" w:type="dxa"/>
            <w:vAlign w:val="bottom"/>
            <w:gridSpan w:val="3"/>
            <w:vMerge w:val="continue"/>
          </w:tcPr>
          <w:p>
            <w:pPr>
              <w:spacing w:after="0"/>
              <w:rPr>
                <w:sz w:val="12"/>
                <w:szCs w:val="12"/>
                <w:color w:val="auto"/>
              </w:rPr>
            </w:pPr>
          </w:p>
        </w:tc>
        <w:tc>
          <w:tcPr>
            <w:tcW w:w="1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Note Ref</w:t>
            </w:r>
          </w:p>
        </w:tc>
        <w:tc>
          <w:tcPr>
            <w:tcW w:w="9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vMerge w:val="continue"/>
          </w:tcPr>
          <w:p>
            <w:pPr>
              <w:spacing w:after="0"/>
              <w:rPr>
                <w:sz w:val="15"/>
                <w:szCs w:val="15"/>
                <w:color w:val="auto"/>
              </w:rPr>
            </w:pPr>
          </w:p>
        </w:tc>
        <w:tc>
          <w:tcPr>
            <w:tcW w:w="16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60" w:type="dxa"/>
            <w:vAlign w:val="bottom"/>
          </w:tcPr>
          <w:p>
            <w:pPr>
              <w:spacing w:after="0"/>
              <w:rPr>
                <w:sz w:val="15"/>
                <w:szCs w:val="15"/>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vMerge w:val="continue"/>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short-term investments</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11,413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(11,413)</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Trade accounts receivable, less allowance for doubtful</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1,958</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(1,958)</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5b</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1,958</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5b</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5c</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5d</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(388)</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5e</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1,212</w:t>
            </w:r>
          </w:p>
        </w:tc>
        <w:tc>
          <w:tcPr>
            <w:tcW w:w="1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5f</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assets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(559)</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5g</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(315)</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5h</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559</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5g</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12,091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315</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5h</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5c</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5d</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11,413</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5a</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Noncurrent deferred tax assets and other noncurrent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tax assets</w:t>
            </w:r>
          </w:p>
        </w:tc>
        <w:tc>
          <w:tcPr>
            <w:tcW w:w="200" w:type="dxa"/>
            <w:vAlign w:val="bottom"/>
          </w:tcPr>
          <w:p>
            <w:pPr>
              <w:spacing w:after="0"/>
              <w:rPr>
                <w:sz w:val="20"/>
                <w:szCs w:val="20"/>
                <w:color w:val="auto"/>
              </w:rPr>
            </w:pP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(652)</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5i</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652</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5i</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(487)</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5j</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487</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5j</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5f</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(463)</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5k</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463</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5k</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5l</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related items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(311)</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5m</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1,889</w:t>
            </w:r>
          </w:p>
        </w:tc>
        <w:tc>
          <w:tcPr>
            <w:tcW w:w="1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311</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5m</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5l</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(186)</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5e</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benefit obligations, net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(365)</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5n</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2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5o</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(448)</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5p</w:t>
            </w: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00" w:type="dxa"/>
            <w:vAlign w:val="bottom"/>
          </w:tcPr>
          <w:p>
            <w:pPr>
              <w:spacing w:after="0"/>
              <w:rPr>
                <w:sz w:val="18"/>
                <w:szCs w:val="18"/>
                <w:color w:val="auto"/>
              </w:rPr>
            </w:pPr>
          </w:p>
        </w:tc>
        <w:tc>
          <w:tcPr>
            <w:tcW w:w="1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365</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5n</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5o</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448</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5p</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(202)</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5e</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unit equity</w:t>
            </w:r>
          </w:p>
        </w:tc>
        <w:tc>
          <w:tcPr>
            <w:tcW w:w="2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8,653</w:t>
            </w:r>
          </w:p>
        </w:tc>
        <w:tc>
          <w:tcPr>
            <w:tcW w:w="16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(8,653)</w:t>
            </w: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5q</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8,653</w:t>
            </w: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5q</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short-term investments, representing money market funds, were reclassified to other current assets.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accounts receivable, less allowance for doubtful accounts was reclassified to accounts receivable, net.</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reclassification adjustment of $160 million has been recorded to reduce the balance in prepaid expenses and other current assets and increase the balance in accounts receivable, net related to VAT receivables in accordance with Mylan’s grouping of accounts.</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reclassification adjustment of $36 million has been recorded to reduce the balance in prepaid expenses and other current assets and increase the balance in accounts receivable, net related to other receivables in accordance with Mylan’s grouping of accounts.</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reclassification adjustment of $388 million has been recorded to reduce the balance of accounts receivable, net, also reducing the balance of other current liabilities by $186 million and the balance of other long-term obligations by $202 million, related to presenting sales returns provisions in accordance with Mylan’s grouping of accounts.</w:t>
      </w:r>
    </w:p>
    <w:p>
      <w:pPr>
        <w:sectPr>
          <w:pgSz w:w="11900" w:h="16838" w:orient="portrait"/>
          <w:cols w:equalWidth="0" w:num="1">
            <w:col w:w="11004"/>
          </w:cols>
          <w:pgMar w:left="436" w:top="263" w:right="459" w:bottom="1440" w:gutter="0" w:footer="0" w:header="0"/>
        </w:sectPr>
      </w:pPr>
    </w:p>
    <w:bookmarkStart w:id="51" w:name="page52"/>
    <w:bookmarkEnd w:id="51"/>
    <w:p>
      <w:pPr>
        <w:ind w:left="424" w:right="80" w:hanging="424"/>
        <w:spacing w:after="0" w:line="282"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reclassification adjustment of $59 million has been recorded to reduce the balance in other assets and increase the balance of inventories related to spare parts inventory in accordance with Mylan’s grouping of accounts.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tax assets were reclassified to prepaid expenses and other current assets.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were reclassified to prepaid expenses and other current assets.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deferred tax assets and other noncurrent tax assets were reclassified to deferred income tax benefit.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were reclassified to other assets.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accounts payable were reclassified to accounts payable.</w:t>
      </w:r>
    </w:p>
    <w:p>
      <w:pPr>
        <w:spacing w:after="0" w:line="130" w:lineRule="exact"/>
        <w:rPr>
          <w:rFonts w:ascii="Times New Roman" w:cs="Times New Roman" w:eastAsia="Times New Roman" w:hAnsi="Times New Roman"/>
          <w:sz w:val="18"/>
          <w:szCs w:val="18"/>
          <w:color w:val="auto"/>
        </w:rPr>
      </w:pPr>
    </w:p>
    <w:p>
      <w:pPr>
        <w:ind w:left="424" w:right="660" w:hanging="424"/>
        <w:spacing w:after="0" w:line="282"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reclassification adjustment of $56 million has been recorded to reduce the balance in other current liabilities and increase the balance in accounts payable related to VAT payables in accordance with Mylan’s grouping of accounts.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compensation and related items were reclassified to other current liabilities.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benefit obligations, net were reclassified to other long-term obligations.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Postretirement benefit obligations, net were reclassified to other long-term obligations.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liabilities were reclassified to other long-term obligations.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unit equity was reclassified to additional paid in capital.</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Statements of Operations Reclassifications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8"/>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2020</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For the year ended December 31, 2019</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Upjohn</w:t>
            </w: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180" w:type="dxa"/>
            <w:vAlign w:val="bottom"/>
          </w:tcPr>
          <w:p>
            <w:pPr>
              <w:spacing w:after="0"/>
              <w:rPr>
                <w:sz w:val="10"/>
                <w:szCs w:val="10"/>
                <w:color w:val="auto"/>
              </w:rPr>
            </w:pPr>
          </w:p>
        </w:tc>
        <w:tc>
          <w:tcPr>
            <w:tcW w:w="11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Upjohn</w:t>
            </w:r>
          </w:p>
        </w:tc>
        <w:tc>
          <w:tcPr>
            <w:tcW w:w="13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00" w:type="dxa"/>
            <w:vAlign w:val="bottom"/>
          </w:tcPr>
          <w:p>
            <w:pPr>
              <w:spacing w:after="0"/>
              <w:rPr>
                <w:sz w:val="10"/>
                <w:szCs w:val="10"/>
                <w:color w:val="auto"/>
              </w:rPr>
            </w:pPr>
          </w:p>
        </w:tc>
        <w:tc>
          <w:tcPr>
            <w:tcW w:w="11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0" w:type="dxa"/>
            <w:vAlign w:val="bottom"/>
          </w:tcPr>
          <w:p>
            <w:pPr>
              <w:spacing w:after="0"/>
              <w:rPr>
                <w:sz w:val="1"/>
                <w:szCs w:val="1"/>
                <w:color w:val="auto"/>
              </w:rPr>
            </w:pPr>
          </w:p>
        </w:tc>
      </w:tr>
      <w:tr>
        <w:trPr>
          <w:trHeight w:val="148"/>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Business Before</w:t>
            </w: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Business Before</w:t>
            </w:r>
          </w:p>
        </w:tc>
        <w:tc>
          <w:tcPr>
            <w:tcW w:w="13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6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60" w:type="dxa"/>
            <w:vAlign w:val="bottom"/>
          </w:tcPr>
          <w:p>
            <w:pPr>
              <w:spacing w:after="0"/>
              <w:rPr>
                <w:sz w:val="15"/>
                <w:szCs w:val="15"/>
                <w:color w:val="auto"/>
              </w:rPr>
            </w:pP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Ref</w:t>
            </w:r>
          </w:p>
        </w:tc>
        <w:tc>
          <w:tcPr>
            <w:tcW w:w="0" w:type="dxa"/>
            <w:vAlign w:val="bottom"/>
          </w:tcPr>
          <w:p>
            <w:pPr>
              <w:spacing w:after="0"/>
              <w:rPr>
                <w:sz w:val="1"/>
                <w:szCs w:val="1"/>
                <w:color w:val="auto"/>
              </w:rPr>
            </w:pPr>
          </w:p>
        </w:tc>
      </w:tr>
      <w:tr>
        <w:trPr>
          <w:trHeight w:val="209"/>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5r</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1,228</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1,395</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1,929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5s</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5t</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informational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2,252</w:t>
            </w:r>
          </w:p>
        </w:tc>
        <w:tc>
          <w:tcPr>
            <w:tcW w:w="1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(2,252)</w:t>
            </w:r>
          </w:p>
        </w:tc>
        <w:tc>
          <w:tcPr>
            <w:tcW w:w="2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5u</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1,198</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2,252</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2,343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5u</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5v</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5t</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5s</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5v</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Litigation settlements and other</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contingencies, net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0"/>
                <w:szCs w:val="20"/>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(income)/deductions -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5x</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5x</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5r</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5y</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20"/>
                <w:szCs w:val="20"/>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5y</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4" w:right="500" w:hanging="424"/>
        <w:spacing w:after="0" w:line="282"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has reclassified royalty-related income from other (income)/deductions, net to other revenue in accordance with Mylan’s grouping of accounts.</w:t>
      </w:r>
    </w:p>
    <w:p>
      <w:pPr>
        <w:spacing w:after="0" w:line="67" w:lineRule="exact"/>
        <w:rPr>
          <w:rFonts w:ascii="Times New Roman" w:cs="Times New Roman" w:eastAsia="Times New Roman" w:hAnsi="Times New Roman"/>
          <w:sz w:val="18"/>
          <w:szCs w:val="18"/>
          <w:color w:val="auto"/>
        </w:rPr>
      </w:pPr>
    </w:p>
    <w:p>
      <w:pPr>
        <w:ind w:left="424" w:right="300" w:hanging="424"/>
        <w:spacing w:after="0" w:line="266"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has reclassified amortization of intangible assets expense to cost of sales in accordance with Mylan’s grouping of accounts. The amount reclassified was $109 million and $148 million for the nine months ended September 30, 2020 and for the year ended December 31, 2019, respectively.</w:t>
      </w:r>
    </w:p>
    <w:p>
      <w:pPr>
        <w:sectPr>
          <w:pgSz w:w="11900" w:h="16838" w:orient="portrait"/>
          <w:cols w:equalWidth="0" w:num="1">
            <w:col w:w="11024"/>
          </w:cols>
          <w:pgMar w:left="436" w:top="270" w:right="439" w:bottom="1440" w:gutter="0" w:footer="0" w:header="0"/>
        </w:sectPr>
      </w:pPr>
    </w:p>
    <w:bookmarkStart w:id="52" w:name="page53"/>
    <w:bookmarkEnd w:id="52"/>
    <w:p>
      <w:pPr>
        <w:ind w:left="424" w:right="120" w:hanging="424"/>
        <w:spacing w:after="0" w:line="266"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Viatris has reclassified shipping and handling costs from selling, general and administrative expenses to cost of sales in accordance with Mylan’s grouping of accounts. The amount reclassified was $58 million and $68 million for the nine months ended September 30, 2020 and for the year ended December 31, 2019, respectively.</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informational and administrative expenses were reclassified to selling, general and administrative.</w:t>
      </w:r>
    </w:p>
    <w:p>
      <w:pPr>
        <w:spacing w:after="0" w:line="130"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has reclassified restructuring charges to selling, general and administrative expenses in accordance with Mylan’s grouping of accounts. The amount reclassified was $18 million and $159 million for the nine months ended September 30, 2020 and for the year ended December 31, 2019, respectively.</w:t>
      </w:r>
    </w:p>
    <w:p>
      <w:pPr>
        <w:spacing w:after="0" w:line="81" w:lineRule="exact"/>
        <w:rPr>
          <w:rFonts w:ascii="Times New Roman" w:cs="Times New Roman" w:eastAsia="Times New Roman" w:hAnsi="Times New Roman"/>
          <w:sz w:val="18"/>
          <w:szCs w:val="18"/>
          <w:color w:val="auto"/>
        </w:rPr>
      </w:pPr>
    </w:p>
    <w:p>
      <w:pPr>
        <w:ind w:left="424" w:right="480" w:hanging="424"/>
        <w:spacing w:after="0" w:line="266"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has reclassified expenses for certain legal matters included in other (income)/deductions, net to litigation settlements and other contingencies, net in accordance with Mylan’s grouping of accounts. The amount reclassified was $59 million and $262 million for the nine months ended September 30, 2020 and for the year ended December 31, 2019, respectively.</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(income)/deductions—net was reclassified to Other expense (income), net.</w:t>
      </w:r>
    </w:p>
    <w:p>
      <w:pPr>
        <w:spacing w:after="0" w:line="130"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has reclassified net interest expense-allocated included in other (income)/deductions, net to interest expense in accordance with Mylan’s grouping of accounts. The amount reclassified was $150 million and $288 million for the nine months ended September 30, 2020 and for the year ended December 31, 2019, respectively.</w:t>
      </w:r>
    </w:p>
    <w:p>
      <w:pPr>
        <w:spacing w:after="0" w:line="176" w:lineRule="exact"/>
        <w:rPr>
          <w:sz w:val="20"/>
          <w:szCs w:val="20"/>
          <w:color w:val="auto"/>
        </w:rPr>
      </w:pPr>
    </w:p>
    <w:p>
      <w:pPr>
        <w:ind w:left="4" w:right="120" w:firstLine="991"/>
        <w:spacing w:after="0" w:line="255" w:lineRule="auto"/>
        <w:rPr>
          <w:sz w:val="20"/>
          <w:szCs w:val="20"/>
          <w:color w:val="auto"/>
        </w:rPr>
      </w:pPr>
      <w:r>
        <w:rPr>
          <w:rFonts w:ascii="Times New Roman" w:cs="Times New Roman" w:eastAsia="Times New Roman" w:hAnsi="Times New Roman"/>
          <w:sz w:val="18"/>
          <w:szCs w:val="18"/>
          <w:color w:val="auto"/>
        </w:rPr>
        <w:t>Viatris is currently conducting a review of the Upjohn Business’ accounting policies in an effort to determine if differences in accounting policies require adjustment or reclassification of the Upjohn Business’ results of operations or reclassification of assets or liabilities to conform to Viatris’ accounting policies and classifications. As a result of that review, Viatris may identify differences between the accounting policies that, when conformed, could have a material impact on this unaudited pro forma condensed combined financial information. During the preparation of this unaudited pro forma condensed combined financial information, management was not aware of any material differences between accounting policies, except for certain reclassifications necessary to conform to Mylan’s financial presentation, and accordingly, this unaudited pro forma condensed combined financial information does not assume any material differences in accounting policies between Mylan and the Upjohn Business.</w:t>
      </w:r>
    </w:p>
    <w:p>
      <w:pPr>
        <w:spacing w:after="0" w:line="333"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Unaudited Pro Forma Condensed Combined Balance Sheet Adjustments</w:t>
      </w:r>
    </w:p>
    <w:p>
      <w:pPr>
        <w:spacing w:after="0" w:line="121" w:lineRule="exact"/>
        <w:rPr>
          <w:sz w:val="20"/>
          <w:szCs w:val="20"/>
          <w:color w:val="auto"/>
        </w:rPr>
      </w:pPr>
    </w:p>
    <w:p>
      <w:pPr>
        <w:ind w:left="4" w:right="640" w:firstLine="991"/>
        <w:spacing w:after="0" w:line="282" w:lineRule="auto"/>
        <w:rPr>
          <w:sz w:val="20"/>
          <w:szCs w:val="20"/>
          <w:color w:val="auto"/>
        </w:rPr>
      </w:pPr>
      <w:r>
        <w:rPr>
          <w:rFonts w:ascii="Times New Roman" w:cs="Times New Roman" w:eastAsia="Times New Roman" w:hAnsi="Times New Roman"/>
          <w:sz w:val="18"/>
          <w:szCs w:val="18"/>
          <w:color w:val="auto"/>
        </w:rPr>
        <w:t>Adjustments included in the accompanying unaudited pro forma condensed combined balance sheet as of September 30, 2020 are represented by the following:</w:t>
      </w:r>
    </w:p>
    <w:p>
      <w:pPr>
        <w:spacing w:after="0" w:line="180" w:lineRule="exact"/>
        <w:rPr>
          <w:sz w:val="20"/>
          <w:szCs w:val="20"/>
          <w:color w:val="auto"/>
        </w:rPr>
      </w:pPr>
    </w:p>
    <w:tbl>
      <w:tblPr>
        <w:tblLayout w:type="fixed"/>
        <w:tblInd w:w="1324" w:type="dxa"/>
        <w:tblCellMar>
          <w:top w:w="0" w:type="dxa"/>
          <w:left w:w="0" w:type="dxa"/>
          <w:bottom w:w="0" w:type="dxa"/>
          <w:right w:w="0" w:type="dxa"/>
        </w:tblCellMar>
      </w:tblPr>
      <w:tr>
        <w:trPr>
          <w:trHeight w:val="175"/>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Purchase consideration</w:t>
            </w: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10,651</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Book value of Upjohn Business’ net assets</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6a</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7,939</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Elimination of historical goodwill</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6b</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(8,754)</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 retained by Pfizer</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6l</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(11,413)</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adjustment associated with debt issued</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6m</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 against the Upjohn Term Loan Credit Agreement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6n</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liabilities not included in the Business Combination</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6c</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4,635</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from Pfizer for additional cash balances due</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6p</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Preliminary estimate of fair value adjustment of net assets acquired</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6d</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7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Intangible assets, net</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18,220</w:t>
            </w:r>
          </w:p>
        </w:tc>
      </w:tr>
      <w:tr>
        <w:trPr>
          <w:trHeight w:val="216"/>
        </w:trPr>
        <w:tc>
          <w:tcPr>
            <w:tcW w:w="7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6o</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7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6f</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(3,661)</w:t>
            </w: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to be acquired</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20"/>
                <w:szCs w:val="20"/>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2,648</w:t>
            </w:r>
          </w:p>
        </w:tc>
      </w:tr>
      <w:tr>
        <w:trPr>
          <w:trHeight w:val="20"/>
        </w:trPr>
        <w:tc>
          <w:tcPr>
            <w:tcW w:w="7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84"/>
          </w:cols>
          <w:pgMar w:left="436" w:top="270" w:right="479" w:bottom="1440" w:gutter="0" w:footer="0" w:header="0"/>
        </w:sectPr>
      </w:pPr>
    </w:p>
    <w:bookmarkStart w:id="53" w:name="page54"/>
    <w:bookmarkEnd w:id="53"/>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Reflects the acquisition of the historical book value of net assets of the Upjohn Business.</w:t>
      </w:r>
    </w:p>
    <w:p>
      <w:pPr>
        <w:spacing w:after="0" w:line="130" w:lineRule="exact"/>
        <w:rPr>
          <w:rFonts w:ascii="Times New Roman" w:cs="Times New Roman" w:eastAsia="Times New Roman" w:hAnsi="Times New Roman"/>
          <w:sz w:val="18"/>
          <w:szCs w:val="18"/>
          <w:color w:val="auto"/>
        </w:rPr>
      </w:pPr>
    </w:p>
    <w:p>
      <w:pPr>
        <w:ind w:left="424" w:right="200" w:hanging="424"/>
        <w:spacing w:after="0" w:line="266"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historical goodwill amount of approximately $8.8 billion and the recognition of estimated goodwill related to the acquisition of approximately $2.6 billion. Goodwill is calculated as the difference between the fair value of the consideration expected to be transferred and the values assigned to the identifiable tangible and intangible assets acquired and liabilities assumed.</w:t>
      </w:r>
    </w:p>
    <w:p>
      <w:pPr>
        <w:spacing w:after="0" w:line="81"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certain assets and liabilities included in the Upjohn Business historical combined financial statements that were not assumed or acquired, partially offset by certain additional liabilities not included on historical combined financial statements but assumed.</w:t>
      </w:r>
    </w:p>
    <w:p>
      <w:pPr>
        <w:spacing w:after="0" w:line="180" w:lineRule="exact"/>
        <w:rPr>
          <w:sz w:val="20"/>
          <w:szCs w:val="20"/>
          <w:color w:val="auto"/>
        </w:rPr>
      </w:pPr>
    </w:p>
    <w:tbl>
      <w:tblPr>
        <w:tblLayout w:type="fixed"/>
        <w:tblInd w:w="1764" w:type="dxa"/>
        <w:tblCellMar>
          <w:top w:w="0" w:type="dxa"/>
          <w:left w:w="0" w:type="dxa"/>
          <w:bottom w:w="0" w:type="dxa"/>
          <w:right w:w="0" w:type="dxa"/>
        </w:tblCellMar>
      </w:tblPr>
      <w:tr>
        <w:trPr>
          <w:trHeight w:val="175"/>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8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remaining with Pfizer</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Inventory remaining with Pfizer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related accruals remaining with Pfizer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pension and post-retirement obligation, net transferring to Viatris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liabilities retained by Pfizer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Tax related assets and liabilities remaining with Pfizer: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taxes payable</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liabilities not included in the Combination</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4,635</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Tax related balances remaining with Pfizer primarily consists of noncurrent net tax liabilities associated with the U.S. Tax Cuts and Jobs Act repatriation tax on accumulated post-1986 foreign earnings and taxes for periods prior to the Combination date.</w:t>
      </w:r>
    </w:p>
    <w:p>
      <w:pPr>
        <w:spacing w:after="0" w:line="67" w:lineRule="exact"/>
        <w:rPr>
          <w:sz w:val="20"/>
          <w:szCs w:val="20"/>
          <w:color w:val="auto"/>
        </w:rPr>
      </w:pPr>
    </w:p>
    <w:p>
      <w:pPr>
        <w:ind w:left="424" w:right="40" w:hanging="424"/>
        <w:spacing w:after="0" w:line="261"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fair value adjustment to step-up inventory to fair value. The estimated step-up in inventory is preliminary and is subject to change based upon final determination of the fair values of finished goods and work in-process inventories. As there is no continuing impact of the inventory step-up on Viatris’ results, the increased value is not included in the unaudited pro forma condensed combined statement of operations.</w:t>
      </w:r>
    </w:p>
    <w:p>
      <w:pPr>
        <w:spacing w:after="0" w:line="85"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Upjohn Business’ historical intangible assets, net balance of approximately $1.3 billion and the recognition of the estimated fair value of product rights acquired of approximately $19.6 billion. The fair value estimate for identifiable intangible assets is preliminary and is determined based on the assumptions that market participants would use in pricing an asset, based on the most advantageous market for the asset. This preliminary fair value estimate could include assets that are not intended to be used, may be sold or are intended to be used in a manner other than their best use. The final fair value determination for identified intangibles may differ materially from this preliminary determination.</w:t>
      </w:r>
    </w:p>
    <w:p>
      <w:pPr>
        <w:spacing w:after="0" w:line="79" w:lineRule="exact"/>
        <w:rPr>
          <w:rFonts w:ascii="Times New Roman" w:cs="Times New Roman" w:eastAsia="Times New Roman" w:hAnsi="Times New Roman"/>
          <w:sz w:val="18"/>
          <w:szCs w:val="18"/>
          <w:color w:val="auto"/>
        </w:rPr>
      </w:pPr>
    </w:p>
    <w:p>
      <w:pPr>
        <w:ind w:left="444"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estimate of identifiable intangible assets is preliminary and is determined using the “income approach,” which is a valuation technique that calculates an estimate of the fair value of an asset based on market participant expectations of the cash flows an asset would generate over its remaining useful life. Some of the more significant assumptions inherent in the development of the identifiable intangible assets valuations, from the perspective of a market participant, include the estimated amount and timing of projected net cash flows for each year for each product (including net revenues, cost of sales, research and development costs, selling and marketing costs and working capital), the appropriate discount rate to select in order to measure the risk inherent in each future cash flow stream, the assessment of each asset’s life cycle, competitive trends or regulatory forces impacting the asset and each cash flow stream as well as other factors. No assurances can be given that the underlying assumptions used to prepare the discounted cash flow analysis will not change. For these and other reasons, actual results may vary significantly from estimated results.</w:t>
      </w:r>
    </w:p>
    <w:p>
      <w:pPr>
        <w:spacing w:after="0" w:line="93"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deferred income tax liability of approximately $3.7 billion resulting from fair value adjustments for the inventory, property, plant and equipment and identifiable intangible assets acquired. This estimate of deferred income tax liabilities was determined based on the excess book basis over the tax basis of the inventory, property, plant and equipment and identifiable intangible assets acquired at an estimated 18% weighted average statutory tax rate. This estimate of deferred income tax liabilities is preliminary and is subject to change based upon Viatris’ final determination of the fair values of tangible and identifiable intangible assets acquired and liabilities assumed in the Combination.</w:t>
      </w:r>
    </w:p>
    <w:p>
      <w:pPr>
        <w:sectPr>
          <w:pgSz w:w="11900" w:h="16838" w:orient="portrait"/>
          <w:cols w:equalWidth="0" w:num="1">
            <w:col w:w="10984"/>
          </w:cols>
          <w:pgMar w:left="436" w:top="270" w:right="479" w:bottom="1440" w:gutter="0" w:footer="0" w:header="0"/>
        </w:sectPr>
      </w:pPr>
    </w:p>
    <w:bookmarkStart w:id="54" w:name="page55"/>
    <w:bookmarkEnd w:id="54"/>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Adjustment to record a $37 million accrual due to change in control clauses in employment arrangements for certain Mylan employees.</w:t>
      </w:r>
    </w:p>
    <w:p>
      <w:pPr>
        <w:spacing w:after="0" w:line="130"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eliminate Pfizer’s net parent company investment in the Upjohn Business of approximately $8.7 billion and accumulated other comprehensive loss of $714 million.</w:t>
      </w:r>
    </w:p>
    <w:p>
      <w:pPr>
        <w:spacing w:after="0" w:line="67"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recognize estimate of additional transaction-related costs to be incurred of $362 million and $192 million by Mylan and the Upjohn Business, respectively.</w:t>
      </w:r>
    </w:p>
    <w:p>
      <w:pPr>
        <w:spacing w:after="0" w:line="67"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recognize additional pension and post-retirement obligations related to employees of the Upjohn Business expected to be assumed in the Combination of $40 million.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Mylan’s treasury shares as each ordinary share held in treasury will be canceled at the closing of the Combination.</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the $11.4 billion of debt proceeds from the issuance of the Upjohn Notes as part of the Cash Distribution. The amount was included as restricted short term investments on the historical balance sheet of the Upjohn Business.</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fair value adjustment to the Upjohn Notes issued in conjunction with the Combination of approximately $759.0 million. The adjustment to fair value represents the difference between the notional value and market value as of the transaction date.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$600 million principal amount delayed draw senior unsecured term loan facility borrowed at closing in November 2020.</w:t>
      </w:r>
    </w:p>
    <w:p>
      <w:pPr>
        <w:spacing w:after="0" w:line="130"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fair value adjustment to property, plant and equipment. The estimated fair value is expected to be depreciated over the estimated useful lives of the assets, generally on a straight-line basis. The weighted average useful lives of all fixed assets have been preliminarily estimated to be 12 years. The estimated fair values and estimated useful lives are preliminary and subject to change once Viatris has sufficient information as to the specific types, nature, age, condition, and location of the Upjohn Business’ property, plant and equipment. The pro forma adjustment to property, plant and equipment, net also reflects the elimination of the Upjohn Business’ historical accumulated depreciation of $1,830 million against the gross carrying value of the related fixed assets of $2,870 million.</w:t>
      </w:r>
    </w:p>
    <w:p>
      <w:pPr>
        <w:spacing w:after="0" w:line="92"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receivable from Pfizer for the additional cash balances due to the Upjohn Business under the SDA. The amounts were received from Pfizer in 2021.</w:t>
      </w:r>
    </w:p>
    <w:p>
      <w:pPr>
        <w:spacing w:after="0" w:line="306" w:lineRule="exact"/>
        <w:rPr>
          <w:sz w:val="20"/>
          <w:szCs w:val="20"/>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Unaudited Pro Forma Condensed Combined Statements of Operations Adjustments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Adjustments included in the accompanying unaudited pro forma condensed combined statements of operations are represented by the following:</w:t>
      </w:r>
    </w:p>
    <w:p>
      <w:pPr>
        <w:spacing w:after="0" w:line="131" w:lineRule="exact"/>
        <w:rPr>
          <w:sz w:val="20"/>
          <w:szCs w:val="20"/>
          <w:color w:val="auto"/>
        </w:rPr>
      </w:pPr>
    </w:p>
    <w:p>
      <w:pPr>
        <w:ind w:left="424" w:right="560" w:hanging="424"/>
        <w:spacing w:after="0" w:line="282" w:lineRule="auto"/>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increase in amortization expense associated with fair value adjustments to the carrying value of intangible assets for the nine months ended September 30, 2020 and the year ended December 31, 2019. The increase in amortization expense is recorded as follows:</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24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60" w:type="dxa"/>
            <w:vAlign w:val="bottom"/>
          </w:tcPr>
          <w:p>
            <w:pPr>
              <w:spacing w:after="0"/>
              <w:rPr>
                <w:sz w:val="10"/>
                <w:szCs w:val="10"/>
                <w:color w:val="auto"/>
              </w:rPr>
            </w:pPr>
          </w:p>
        </w:tc>
        <w:tc>
          <w:tcPr>
            <w:tcW w:w="100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80" w:type="dxa"/>
            <w:vAlign w:val="bottom"/>
            <w:gridSpan w:val="2"/>
            <w:vMerge w:val="continue"/>
          </w:tcPr>
          <w:p>
            <w:pPr>
              <w:spacing w:after="0"/>
              <w:rPr>
                <w:sz w:val="15"/>
                <w:szCs w:val="15"/>
                <w:color w:val="auto"/>
              </w:rPr>
            </w:pPr>
          </w:p>
        </w:tc>
        <w:tc>
          <w:tcPr>
            <w:tcW w:w="12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5"/>
                <w:szCs w:val="15"/>
                <w:color w:val="auto"/>
              </w:rPr>
            </w:pPr>
          </w:p>
        </w:tc>
        <w:tc>
          <w:tcPr>
            <w:tcW w:w="18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Rights</w:t>
            </w:r>
          </w:p>
        </w:tc>
        <w:tc>
          <w:tcPr>
            <w:tcW w:w="6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18 years</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$19,550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Historical Amortization Expense of the Upjohn</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4"/>
          </w:cols>
          <w:pgMar w:left="436" w:top="270" w:right="459" w:bottom="1440" w:gutter="0" w:footer="0" w:header="0"/>
        </w:sectPr>
      </w:pPr>
    </w:p>
    <w:bookmarkStart w:id="55" w:name="page56"/>
    <w:bookmarkEnd w:id="55"/>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estimated weighted-average useful life of the product rights to be acquired is 18 years. A five percent (5%) increase or decrease in the fair value of the product rights would increase or decrease amortization by approximately $41 million for the nine months ended September 30, 2020 and approximately $54 million for the year ended December 31, 2019.</w:t>
      </w:r>
    </w:p>
    <w:p>
      <w:pPr>
        <w:spacing w:after="0" w:line="81" w:lineRule="exact"/>
        <w:rPr>
          <w:sz w:val="20"/>
          <w:szCs w:val="20"/>
          <w:color w:val="auto"/>
        </w:rPr>
      </w:pPr>
    </w:p>
    <w:p>
      <w:pPr>
        <w:ind w:left="424" w:right="140" w:hanging="424"/>
        <w:spacing w:after="0" w:line="261"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transaction costs included in the historical financial statements of Mylan. An adjustment totaling $197 million was reflected in the unaudited pro forma condensed combined statements of operations to eliminate transaction costs incurred by Mylan for the nine months ended September 30, 2020. An adjustment totaling $74 million was reflected in the unaudited pro forma condensed combined statements of operations to eliminate transaction costs incurred by Mylan for the year ended December 31, 2019.</w:t>
      </w:r>
    </w:p>
    <w:p>
      <w:pPr>
        <w:spacing w:after="0" w:line="85"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income tax effect of pro forma adjustments using an estimated weighted average statutory tax rate of 18% based upon the jurisdictions in which the adjustments are expected to occur. The total effective tax rate of the combined company could be significantly different depending on the post-acquisition geographical mix of income and other factors.</w:t>
      </w:r>
    </w:p>
    <w:p>
      <w:pPr>
        <w:spacing w:after="0" w:line="81"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increase shares of Viatris common stock outstanding after the closing of the Combination. As detailed below, Pfizer stockholders received approximately 692.8 million shares of Viatris common stock as consideration for the Upjohn Business representing 57% of fully diluted outstanding shares and with former Mylan shareholders holding 43% of fully diluted outstanding shares.</w:t>
      </w:r>
    </w:p>
    <w:p>
      <w:pPr>
        <w:spacing w:after="0" w:line="221"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Mylan ordinary shares issued at November 16, 2020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541,545,055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Less: treasury shares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(24,598,074)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Mylan ordinary shares outstanding at November 16, 2020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516,946,981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impact of Mylan equity awards under the BCA</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dilutive Mylan shares to be exchanged in the Combination</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522,606,208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Viatris shares issued to Mylan shareholders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522,606,208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Mylan shareholders’ ownership percentage of Viatris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Viatris shares outstanding at the Combination date</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1,215,363,274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Viatris shares issued to Pfizer stockholders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692,757,066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 stockholders’ ownership percentage of Viatris</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200" w:hanging="424"/>
        <w:spacing w:after="0" w:line="261"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sales and gross profit impact for the divestment of a number of products from Mylan and the Upjohn Business as required by certain regulatory authorities. An adjustment totaling $122 million and $38 million was recorded to net sales and cost of sales respectively to eliminate the impact of these products for the nine months ended September 30, 2020. An adjustment totaling $144 million and $39 million was recorded to net sales and cost of sales, respectively, to eliminate the impact of the products for the year ended December 31, 2019.</w:t>
      </w:r>
    </w:p>
    <w:p>
      <w:pPr>
        <w:spacing w:after="0" w:line="85"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increase depreciation expense associated with fair value adjustments to the carrying value of property, plant and equipment for the nine months ended September 30, 2020 and the year ended December 31, 2019. The estimated fair value is expected to be depreciated over the estimated useful lives of the assets, generally on a straight-line basis. The weighted average useful lives of all fixed assets have been preliminarily estimated to be 12 years. An adjustment totaling $25 million and $34 million was recorded to cost of sales to account for the additional depreciation of the assets for the nine months ended September 30, 2020 and year ended December 31, 2019, respectively.</w:t>
      </w:r>
    </w:p>
    <w:p>
      <w:pPr>
        <w:sectPr>
          <w:pgSz w:w="11900" w:h="16838" w:orient="portrait"/>
          <w:cols w:equalWidth="0" w:num="1">
            <w:col w:w="11004"/>
          </w:cols>
          <w:pgMar w:left="436" w:top="270" w:right="459" w:bottom="1440" w:gutter="0" w:footer="0" w:header="0"/>
        </w:sectPr>
      </w:pPr>
    </w:p>
    <w:bookmarkStart w:id="56" w:name="page57"/>
    <w:bookmarkEnd w:id="56"/>
    <w:p>
      <w:pPr>
        <w:ind w:left="424" w:hanging="424"/>
        <w:spacing w:after="0"/>
        <w:tabs>
          <w:tab w:leader="none" w:pos="424"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Comparative Per Share Information</w:t>
      </w:r>
    </w:p>
    <w:p>
      <w:pPr>
        <w:spacing w:after="0" w:line="121"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selected historical share information of Mylan and unaudited pro forma share information of Viatris after giving effect to the Combination. Per share information for the Upjohn Business is not presented because the Upjohn Business did not have outstanding capital stock since its historical combined financial statements have been prepared on a carve-out basis.</w:t>
      </w:r>
    </w:p>
    <w:p>
      <w:pPr>
        <w:spacing w:after="0" w:line="184"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17"/>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for per share data)</w:t>
            </w:r>
          </w:p>
        </w:tc>
        <w:tc>
          <w:tcPr>
            <w:tcW w:w="1280" w:type="dxa"/>
            <w:vAlign w:val="bottom"/>
            <w:tcBorders>
              <w:top w:val="single" w:sz="8" w:color="auto"/>
            </w:tcBorders>
            <w:gridSpan w:val="4"/>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40" w:type="dxa"/>
            <w:vAlign w:val="bottom"/>
            <w:vMerge w:val="continue"/>
          </w:tcPr>
          <w:p>
            <w:pPr>
              <w:spacing w:after="0"/>
              <w:rPr>
                <w:sz w:val="15"/>
                <w:szCs w:val="15"/>
                <w:color w:val="auto"/>
              </w:rPr>
            </w:pP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5"/>
                <w:szCs w:val="15"/>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2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applicable to ordinary shareholders:</w:t>
            </w: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1,209.6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1,208.6</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1,210.1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24"/>
      </w:cols>
      <w:pgMar w:left="436"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lowerLetter"/>
      <w:start w:val="1"/>
    </w:lvl>
  </w:abstractNum>
  <w:abstractNum w:abstractNumId="2">
    <w:nsid w:val="5072367"/>
    <w:multiLevelType w:val="hybridMultilevel"/>
    <w:lvl w:ilvl="0">
      <w:lvlJc w:val="left"/>
      <w:lvlText w:val="(%1)"/>
      <w:numFmt w:val="lowerLetter"/>
      <w:start w:val="1"/>
    </w:lvl>
  </w:abstractNum>
  <w:abstractNum w:abstractNumId="3">
    <w:nsid w:val="3804823E"/>
    <w:multiLevelType w:val="hybridMultilevel"/>
    <w:lvl w:ilvl="0">
      <w:lvlJc w:val="left"/>
      <w:lvlText w:val="(%1)"/>
      <w:numFmt w:val="lowerLetter"/>
      <w:start w:val="1"/>
    </w:lvl>
  </w:abstractNum>
  <w:abstractNum w:abstractNumId="4">
    <w:nsid w:val="77465F01"/>
    <w:multiLevelType w:val="hybridMultilevel"/>
    <w:lvl w:ilvl="0">
      <w:lvlJc w:val="left"/>
      <w:lvlText w:val="•"/>
      <w:numFmt w:val="bullet"/>
      <w:start w:val="1"/>
    </w:lvl>
    <w:lvl w:ilvl="1">
      <w:lvlJc w:val="left"/>
      <w:lvlText w:val="-"/>
      <w:numFmt w:val="bullet"/>
      <w:start w:val="1"/>
    </w:lvl>
  </w:abstractNum>
  <w:abstractNum w:abstractNumId="5">
    <w:nsid w:val="7724C67E"/>
    <w:multiLevelType w:val="hybridMultilevel"/>
    <w:lvl w:ilvl="0">
      <w:lvlJc w:val="left"/>
      <w:lvlText w:val="•"/>
      <w:numFmt w:val="bullet"/>
      <w:start w:val="1"/>
    </w:lvl>
    <w:lvl w:ilvl="1">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lvl w:ilvl="1">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1)"/>
      <w:numFmt w:val="lowerLetter"/>
      <w:start w:val="1"/>
    </w:lvl>
    <w:lvl w:ilvl="1">
      <w:lvlJc w:val="left"/>
      <w:lvlText w:val="-"/>
      <w:numFmt w:val="bullet"/>
      <w:start w:val="1"/>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1)"/>
      <w:numFmt w:val="lowerLetter"/>
      <w:start w:val="1"/>
    </w:lvl>
    <w:lvl w:ilvl="1">
      <w:lvlJc w:val="left"/>
      <w:lvlText w:val="-"/>
      <w:numFmt w:val="bullet"/>
      <w:start w:val="1"/>
    </w:lvl>
  </w:abstractNum>
  <w:abstractNum w:abstractNumId="17">
    <w:nsid w:val="1D4ED43B"/>
    <w:multiLevelType w:val="hybridMultilevel"/>
    <w:lvl w:ilvl="0">
      <w:lvlJc w:val="left"/>
      <w:lvlText w:val="(%1)"/>
      <w:numFmt w:val="lowerLetter"/>
      <w:start w:val="1"/>
    </w:lvl>
  </w:abstractNum>
  <w:abstractNum w:abstractNumId="18">
    <w:nsid w:val="725A06FB"/>
    <w:multiLevelType w:val="hybridMultilevel"/>
    <w:lvl w:ilvl="0">
      <w:lvlJc w:val="left"/>
      <w:lvlText w:val="(%1)"/>
      <w:numFmt w:val="lowerLetter"/>
      <w:start w:val="1"/>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1)"/>
      <w:numFmt w:val="lowerLetter"/>
      <w:start w:val="1"/>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1)"/>
      <w:numFmt w:val="lowerLetter"/>
      <w:start w:val="1"/>
    </w:lvl>
    <w:lvl w:ilvl="1">
      <w:lvlJc w:val="left"/>
      <w:lvlText w:val="-"/>
      <w:numFmt w:val="bullet"/>
      <w:start w:val="1"/>
    </w:lvl>
  </w:abstractNum>
  <w:abstractNum w:abstractNumId="24">
    <w:nsid w:val="6DE91B18"/>
    <w:multiLevelType w:val="hybridMultilevel"/>
    <w:lvl w:ilvl="0">
      <w:lvlJc w:val="left"/>
      <w:lvlText w:val="(%1)"/>
      <w:numFmt w:val="lowerLetter"/>
      <w:start w:val="1"/>
    </w:lvl>
  </w:abstractNum>
  <w:abstractNum w:abstractNumId="25">
    <w:nsid w:val="38437FDB"/>
    <w:multiLevelType w:val="hybridMultilevel"/>
    <w:lvl w:ilvl="0">
      <w:lvlJc w:val="left"/>
      <w:lvlText w:val="•"/>
      <w:numFmt w:val="bullet"/>
      <w:start w:val="1"/>
    </w:lvl>
    <w:lvl w:ilvl="1">
      <w:lvlJc w:val="left"/>
      <w:lvlText w:val="-"/>
      <w:numFmt w:val="bullet"/>
      <w:start w:val="1"/>
    </w:lvl>
  </w:abstractNum>
  <w:abstractNum w:abstractNumId="26">
    <w:nsid w:val="7644A45C"/>
    <w:multiLevelType w:val="hybridMultilevel"/>
    <w:lvl w:ilvl="0">
      <w:lvlJc w:val="left"/>
      <w:lvlText w:val="•"/>
      <w:numFmt w:val="bullet"/>
      <w:start w:val="1"/>
    </w:lvl>
    <w:lvl w:ilvl="1">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lvl w:ilvl="1">
      <w:lvlJc w:val="left"/>
      <w:lvlText w:val="-"/>
      <w:numFmt w:val="bullet"/>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decimal"/>
      <w:start w:val="3"/>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2"/>
    </w:lvl>
  </w:abstractNum>
  <w:abstractNum w:abstractNumId="51">
    <w:nsid w:val="D34B6A8"/>
    <w:multiLevelType w:val="hybridMultilevel"/>
    <w:lvl w:ilvl="0">
      <w:lvlJc w:val="left"/>
      <w:lvlText w:val="%1."/>
      <w:numFmt w:val="decimal"/>
      <w:start w:val="3"/>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decimal"/>
      <w:start w:val="4"/>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decimal"/>
      <w:start w:val="5"/>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6"/>
    </w:lvl>
  </w:abstractNum>
  <w:abstractNum w:abstractNumId="58">
    <w:nsid w:val="310C50B3"/>
    <w:multiLevelType w:val="hybridMultilevel"/>
    <w:lvl w:ilvl="0">
      <w:lvlJc w:val="left"/>
      <w:lvlText w:val="%1."/>
      <w:numFmt w:val="lowerLetter"/>
      <w:start w:val="18"/>
    </w:lvl>
  </w:abstractNum>
  <w:abstractNum w:abstractNumId="59">
    <w:nsid w:val="5FF87E05"/>
    <w:multiLevelType w:val="hybridMultilevel"/>
    <w:lvl w:ilvl="0">
      <w:lvlJc w:val="left"/>
      <w:lvlText w:val="%1."/>
      <w:numFmt w:val="lowerLetter"/>
      <w:start w:val="20"/>
    </w:lvl>
  </w:abstractNum>
  <w:abstractNum w:abstractNumId="60">
    <w:nsid w:val="2F305DEF"/>
    <w:multiLevelType w:val="hybridMultilevel"/>
    <w:lvl w:ilvl="0">
      <w:lvlJc w:val="left"/>
      <w:lvlText w:val="%1."/>
      <w:numFmt w:val="decimal"/>
      <w:start w:val="6"/>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lowerLetter"/>
      <w:start w:val="4"/>
    </w:lvl>
  </w:abstractNum>
  <w:abstractNum w:abstractNumId="63">
    <w:nsid w:val="4AD084E9"/>
    <w:multiLevelType w:val="hybridMultilevel"/>
    <w:lvl w:ilvl="0">
      <w:lvlJc w:val="left"/>
      <w:lvlText w:val="%1."/>
      <w:numFmt w:val="lowerLetter"/>
      <w:start w:val="7"/>
    </w:lvl>
  </w:abstractNum>
  <w:abstractNum w:abstractNumId="64">
    <w:nsid w:val="1F48EAA1"/>
    <w:multiLevelType w:val="hybridMultilevel"/>
    <w:lvl w:ilvl="0">
      <w:lvlJc w:val="left"/>
      <w:lvlText w:val="%1."/>
      <w:numFmt w:val="decimal"/>
      <w:start w:val="7"/>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lowerLetter"/>
      <w:start w:val="2"/>
    </w:lvl>
  </w:abstractNum>
  <w:abstractNum w:abstractNumId="67">
    <w:nsid w:val="100F8FCA"/>
    <w:multiLevelType w:val="hybridMultilevel"/>
    <w:lvl w:ilvl="0">
      <w:lvlJc w:val="left"/>
      <w:lvlText w:val="%1."/>
      <w:numFmt w:val="lowerLetter"/>
      <w:start w:val="5"/>
    </w:lvl>
  </w:abstractNum>
  <w:abstractNum w:abstractNumId="68">
    <w:nsid w:val="6590700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2021-01-29T15:54:36Z</dcterms:created>
  <dcterms:modified xsi:type="dcterms:W3CDTF">2021-01-29T15:54:36Z</dcterms:modified>
</cp:coreProperties>
</file>