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44" w:type="dxa"/>
        <w:tblCellMar>
          <w:top w:w="0" w:type="dxa"/>
          <w:left w:w="0" w:type="dxa"/>
          <w:bottom w:w="0" w:type="dxa"/>
          <w:right w:w="0" w:type="dxa"/>
        </w:tblCellMar>
      </w:tblPr>
      <w:tr>
        <w:trPr>
          <w:trHeight w:val="212"/>
        </w:trPr>
        <w:tc>
          <w:tcPr>
            <w:tcW w:w="3800" w:type="dxa"/>
            <w:vAlign w:val="bottom"/>
          </w:tcPr>
          <w:p>
            <w:pPr>
              <w:jc w:val="center"/>
              <w:ind w:right="87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ind w:left="980"/>
              <w:spacing w:after="0"/>
              <w:rPr>
                <w:sz w:val="20"/>
                <w:szCs w:val="20"/>
                <w:color w:val="auto"/>
              </w:rPr>
            </w:pPr>
            <w:r>
              <w:rPr>
                <w:rFonts w:ascii="Arial" w:cs="Arial" w:eastAsia="Arial" w:hAnsi="Arial"/>
                <w:sz w:val="18"/>
                <w:szCs w:val="18"/>
                <w:b w:val="1"/>
                <w:bCs w:val="1"/>
                <w:color w:val="auto"/>
              </w:rPr>
              <w:t>001-39695</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83-4364296</w:t>
            </w:r>
          </w:p>
        </w:tc>
      </w:tr>
      <w:tr>
        <w:trPr>
          <w:trHeight w:val="148"/>
        </w:trPr>
        <w:tc>
          <w:tcPr>
            <w:tcW w:w="3800" w:type="dxa"/>
            <w:vAlign w:val="bottom"/>
          </w:tcPr>
          <w:p>
            <w:pPr>
              <w:jc w:val="center"/>
              <w:ind w:right="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12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00" w:type="dxa"/>
            <w:vAlign w:val="bottom"/>
          </w:tcPr>
          <w:p>
            <w:pPr>
              <w:jc w:val="center"/>
              <w:ind w:right="859"/>
              <w:spacing w:after="0"/>
              <w:rPr>
                <w:sz w:val="20"/>
                <w:szCs w:val="20"/>
                <w:color w:val="auto"/>
              </w:rPr>
            </w:pPr>
            <w:r>
              <w:rPr>
                <w:rFonts w:ascii="Arial" w:cs="Arial" w:eastAsia="Arial" w:hAnsi="Arial"/>
                <w:sz w:val="14"/>
                <w:szCs w:val="14"/>
                <w:b w:val="1"/>
                <w:bCs w:val="1"/>
                <w:color w:val="auto"/>
                <w:w w:val="94"/>
              </w:rPr>
              <w:t>of Incorporation)</w:t>
            </w:r>
          </w:p>
        </w:tc>
        <w:tc>
          <w:tcPr>
            <w:tcW w:w="3120" w:type="dxa"/>
            <w:vAlign w:val="bottom"/>
          </w:tcPr>
          <w:p>
            <w:pPr>
              <w:ind w:left="9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800" w:type="dxa"/>
            <w:vAlign w:val="bottom"/>
          </w:tcPr>
          <w:p>
            <w:pPr>
              <w:jc w:val="center"/>
              <w:ind w:right="879"/>
              <w:spacing w:after="0"/>
              <w:rPr>
                <w:sz w:val="20"/>
                <w:szCs w:val="20"/>
                <w:color w:val="auto"/>
              </w:rPr>
            </w:pPr>
            <w:r>
              <w:rPr>
                <w:rFonts w:ascii="Arial" w:cs="Arial" w:eastAsia="Arial" w:hAnsi="Arial"/>
                <w:sz w:val="18"/>
                <w:szCs w:val="18"/>
                <w:b w:val="1"/>
                <w:bCs w:val="1"/>
                <w:color w:val="auto"/>
                <w:w w:val="91"/>
              </w:rPr>
              <w:t>1000 Mylan Boulevard, Canonsburg,</w:t>
            </w: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800" w:type="dxa"/>
            <w:vAlign w:val="bottom"/>
          </w:tcPr>
          <w:p>
            <w:pPr>
              <w:jc w:val="center"/>
              <w:ind w:right="879"/>
              <w:spacing w:after="0"/>
              <w:rPr>
                <w:sz w:val="20"/>
                <w:szCs w:val="20"/>
                <w:color w:val="auto"/>
              </w:rPr>
            </w:pPr>
            <w:r>
              <w:rPr>
                <w:rFonts w:ascii="Arial" w:cs="Arial" w:eastAsia="Arial" w:hAnsi="Arial"/>
                <w:sz w:val="18"/>
                <w:szCs w:val="18"/>
                <w:b w:val="1"/>
                <w:bCs w:val="1"/>
                <w:color w:val="auto"/>
                <w:w w:val="89"/>
              </w:rPr>
              <w:t>Pennsylvania, 15317</w:t>
            </w:r>
          </w:p>
        </w:tc>
        <w:tc>
          <w:tcPr>
            <w:tcW w:w="3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186"/>
        </w:trPr>
        <w:tc>
          <w:tcPr>
            <w:tcW w:w="3800" w:type="dxa"/>
            <w:vAlign w:val="bottom"/>
          </w:tcPr>
          <w:p>
            <w:pPr>
              <w:jc w:val="center"/>
              <w:ind w:right="8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2460" w:type="dxa"/>
            <w:vAlign w:val="bottom"/>
          </w:tcPr>
          <w:p>
            <w:pPr>
              <w:spacing w:after="0"/>
              <w:rPr>
                <w:sz w:val="16"/>
                <w:szCs w:val="16"/>
                <w:color w:val="auto"/>
              </w:rPr>
            </w:pP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On July 1, 2021, Viatris Inc. (“Viatris”) entered into the Amended and Restated Revolving Credit Agreement and the Term Loan Credit Agreement (in each case, as defined and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Revolving Credit Agreement</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On July 1, 2021, Viatris entered into an amended and restated revolving credit agreement (the “Amended and Restated Revolving Credit Agreement”), by and among Viatris, certain affiliates and subsidiaries of Viatris as guarantors, certain lenders and issuing banks from time to time party thereto and Bank of America, N.A., as administrative agent (in such capacity, the “Revolving Administrative Agent”). The Amended and Restated Revolving Credit Agreement contains a revolving credit facility (the “Revolving Credit Facility”) under which Viatris may obtain extensions of credit in an aggregate principal amount not to exceed $4,000,000,000, in U.S. dollars or alternative currencies including Euro, Sterling, Yen and any other currency that is approved by the Revolving Administrative Agent and each lender under the Revolving Credit Facility.</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Revolving Credit Facility will be available to Viatris from and after the satisfaction of certain customary conditions (the date such conditions are satisfied or waived being referred to as the “Revolver Closing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Amended and Restated Revolving Credit Agreement includes a $300,000,000 subfacility for the issuance of letters of credit and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$175,000,000 sublimit for swingline borrowings. The swingline borrowings will be made available in U.S. dollars only. Viatris may seek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commitments under the Revolving Credit Facility from lenders or other financial institutions designated by Viatris up to an aggregate amount such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Viatris would be in compliance with the financial covenant described below, after giving effect to such increase in the commitments and the application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proceeds therefrom. In determining pro forma compliance with the financial covenant described below, any indebtedness that is proposed to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incurred will be added to Viatris’ consolidated total indebtedness, and if such indebtedness is incurred in connection with an acquisition,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consolidated EBITDA of the acquired business for the trailing four quarters will be added to (or, if negative, subtracted from) Viatris’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same period.</w:t>
      </w:r>
    </w:p>
    <w:p>
      <w:pPr>
        <w:spacing w:after="0" w:line="211"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Proceeds from the Revolving Credit Facility will be used for general lawful corporate purposes of Viatris and its subsidiaries, including, without limitation, to repay outstanding obligations under Viatris’ existing $4,000,000,000 revolving credit facility, dated as of June 16, 2020 (as amended, restated or modified from time to time, the “Existing Revolving Credit Agreement”), among Viatris, as borrower, certain subsidiaries of Viatris, as guarantors, certain lenders and issuing banks from time to time party thereto and Bank of America, N.A., as administrative agent.</w:t>
      </w:r>
    </w:p>
    <w:p>
      <w:pPr>
        <w:spacing w:after="0" w:line="17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As of the Revolver Closing Date, the Revolving Credit Facility will be guaranteed by Mylan Inc., Utah Acquisition Sub Inc. and Mylan II B.V. and after the Revolver Closing Date, each other subsidiary of Viatris that guarantees (or is otherwise a co-obligor of) third party indebtedness in excess of $500,000,000 other than (i) any wholly owned subsidiary of Viatris which engages in no activities other than in connection with the financing of receivables of the receivables sellers and which is designated as a receivables entity by Viatris (“Receivables Entity”) and (ii) Upjohn Finance B.V., a private limited liability company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incorporated and existing under the laws of the Netherlands (“Finco”) so long as it (a) does not hold (directly and together with its subsidiaries) more than de minimis assets (other than (x) any intercompany notes or receivables that relate to the repayment of principal and interest of any indebtedness of Finco issued after June 16, 2020 and on or prior to the Closing Date (as defined in the Existing Revolving Credit Agreement) or (y) any proceeds from any indebtedness of Finco (so long as such proceeds are intended to be distributed to Viatris) or intercompany notes or receivables that relate to the distribution of such proceeds), (b) generates more than de minimis consolidated EBITDA and (c) does not at any time guarantee any third-party indebtedness of Viatris.</w:t>
      </w:r>
    </w:p>
    <w:p>
      <w:pPr>
        <w:sectPr>
          <w:pgSz w:w="11900" w:h="16838" w:orient="portrait"/>
          <w:cols w:equalWidth="0" w:num="1">
            <w:col w:w="10980"/>
          </w:cols>
          <w:pgMar w:left="440" w:top="297" w:right="479" w:bottom="1440" w:gutter="0" w:footer="0" w:header="0"/>
        </w:sectPr>
      </w:pPr>
    </w:p>
    <w:bookmarkStart w:id="2" w:name="page3"/>
    <w:bookmarkEnd w:id="2"/>
    <w:p>
      <w:pPr>
        <w:ind w:right="1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Revolving Credit Facility will initially bear interest at the LIBO, EURIBO or TIBO (“Eurocurrency”) Rate or SONIA (in each case, determined in accordance with the Amended and Restated Revolving Credit Agreement), as applicable, plus 1.20% per annum, if Viatris chooses to make Eurocurrency or SONIA borrowings, or at a base rate (determined in accordance with the Amended and Restated Revolving Credit Agreement) plus 0.20% per annum. The Revolving Credit Facility has a facility fee, which currently accrues at 0.175% on the daily amount of the aggregate revolving commitments of the lenders. The applicable margins over the Eurocurrency Rate and the base rate for the revolver can fluctuate based on the long-term unsecured senior, non-credit enhanced debt rating of Viatris by S&amp;P Global Ratings, Moody’s Investors Service, Inc. and Fitch Ratings, Inc.</w:t>
      </w:r>
    </w:p>
    <w:p>
      <w:pPr>
        <w:spacing w:after="0" w:line="16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Amended and Restated Revolving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Viatris’ lines of business. The Amended and Restated Revolving Credit Agreement contains a financial covenant requiring maintenance of a leverage ratio no greater than 4.25 to 1.00 as of the last day of each fiscal quarter ending after the Revolver Closing Date through and including the fiscal quarter ending June 30, 2022, 4.00 to 1.00 as of the last day of each fiscal quarter ending after June 30, 2022 through and including the fiscal quarter ending December 31, 2022 and 3.75 to 1.00 as of the last day of any fiscal quarter thereafter. The Revolving Credit Facility is scheduled to expire on the date that is five years from the Revolver Closing Date.</w:t>
      </w:r>
    </w:p>
    <w:p>
      <w:pPr>
        <w:spacing w:after="0" w:line="166"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The Amended and Restated Revolving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Viatris or any subsidiary that becomes a guarantor as described above. If an event of default occurs under the Amended and Restated Revolving Credit Agreement, the lenders may, among other things, terminate their commitments and declare immediately payable all borrowings. The default provisions in the Amended and Restated Revolving Credit Agreement are applicable only from and after the Revolver Closing Date.</w:t>
      </w:r>
    </w:p>
    <w:p>
      <w:pPr>
        <w:spacing w:after="0" w:line="16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Amounts drawn on the Revolving Credit Facility become due and payable on the date that is five years from the Revolver Closing Date. Amounts drawn on the Revolving Credit Facility may be voluntarily prepaid without penalty or premium, other than customary breakage costs related to prepayments of Eurocurrency and SONIA borrowings.</w:t>
      </w:r>
    </w:p>
    <w:p>
      <w:pPr>
        <w:spacing w:after="0" w:line="184"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The foregoing summary of the Amended and Restated Revolving Credit Agreement does not purport to be complete and is subject to, and qualified in its entirety by, the full text of the Amended and Restated Revolving Credit Agreement, which is attached hereto as Exhibit 10.1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Credit Agreement</w:t>
      </w:r>
    </w:p>
    <w:p>
      <w:pPr>
        <w:spacing w:after="0" w:line="117"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 xml:space="preserve">On July 1, 2021, Viatris entered into a term loan credit agreement (the “Term Loan Credit Agreement”), by and among Viatris, certain affiliates and subsidiaries of Viatris as guarantors, each Lender from time to time party thereto and Mizuho Bank, Ltd., as administrative agent. The Term Loan Credit Agreement provides for a </w:t>
      </w:r>
      <w:r>
        <w:rPr>
          <w:rFonts w:ascii="Arial" w:cs="Arial" w:eastAsia="Arial" w:hAnsi="Arial"/>
          <w:sz w:val="16"/>
          <w:szCs w:val="16"/>
          <w:u w:val="single" w:color="auto"/>
          <w:color w:val="auto"/>
        </w:rPr>
        <w:t>¥</w:t>
      </w:r>
      <w:r>
        <w:rPr>
          <w:rFonts w:ascii="Arial" w:cs="Arial" w:eastAsia="Arial" w:hAnsi="Arial"/>
          <w:sz w:val="16"/>
          <w:szCs w:val="16"/>
          <w:color w:val="auto"/>
        </w:rPr>
        <w:t>40,000,000,000 principal amount senior unsecured term loan facility (the “Term Loan Credit Facility”).</w:t>
      </w:r>
    </w:p>
    <w:p>
      <w:pPr>
        <w:sectPr>
          <w:pgSz w:w="11900" w:h="16838" w:orient="portrait"/>
          <w:cols w:equalWidth="0" w:num="1">
            <w:col w:w="10980"/>
          </w:cols>
          <w:pgMar w:left="440" w:top="301" w:right="479" w:bottom="1440" w:gutter="0" w:footer="0" w:header="0"/>
        </w:sectPr>
      </w:pPr>
    </w:p>
    <w:bookmarkStart w:id="3" w:name="page4"/>
    <w:bookmarkEnd w:id="3"/>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The Term Loan Credit Facility will be available to Viatris upon satisfaction of certain customary conditions (the date such conditions are satisfied or waived being referred to as the “Term Closing Date”). Viatris intends to use the </w:t>
      </w:r>
      <w:r>
        <w:rPr>
          <w:rFonts w:ascii="Arial" w:cs="Arial" w:eastAsia="Arial" w:hAnsi="Arial"/>
          <w:sz w:val="18"/>
          <w:szCs w:val="18"/>
          <w:u w:val="single" w:color="auto"/>
          <w:color w:val="auto"/>
        </w:rPr>
        <w:t>¥</w:t>
      </w:r>
      <w:r>
        <w:rPr>
          <w:rFonts w:ascii="Arial" w:cs="Arial" w:eastAsia="Arial" w:hAnsi="Arial"/>
          <w:sz w:val="18"/>
          <w:szCs w:val="18"/>
          <w:color w:val="auto"/>
        </w:rPr>
        <w:t>40,000,000,000 aggregate principal amount available under the Term Loan Credit Facility for general lawful corporate purposes of Viatris and its subsidiaries.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Term Closing Date, the Term Loan Credit Facility will be guaranteed by Mylan Inc., Utah Acquisition Sub Inc. and Mylan II B.V.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the Term Closing Date, each other Subsidiary of Viatris that guarantees (or is otherwise a co-obligor of) third party indebtedness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$500,000,000 other than (i) any Receivables Entity and (ii) Finco so long as it (a) does not hold (directly, and together with its subsidiaries)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 minimis assets (other than (x) any intercompany notes or receivables that relate to the repayment of principal and interest of any indebtedness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Finco issued after June 16, 2020 and on or prior to the Closing Date (as defined in the Existing Revolving Credit Agreement) or (y) any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indebtedness of Finco (so long as such proceeds are intended to be distributed to Viatris) or intercompany notes or receivables that relate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distribution of such proceeds), (b) generates more than de minimis consolidated EBITDA and (c) does not at any time guarantee any third-party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indebtedness of Viatris.</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Term Loan Credit Facility will bear interest at the TIBO Rate (determined in accordance with the Term Loan Credit Agreement) plus 0.75% per annum.</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Term Loan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Viatris’ lines of business. The Term Loan Credit Agreement contains a financial covenant requiring maintenance of a leverage ratio no greater than 4.25 to 1.00 as of the last day of each fiscal quarter ending after the Term Closing Date through and including the fiscal quarter ending June 30, 2022, 4.00 to 1.00 as of the last day of each fiscal quarter ending after June 30, 2022 through and including the fiscal quarter ending December 31, 2022 and 3.75 to 1.00 as of the last day of any fiscal quarter thereafter. The Term Loan Credit Facility is scheduled to expire on the date that is five years from the Term Closing Date.</w:t>
      </w:r>
    </w:p>
    <w:p>
      <w:pPr>
        <w:spacing w:after="0" w:line="18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Term Loan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Viatris or any subsidiary that becomes a guarantor as described above. If an event of default occurs under the Term Loan Credit Agreement, the lenders may, among other things, declare immediately payable all borrowings. The default provisions in the Term Loan Credit Agreement are applicable only from and after the Term Closing Date. Amounts drawn on the Term Loan Credit Facility become due and payable on the date that is five years from the Term Closing Date.</w:t>
      </w:r>
    </w:p>
    <w:p>
      <w:pPr>
        <w:spacing w:after="0" w:line="166"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The foregoing summary of the Term Loan Credit Agreement does not purport to be complete and is subject to, and qualified in its entirety by, the full text of the Term Loan Credit Agreement, which is attached hereto as Exhibit 10.2 and is incorporated herein by reference.</w:t>
      </w:r>
    </w:p>
    <w:p>
      <w:pPr>
        <w:sectPr>
          <w:pgSz w:w="11900" w:h="16838" w:orient="portrait"/>
          <w:cols w:equalWidth="0" w:num="1">
            <w:col w:w="10920"/>
          </w:cols>
          <w:pgMar w:left="440" w:top="301" w:right="5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information set forth in Item 1.01 of this Current Report on Form 8-K with respect to the Amended and Restated Revolving Credit Agreement and Term Loan Credit Agreement is hereby incorporated by reference into this Item 2.03 of this Current Report on Form 8-K insofar as it relates to the creation of a direct financial obligation of Viatris.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5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5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Amended and Restated Revolving Credit Agreement, dated as of July 1, 2021, among Viatris, the guarantors from time to time party</w:t>
              </w:r>
            </w:hyperlink>
          </w:p>
        </w:tc>
      </w:tr>
      <w:tr>
        <w:trPr>
          <w:trHeight w:val="196"/>
        </w:trPr>
        <w:tc>
          <w:tcPr>
            <w:tcW w:w="1460" w:type="dxa"/>
            <w:vAlign w:val="bottom"/>
          </w:tcPr>
          <w:p>
            <w:pPr>
              <w:spacing w:after="0"/>
              <w:rPr>
                <w:sz w:val="17"/>
                <w:szCs w:val="17"/>
                <w:color w:val="auto"/>
              </w:rPr>
            </w:pPr>
          </w:p>
        </w:tc>
        <w:tc>
          <w:tcPr>
            <w:tcW w:w="8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thereto, the lenders and issuing banks from time to time party thereto and Bank of America, N.A., as administrative agent.*</w:t>
              </w:r>
            </w:hyperlink>
          </w:p>
        </w:tc>
        <w:tc>
          <w:tcPr>
            <w:tcW w:w="660" w:type="dxa"/>
            <w:vAlign w:val="bottom"/>
            <w:gridSpan w:val="2"/>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10.2</w:t>
            </w:r>
          </w:p>
        </w:tc>
        <w:tc>
          <w:tcPr>
            <w:tcW w:w="9540" w:type="dxa"/>
            <w:vAlign w:val="bottom"/>
            <w:gridSpan w:val="4"/>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Term Loan Credit Agreement, dated as of July 1, 2021, among Viatris, the guarantors from time to time party thereto, the lenders</w:t>
              </w:r>
            </w:hyperlink>
          </w:p>
        </w:tc>
      </w:tr>
      <w:tr>
        <w:trPr>
          <w:trHeight w:val="196"/>
        </w:trPr>
        <w:tc>
          <w:tcPr>
            <w:tcW w:w="1460" w:type="dxa"/>
            <w:vAlign w:val="bottom"/>
          </w:tcPr>
          <w:p>
            <w:pPr>
              <w:spacing w:after="0"/>
              <w:rPr>
                <w:sz w:val="17"/>
                <w:szCs w:val="17"/>
                <w:color w:val="auto"/>
              </w:rPr>
            </w:pPr>
          </w:p>
        </w:tc>
        <w:tc>
          <w:tcPr>
            <w:tcW w:w="9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from time to time party thereto and Mizuho Bank, Ltd., as administrative agent.*</w:t>
              </w:r>
            </w:hyperlink>
          </w:p>
        </w:tc>
        <w:tc>
          <w:tcPr>
            <w:tcW w:w="26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954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29" w:lineRule="exact"/>
        <w:rPr>
          <w:sz w:val="20"/>
          <w:szCs w:val="20"/>
          <w:color w:val="auto"/>
        </w:rPr>
      </w:pPr>
    </w:p>
    <w:p>
      <w:pPr>
        <w:ind w:left="224" w:right="10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Annexes, schedules and/or exhibits have been omitted pursuant to Item 601(a)(5) of Regulation S-K. Viatris agrees to furnish supplementally a copy of any omitted attachment to the SEC on a confidential basis upon request.</w:t>
      </w:r>
    </w:p>
    <w:p>
      <w:pPr>
        <w:sectPr>
          <w:pgSz w:w="11900" w:h="16838" w:orient="portrait"/>
          <w:cols w:equalWidth="0" w:num="1">
            <w:col w:w="11004"/>
          </w:cols>
          <w:pgMar w:left="436" w:top="297" w:right="4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July 1, 2021</w:t>
      </w:r>
      <w:r>
        <w:rPr>
          <w:sz w:val="20"/>
          <w:szCs w:val="20"/>
          <w:color w:val="auto"/>
        </w:rPr>
        <w:tab/>
      </w:r>
      <w:r>
        <w:rPr>
          <w:rFonts w:ascii="Arial" w:cs="Arial" w:eastAsia="Arial" w:hAnsi="Arial"/>
          <w:sz w:val="16"/>
          <w:szCs w:val="16"/>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Deal CUSIP Number: 92557HAA4</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Facility CUSIP Number: 92557HAB2</w:t>
      </w:r>
    </w:p>
    <w:p>
      <w:pPr>
        <w:spacing w:after="0" w:line="222"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AMENDED AND RESTATED REVOLVING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JULY 1,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Guarantors from time to time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and the Lenders and the Issuing Banks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GOLDMAN SACHS BANK USA,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ING BANK N.V., DUBLIN BRANCH,</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MORGAN STANLEY MUFG LOAN PARTNERS,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Lead Arrangers and Bookrunners</w:t>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800"/>
              <w:spacing w:after="0"/>
              <w:rPr>
                <w:sz w:val="20"/>
                <w:szCs w:val="20"/>
                <w:color w:val="auto"/>
              </w:rPr>
            </w:pPr>
            <w:r>
              <w:rPr>
                <w:rFonts w:ascii="Arial" w:cs="Arial" w:eastAsia="Arial" w:hAnsi="Arial"/>
                <w:sz w:val="18"/>
                <w:szCs w:val="18"/>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800" w:type="dxa"/>
            <w:vAlign w:val="bottom"/>
            <w:gridSpan w:val="3"/>
            <w:vMerge w:val="restart"/>
          </w:tcPr>
          <w:p>
            <w:pPr>
              <w:spacing w:after="0"/>
              <w:rPr>
                <w:sz w:val="20"/>
                <w:szCs w:val="20"/>
                <w:color w:val="auto"/>
              </w:rPr>
            </w:pPr>
            <w:r>
              <w:rPr>
                <w:rFonts w:ascii="Arial" w:cs="Arial" w:eastAsia="Arial" w:hAnsi="Arial"/>
                <w:sz w:val="18"/>
                <w:szCs w:val="18"/>
                <w:color w:val="auto"/>
              </w:rPr>
              <w:t>ARTICLE I Definitions</w:t>
            </w:r>
          </w:p>
        </w:tc>
        <w:tc>
          <w:tcPr>
            <w:tcW w:w="8880" w:type="dxa"/>
            <w:vAlign w:val="bottom"/>
            <w:vMerge w:val="restart"/>
          </w:tcPr>
          <w:p>
            <w:pPr>
              <w:spacing w:after="0"/>
              <w:rPr>
                <w:sz w:val="24"/>
                <w:szCs w:val="24"/>
                <w:color w:val="auto"/>
              </w:rPr>
            </w:pPr>
          </w:p>
        </w:tc>
        <w:tc>
          <w:tcPr>
            <w:tcW w:w="300" w:type="dxa"/>
            <w:vAlign w:val="bottom"/>
            <w:gridSpan w:val="4"/>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gridSpan w:val="3"/>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18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1320" w:type="dxa"/>
            <w:vAlign w:val="bottom"/>
          </w:tcPr>
          <w:p>
            <w:pPr>
              <w:spacing w:after="0"/>
              <w:rPr>
                <w:sz w:val="20"/>
                <w:szCs w:val="20"/>
                <w:color w:val="auto"/>
              </w:rPr>
            </w:pPr>
            <w:r>
              <w:rPr>
                <w:rFonts w:ascii="Arial" w:cs="Arial" w:eastAsia="Arial" w:hAnsi="Arial"/>
                <w:sz w:val="18"/>
                <w:szCs w:val="18"/>
                <w:color w:val="auto"/>
              </w:rPr>
              <w:t>SECTION 1.01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Defined Terms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Classification of Loans and Borrowings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Terms Generally</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1.04</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Accounting Terms; GAAP</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1.05</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Payments on Business Days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Divisions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1.07</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Rounding</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1.08</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Additional Alternative Currencies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1.09</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Change of Currency</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1.10</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Times of Day</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1.11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Letter of Credit Amounts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1.12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Exchange Rates; Currency Equivalents; Interest Rates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83"/>
        </w:trPr>
        <w:tc>
          <w:tcPr>
            <w:tcW w:w="1800" w:type="dxa"/>
            <w:vAlign w:val="bottom"/>
            <w:gridSpan w:val="3"/>
          </w:tcPr>
          <w:p>
            <w:pPr>
              <w:spacing w:after="0"/>
              <w:rPr>
                <w:sz w:val="20"/>
                <w:szCs w:val="20"/>
                <w:color w:val="auto"/>
              </w:rPr>
            </w:pPr>
            <w:r>
              <w:rPr>
                <w:rFonts w:ascii="Arial" w:cs="Arial" w:eastAsia="Arial" w:hAnsi="Arial"/>
                <w:sz w:val="18"/>
                <w:szCs w:val="18"/>
                <w:color w:val="auto"/>
                <w:w w:val="94"/>
              </w:rPr>
              <w:t>ARTICLE II The Credits</w:t>
            </w:r>
          </w:p>
        </w:tc>
        <w:tc>
          <w:tcPr>
            <w:tcW w:w="8880" w:type="dxa"/>
            <w:vAlign w:val="bottom"/>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320" w:type="dxa"/>
            <w:vAlign w:val="bottom"/>
          </w:tcPr>
          <w:p>
            <w:pPr>
              <w:spacing w:after="0"/>
              <w:rPr>
                <w:sz w:val="20"/>
                <w:szCs w:val="20"/>
                <w:color w:val="auto"/>
              </w:rPr>
            </w:pPr>
            <w:r>
              <w:rPr>
                <w:rFonts w:ascii="Arial" w:cs="Arial" w:eastAsia="Arial" w:hAnsi="Arial"/>
                <w:sz w:val="18"/>
                <w:szCs w:val="18"/>
                <w:color w:val="auto"/>
              </w:rPr>
              <w:t>SECTION 2.01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Commitments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Loans and Borrowings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Requests for Borrowings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2.04</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Swingline Loans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2.05</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Letters of Credit</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Funding of Borrowings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2.07</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Market Disruption; Inability to Determine Rates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2.08</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Termination and Reduction of Commitments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2.09</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2.10</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Prepayment of Loans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Fees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Interest</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[Reserved]</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2.14</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Increased Costs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2.15</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Break Funding Payments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2.17</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2.18</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2.19</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Expansion Option</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2.20</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Judgment Currency</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2.21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Extended Revolving Commitments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2.22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Defaulting Lender</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2.23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Sustainability Adjustments</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720" w:type="dxa"/>
            <w:vAlign w:val="bottom"/>
            <w:gridSpan w:val="6"/>
          </w:tcPr>
          <w:p>
            <w:pPr>
              <w:spacing w:after="0"/>
              <w:rPr>
                <w:sz w:val="20"/>
                <w:szCs w:val="20"/>
                <w:color w:val="auto"/>
              </w:rPr>
            </w:pPr>
            <w:r>
              <w:rPr>
                <w:rFonts w:ascii="Arial" w:cs="Arial" w:eastAsia="Arial" w:hAnsi="Arial"/>
                <w:sz w:val="18"/>
                <w:szCs w:val="18"/>
                <w:color w:val="auto"/>
              </w:rPr>
              <w:t>ARTICLE III Representations and Warranties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30"/>
        </w:trPr>
        <w:tc>
          <w:tcPr>
            <w:tcW w:w="1320" w:type="dxa"/>
            <w:vAlign w:val="bottom"/>
          </w:tcPr>
          <w:p>
            <w:pPr>
              <w:spacing w:after="0"/>
              <w:rPr>
                <w:sz w:val="20"/>
                <w:szCs w:val="20"/>
                <w:color w:val="auto"/>
              </w:rPr>
            </w:pPr>
            <w:r>
              <w:rPr>
                <w:rFonts w:ascii="Arial" w:cs="Arial" w:eastAsia="Arial" w:hAnsi="Arial"/>
                <w:sz w:val="18"/>
                <w:szCs w:val="18"/>
                <w:color w:val="auto"/>
              </w:rPr>
              <w:t>SECTION 3.01</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Organization; Powers; Subsidiaries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3.02</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Authorization; Enforceability</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3.03</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Governmental Approvals; No Conflicts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3.04</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Financial Statements; Financial Condition; No Material Adverse Change</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3.05</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Properties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3.06</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Litigation and Environmental Matters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3.07</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Compliance with Laws and Agreements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3.08</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Investment Company Status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3.09</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Taxes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3.10</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Solvency</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3.11</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[Reserved]</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3.12</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Disclosure</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3.13</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Federal Reserve Regulations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3.14</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PATRIOT Act</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3.15</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OFAC</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3.16</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Beneficial Ownership Certification</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3.17</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Representations as to Foreign Obligors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95</w:t>
            </w:r>
          </w:p>
        </w:tc>
      </w:tr>
      <w:tr>
        <w:trPr>
          <w:trHeight w:val="283"/>
        </w:trPr>
        <w:tc>
          <w:tcPr>
            <w:tcW w:w="8720" w:type="dxa"/>
            <w:vAlign w:val="bottom"/>
            <w:gridSpan w:val="6"/>
          </w:tcPr>
          <w:p>
            <w:pPr>
              <w:spacing w:after="0"/>
              <w:rPr>
                <w:sz w:val="20"/>
                <w:szCs w:val="20"/>
                <w:color w:val="auto"/>
              </w:rPr>
            </w:pPr>
            <w:r>
              <w:rPr>
                <w:rFonts w:ascii="Arial" w:cs="Arial" w:eastAsia="Arial" w:hAnsi="Arial"/>
                <w:sz w:val="18"/>
                <w:szCs w:val="18"/>
                <w:color w:val="auto"/>
              </w:rPr>
              <w:t>ARTICLE IV Conditions Precedent</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1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30"/>
        </w:trPr>
        <w:tc>
          <w:tcPr>
            <w:tcW w:w="1320" w:type="dxa"/>
            <w:vAlign w:val="bottom"/>
          </w:tcPr>
          <w:p>
            <w:pPr>
              <w:spacing w:after="0"/>
              <w:rPr>
                <w:sz w:val="20"/>
                <w:szCs w:val="20"/>
                <w:color w:val="auto"/>
              </w:rPr>
            </w:pPr>
            <w:r>
              <w:rPr>
                <w:rFonts w:ascii="Arial" w:cs="Arial" w:eastAsia="Arial" w:hAnsi="Arial"/>
                <w:sz w:val="18"/>
                <w:szCs w:val="18"/>
                <w:color w:val="auto"/>
              </w:rPr>
              <w:t>SECTION 4.01</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Initial Credit Events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4.02</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Subsequent Credit Events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97</w:t>
            </w:r>
          </w:p>
        </w:tc>
      </w:tr>
      <w:tr>
        <w:trPr>
          <w:trHeight w:val="283"/>
        </w:trPr>
        <w:tc>
          <w:tcPr>
            <w:tcW w:w="2620" w:type="dxa"/>
            <w:vAlign w:val="bottom"/>
            <w:gridSpan w:val="4"/>
          </w:tcPr>
          <w:p>
            <w:pPr>
              <w:spacing w:after="0"/>
              <w:rPr>
                <w:sz w:val="20"/>
                <w:szCs w:val="20"/>
                <w:color w:val="auto"/>
              </w:rPr>
            </w:pPr>
            <w:r>
              <w:rPr>
                <w:rFonts w:ascii="Arial" w:cs="Arial" w:eastAsia="Arial" w:hAnsi="Arial"/>
                <w:sz w:val="18"/>
                <w:szCs w:val="18"/>
                <w:color w:val="auto"/>
                <w:w w:val="94"/>
              </w:rPr>
              <w:t>ARTICLE V Affirmative Covenants</w:t>
            </w:r>
          </w:p>
        </w:tc>
        <w:tc>
          <w:tcPr>
            <w:tcW w:w="6100" w:type="dxa"/>
            <w:vAlign w:val="bottom"/>
            <w:gridSpan w:val="2"/>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1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30"/>
        </w:trPr>
        <w:tc>
          <w:tcPr>
            <w:tcW w:w="1320" w:type="dxa"/>
            <w:vAlign w:val="bottom"/>
          </w:tcPr>
          <w:p>
            <w:pPr>
              <w:spacing w:after="0"/>
              <w:rPr>
                <w:sz w:val="20"/>
                <w:szCs w:val="20"/>
                <w:color w:val="auto"/>
              </w:rPr>
            </w:pPr>
            <w:r>
              <w:rPr>
                <w:rFonts w:ascii="Arial" w:cs="Arial" w:eastAsia="Arial" w:hAnsi="Arial"/>
                <w:sz w:val="18"/>
                <w:szCs w:val="18"/>
                <w:color w:val="auto"/>
              </w:rPr>
              <w:t>SECTION 5.01</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Financial Statements and Other Information</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5.02</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Notices of Material Events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5.03</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Existence; Conduct of Business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5.04</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Payment of Obligations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5.05</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Maintenance of Properties; Insurance</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5.06</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Inspection Rights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5.07</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Compliance with Laws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5.08</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Use of Proceeds and Letters of Credit</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5.09</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Guarantees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101</w:t>
            </w:r>
          </w:p>
        </w:tc>
      </w:tr>
      <w:tr>
        <w:trPr>
          <w:trHeight w:val="283"/>
        </w:trPr>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ARTICLE VI Negative Covenants</w:t>
            </w:r>
          </w:p>
        </w:tc>
        <w:tc>
          <w:tcPr>
            <w:tcW w:w="6240" w:type="dxa"/>
            <w:vAlign w:val="bottom"/>
            <w:gridSpan w:val="4"/>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102</w:t>
            </w:r>
          </w:p>
        </w:tc>
      </w:tr>
      <w:tr>
        <w:trPr>
          <w:trHeight w:val="330"/>
        </w:trPr>
        <w:tc>
          <w:tcPr>
            <w:tcW w:w="1320" w:type="dxa"/>
            <w:vAlign w:val="bottom"/>
          </w:tcPr>
          <w:p>
            <w:pPr>
              <w:spacing w:after="0"/>
              <w:rPr>
                <w:sz w:val="20"/>
                <w:szCs w:val="20"/>
                <w:color w:val="auto"/>
              </w:rPr>
            </w:pPr>
            <w:r>
              <w:rPr>
                <w:rFonts w:ascii="Arial" w:cs="Arial" w:eastAsia="Arial" w:hAnsi="Arial"/>
                <w:sz w:val="18"/>
                <w:szCs w:val="18"/>
                <w:color w:val="auto"/>
              </w:rPr>
              <w:t>SECTION 6.01</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Indebtedness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6.02</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Liens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6.03</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Fundamental Changes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6.04</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Restricted Payments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6.05</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Investments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6.06</w:t>
            </w:r>
          </w:p>
        </w:tc>
        <w:tc>
          <w:tcPr>
            <w:tcW w:w="7400" w:type="dxa"/>
            <w:vAlign w:val="bottom"/>
            <w:gridSpan w:val="5"/>
          </w:tcPr>
          <w:p>
            <w:pPr>
              <w:ind w:left="200"/>
              <w:spacing w:after="0"/>
              <w:rPr>
                <w:sz w:val="20"/>
                <w:szCs w:val="20"/>
                <w:color w:val="auto"/>
              </w:rPr>
            </w:pPr>
            <w:r>
              <w:rPr>
                <w:rFonts w:ascii="Arial" w:cs="Arial" w:eastAsia="Arial" w:hAnsi="Arial"/>
                <w:sz w:val="18"/>
                <w:szCs w:val="18"/>
                <w:color w:val="auto"/>
              </w:rPr>
              <w:t>Transactions with Affiliates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57"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6.07</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Financial Covenant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6.08</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Lines of Business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111</w:t>
            </w:r>
          </w:p>
        </w:tc>
      </w:tr>
      <w:tr>
        <w:trPr>
          <w:trHeight w:val="283"/>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5"/>
              </w:rPr>
              <w:t>ARTICLE VII Events of Default</w:t>
            </w:r>
          </w:p>
        </w:tc>
        <w:tc>
          <w:tcPr>
            <w:tcW w:w="6480" w:type="dxa"/>
            <w:vAlign w:val="bottom"/>
            <w:gridSpan w:val="2"/>
          </w:tcPr>
          <w:p>
            <w:pPr>
              <w:spacing w:after="0"/>
              <w:rPr>
                <w:sz w:val="24"/>
                <w:szCs w:val="24"/>
                <w:color w:val="auto"/>
              </w:rPr>
            </w:pPr>
          </w:p>
        </w:tc>
        <w:tc>
          <w:tcPr>
            <w:tcW w:w="1860" w:type="dxa"/>
            <w:vAlign w:val="bottom"/>
            <w:gridSpan w:val="2"/>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r>
      <w:tr>
        <w:trPr>
          <w:trHeight w:val="304"/>
        </w:trPr>
        <w:tc>
          <w:tcPr>
            <w:tcW w:w="3040" w:type="dxa"/>
            <w:vAlign w:val="bottom"/>
            <w:gridSpan w:val="5"/>
          </w:tcPr>
          <w:p>
            <w:pPr>
              <w:spacing w:after="0"/>
              <w:rPr>
                <w:sz w:val="20"/>
                <w:szCs w:val="20"/>
                <w:color w:val="auto"/>
              </w:rPr>
            </w:pPr>
            <w:r>
              <w:rPr>
                <w:rFonts w:ascii="Arial" w:cs="Arial" w:eastAsia="Arial" w:hAnsi="Arial"/>
                <w:sz w:val="18"/>
                <w:szCs w:val="18"/>
                <w:color w:val="auto"/>
                <w:w w:val="96"/>
              </w:rPr>
              <w:t>ARTICLE VIII The Administrative Agent</w:t>
            </w:r>
          </w:p>
        </w:tc>
        <w:tc>
          <w:tcPr>
            <w:tcW w:w="58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17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304"/>
        </w:trPr>
        <w:tc>
          <w:tcPr>
            <w:tcW w:w="3040" w:type="dxa"/>
            <w:vAlign w:val="bottom"/>
            <w:gridSpan w:val="5"/>
          </w:tcPr>
          <w:p>
            <w:pPr>
              <w:spacing w:after="0"/>
              <w:rPr>
                <w:sz w:val="20"/>
                <w:szCs w:val="20"/>
                <w:color w:val="auto"/>
              </w:rPr>
            </w:pPr>
            <w:r>
              <w:rPr>
                <w:rFonts w:ascii="Arial" w:cs="Arial" w:eastAsia="Arial" w:hAnsi="Arial"/>
                <w:sz w:val="18"/>
                <w:szCs w:val="18"/>
                <w:color w:val="auto"/>
              </w:rPr>
              <w:t>ARTICLE IX Miscellaneous</w:t>
            </w:r>
          </w:p>
        </w:tc>
        <w:tc>
          <w:tcPr>
            <w:tcW w:w="58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330"/>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Notices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Waivers; Amendments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Expenses; Indemnity; Damage Waiver</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Successors and Assigns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Survival</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Counterparts; Integration; Effectiveness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9.07</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Severability</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Right of Setoff</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9.09</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Governing Law; Jurisdiction; Consent to Service of Process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9.10</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WAIVER OF JURY TRIAL</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9.11</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Headings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9.12</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Confidentiality</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9.13</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USA PATRIOT Act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9.14</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Interest Rate Limitation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9.15</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No Fiduciary Duty</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9.16</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Electronic Execution of this Agreement and Other Documents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9.17</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Joint and Several</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9.18</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Enforcement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9.19</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Netherlands Loan Party Representation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9.20</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9.21</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Acknowledgement Regarding Any Supported QFCs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9.22</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Amendment and Restatement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8840" w:type="dxa"/>
            <w:vAlign w:val="bottom"/>
            <w:gridSpan w:val="6"/>
          </w:tcPr>
          <w:p>
            <w:pPr>
              <w:spacing w:after="0"/>
              <w:rPr>
                <w:sz w:val="20"/>
                <w:szCs w:val="20"/>
                <w:color w:val="auto"/>
              </w:rPr>
            </w:pPr>
            <w:r>
              <w:rPr>
                <w:rFonts w:ascii="Arial" w:cs="Arial" w:eastAsia="Arial" w:hAnsi="Arial"/>
                <w:sz w:val="18"/>
                <w:szCs w:val="18"/>
                <w:color w:val="auto"/>
              </w:rPr>
              <w:t>ARTICLE X Guarantee</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1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r>
      <w:tr>
        <w:trPr>
          <w:trHeight w:val="330"/>
        </w:trPr>
        <w:tc>
          <w:tcPr>
            <w:tcW w:w="1360" w:type="dxa"/>
            <w:vAlign w:val="bottom"/>
          </w:tcPr>
          <w:p>
            <w:pPr>
              <w:spacing w:after="0"/>
              <w:rPr>
                <w:sz w:val="20"/>
                <w:szCs w:val="20"/>
                <w:color w:val="auto"/>
              </w:rPr>
            </w:pPr>
            <w:r>
              <w:rPr>
                <w:rFonts w:ascii="Arial" w:cs="Arial" w:eastAsia="Arial" w:hAnsi="Arial"/>
                <w:sz w:val="18"/>
                <w:szCs w:val="18"/>
                <w:color w:val="auto"/>
              </w:rPr>
              <w:t>SECTION 10.01</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Guarantee</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10.02</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Right of Contribution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10.03</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No Subrogation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10.04</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Amendments, etc., with Respect to the Obligations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10.05</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Guarantee Absolute and Unconditional</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10.06</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Reinstatement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10.07</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Obligations Independent</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10.08</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Payments</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10.09</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Subordination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10.10</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Stay of Acceleration</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10.11</w:t>
            </w:r>
          </w:p>
        </w:tc>
        <w:tc>
          <w:tcPr>
            <w:tcW w:w="7480" w:type="dxa"/>
            <w:vAlign w:val="bottom"/>
            <w:gridSpan w:val="5"/>
          </w:tcPr>
          <w:p>
            <w:pPr>
              <w:ind w:left="160"/>
              <w:spacing w:after="0"/>
              <w:rPr>
                <w:sz w:val="20"/>
                <w:szCs w:val="20"/>
                <w:color w:val="auto"/>
              </w:rPr>
            </w:pPr>
            <w:r>
              <w:rPr>
                <w:rFonts w:ascii="Arial" w:cs="Arial" w:eastAsia="Arial" w:hAnsi="Arial"/>
                <w:sz w:val="18"/>
                <w:szCs w:val="18"/>
                <w:color w:val="auto"/>
              </w:rPr>
              <w:t>Condition of Borrower</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10.12</w:t>
            </w:r>
          </w:p>
        </w:tc>
        <w:tc>
          <w:tcPr>
            <w:tcW w:w="9340" w:type="dxa"/>
            <w:vAlign w:val="bottom"/>
            <w:gridSpan w:val="3"/>
          </w:tcPr>
          <w:p>
            <w:pPr>
              <w:ind w:left="180"/>
              <w:spacing w:after="0"/>
              <w:rPr>
                <w:sz w:val="20"/>
                <w:szCs w:val="20"/>
                <w:color w:val="auto"/>
              </w:rPr>
            </w:pPr>
            <w:r>
              <w:rPr>
                <w:rFonts w:ascii="Arial" w:cs="Arial" w:eastAsia="Arial" w:hAnsi="Arial"/>
                <w:sz w:val="18"/>
                <w:szCs w:val="18"/>
                <w:color w:val="auto"/>
              </w:rPr>
              <w:t>Releases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144</w:t>
            </w:r>
          </w:p>
        </w:tc>
      </w:tr>
      <w:tr>
        <w:trPr>
          <w:trHeight w:val="283"/>
        </w:trPr>
        <w:tc>
          <w:tcPr>
            <w:tcW w:w="2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ARTICLE XI Certain ERISA Matters</w:t>
            </w:r>
          </w:p>
        </w:tc>
        <w:tc>
          <w:tcPr>
            <w:tcW w:w="79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145</w:t>
            </w:r>
          </w:p>
        </w:tc>
      </w:tr>
      <w:tr>
        <w:trPr>
          <w:trHeight w:val="344"/>
        </w:trPr>
        <w:tc>
          <w:tcPr>
            <w:tcW w:w="1340" w:type="dxa"/>
            <w:vAlign w:val="bottom"/>
          </w:tcPr>
          <w:p>
            <w:pPr>
              <w:spacing w:after="0"/>
              <w:rPr>
                <w:sz w:val="20"/>
                <w:szCs w:val="20"/>
                <w:color w:val="auto"/>
              </w:rPr>
            </w:pPr>
            <w:r>
              <w:rPr>
                <w:rFonts w:ascii="Arial" w:cs="Arial" w:eastAsia="Arial" w:hAnsi="Arial"/>
                <w:sz w:val="18"/>
                <w:szCs w:val="18"/>
                <w:color w:val="auto"/>
              </w:rPr>
              <w:t>SECTION 11.01</w:t>
            </w:r>
          </w:p>
        </w:tc>
        <w:tc>
          <w:tcPr>
            <w:tcW w:w="9340" w:type="dxa"/>
            <w:vAlign w:val="bottom"/>
            <w:gridSpan w:val="3"/>
          </w:tcPr>
          <w:p>
            <w:pPr>
              <w:ind w:left="180"/>
              <w:spacing w:after="0"/>
              <w:rPr>
                <w:sz w:val="20"/>
                <w:szCs w:val="20"/>
                <w:color w:val="auto"/>
              </w:rPr>
            </w:pPr>
            <w:r>
              <w:rPr>
                <w:rFonts w:ascii="Arial" w:cs="Arial" w:eastAsia="Arial" w:hAnsi="Arial"/>
                <w:sz w:val="18"/>
                <w:szCs w:val="18"/>
                <w:color w:val="auto"/>
              </w:rPr>
              <w:t>Certain ERISA Matters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145</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SCHEDULES: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3"/>
        </w:trPr>
        <w:tc>
          <w:tcPr>
            <w:tcW w:w="1340" w:type="dxa"/>
            <w:vAlign w:val="bottom"/>
          </w:tcPr>
          <w:p>
            <w:pPr>
              <w:spacing w:after="0"/>
              <w:rPr>
                <w:sz w:val="20"/>
                <w:szCs w:val="20"/>
                <w:color w:val="auto"/>
              </w:rPr>
            </w:pPr>
            <w:r>
              <w:rPr>
                <w:rFonts w:ascii="Arial" w:cs="Arial" w:eastAsia="Arial" w:hAnsi="Arial"/>
                <w:sz w:val="18"/>
                <w:szCs w:val="18"/>
                <w:color w:val="auto"/>
              </w:rPr>
              <w:t>Schedule 2.01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Commitments</w:t>
            </w:r>
          </w:p>
        </w:tc>
        <w:tc>
          <w:tcPr>
            <w:tcW w:w="28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2.03</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Specified Litigation</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2.05</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Existing Letters of Credit</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Material Subsidiary Stocks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3.04(b)</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Material Adverse Changes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3.06</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Disclosed Matters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3.07</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Compliance with Laws and Agreements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Existing Indebtedness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6.02</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Existing Liens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6.04</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Restricted Payments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w w:val="96"/>
              </w:rPr>
              <w:t>Schedule 6.05(e)</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Schedule 6.06</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Affiliate Transactions</w:t>
            </w:r>
          </w:p>
        </w:tc>
        <w:tc>
          <w:tcPr>
            <w:tcW w:w="28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Schedule 9.01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Notices</w:t>
            </w:r>
          </w:p>
        </w:tc>
        <w:tc>
          <w:tcPr>
            <w:tcW w:w="28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Exhibit A</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Assignment and Assumption</w:t>
            </w:r>
          </w:p>
        </w:tc>
        <w:tc>
          <w:tcPr>
            <w:tcW w:w="280" w:type="dxa"/>
            <w:vAlign w:val="bottom"/>
          </w:tcPr>
          <w:p>
            <w:pPr>
              <w:spacing w:after="0"/>
              <w:rPr>
                <w:sz w:val="24"/>
                <w:szCs w:val="24"/>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B</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Revolving Note</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C</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Borrowing Request</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D</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Swingline Loan Notice</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E</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Compliance Certificate</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F</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Guarantor Joinder Agreement</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G-1</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w w:val="94"/>
              </w:rPr>
              <w:t>–   Form of U.S. Tax Compliance Certificate (For Foreign Lenders That Are Not Partnerships For U.S. Federal Income Tax</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Purposes)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G-2</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w w:val="92"/>
              </w:rPr>
              <w:t>–   Form of U.S. Tax Compliance Certificate (For Foreign Participants That Are Not Partnerships For U.S. Federal Income Tax</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Purposes)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G-3</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w w:val="95"/>
              </w:rPr>
              <w:t>–   Form of U.S. Tax Compliance Certificate (For Foreign Participants That Are Partnerships For U.S. Federal Income Tax</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Purposes)</w:t>
            </w:r>
          </w:p>
        </w:tc>
        <w:tc>
          <w:tcPr>
            <w:tcW w:w="28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Exhibit G-4</w:t>
            </w:r>
          </w:p>
        </w:tc>
        <w:tc>
          <w:tcPr>
            <w:tcW w:w="9620" w:type="dxa"/>
            <w:vAlign w:val="bottom"/>
            <w:gridSpan w:val="4"/>
          </w:tcPr>
          <w:p>
            <w:pPr>
              <w:ind w:left="100"/>
              <w:spacing w:after="0"/>
              <w:rPr>
                <w:sz w:val="20"/>
                <w:szCs w:val="20"/>
                <w:color w:val="auto"/>
              </w:rPr>
            </w:pPr>
            <w:r>
              <w:rPr>
                <w:rFonts w:ascii="Arial" w:cs="Arial" w:eastAsia="Arial" w:hAnsi="Arial"/>
                <w:sz w:val="18"/>
                <w:szCs w:val="18"/>
                <w:color w:val="auto"/>
                <w:w w:val="92"/>
              </w:rPr>
              <w:t>–   Form of U.S. Tax Compliance Certificate (For Foreign Lenders That Are Partnerships For U.S. Federal Income Tax Purposes)</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Exhibit H</w:t>
            </w:r>
          </w:p>
        </w:tc>
        <w:tc>
          <w:tcPr>
            <w:tcW w:w="9340" w:type="dxa"/>
            <w:vAlign w:val="bottom"/>
            <w:gridSpan w:val="3"/>
          </w:tcPr>
          <w:p>
            <w:pPr>
              <w:ind w:left="100"/>
              <w:spacing w:after="0"/>
              <w:rPr>
                <w:sz w:val="20"/>
                <w:szCs w:val="20"/>
                <w:color w:val="auto"/>
              </w:rPr>
            </w:pPr>
            <w:r>
              <w:rPr>
                <w:rFonts w:ascii="Arial" w:cs="Arial" w:eastAsia="Arial" w:hAnsi="Arial"/>
                <w:sz w:val="18"/>
                <w:szCs w:val="18"/>
                <w:color w:val="auto"/>
              </w:rPr>
              <w:t>–   Form of Solvency Certificate</w:t>
            </w:r>
          </w:p>
        </w:tc>
        <w:tc>
          <w:tcPr>
            <w:tcW w:w="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REVOLVING CREDIT AGREEMENT</w:t>
      </w:r>
    </w:p>
    <w:p>
      <w:pPr>
        <w:spacing w:after="0" w:line="229"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This AMENDED AND RESTATED REVOLVING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July 1, 2021 among VIATRIS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certain Affiliates and Subsidiaries of the Borrower from time to time party hereto as Guarantors, each Lender and Issuing Bank from time to time party hereto, and BANK OF AMERICA, N.A., as Administrative Agent.</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WHEREAS, the Borrower (formerly known as UPJOHN INC.), the Guarantors, certain banks and the Administrative Agent are parties to that certain Credit Agreement, dated as of June 16, 2020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pursuant to which, at the request of the Borrower, the Lenders (as defined therein) have agreed to extend credit to the Borrower in the form of Loans and Letters of Credit (each as defined therein) at any time and from time to time on and after the Closing Date and prior to the Revolving Credit Maturity Date (each as defined therein), in an aggregate principal amount not to exceed $4,000,000,000, subject to the terms and conditions thereinafter set forth;</w:t>
      </w:r>
    </w:p>
    <w:p>
      <w:pPr>
        <w:spacing w:after="0" w:line="17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Borrower has requested that the Lenders amend and restate the Existing Credit Agreement and in connection therewith, the Existing Loan (as defined below) shall be repaid in full;</w:t>
      </w:r>
    </w:p>
    <w:p>
      <w:pPr>
        <w:spacing w:after="0" w:line="170"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WHEREAS, each Lender hereunder that was also a lender under the Existing Credit Agreement, by its execution and delivery of this Agreement, hereby waives any breakage costs incurred in connection with the repayment of the Existing Loan pursuant to Section 2.15 (</w:t>
      </w:r>
      <w:r>
        <w:rPr>
          <w:rFonts w:ascii="Arial" w:cs="Arial" w:eastAsia="Arial" w:hAnsi="Arial"/>
          <w:sz w:val="18"/>
          <w:szCs w:val="18"/>
          <w:i w:val="1"/>
          <w:iCs w:val="1"/>
          <w:color w:val="auto"/>
        </w:rPr>
        <w:t>Break Funding Payments</w:t>
      </w:r>
      <w:r>
        <w:rPr>
          <w:rFonts w:ascii="Arial" w:cs="Arial" w:eastAsia="Arial" w:hAnsi="Arial"/>
          <w:sz w:val="18"/>
          <w:szCs w:val="18"/>
          <w:color w:val="auto"/>
        </w:rPr>
        <w:t>) of the Existing Credit Agreement;</w:t>
      </w:r>
    </w:p>
    <w:p>
      <w:pPr>
        <w:spacing w:after="0" w:line="184"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WHEREAS, the Lenders have indicated their willingness to agree to such amendments and restatements of the Existing Credit Agreement on the terms and subject to the conditions set forth hereinafter;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u w:val="single" w:color="auto"/>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12" w:name="page13"/>
    <w:bookmarkEnd w:id="12"/>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(or any of its designated branch offices or Affiliates), in its capacity as administrative agent for the Lenders hereunder, or any successor administrative agent.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Currency</w:t>
      </w:r>
      <w:r>
        <w:rPr>
          <w:rFonts w:ascii="Arial" w:cs="Arial" w:eastAsia="Arial" w:hAnsi="Arial"/>
          <w:sz w:val="18"/>
          <w:szCs w:val="18"/>
          <w:color w:val="auto"/>
        </w:rPr>
        <w:t>” means Dollars or any Alternative Currency,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Currencies</w:t>
      </w:r>
      <w:r>
        <w:rPr>
          <w:rFonts w:ascii="Arial" w:cs="Arial" w:eastAsia="Arial" w:hAnsi="Arial"/>
          <w:sz w:val="18"/>
          <w:szCs w:val="18"/>
          <w:color w:val="auto"/>
        </w:rPr>
        <w:t>” means (a) Euro, (b) Sterling, (c) Yen and (d) each other currency (other than Dollars) approved in accordance with Section 1.08.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w:t>
      </w:r>
      <w:r>
        <w:rPr>
          <w:rFonts w:ascii="Arial" w:cs="Arial" w:eastAsia="Arial" w:hAnsi="Arial"/>
          <w:sz w:val="18"/>
          <w:szCs w:val="18"/>
          <w:color w:val="auto"/>
        </w:rPr>
        <w:t>” means, for any day, with respect to any Credit Event:</w:t>
      </w:r>
    </w:p>
    <w:p>
      <w:pPr>
        <w:spacing w:after="0" w:line="225" w:lineRule="exact"/>
        <w:rPr>
          <w:sz w:val="20"/>
          <w:szCs w:val="20"/>
          <w:color w:val="auto"/>
        </w:rPr>
      </w:pPr>
    </w:p>
    <w:p>
      <w:pPr>
        <w:ind w:left="1360" w:hanging="373"/>
        <w:spacing w:after="0"/>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denominated in Sterling, the rate per annum equal to SONIA determined pursuant to the definition thereof plus the SONIA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Adjustment; and</w:t>
      </w:r>
    </w:p>
    <w:p>
      <w:pPr>
        <w:spacing w:after="0" w:line="210" w:lineRule="exact"/>
        <w:rPr>
          <w:rFonts w:ascii="Arial" w:cs="Arial" w:eastAsia="Arial" w:hAnsi="Arial"/>
          <w:sz w:val="17"/>
          <w:szCs w:val="17"/>
          <w:color w:val="auto"/>
        </w:rPr>
      </w:pPr>
    </w:p>
    <w:p>
      <w:pPr>
        <w:ind w:firstLine="987"/>
        <w:spacing w:after="0" w:line="259" w:lineRule="auto"/>
        <w:tabs>
          <w:tab w:leader="none" w:pos="1381"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Section 1.08(a) plus the adjustment (if any) determined by the Administrative Agent and the relevant Lenders pursuant to Section 1.08(a);</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13" w:name="page14"/>
    <w:bookmarkEnd w:id="13"/>
    <w:p>
      <w:pPr>
        <w:ind w:right="8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 Loan</w:t>
      </w:r>
      <w:r>
        <w:rPr>
          <w:rFonts w:ascii="Arial" w:cs="Arial" w:eastAsia="Arial" w:hAnsi="Arial"/>
          <w:sz w:val="18"/>
          <w:szCs w:val="18"/>
          <w:color w:val="auto"/>
        </w:rPr>
        <w:t>” means a Loan that bears interest at a rate based on the definition of “Alternative Currency Daily Rate.” All Alternative Currency Daily Rate Loans must be denominated in an Alternative Currency.</w:t>
      </w:r>
    </w:p>
    <w:p>
      <w:pPr>
        <w:spacing w:after="0" w:line="170"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Loan</w:t>
      </w:r>
      <w:r>
        <w:rPr>
          <w:rFonts w:ascii="Arial" w:cs="Arial" w:eastAsia="Arial" w:hAnsi="Arial"/>
          <w:sz w:val="17"/>
          <w:szCs w:val="17"/>
          <w:color w:val="auto"/>
        </w:rPr>
        <w:t>” means an Alternative Currency Daily Rate Loan or an Alternative Currency Term Rate Loan, as applicable.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w:t>
      </w:r>
      <w:r>
        <w:rPr>
          <w:rFonts w:ascii="Arial" w:cs="Arial" w:eastAsia="Arial" w:hAnsi="Arial"/>
          <w:sz w:val="18"/>
          <w:szCs w:val="18"/>
          <w:color w:val="auto"/>
        </w:rPr>
        <w:t>” means, for any Interest Period, with respect to any Credit Event:</w:t>
      </w:r>
    </w:p>
    <w:p>
      <w:pPr>
        <w:spacing w:after="0" w:line="225" w:lineRule="exact"/>
        <w:rPr>
          <w:sz w:val="20"/>
          <w:szCs w:val="20"/>
          <w:color w:val="auto"/>
        </w:rPr>
      </w:pPr>
    </w:p>
    <w:p>
      <w:pPr>
        <w:jc w:val="both"/>
        <w:ind w:right="240" w:firstLine="987"/>
        <w:spacing w:after="0" w:line="311" w:lineRule="auto"/>
        <w:tabs>
          <w:tab w:leader="none" w:pos="13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denominated in Euros, the rate per annum equal to the Euro Interbank Offered Rate (“</w:t>
      </w:r>
      <w:r>
        <w:rPr>
          <w:rFonts w:ascii="Arial" w:cs="Arial" w:eastAsia="Arial" w:hAnsi="Arial"/>
          <w:sz w:val="16"/>
          <w:szCs w:val="16"/>
          <w:u w:val="single" w:color="auto"/>
          <w:color w:val="auto"/>
        </w:rPr>
        <w:t>EURIBOR</w:t>
      </w:r>
      <w:r>
        <w:rPr>
          <w:rFonts w:ascii="Arial" w:cs="Arial" w:eastAsia="Arial" w:hAnsi="Arial"/>
          <w:sz w:val="16"/>
          <w:szCs w:val="16"/>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48" w:lineRule="exact"/>
        <w:rPr>
          <w:rFonts w:ascii="Arial" w:cs="Arial" w:eastAsia="Arial" w:hAnsi="Arial"/>
          <w:sz w:val="16"/>
          <w:szCs w:val="16"/>
          <w:color w:val="auto"/>
        </w:rPr>
      </w:pPr>
    </w:p>
    <w:p>
      <w:pPr>
        <w:ind w:firstLine="987"/>
        <w:spacing w:after="0" w:line="263"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denominated in Japanese Yen, the rate per annum equal to the Tokyo Interbank Offer Rate (“</w:t>
      </w:r>
      <w:r>
        <w:rPr>
          <w:rFonts w:ascii="Arial" w:cs="Arial" w:eastAsia="Arial" w:hAnsi="Arial"/>
          <w:sz w:val="18"/>
          <w:szCs w:val="18"/>
          <w:u w:val="single" w:color="auto"/>
          <w:color w:val="auto"/>
        </w:rPr>
        <w:t>TIBOR</w:t>
      </w:r>
      <w:r>
        <w:rPr>
          <w:rFonts w:ascii="Arial" w:cs="Arial" w:eastAsia="Arial" w:hAnsi="Arial"/>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spacing w:after="0" w:line="183" w:lineRule="exact"/>
        <w:rPr>
          <w:rFonts w:ascii="Arial" w:cs="Arial" w:eastAsia="Arial" w:hAnsi="Arial"/>
          <w:sz w:val="18"/>
          <w:szCs w:val="18"/>
          <w:color w:val="auto"/>
        </w:rPr>
      </w:pPr>
    </w:p>
    <w:p>
      <w:pPr>
        <w:ind w:right="22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1.08(a);</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if any Alternative Currency Term Rate shall be less than zero percent (0%), such rate shall be deemed zero percent (0%) for purposes of this Agreement.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Loan that bears interest at a rate based on the definition of “Alternative Currency Term Rate.” All Alternative Currency Term Rate Loans must be denominated in an Alternative Currency.</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Authority</w:t>
      </w:r>
      <w:r>
        <w:rPr>
          <w:rFonts w:ascii="Arial" w:cs="Arial" w:eastAsia="Arial" w:hAnsi="Arial"/>
          <w:sz w:val="18"/>
          <w:szCs w:val="18"/>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at any time, a percentage 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5"/>
              </w:rPr>
              <w:t>Applicable Rate</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5"/>
              </w:rPr>
              <w:t>for Eurocurrency</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9"/>
              </w:rPr>
              <w:t>Loans, LIBOR</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Applicable Rate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5"/>
              </w:rPr>
              <w:t>Daily Floating Rate</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2"/>
              </w:rPr>
              <w:t>Pricing</w:t>
            </w:r>
          </w:p>
        </w:tc>
        <w:tc>
          <w:tcPr>
            <w:tcW w:w="800" w:type="dxa"/>
            <w:vAlign w:val="bottom"/>
          </w:tcPr>
          <w:p>
            <w:pPr>
              <w:spacing w:after="0"/>
              <w:rPr>
                <w:sz w:val="12"/>
                <w:szCs w:val="12"/>
                <w:color w:val="auto"/>
              </w:rPr>
            </w:pPr>
          </w:p>
        </w:tc>
        <w:tc>
          <w:tcPr>
            <w:tcW w:w="28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96"/>
              </w:rPr>
              <w:t>Debt</w:t>
            </w:r>
          </w:p>
        </w:tc>
        <w:tc>
          <w:tcPr>
            <w:tcW w:w="14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w w:val="91"/>
              </w:rPr>
              <w:t>Facility</w:t>
            </w:r>
          </w:p>
        </w:tc>
        <w:tc>
          <w:tcPr>
            <w:tcW w:w="22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Loans and</w:t>
            </w:r>
          </w:p>
        </w:tc>
        <w:tc>
          <w:tcPr>
            <w:tcW w:w="198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w w:val="93"/>
              </w:rPr>
              <w:t>Letter of Credit</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44"/>
        </w:trPr>
        <w:tc>
          <w:tcPr>
            <w:tcW w:w="4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20" w:type="dxa"/>
            <w:vAlign w:val="bottom"/>
            <w:gridSpan w:val="2"/>
          </w:tcPr>
          <w:p>
            <w:pPr>
              <w:jc w:val="center"/>
              <w:ind w:right="1020"/>
              <w:spacing w:after="0" w:line="145" w:lineRule="exact"/>
              <w:rPr>
                <w:sz w:val="20"/>
                <w:szCs w:val="20"/>
                <w:color w:val="auto"/>
              </w:rPr>
            </w:pPr>
            <w:r>
              <w:rPr>
                <w:rFonts w:ascii="Arial" w:cs="Arial" w:eastAsia="Arial" w:hAnsi="Arial"/>
                <w:sz w:val="14"/>
                <w:szCs w:val="14"/>
                <w:b w:val="1"/>
                <w:bCs w:val="1"/>
                <w:color w:val="auto"/>
                <w:w w:val="93"/>
              </w:rPr>
              <w:t>Alternative</w:t>
            </w:r>
          </w:p>
        </w:tc>
        <w:tc>
          <w:tcPr>
            <w:tcW w:w="198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1"/>
              </w:rPr>
              <w:t>Loans and</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800" w:type="dxa"/>
            <w:vAlign w:val="bottom"/>
          </w:tcPr>
          <w:p>
            <w:pPr>
              <w:spacing w:after="0"/>
              <w:rPr>
                <w:sz w:val="14"/>
                <w:szCs w:val="14"/>
                <w:color w:val="auto"/>
              </w:rPr>
            </w:pPr>
          </w:p>
        </w:tc>
        <w:tc>
          <w:tcPr>
            <w:tcW w:w="28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6"/>
              </w:rPr>
              <w:t>Rating</w:t>
            </w:r>
          </w:p>
        </w:tc>
        <w:tc>
          <w:tcPr>
            <w:tcW w:w="14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Fee</w:t>
            </w:r>
          </w:p>
        </w:tc>
        <w:tc>
          <w:tcPr>
            <w:tcW w:w="22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Currency Loans</w:t>
            </w:r>
          </w:p>
        </w:tc>
        <w:tc>
          <w:tcPr>
            <w:tcW w:w="198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Fees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Swingline Loans</w:t>
            </w:r>
          </w:p>
        </w:tc>
        <w:tc>
          <w:tcPr>
            <w:tcW w:w="0" w:type="dxa"/>
            <w:vAlign w:val="bottom"/>
          </w:tcPr>
          <w:p>
            <w:pPr>
              <w:spacing w:after="0"/>
              <w:rPr>
                <w:sz w:val="1"/>
                <w:szCs w:val="1"/>
                <w:color w:val="auto"/>
              </w:rPr>
            </w:pPr>
          </w:p>
        </w:tc>
      </w:tr>
      <w:tr>
        <w:trPr>
          <w:trHeight w:val="20"/>
        </w:trPr>
        <w:tc>
          <w:tcPr>
            <w:tcW w:w="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800" w:type="dxa"/>
            <w:vAlign w:val="bottom"/>
            <w:vMerge w:val="restart"/>
            <w:shd w:val="clear" w:color="auto" w:fill="CCEEFF"/>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&gt;A- / A3 / A-</w:t>
            </w:r>
          </w:p>
        </w:tc>
        <w:tc>
          <w:tcPr>
            <w:tcW w:w="840" w:type="dxa"/>
            <w:vAlign w:val="bottom"/>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rPr>
              <w:t>0.09%</w:t>
            </w:r>
          </w:p>
        </w:tc>
        <w:tc>
          <w:tcPr>
            <w:tcW w:w="2220" w:type="dxa"/>
            <w:vAlign w:val="bottom"/>
            <w:gridSpan w:val="2"/>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rPr>
              <w:t>0.785%</w:t>
            </w:r>
          </w:p>
        </w:tc>
        <w:tc>
          <w:tcPr>
            <w:tcW w:w="1980" w:type="dxa"/>
            <w:vAlign w:val="bottom"/>
            <w:gridSpan w:val="2"/>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rPr>
              <w:t>0.785%</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18"/>
                <w:szCs w:val="18"/>
                <w:color w:val="auto"/>
              </w:rPr>
            </w:pPr>
          </w:p>
        </w:tc>
        <w:tc>
          <w:tcPr>
            <w:tcW w:w="2860" w:type="dxa"/>
            <w:vAlign w:val="bottom"/>
            <w:gridSpan w:val="2"/>
          </w:tcPr>
          <w:p>
            <w:pPr>
              <w:jc w:val="center"/>
              <w:ind w:right="820"/>
              <w:spacing w:after="0"/>
              <w:rPr>
                <w:sz w:val="20"/>
                <w:szCs w:val="20"/>
                <w:color w:val="auto"/>
              </w:rPr>
            </w:pPr>
            <w:r>
              <w:rPr>
                <w:rFonts w:ascii="Arial" w:cs="Arial" w:eastAsia="Arial" w:hAnsi="Arial"/>
                <w:sz w:val="18"/>
                <w:szCs w:val="18"/>
                <w:color w:val="auto"/>
                <w:w w:val="94"/>
              </w:rPr>
              <w:t>BBB+ / Baa1 / BBB+</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0.10%</w:t>
            </w: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0.90%</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0.90%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4"/>
              </w:rPr>
              <w:t>BBB / Baa2 / BBB</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8"/>
              </w:rPr>
              <w:t>0.125%</w:t>
            </w: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c>
          <w:tcPr>
            <w:tcW w:w="2860" w:type="dxa"/>
            <w:vAlign w:val="bottom"/>
            <w:gridSpan w:val="2"/>
          </w:tcPr>
          <w:p>
            <w:pPr>
              <w:jc w:val="center"/>
              <w:ind w:right="820"/>
              <w:spacing w:after="0"/>
              <w:rPr>
                <w:sz w:val="20"/>
                <w:szCs w:val="20"/>
                <w:color w:val="auto"/>
              </w:rPr>
            </w:pPr>
            <w:r>
              <w:rPr>
                <w:rFonts w:ascii="Arial" w:cs="Arial" w:eastAsia="Arial" w:hAnsi="Arial"/>
                <w:sz w:val="18"/>
                <w:szCs w:val="18"/>
                <w:color w:val="auto"/>
                <w:w w:val="94"/>
              </w:rPr>
              <w:t>BBB- / Baa3 / BBB-</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w w:val="98"/>
              </w:rPr>
              <w:t>0.175%</w:t>
            </w:r>
          </w:p>
        </w:tc>
        <w:tc>
          <w:tcPr>
            <w:tcW w:w="2220" w:type="dxa"/>
            <w:vAlign w:val="bottom"/>
            <w:gridSpan w:val="2"/>
          </w:tcPr>
          <w:p>
            <w:pPr>
              <w:jc w:val="right"/>
              <w:ind w:right="860"/>
              <w:spacing w:after="0"/>
              <w:rPr>
                <w:sz w:val="20"/>
                <w:szCs w:val="20"/>
                <w:color w:val="auto"/>
              </w:rPr>
            </w:pPr>
            <w:r>
              <w:rPr>
                <w:rFonts w:ascii="Arial" w:cs="Arial" w:eastAsia="Arial" w:hAnsi="Arial"/>
                <w:sz w:val="18"/>
                <w:szCs w:val="18"/>
                <w:color w:val="auto"/>
              </w:rPr>
              <w:t>1.20%</w:t>
            </w:r>
          </w:p>
        </w:tc>
        <w:tc>
          <w:tcPr>
            <w:tcW w:w="1980" w:type="dxa"/>
            <w:vAlign w:val="bottom"/>
            <w:gridSpan w:val="2"/>
          </w:tcPr>
          <w:p>
            <w:pPr>
              <w:jc w:val="right"/>
              <w:ind w:right="860"/>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4"/>
              </w:rPr>
              <w:t>£BB+ / Ba1 / BB+</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0.20%</w:t>
            </w:r>
          </w:p>
        </w:tc>
        <w:tc>
          <w:tcPr>
            <w:tcW w:w="22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1.425%</w:t>
            </w:r>
          </w:p>
        </w:tc>
        <w:tc>
          <w:tcPr>
            <w:tcW w:w="19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Initially, the Applicable Rate shall be determined based upon Pricing Level 4.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 w:name="page16"/>
    <w:bookmarkEnd w:id="15"/>
    <w:p>
      <w:pPr>
        <w:ind w:right="1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means, collectively, BofA Securities, Inc., Barclays Bank PLC, BNP Paribas Securities Corp., Citibank, N.A., Deutsche Bank Securities Inc., DNB Markets, Inc., Goldman Sachs Bank USA, ING Bank N.V., Dublin Branch, JPMorgan Chase Bank, N.A., Mizuho Bank, Ltd., Morgan Stanley MUFG Loan Partners, LLC, acting through Morgan Stanley Senior Funding, Inc. and MUFG Bank, Ltd., PNC Capital Markets LLC and RBC Capital Markets, LLC, as lead arrangers and bookrunners, as lead arrangers and bookrunners.</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Augmenting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commitment to make Swingline Loans, as the case may be, is terminated in accordance with the provisions of this Agreement.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6" w:name="page17"/>
    <w:bookmarkEnd w:id="16"/>
    <w:p>
      <w:pPr>
        <w:jc w:val="both"/>
        <w:ind w:right="2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Available Tenor</w:t>
      </w:r>
      <w:r>
        <w:rPr>
          <w:rFonts w:ascii="Arial" w:cs="Arial" w:eastAsia="Arial" w:hAnsi="Arial"/>
          <w:sz w:val="16"/>
          <w:szCs w:val="16"/>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for such Benchmark, as applicable, pursuant to this Agreement as of such date.</w:t>
      </w:r>
    </w:p>
    <w:p>
      <w:pPr>
        <w:spacing w:after="0" w:line="14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permitted successors and assigns.</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xml:space="preserve">” means for any day a fluctuating rate of interest per annum equal to the highest of (a) the Federal Funds Effective Rate in effect on such day plus 1/2 of 1%, (b) the rate of interest in effect for such day as publicly announced from time to time by Bank of America as its “prime rate,” and (c) the Eurocurrency Rate in effect on such day plus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 If the Base Rate is being used as an alternate rate of interest pursuant to Section 2.07 hereof, then the Base Rate shall be the greater of clauses (a) and (b) above and shall be determined without reference to clause (c) above.</w:t>
      </w:r>
    </w:p>
    <w:p>
      <w:pPr>
        <w:spacing w:after="0" w:line="18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at a rate based on the definition of “Base Rate.” All Base Rate Loans shall be denominated in Dollars.</w:t>
      </w:r>
    </w:p>
    <w:p>
      <w:pPr>
        <w:spacing w:after="0" w:line="170"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w:t>
      </w:r>
      <w:r>
        <w:rPr>
          <w:rFonts w:ascii="Arial" w:cs="Arial" w:eastAsia="Arial" w:hAnsi="Arial"/>
          <w:sz w:val="17"/>
          <w:szCs w:val="17"/>
          <w:color w:val="auto"/>
        </w:rPr>
        <w:t xml:space="preserve">” means, initially, LIBOR;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replacement of the Benchmark has occurred pursuant to Section 2.07(b),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w:t>
      </w:r>
    </w:p>
    <w:p>
      <w:pPr>
        <w:spacing w:after="0" w:line="225" w:lineRule="exact"/>
        <w:rPr>
          <w:sz w:val="20"/>
          <w:szCs w:val="20"/>
          <w:color w:val="auto"/>
        </w:rPr>
      </w:pPr>
    </w:p>
    <w:p>
      <w:pPr>
        <w:ind w:left="820" w:hanging="38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purposes of Section 2.07(d)(i), the first alternative set forth below that can be determined by the Administrative Agent:</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24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sum of: (i) Term SOFR and (ii) 0.11448% (11.448 basis points) for an Available Tenor of one-month’s duration, 0.26161% (26.161 basis points) for an Available Tenor of three-months’ duration, 0.42826% (42.826 basis points) for an Available Tenor of six-months’ duration, and 0.71513% (71.513 basis points) for an Available Tenor of twelve-months’ duration, or</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sum of: (i) Daily Simple SOFR and (ii) 0.11448% (11.448 basis points);</w:t>
      </w:r>
    </w:p>
    <w:p>
      <w:pPr>
        <w:spacing w:after="0" w:line="117"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initially LIBOR is replaced with the rate contained in clause (b) above (Daily Simple SOFR plus the applicable spread adjustment) and subsequent to such replacement, the Administrative Agent determines that Term SOFR has become available and is administratively feasible for the Administrative Agent in its sole discretion,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Benchmark Replacement shall be as set forth in clause (a) above; and</w:t>
      </w:r>
    </w:p>
    <w:p>
      <w:pPr>
        <w:spacing w:after="0" w:line="192" w:lineRule="exact"/>
        <w:rPr>
          <w:sz w:val="20"/>
          <w:szCs w:val="20"/>
          <w:color w:val="auto"/>
        </w:rPr>
      </w:pPr>
    </w:p>
    <w:p>
      <w:pPr>
        <w:ind w:right="140" w:firstLine="436"/>
        <w:spacing w:after="0" w:line="259" w:lineRule="auto"/>
        <w:tabs>
          <w:tab w:leader="none" w:pos="83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Section 2.07(d)(ii), the sum of (a) the alternate benchmark rate and (b) an adjustment (which may be a positive or negative value or zero), in each case, that has been selected by the Administrative Agent and the Borrower as the replacement Benchmark giving due consideration to any evolving or then-prevailing market convention, including any applicable recommendations made by a Relevant Governmental Body, for U.S. dollar-denominated syndicated credit facilities at such time;</w:t>
      </w:r>
    </w:p>
    <w:p>
      <w:pPr>
        <w:spacing w:after="0" w:line="18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0.00%, the Benchmark Replacement will be deemed to be 0.00% for the purposes of this Agreement and the other Loan Documents.</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Any Benchmark Replacement shall be applied in a manner consistent with market practice; provided that to the extent such market practice is not administratively feasible for the Administrative Agent, such Benchmark Replacement shall be applied in a manner as otherwise reasonably determined by the Administrative Agent.</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8" w:name="page19"/>
    <w:bookmarkEnd w:id="18"/>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4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with respect to any then-current Benchmark other than LIBOR, the occurrence of a public statement or publication of information by or on behalf of the administrator of the then-current Benchmark or a Governmental Authority with jurisdiction over such administrator announcing or stating that all Available Tenors are or will no longer be representative, or made available, or used for determining the interest rate of loans, or shall or will otherwise cease, provided that, at the time of such statement or publication, there is no successor administrator that is satisfactory to the Administrative Agent, that will continue to provide any representative tenors of such Benchmark after such specific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means (a) Revolving Loans of the same Type, made, converted or continued on the same date and, in the case of Eurocurrency Loans and Alternative Currency Term Rate Loans, as to which a single Interest Period is in effect or (b) a Swingline Loan.</w:t>
      </w:r>
    </w:p>
    <w:p>
      <w:pPr>
        <w:spacing w:after="0" w:line="146" w:lineRule="exact"/>
        <w:rPr>
          <w:sz w:val="20"/>
          <w:szCs w:val="20"/>
          <w:color w:val="auto"/>
        </w:rPr>
      </w:pPr>
    </w:p>
    <w:p>
      <w:pPr>
        <w:jc w:val="both"/>
        <w:ind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xml:space="preserve">” means (a) with respect to LIBOR Daily Floating Rate Loans, $1,000,000 and (b) with respect to Eurocurrency Loans or Alternative Currency Loans, the Dollar Equivalent of $5,000,000;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Loans denominated in any Alternative Currency other than Euros, Sterling or Yen, such amount as may be specified by the Administrative Agent.</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xml:space="preserve">” means (a) with respect to LIBOR Daily Floating Rate Loans, $100,000 and (b) with respect to Eurocurrency Loans or Alternative Currency Loans, the Dollar Equivalent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Loans denominated in any Alternative Currency other than Euros, Sterling or Yen, such amount as may be specified by the Administrative Agent.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w:t>
      </w:r>
    </w:p>
    <w:p>
      <w:pPr>
        <w:spacing w:after="0" w:line="62" w:lineRule="exact"/>
        <w:rPr>
          <w:sz w:val="20"/>
          <w:szCs w:val="20"/>
          <w:color w:val="auto"/>
        </w:rPr>
      </w:pPr>
    </w:p>
    <w:p>
      <w:pPr>
        <w:ind w:left="440" w:right="60" w:firstLine="419"/>
        <w:spacing w:after="0" w:line="25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or a LIBOR Daily Floating Rate Loan, any fundings, disbursements, settlements and payments in Dollars in respect of any such Eurocurrency Loan or such LIBOR Daily Floating Rate Loan, or any other dealings in Dollars to be carried out pursuant to this Agreement in respect of any such Eurocurrency Loan or such LIBOR Daily Floating Rate Loan, means any such day on which dealings in deposits in Dollars are conducted by and between banks in the London interbank eurodollar market;</w:t>
      </w:r>
    </w:p>
    <w:p>
      <w:pPr>
        <w:spacing w:after="0" w:line="79" w:lineRule="exact"/>
        <w:rPr>
          <w:rFonts w:ascii="Arial" w:cs="Arial" w:eastAsia="Arial" w:hAnsi="Arial"/>
          <w:sz w:val="18"/>
          <w:szCs w:val="18"/>
          <w:color w:val="auto"/>
        </w:rPr>
      </w:pPr>
    </w:p>
    <w:p>
      <w:pPr>
        <w:ind w:left="440" w:right="120" w:firstLine="419"/>
        <w:spacing w:after="0" w:line="311" w:lineRule="auto"/>
        <w:tabs>
          <w:tab w:leader="none" w:pos="1253"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40" w:lineRule="exact"/>
        <w:rPr>
          <w:rFonts w:ascii="Arial" w:cs="Arial" w:eastAsia="Arial" w:hAnsi="Arial"/>
          <w:sz w:val="16"/>
          <w:szCs w:val="16"/>
          <w:color w:val="auto"/>
        </w:rPr>
      </w:pPr>
    </w:p>
    <w:p>
      <w:pPr>
        <w:ind w:left="440" w:firstLine="419"/>
        <w:spacing w:after="0" w:line="286" w:lineRule="auto"/>
        <w:tabs>
          <w:tab w:leader="none" w:pos="1243"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and (ii) Yen, means a day other than when banks are closed for general business in Japan; and</w:t>
      </w:r>
    </w:p>
    <w:p>
      <w:pPr>
        <w:spacing w:after="0" w:line="57" w:lineRule="exact"/>
        <w:rPr>
          <w:rFonts w:ascii="Arial" w:cs="Arial" w:eastAsia="Arial" w:hAnsi="Arial"/>
          <w:sz w:val="17"/>
          <w:szCs w:val="17"/>
          <w:color w:val="auto"/>
        </w:rPr>
      </w:pPr>
    </w:p>
    <w:p>
      <w:pPr>
        <w:jc w:val="both"/>
        <w:ind w:left="440" w:right="20" w:firstLine="419"/>
        <w:spacing w:after="0" w:line="279" w:lineRule="auto"/>
        <w:tabs>
          <w:tab w:leader="none" w:pos="1253"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40" w:firstLine="436"/>
        <w:spacing w:after="0" w:line="263"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236" w:lineRule="exact"/>
        <w:rPr>
          <w:rFonts w:ascii="Arial" w:cs="Arial" w:eastAsia="Arial" w:hAnsi="Arial"/>
          <w:sz w:val="17"/>
          <w:szCs w:val="17"/>
          <w:color w:val="auto"/>
        </w:rPr>
      </w:pPr>
    </w:p>
    <w:p>
      <w:pPr>
        <w:ind w:right="160" w:firstLine="436"/>
        <w:spacing w:after="0" w:line="259" w:lineRule="auto"/>
        <w:tabs>
          <w:tab w:leader="none" w:pos="83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the Borrower.</w:t>
      </w:r>
    </w:p>
    <w:p>
      <w:pPr>
        <w:spacing w:after="0" w:line="165"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 (c) when used with respect to Lenders, refers to whether such Lender has a Loan or Commitment with respect to a particular Class of Loans or Commitments.</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all the conditions specified in Section 4.01 of this Agreement are satisfied (or waived in accordance with Section 9.02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means the combination and separation transactions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the Borrower and Mylan N.V., including but not limited to the separation of Pfizer’s global, primarily offpatent branded and generic established medicine business and the combination of such business with Mylan N.V., the borrowings and other financings related thereto, and the payment of fees and expenses associated therewith.</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Revolving Commitment.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 w:name="page23"/>
    <w:bookmarkEnd w:id="22"/>
    <w:p>
      <w:pPr>
        <w:ind w:left="4"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70"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Conforming Changes</w:t>
      </w:r>
      <w:r>
        <w:rPr>
          <w:rFonts w:ascii="Arial" w:cs="Arial" w:eastAsia="Arial" w:hAnsi="Arial"/>
          <w:sz w:val="16"/>
          <w:szCs w:val="16"/>
          <w:color w:val="auto"/>
        </w:rPr>
        <w:t>” means, with respect to the use, administration of or any conventions associated with SONIA or any proposed Successor Rate for an Agreed Currency, as applicable, any conforming changes to the definitions of “SONIA”,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66"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w:t>
      </w:r>
    </w:p>
    <w:p>
      <w:pPr>
        <w:spacing w:after="0" w:line="1" w:lineRule="exact"/>
        <w:rPr>
          <w:sz w:val="20"/>
          <w:szCs w:val="20"/>
          <w:color w:val="auto"/>
        </w:rPr>
      </w:pPr>
    </w:p>
    <w:p>
      <w:pPr>
        <w:ind w:left="4" w:right="20" w:hanging="4"/>
        <w:spacing w:after="0" w:line="267" w:lineRule="auto"/>
        <w:tabs>
          <w:tab w:leader="none" w:pos="269"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7"/>
          <w:szCs w:val="17"/>
          <w:u w:val="single" w:color="auto"/>
          <w:color w:val="auto"/>
        </w:rPr>
        <w:t>Schedule 2.03</w:t>
      </w:r>
      <w:r>
        <w:rPr>
          <w:rFonts w:ascii="Arial" w:cs="Arial" w:eastAsia="Arial" w:hAnsi="Arial"/>
          <w:sz w:val="17"/>
          <w:szCs w:val="17"/>
          <w:color w:val="auto"/>
        </w:rPr>
        <w:t>,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4"/>
          </w:cols>
          <w:pgMar w:left="436" w:top="274" w:right="519" w:bottom="1440" w:gutter="0" w:footer="0" w:header="0"/>
        </w:sectPr>
      </w:pPr>
    </w:p>
    <w:bookmarkStart w:id="23" w:name="page24"/>
    <w:bookmarkEnd w:id="23"/>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actual benefits realized during such period from such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in connection with (1) the Combination Transactions, such actions have been taken within 24 months after the closing date of the Combination Transactions and (2) any other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90"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40" w:hanging="4"/>
        <w:spacing w:after="0" w:line="281" w:lineRule="auto"/>
        <w:tabs>
          <w:tab w:leader="none" w:pos="3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right="40" w:hanging="4"/>
        <w:spacing w:after="0" w:line="292"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w:t>
      </w:r>
    </w:p>
    <w:p>
      <w:pPr>
        <w:spacing w:after="0" w:line="9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4" w:name="page25"/>
    <w:bookmarkEnd w:id="24"/>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to any Person (other than the Borrower or a wholly owned Subsidiary) in connection with Indebtedness incurred by such plan or trust for such period, (e) 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w:t>
      </w:r>
    </w:p>
    <w:p>
      <w:pPr>
        <w:spacing w:after="0" w:line="2" w:lineRule="exact"/>
        <w:rPr>
          <w:sz w:val="20"/>
          <w:szCs w:val="20"/>
          <w:color w:val="auto"/>
        </w:rPr>
      </w:pPr>
    </w:p>
    <w:p>
      <w:pPr>
        <w:ind w:left="4" w:right="280" w:hanging="4"/>
        <w:spacing w:after="0" w:line="255" w:lineRule="auto"/>
        <w:tabs>
          <w:tab w:leader="none" w:pos="2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interest on any Indebtedness of the Borrower or any of its Subsidiaries (other than the Captive Insurance Subsidiary) of the type described in clause (e) or (f) of the definition of “Indebtedness” for such period and (h) the interest component of all Attributable Receivables Indebtedness of the Borrower and its Subsidiaries (other than the Captive Insurance Subsidiary).</w:t>
      </w:r>
    </w:p>
    <w:p>
      <w:pPr>
        <w:spacing w:after="0" w:line="190"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left="4"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5" w:name="page26"/>
    <w:bookmarkEnd w:id="2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Indebtedness</w:t>
      </w:r>
      <w:r>
        <w:rPr>
          <w:rFonts w:ascii="Arial" w:cs="Arial" w:eastAsia="Arial" w:hAnsi="Arial"/>
          <w:sz w:val="16"/>
          <w:szCs w:val="16"/>
          <w:color w:val="auto"/>
        </w:rPr>
        <w:t xml:space="preserve">”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means, as to any Lender at any time, such Lender’s Revolving Credit Exposure at such time.</w:t>
      </w:r>
    </w:p>
    <w:p>
      <w:pPr>
        <w:spacing w:after="0" w:line="225" w:lineRule="exact"/>
        <w:rPr>
          <w:sz w:val="20"/>
          <w:szCs w:val="20"/>
          <w:color w:val="auto"/>
        </w:rPr>
      </w:pPr>
    </w:p>
    <w:p>
      <w:pPr>
        <w:jc w:val="right"/>
        <w:ind w:right="5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has the meaning set forth in paragraph (l) of Article VIII.</w:t>
      </w:r>
    </w:p>
    <w:p>
      <w:pPr>
        <w:spacing w:after="0" w:line="158" w:lineRule="exact"/>
        <w:rPr>
          <w:sz w:val="20"/>
          <w:szCs w:val="20"/>
          <w:color w:val="auto"/>
        </w:rPr>
      </w:pPr>
    </w:p>
    <w:p>
      <w:pPr>
        <w:jc w:val="right"/>
        <w:ind w:right="53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26" w:name="page27"/>
    <w:bookmarkEnd w:id="26"/>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with respect to any applicable determination date means the secured overnight financing rate (“</w:t>
      </w:r>
      <w:r>
        <w:rPr>
          <w:rFonts w:ascii="Arial" w:cs="Arial" w:eastAsia="Arial" w:hAnsi="Arial"/>
          <w:sz w:val="18"/>
          <w:szCs w:val="18"/>
          <w:u w:val="single" w:color="auto"/>
          <w:color w:val="auto"/>
        </w:rPr>
        <w:t>SOFR</w:t>
      </w:r>
      <w:r>
        <w:rPr>
          <w:rFonts w:ascii="Arial" w:cs="Arial" w:eastAsia="Arial" w:hAnsi="Arial"/>
          <w:sz w:val="18"/>
          <w:szCs w:val="18"/>
          <w:color w:val="auto"/>
        </w:rPr>
        <w:t>”) published on such date by the Federal Reserve Bank of New York, as the administrator of the benchmark (or a successor administrator) on the Federal Reserve Bank of New York’s website (or any successor source).</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Fitch, S&amp;P and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the Borrower’s non-credit-enhanced, senior unsecured long-term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left="1420" w:hanging="433"/>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all three Debt Ratings are in effect, and two or more ratings are at the same Pricing Level, that Pricing Level will apply;</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all three Debt Ratings are in effect, each at a different Pricing Level, the Pricing Level of the middle Debt Rating shall apply;</w:t>
      </w:r>
    </w:p>
    <w:p>
      <w:pPr>
        <w:spacing w:after="0" w:line="236" w:lineRule="exact"/>
        <w:rPr>
          <w:rFonts w:ascii="Arial" w:cs="Arial" w:eastAsia="Arial" w:hAnsi="Arial"/>
          <w:sz w:val="17"/>
          <w:szCs w:val="17"/>
          <w:color w:val="auto"/>
        </w:rPr>
      </w:pPr>
    </w:p>
    <w:p>
      <w:pPr>
        <w:ind w:firstLine="987"/>
        <w:spacing w:after="0" w:line="263" w:lineRule="auto"/>
        <w:tabs>
          <w:tab w:leader="none" w:pos="1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only two Debt Ratings are in effect, the Pricing Level of the higher of such Debt Ratings shall apply (with the Debt Rating for Pricing Level 1 being the highest and the Debt Rating for Pricing Level 4 being the lowest), unless the ratings differential is two levels or more, in which case the Pricing Level that is one level lower than the Pricing Level of the higher Debt Rating shall apply;</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there exists only one Debt Rating, such Debt Rating shall apply; and</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no Debt Rating is available, Pricing Level 5 shall apply.</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2.12(f).</w:t>
      </w:r>
    </w:p>
    <w:p>
      <w:pPr>
        <w:spacing w:after="0" w:line="225"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7" w:name="page28"/>
    <w:bookmarkEnd w:id="2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2.22(b)) upon delivery of written notice of such determination to the Borrower, each Issuing Bank, the Swingline Lender and each Lender.</w:t>
      </w:r>
    </w:p>
    <w:p>
      <w:pPr>
        <w:spacing w:after="0" w:line="18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with the SEC or furnished by the Borrower to the SEC pursuant to the Securities Exchange Act, in each case, filed or furnished before the Closing Date and which are available to the Lenders before the Closing Date and (b) on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 w:name="page29"/>
    <w:bookmarkEnd w:id="2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other Equity Interests that would constitute Disqualified Equity Interests, in each case, prior to the date that is 91 days after the Latest Maturity Date.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right="220" w:firstLine="436"/>
        <w:spacing w:after="0" w:line="311" w:lineRule="auto"/>
        <w:tabs>
          <w:tab w:leader="none" w:pos="8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by the Administrative Agent, or a notification by the Borrower to the Administrative Agent that the Borrower has made a determination, that U.S. dollar-denominated syndicated credit facilities currently being executed, or that include language similar to that contained in Section 2.07(d), are being executed or amended (as applicable) to incorporate or adopt a new benchmark interest rate to replace LIBOR; and</w:t>
      </w:r>
    </w:p>
    <w:p>
      <w:pPr>
        <w:spacing w:after="0" w:line="148" w:lineRule="exact"/>
        <w:rPr>
          <w:rFonts w:ascii="Arial" w:cs="Arial" w:eastAsia="Arial" w:hAnsi="Arial"/>
          <w:sz w:val="16"/>
          <w:szCs w:val="16"/>
          <w:color w:val="auto"/>
        </w:rPr>
      </w:pPr>
    </w:p>
    <w:p>
      <w:pPr>
        <w:ind w:right="40" w:firstLine="436"/>
        <w:spacing w:after="0" w:line="277" w:lineRule="auto"/>
        <w:tabs>
          <w:tab w:leader="none" w:pos="8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joint election by the Administrative Agent and the Borrower to replace LIBOR with a Benchmark Replacement and the provision by the Administrative Agent of written notice of such election to the Lenders.</w:t>
      </w:r>
    </w:p>
    <w:p>
      <w:pPr>
        <w:spacing w:after="0" w:line="170"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to such term by 15 USC §7006, as it may be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to such term by 15 USC §7006, as it may be amended from time to time.</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65"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w:t>
      </w:r>
      <w:r>
        <w:rPr>
          <w:rFonts w:ascii="Arial" w:cs="Arial" w:eastAsia="Arial" w:hAnsi="Arial"/>
          <w:sz w:val="18"/>
          <w:szCs w:val="18"/>
          <w:color w:val="auto"/>
        </w:rPr>
        <w:t>” has the meaning set forth in Section 2.23.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Amendment</w:t>
      </w:r>
      <w:r>
        <w:rPr>
          <w:rFonts w:ascii="Arial" w:cs="Arial" w:eastAsia="Arial" w:hAnsi="Arial"/>
          <w:sz w:val="18"/>
          <w:szCs w:val="18"/>
          <w:color w:val="auto"/>
        </w:rPr>
        <w:t>” has the meaning set forth in Section 2.23.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has the meaning set forth in Section 2.23.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w:t>
      </w:r>
      <w:r>
        <w:rPr>
          <w:rFonts w:ascii="Arial" w:cs="Arial" w:eastAsia="Arial" w:hAnsi="Arial"/>
          <w:sz w:val="18"/>
          <w:szCs w:val="18"/>
          <w:color w:val="auto"/>
        </w:rPr>
        <w:t>” has the meaning assigned to such term in the definition of “Alternative Currency Term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Participating Member States.</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Eurocurrency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left="440" w:right="140" w:firstLine="419"/>
        <w:spacing w:after="0" w:line="257" w:lineRule="auto"/>
        <w:tabs>
          <w:tab w:leader="none" w:pos="12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any Interest Period with respect to any Credit Event denominated in Dollars, the rate per annum equal to the London Interbank Offered Rate as administered by ICE Benchmark Administration (or any other Person that takes over the administration of such rate for such currency for a period equal in length to such Interest Period)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Reuters screen page (or such other commercially available source providing such quotations as may be designated by the Administrative Agent from time to time) at or about 11:00 a.m. (London time) on the Rate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Determination Date, for deposits in the relevant currency, with a term equivalent to such Interest Period;</w:t>
      </w:r>
    </w:p>
    <w:p>
      <w:pPr>
        <w:spacing w:after="0" w:line="117" w:lineRule="exact"/>
        <w:rPr>
          <w:sz w:val="20"/>
          <w:szCs w:val="20"/>
          <w:color w:val="auto"/>
        </w:rPr>
      </w:pPr>
    </w:p>
    <w:p>
      <w:pPr>
        <w:ind w:left="444" w:right="220" w:firstLine="419"/>
        <w:spacing w:after="0" w:line="342" w:lineRule="auto"/>
        <w:tabs>
          <w:tab w:leader="none" w:pos="12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LIBOR, at or about 11:00 a.m. London time determined two Business Days prior to such date for Dollar deposits with a term of one month commencing that day; and</w:t>
      </w:r>
    </w:p>
    <w:p>
      <w:pPr>
        <w:spacing w:after="0" w:line="15" w:lineRule="exact"/>
        <w:rPr>
          <w:rFonts w:ascii="Arial" w:cs="Arial" w:eastAsia="Arial" w:hAnsi="Arial"/>
          <w:sz w:val="16"/>
          <w:szCs w:val="16"/>
          <w:color w:val="auto"/>
        </w:rPr>
      </w:pPr>
    </w:p>
    <w:p>
      <w:pPr>
        <w:ind w:left="444" w:right="700" w:firstLine="419"/>
        <w:spacing w:after="0" w:line="277" w:lineRule="auto"/>
        <w:tabs>
          <w:tab w:leader="none" w:pos="12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Eurocurrency Rate shall be less than zero percent (0%), such rate shall be deemed zero percent (0%)for purposes of this Agreement.</w:t>
      </w:r>
    </w:p>
    <w:p>
      <w:pPr>
        <w:spacing w:after="0" w:line="1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w:t>
      </w:r>
      <w:r>
        <w:rPr>
          <w:rFonts w:ascii="Arial" w:cs="Arial" w:eastAsia="Arial" w:hAnsi="Arial"/>
          <w:sz w:val="18"/>
          <w:szCs w:val="18"/>
          <w:color w:val="auto"/>
        </w:rPr>
        <w:t>” means a Loan that bears interest at a rate based on clause (a) of the definition of “Eurocurrency Rate.” All Eurocurrency Loans shall be denominated in Dollars.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hanging="4"/>
        <w:spacing w:after="0" w:line="253" w:lineRule="auto"/>
        <w:tabs>
          <w:tab w:leader="none" w:pos="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93"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in the preliminary statements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2" w:name="page33"/>
    <w:bookmarkEnd w:id="32"/>
    <w:p>
      <w:pPr>
        <w:ind w:right="5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Existing Loan</w:t>
      </w:r>
      <w:r>
        <w:rPr>
          <w:rFonts w:ascii="Arial" w:cs="Arial" w:eastAsia="Arial" w:hAnsi="Arial"/>
          <w:sz w:val="17"/>
          <w:szCs w:val="17"/>
          <w:color w:val="auto"/>
        </w:rPr>
        <w:t>” means the Revolving Loans (as defined in the Existing Credit Agreement) made to the Borrower under the Existing Credit Agreement and outstanding immediately prior to the Closing Date in an aggregate principal amount of $900,000,000.</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has the meaning assigned to such term in Section 2.21(b).</w:t>
      </w:r>
    </w:p>
    <w:p>
      <w:pPr>
        <w:spacing w:after="0" w:line="22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76"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the Federal Funds Effective Rate shall be less than zero, the Federal Funds Effective Rate shall be deemed zero for purposes of this Agreement.</w:t>
      </w:r>
    </w:p>
    <w:p>
      <w:pPr>
        <w:spacing w:after="0" w:line="178"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(as defined in the Existing Credit Agreement) and on or prior to the closing date of the Combination Transactions, the proceeds of which are used to fund, in full or in part, the Borrower Cash Distribution (as defined in the Existing Credit Agreement) and related transaction fees and expenses.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 w:name="page34"/>
    <w:bookmarkEnd w:id="3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70"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The amount of any Guarantee of any guaranteeing person shall be deemed to be the lower of</w:t>
      </w:r>
    </w:p>
    <w:p>
      <w:pPr>
        <w:spacing w:after="0" w:line="6" w:lineRule="exact"/>
        <w:rPr>
          <w:sz w:val="20"/>
          <w:szCs w:val="20"/>
          <w:color w:val="auto"/>
        </w:rPr>
      </w:pPr>
    </w:p>
    <w:p>
      <w:pPr>
        <w:ind w:left="244" w:hanging="244"/>
        <w:spacing w:after="0"/>
        <w:tabs>
          <w:tab w:leader="none" w:pos="2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amount equal to the stated or determinable amount of the primary obligation, or portion thereof, in respect of which such Guarantee is made and</w:t>
      </w:r>
    </w:p>
    <w:p>
      <w:pPr>
        <w:spacing w:after="0" w:line="32" w:lineRule="exact"/>
        <w:rPr>
          <w:rFonts w:ascii="Arial" w:cs="Arial" w:eastAsia="Arial" w:hAnsi="Arial"/>
          <w:sz w:val="16"/>
          <w:szCs w:val="16"/>
          <w:color w:val="auto"/>
        </w:rPr>
      </w:pPr>
    </w:p>
    <w:p>
      <w:pPr>
        <w:ind w:left="4" w:right="1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unless such primary obligation or the maximum amount for which such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4" w:name="page35"/>
    <w:bookmarkEnd w:id="34"/>
    <w:p>
      <w:pPr>
        <w:ind w:left="4"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70"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Affiliate or Subsidiary of the Borrower (including each Mylan Guarantor), if any, that provides a guarantee of the Obligations pursuant to Section 5.09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w:t>
      </w:r>
    </w:p>
    <w:p>
      <w:pPr>
        <w:spacing w:after="0" w:line="225" w:lineRule="exact"/>
        <w:rPr>
          <w:sz w:val="20"/>
          <w:szCs w:val="20"/>
          <w:color w:val="auto"/>
        </w:rPr>
      </w:pPr>
    </w:p>
    <w:p>
      <w:pPr>
        <w:jc w:val="both"/>
        <w:ind w:left="4"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Commitments</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has the meaning assigned to such term in Section 2.19(a).</w:t>
      </w:r>
    </w:p>
    <w:p>
      <w:pPr>
        <w:spacing w:after="0" w:line="22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80" w:hanging="4"/>
        <w:spacing w:after="0" w:line="281"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hanging="4"/>
        <w:spacing w:after="0" w:line="290"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w:t>
      </w:r>
    </w:p>
    <w:p>
      <w:pPr>
        <w:spacing w:after="0" w:line="9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4"/>
          </w:cols>
          <w:pgMar w:left="436" w:top="274" w:right="539" w:bottom="1440" w:gutter="0" w:footer="0" w:header="0"/>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65"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 Section 2.03.</w:t>
      </w:r>
    </w:p>
    <w:p>
      <w:pPr>
        <w:spacing w:after="0" w:line="23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Eurocurrency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any Interest Period for a Eurocurrency Loan exceeds three months, the respective dates that fall every three months after the beginning of such Interest Period shall also be Interest Payment Dates; (b) as to any LIBOR Daily Floating Rate Loan, any Alternative Currency Daily Rate Loan or Base Rate Loan (other than a Swingline Loan and other than as specified in the immediately following sub-clause (c)), the last Business Day of each March, June, September and December and the Maturity Date; (c) as to any Loan that bears interest at a rate based on Daily Simple SOFR or SONIA, the last Business Day of each month and the Maturity Date; (d) as to any Alternative Currency Term Rate Loan, the last day of each Interest Period applicable to such Loan;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if any Interest Period for an Alternative Currency Term Rate Loan exceeds three months, the respective dates that fall every three months after the beginning of such Interest Period shall be Interest Payment Dates and (e) with respect to any Swingline Loan, the day that such Loan is required to be repaid.</w:t>
      </w:r>
    </w:p>
    <w:p>
      <w:pPr>
        <w:spacing w:after="0" w:line="18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Borrowing of a Eurocurrency Loan or of an Alternative Currency Term Rate Loan under any Class of Commitments, the period commencing on the date of such Borrowing and ending on the numerically corresponding day in the calendar month that is one, two, three or six months thereafter (in each case, subject to availability), or such other period that is twelve months or less requested by the Borrower and that is consented to by all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Interest Period would end on a day other than a Business Day, such Interest Period shall be extended to the next succeeding Business Day unless, in the case of a Borrowing of a Eurocurrency Loan or of an Alternative Currency Term Rate Loan only, such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 w:name="page37"/>
    <w:bookmarkEnd w:id="3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next succeeding Business Day would fall in the next calendar month, in which case such Interest Period shall end on the next preceding Business Day,</w:t>
      </w:r>
    </w:p>
    <w:p>
      <w:pPr>
        <w:spacing w:after="0" w:line="46" w:lineRule="exact"/>
        <w:rPr>
          <w:sz w:val="20"/>
          <w:szCs w:val="20"/>
          <w:color w:val="auto"/>
        </w:rPr>
      </w:pPr>
    </w:p>
    <w:p>
      <w:pPr>
        <w:ind w:left="4" w:right="100" w:hanging="4"/>
        <w:spacing w:after="0" w:line="292" w:lineRule="auto"/>
        <w:tabs>
          <w:tab w:leader="none" w:pos="2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Interest Period pertaining to a Borrowing of a Eurocurrency Loan or of an Alternative Currency Term Rate Loan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62"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Investing Person</w:t>
      </w:r>
      <w:r>
        <w:rPr>
          <w:rFonts w:ascii="Arial" w:cs="Arial" w:eastAsia="Arial" w:hAnsi="Arial"/>
          <w:sz w:val="16"/>
          <w:szCs w:val="16"/>
          <w:color w:val="auto"/>
        </w:rPr>
        <w:t>”) transfers an amount of cash or other Property (the “</w:t>
      </w:r>
      <w:r>
        <w:rPr>
          <w:rFonts w:ascii="Arial" w:cs="Arial" w:eastAsia="Arial" w:hAnsi="Arial"/>
          <w:sz w:val="16"/>
          <w:szCs w:val="16"/>
          <w:u w:val="single" w:color="auto"/>
          <w:color w:val="auto"/>
        </w:rPr>
        <w:t>Invested Amount</w:t>
      </w:r>
      <w:r>
        <w:rPr>
          <w:rFonts w:ascii="Arial" w:cs="Arial" w:eastAsia="Arial" w:hAnsi="Arial"/>
          <w:sz w:val="16"/>
          <w:szCs w:val="16"/>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6"/>
          <w:szCs w:val="16"/>
          <w:u w:val="single" w:color="auto"/>
          <w:color w:val="auto"/>
        </w:rPr>
        <w:t>Subject Person</w:t>
      </w:r>
      <w:r>
        <w:rPr>
          <w:rFonts w:ascii="Arial" w:cs="Arial" w:eastAsia="Arial" w:hAnsi="Arial"/>
          <w:sz w:val="16"/>
          <w:szCs w:val="16"/>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6"/>
          <w:szCs w:val="16"/>
          <w:u w:val="single" w:color="auto"/>
          <w:color w:val="auto"/>
        </w:rPr>
        <w:t>Intermediate Investing Person</w:t>
      </w:r>
      <w:r>
        <w:rPr>
          <w:rFonts w:ascii="Arial" w:cs="Arial" w:eastAsia="Arial" w:hAnsi="Arial"/>
          <w:sz w:val="16"/>
          <w:szCs w:val="16"/>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Borrower (or any Subsidiary) or in favor of the applicable Issuing Bank and relating to such Letter of Credit.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7" w:name="page38"/>
    <w:bookmarkEnd w:id="37"/>
    <w:p>
      <w:pPr>
        <w:jc w:val="both"/>
        <w:ind w:right="1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Bank of America, Goldman Sachs Bank USA and any other Lender (subject to such Lender’s consent) designated by the Borrower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include any such Affiliate with respect to Letters of Credit issued by such Affiliate.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KPIs</w:t>
      </w:r>
      <w:r>
        <w:rPr>
          <w:rFonts w:ascii="Arial" w:cs="Arial" w:eastAsia="Arial" w:hAnsi="Arial"/>
          <w:sz w:val="18"/>
          <w:szCs w:val="18"/>
          <w:color w:val="auto"/>
        </w:rPr>
        <w:t>” has the meaning set forth in Section 2.23.</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Fees</w:t>
      </w:r>
      <w:r>
        <w:rPr>
          <w:rFonts w:ascii="Arial" w:cs="Arial" w:eastAsia="Arial" w:hAnsi="Arial"/>
          <w:sz w:val="18"/>
          <w:szCs w:val="18"/>
          <w:color w:val="auto"/>
        </w:rPr>
        <w:t>” has the meaning set forth in Section 2.11(b)(i).</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Revolving Lender’s funding of its participation in any L/C Borrowing in accordance with its Applicable Percentage. All L/C Advances shall be denominated in Dollars.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an L/C Disbursement under any Letter of Credit which has not been reimbursed on the date when made or refinanced as a Base Rate Loan Borrowing. All L/C Borrowings shall be denominated in Dollars.</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Outstanding Amount of all Letters of Credit at such time plus (b) the aggregate Outstanding Amount of all L/C Disbursements, including Unreimbursed Amounts, that have not yet been reimbursed by or on behalf of the Borrower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38" w:name="page39"/>
    <w:bookmarkEnd w:id="38"/>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L/C Exposure Sublimit</w:t>
      </w:r>
      <w:r>
        <w:rPr>
          <w:rFonts w:ascii="Arial" w:cs="Arial" w:eastAsia="Arial" w:hAnsi="Arial"/>
          <w:sz w:val="18"/>
          <w:szCs w:val="18"/>
          <w:color w:val="auto"/>
        </w:rPr>
        <w:t xml:space="preserve">” means $300,000,000;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Letters of Credit for which Bank of America (together with its successors and assigns) acts as Issuing Bank shall not exceed $150,000,000 at any time (as such amount may be increased from time to time in the sole discretion of Bank of America, so long as such amount does not exceed the L/C Exposure Sublimit and notice of such increase is provided to the Administrative Agent) and (ii) the Letters of Credit for which Goldman Sachs Bank USA (together with its successors and assigns) acts as Issuing Bank shall not exceed $150,000,000 at any time (as such amount may be increased from time to time in the sole discretion of Goldman Sachs Bank USA, so long as such amount does not exceed the L/C Exposure Sublimit).</w:t>
      </w:r>
    </w:p>
    <w:p>
      <w:pPr>
        <w:spacing w:after="0" w:line="192"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184"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Parties</w:t>
      </w:r>
      <w:r>
        <w:rPr>
          <w:rFonts w:ascii="Arial" w:cs="Arial" w:eastAsia="Arial" w:hAnsi="Arial"/>
          <w:sz w:val="17"/>
          <w:szCs w:val="17"/>
          <w:color w:val="auto"/>
        </w:rPr>
        <w:t>” means, collectively, the Administrative Agent, the Lenders (including the Swingline Lender), the Issuing Banks and each co-agent or sub-agent appointed by the Administrative Agent from time to time pursuant to clause (e) of Article VIII.</w:t>
      </w:r>
    </w:p>
    <w:p>
      <w:pPr>
        <w:spacing w:after="0" w:line="14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 Letter of Credit issued pursuant to Section 2.05.</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Issuing Bank.</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Daily Floating Rate</w:t>
      </w:r>
      <w:r>
        <w:rPr>
          <w:rFonts w:ascii="Arial" w:cs="Arial" w:eastAsia="Arial" w:hAnsi="Arial"/>
          <w:sz w:val="18"/>
          <w:szCs w:val="18"/>
          <w:color w:val="auto"/>
        </w:rPr>
        <w:t>” means, as of any date of determination, the rate per annum equal to the London Interbank Offered Rate as administered by ICE Benchmark Administration (or any other Person that takes over the administration of such rate) for Dollars for delivery on the date in question for a one month Interest Period beginning on that date as published on the applicable Reuters screen page (or such other commercially available source providing such quotations as may be designated by the Administrative Agent from time to time) at approximately 11:00 a.m., London time, two Business Days prior to the date in question, as adjusted from time to time in the Administrative Agent’s sole discretion for reserve requirements, deposit insurance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9" w:name="page40"/>
    <w:bookmarkEnd w:id="39"/>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assessment rates and other regulatory costs; provided that if the LIBOR Daily Floating Rate shall be less than zero percent (0%), such rate shall be deemed zero percent (0%) for purposes of this Agreement. The LIBOR Daily Floating Rate is a fluctuating rate of interest which can change on each Business Day.</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Daily Floating Rate Loan</w:t>
      </w:r>
      <w:r>
        <w:rPr>
          <w:rFonts w:ascii="Arial" w:cs="Arial" w:eastAsia="Arial" w:hAnsi="Arial"/>
          <w:sz w:val="18"/>
          <w:szCs w:val="18"/>
          <w:color w:val="auto"/>
        </w:rPr>
        <w:t>” means a Loan that bears interest based on the LIBOR Daily Floating Rate. LIBOR Daily Floating Rate Loans shall be denominated in Dollars.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70"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Issuer Documents, any promissory notes executed and delivered pursuant to Section 2.09(e) and any amendments, waivers, supplements or other modifications to any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84"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is an issuer or guarantor of any Mylan Notes or is otherwise required to provide a guarantee of the Obligations pursuant to Section 5.09.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40" w:name="page41"/>
    <w:bookmarkEnd w:id="40"/>
    <w:p>
      <w:pPr>
        <w:ind w:left="1360" w:hanging="373"/>
        <w:spacing w:after="0"/>
        <w:tabs>
          <w:tab w:leader="none" w:pos="1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right="40" w:firstLine="987"/>
        <w:spacing w:after="0" w:line="277" w:lineRule="auto"/>
        <w:tabs>
          <w:tab w:leader="none" w:pos="1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260" w:firstLine="987"/>
        <w:spacing w:after="0" w:line="277" w:lineRule="auto"/>
        <w:tabs>
          <w:tab w:leader="none" w:pos="13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supplemental indenture dated as of March 12, 2015, among Mylan Inc., as issuer, Mylan N.V., as parent,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180" w:firstLine="987"/>
        <w:spacing w:after="0" w:line="277" w:lineRule="auto"/>
        <w:tabs>
          <w:tab w:leader="none" w:pos="13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supplemental indenture dated as of November 16, 2020, by and among Mylan Inc., the Borrower, Utah Acquisition Sub Inc., Mylan II B.V. and the Bank of New York Mellon, as trustee, to the indenture dated as of December 21, 2012;</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236" w:lineRule="exact"/>
        <w:rPr>
          <w:rFonts w:ascii="Arial" w:cs="Arial" w:eastAsia="Arial" w:hAnsi="Arial"/>
          <w:sz w:val="17"/>
          <w:szCs w:val="17"/>
          <w:color w:val="auto"/>
        </w:rPr>
      </w:pPr>
    </w:p>
    <w:p>
      <w:pPr>
        <w:ind w:right="440" w:firstLine="987"/>
        <w:spacing w:after="0" w:line="277" w:lineRule="auto"/>
        <w:tabs>
          <w:tab w:leader="none" w:pos="13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40" w:firstLine="987"/>
        <w:spacing w:after="0" w:line="277" w:lineRule="auto"/>
        <w:tabs>
          <w:tab w:leader="none" w:pos="1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firstLine="987"/>
        <w:spacing w:after="0" w:line="277" w:lineRule="auto"/>
        <w:tabs>
          <w:tab w:leader="none" w:pos="13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Fourth supplemental indenture dated as of November 16, 2020, by and among Mylan, Inc., the Borrower, Utah Acquisition Sub Inc., Mylan II B.V.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right="200" w:firstLine="987"/>
        <w:spacing w:after="0" w:line="277" w:lineRule="auto"/>
        <w:tabs>
          <w:tab w:leader="none" w:pos="1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the Bank of New York Mellon, as trustee, to the indenture dated as of June 9, 2016;</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Indenture dated as of November 22, 2016, among Mylan N.V., as issuer, Mylan Inc., as guarantor, and Citibank, N.A., London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Branch, as trustee;</w:t>
      </w:r>
    </w:p>
    <w:p>
      <w:pPr>
        <w:spacing w:after="0" w:line="210" w:lineRule="exact"/>
        <w:rPr>
          <w:rFonts w:ascii="Arial" w:cs="Arial" w:eastAsia="Arial" w:hAnsi="Arial"/>
          <w:sz w:val="17"/>
          <w:szCs w:val="17"/>
          <w:color w:val="auto"/>
        </w:rPr>
      </w:pPr>
    </w:p>
    <w:p>
      <w:pPr>
        <w:ind w:right="160" w:firstLine="987"/>
        <w:spacing w:after="0" w:line="277" w:lineRule="auto"/>
        <w:tabs>
          <w:tab w:leader="none" w:pos="14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Citibank, N.A., London Branch, as trustee, to the indenture dated as of November 22,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41" w:name="page42"/>
    <w:bookmarkEnd w:id="41"/>
    <w:p>
      <w:pPr>
        <w:ind w:left="1380" w:hanging="393"/>
        <w:spacing w:after="0"/>
        <w:tabs>
          <w:tab w:leader="none" w:pos="1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April 9, 2018, by and between Mylan Inc., as issuer, Mylan N.V., as guarantor, and The Bank of New York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7"/>
          <w:szCs w:val="17"/>
          <w:color w:val="auto"/>
        </w:rPr>
      </w:pPr>
    </w:p>
    <w:p>
      <w:pPr>
        <w:ind w:right="240" w:firstLine="987"/>
        <w:spacing w:after="0" w:line="277" w:lineRule="auto"/>
        <w:tabs>
          <w:tab w:leader="none" w:pos="13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the Bank of New York Mellon, as trustee, to the indenture dated as of April 9, 2018;</w:t>
      </w:r>
    </w:p>
    <w:p>
      <w:pPr>
        <w:spacing w:after="0" w:line="170" w:lineRule="exact"/>
        <w:rPr>
          <w:rFonts w:ascii="Arial" w:cs="Arial" w:eastAsia="Arial" w:hAnsi="Arial"/>
          <w:sz w:val="18"/>
          <w:szCs w:val="18"/>
          <w:color w:val="auto"/>
        </w:rPr>
      </w:pPr>
    </w:p>
    <w:p>
      <w:pPr>
        <w:ind w:right="320" w:firstLine="987"/>
        <w:spacing w:after="0" w:line="277" w:lineRule="auto"/>
        <w:tabs>
          <w:tab w:leader="none" w:pos="13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Indenture dated as of May 23, 2018, by and between Mylan Inc., as issuer, Mylan N.V., as guarantor, and Citibank, N.A., London Branch, as trustee; and</w:t>
      </w:r>
    </w:p>
    <w:p>
      <w:pPr>
        <w:spacing w:after="0" w:line="170" w:lineRule="exact"/>
        <w:rPr>
          <w:rFonts w:ascii="Arial" w:cs="Arial" w:eastAsia="Arial" w:hAnsi="Arial"/>
          <w:sz w:val="18"/>
          <w:szCs w:val="18"/>
          <w:color w:val="auto"/>
        </w:rPr>
      </w:pPr>
    </w:p>
    <w:p>
      <w:pPr>
        <w:ind w:right="240" w:firstLine="987"/>
        <w:spacing w:after="0" w:line="277" w:lineRule="auto"/>
        <w:tabs>
          <w:tab w:leader="none" w:pos="13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Citibank, N.A., London Branch, as trustee, to the indenture dated as of May 23,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Mylan Notes</w:t>
      </w:r>
      <w:r>
        <w:rPr>
          <w:rFonts w:ascii="Arial" w:cs="Arial" w:eastAsia="Arial" w:hAnsi="Arial"/>
          <w:sz w:val="17"/>
          <w:szCs w:val="17"/>
          <w:color w:val="auto"/>
        </w:rPr>
        <w:t>” means any senior notes issued by Mylan N.V. and Mylan Inc., as applicable, under the Mylan Indentures that are outstanding.</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has the meaning set forth in Section 2.05(b)(iii).</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made by the Borrower in favor of a Lender evidencing Loans made by such Lender to the Borrower, substantially in the form of Exhibit B.</w:t>
      </w:r>
    </w:p>
    <w:p>
      <w:pPr>
        <w:spacing w:after="0" w:line="170"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 Issuing Banks, their respective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has the meaning assigned in Section 2.17(a).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2" w:name="page43"/>
    <w:bookmarkEnd w:id="42"/>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Rate Early Opt-in</w:t>
      </w:r>
      <w:r>
        <w:rPr>
          <w:rFonts w:ascii="Arial" w:cs="Arial" w:eastAsia="Arial" w:hAnsi="Arial"/>
          <w:sz w:val="18"/>
          <w:szCs w:val="18"/>
          <w:color w:val="auto"/>
        </w:rPr>
        <w:t>” means the Administrative Agent and the Borrower have elected to replace LIBOR with a Benchmark Replacement other than a SOFR-based rate pursuant to (x) an Early Opt-in Election and (y) Section 2.07(d)(ii) and paragraph (2) of the definition of “Benchmark Replacement”.</w:t>
      </w:r>
    </w:p>
    <w:p>
      <w:pPr>
        <w:spacing w:after="0" w:line="184"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the Borrower of Unreimbursed Amounts.</w:t>
      </w:r>
    </w:p>
    <w:p>
      <w:pPr>
        <w:spacing w:after="0" w:line="16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Effective Rate and (ii) an overnight rate reasonably determined by the Administrative Agent, the applicable Issuing Bank, or the Swingline Lender, as the case may be, in accordance with banking industry rules on interbank compensation, and (b) with respect to any amount denominated in an Alternative Currency, an overnight rate reasonably determined by the Administrative Agent or the applicable Issuing Bank, as the case may be, in accordance with banking industry rules on interbank compensation.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43" w:name="page44"/>
    <w:bookmarkEnd w:id="43"/>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0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75" w:lineRule="exact"/>
        <w:rPr>
          <w:rFonts w:ascii="Arial" w:cs="Arial" w:eastAsia="Arial" w:hAnsi="Arial"/>
          <w:sz w:val="18"/>
          <w:szCs w:val="18"/>
          <w:color w:val="auto"/>
        </w:rPr>
      </w:pPr>
    </w:p>
    <w:p>
      <w:pPr>
        <w:ind w:left="440" w:right="20" w:firstLine="419"/>
        <w:spacing w:after="0" w:line="257" w:lineRule="auto"/>
        <w:tabs>
          <w:tab w:leader="none" w:pos="1243"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ind w:left="440" w:right="120" w:firstLine="419"/>
        <w:spacing w:after="0" w:line="277" w:lineRule="auto"/>
        <w:tabs>
          <w:tab w:leader="none" w:pos="1253" w:val="left"/>
        </w:tabs>
        <w:numPr>
          <w:ilvl w:val="1"/>
          <w:numId w:val="26"/>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nature (including those to secure health, safety and environmental obligations), in each case in the ordinary course of business;</w:t>
      </w:r>
    </w:p>
    <w:p>
      <w:pPr>
        <w:spacing w:after="0" w:line="117" w:lineRule="exact"/>
        <w:rPr>
          <w:sz w:val="20"/>
          <w:szCs w:val="20"/>
          <w:color w:val="auto"/>
        </w:rPr>
      </w:pPr>
    </w:p>
    <w:p>
      <w:pPr>
        <w:ind w:left="1240" w:hanging="381"/>
        <w:spacing w:after="0"/>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16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5" w:name="page46"/>
    <w:bookmarkEnd w:id="45"/>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84"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Refinancing Indebtedness</w:t>
      </w:r>
      <w:r>
        <w:rPr>
          <w:rFonts w:ascii="Arial" w:cs="Arial" w:eastAsia="Arial" w:hAnsi="Arial"/>
          <w:sz w:val="17"/>
          <w:szCs w:val="17"/>
          <w:color w:val="auto"/>
        </w:rPr>
        <w:t xml:space="preserve">” means, with respect to any Person, any amendment, modification, refinancing, refunding, renewal, replacement or extension of any Indebtedness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 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Latest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documentation governing the Indebtedness being modified, refinanced, refunded, renewed, replaced or extended.</w:t>
      </w:r>
    </w:p>
    <w:p>
      <w:pPr>
        <w:spacing w:after="0" w:line="225"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of the Combination Transactions, and ending on the two year anniversary thereof,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w:t>
      </w:r>
      <w:r>
        <w:rPr>
          <w:rFonts w:ascii="Arial" w:cs="Arial" w:eastAsia="Arial" w:hAnsi="Arial"/>
          <w:sz w:val="18"/>
          <w:szCs w:val="18"/>
          <w:color w:val="auto"/>
        </w:rPr>
        <w:t>” means the applicable pricing level under the column titled ‘Pricing Level’ in the table set forth in the definition of “Applicable Rate”.</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xml:space="preserve">”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8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7" w:name="page48"/>
    <w:bookmarkEnd w:id="4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xml:space="preserve">”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for any Interest Period,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274" w:right="479" w:bottom="1440" w:gutter="0" w:footer="0" w:header="0"/>
        </w:sectPr>
      </w:pPr>
    </w:p>
    <w:bookmarkStart w:id="48" w:name="page49"/>
    <w:bookmarkEnd w:id="48"/>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and any Issuing Bank,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Rate</w:t>
      </w:r>
      <w:r>
        <w:rPr>
          <w:rFonts w:ascii="Arial" w:cs="Arial" w:eastAsia="Arial" w:hAnsi="Arial"/>
          <w:sz w:val="18"/>
          <w:szCs w:val="18"/>
          <w:color w:val="auto"/>
        </w:rPr>
        <w:t>” means with respect to any Credit Event denominated in (a) Dollars, Eurocurrency Rate or LIBOR Daily Floating Rate, as applicable, (b) Sterling, SONIA, (c) Euros, EURIBOR and (d) Japanese Yen, TIBOR,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Credit Exposure and unused Commitments representing more than 50% of the sum of the total Credit Exposure and unused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Credit Exposure held or deemed held by, any Defaulting Lender shall be excluded for purposes of making a determination of Required Lenders.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has the meaning as defined in Section 2.17(d).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jc w:val="center"/>
        <w:ind w:right="2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 38</w:t>
      </w:r>
    </w:p>
    <w:p>
      <w:pPr>
        <w:sectPr>
          <w:pgSz w:w="11900" w:h="16838" w:orient="portrait"/>
          <w:cols w:equalWidth="0" w:num="1">
            <w:col w:w="10960"/>
          </w:cols>
          <w:pgMar w:left="440" w:top="274" w:right="499" w:bottom="1440" w:gutter="0" w:footer="0" w:header="0"/>
        </w:sectPr>
      </w:pPr>
    </w:p>
    <w:bookmarkStart w:id="49" w:name="page50"/>
    <w:bookmarkEnd w:id="49"/>
    <w:p>
      <w:pPr>
        <w:ind w:left="4"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77"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left="4" w:right="4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Revaluation Date</w:t>
      </w:r>
      <w:r>
        <w:rPr>
          <w:rFonts w:ascii="Arial" w:cs="Arial" w:eastAsia="Arial" w:hAnsi="Arial"/>
          <w:sz w:val="17"/>
          <w:szCs w:val="17"/>
          <w:color w:val="auto"/>
        </w:rPr>
        <w:t>” means (a) with respect to any Loan, each of the following: (i) each date of a Borrowing of an Alternative Currency Loan,</w:t>
      </w:r>
    </w:p>
    <w:p>
      <w:pPr>
        <w:spacing w:after="0" w:line="35" w:lineRule="exact"/>
        <w:rPr>
          <w:sz w:val="20"/>
          <w:szCs w:val="20"/>
          <w:color w:val="auto"/>
        </w:rPr>
      </w:pPr>
    </w:p>
    <w:p>
      <w:pPr>
        <w:jc w:val="both"/>
        <w:ind w:left="4" w:hanging="4"/>
        <w:spacing w:after="0" w:line="270" w:lineRule="auto"/>
        <w:tabs>
          <w:tab w:leader="none" w:pos="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each date of a continuation of an Alternative Currency Term Rate Loan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any Issuing Bank under any Letter of Credit denominated in an Alternative Currency, (iv) the first Business Day of each month following the issuance of a Letter of Credit and (v) such additional dates as the Administrative Agent or the Issuing Banks shall determine or the Required Lenders shall require.</w:t>
      </w:r>
    </w:p>
    <w:p>
      <w:pPr>
        <w:spacing w:after="0" w:line="178"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$4,000,000,000.</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4"/>
          </w:cols>
          <w:pgMar w:left="436" w:top="274" w:right="479" w:bottom="1440" w:gutter="0" w:footer="0" w:header="0"/>
        </w:sectPr>
      </w:pPr>
    </w:p>
    <w:bookmarkStart w:id="50" w:name="page51"/>
    <w:bookmarkEnd w:id="50"/>
    <w:p>
      <w:pPr>
        <w:ind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Dollar Equivalent of such Lender’s Revolving Loans, L/C Exposure and Swingline Exposure at such time.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Maturity Date</w:t>
      </w:r>
      <w:r>
        <w:rPr>
          <w:rFonts w:ascii="Arial" w:cs="Arial" w:eastAsia="Arial" w:hAnsi="Arial"/>
          <w:sz w:val="18"/>
          <w:szCs w:val="18"/>
          <w:color w:val="auto"/>
        </w:rPr>
        <w:t>” means (i) with respect to the Revolving Commitments made pursuant to Section 2.01, the date that is five years from the Closing Date,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Amendment</w:t>
      </w:r>
      <w:r>
        <w:rPr>
          <w:rFonts w:ascii="Arial" w:cs="Arial" w:eastAsia="Arial" w:hAnsi="Arial"/>
          <w:sz w:val="18"/>
          <w:szCs w:val="18"/>
          <w:color w:val="auto"/>
        </w:rPr>
        <w:t>” has the meaning assigned to such term in Section 2.21(c).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Request</w:t>
      </w:r>
      <w:r>
        <w:rPr>
          <w:rFonts w:ascii="Arial" w:cs="Arial" w:eastAsia="Arial" w:hAnsi="Arial"/>
          <w:sz w:val="18"/>
          <w:szCs w:val="18"/>
          <w:color w:val="auto"/>
        </w:rPr>
        <w:t>” has the meaning assigned to such term in Section 2.21(a).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Extension Series</w:t>
      </w:r>
      <w:r>
        <w:rPr>
          <w:rFonts w:ascii="Arial" w:cs="Arial" w:eastAsia="Arial" w:hAnsi="Arial"/>
          <w:sz w:val="18"/>
          <w:szCs w:val="18"/>
          <w:color w:val="auto"/>
        </w:rPr>
        <w:t>” has the meaning assigned to such term in Section 2.21(e).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each Lender that has a Revolving Commitment or that holds Revolving Credit Exposure.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Banks,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has the meaning assigned to such term in Section 2.07(c)(ii).</w:t>
      </w:r>
    </w:p>
    <w:p>
      <w:pPr>
        <w:spacing w:after="0" w:line="225" w:lineRule="exact"/>
        <w:rPr>
          <w:sz w:val="20"/>
          <w:szCs w:val="20"/>
          <w:color w:val="auto"/>
        </w:rPr>
      </w:pPr>
    </w:p>
    <w:p>
      <w:pPr>
        <w:jc w:val="both"/>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has the meaning assigned to such term in the definition of “Daily Simple SOFR.”</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Early Opt-in</w:t>
      </w:r>
      <w:r>
        <w:rPr>
          <w:rFonts w:ascii="Arial" w:cs="Arial" w:eastAsia="Arial" w:hAnsi="Arial"/>
          <w:sz w:val="18"/>
          <w:szCs w:val="18"/>
          <w:color w:val="auto"/>
        </w:rPr>
        <w:t>” means the Administrative Agent and the Borrower have elected to replace LIBOR pursuant to (x) an Early Opt-in Election and (y) Section 2.07(d)(i) and paragraph (1) of the definition of “Benchmark Replacement”.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8"/>
          <w:szCs w:val="18"/>
          <w:u w:val="single" w:color="auto"/>
          <w:color w:val="auto"/>
        </w:rPr>
        <w:t>provided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however that if such determination date is not a Business Day, SONIA means such rate that applied on the first Business Day immediately prior thereto.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Adjustment</w:t>
      </w:r>
      <w:r>
        <w:rPr>
          <w:rFonts w:ascii="Arial" w:cs="Arial" w:eastAsia="Arial" w:hAnsi="Arial"/>
          <w:sz w:val="18"/>
          <w:szCs w:val="18"/>
          <w:color w:val="auto"/>
        </w:rPr>
        <w:t>” means, with respect to SONIA, 0.0326% (3.26 basis points) per annum.</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2.20.</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Borrower or any Subsidiary in excess of $50,000,000.</w:t>
      </w:r>
    </w:p>
    <w:p>
      <w:pPr>
        <w:spacing w:after="0" w:line="178"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applicable Issuing Bank may use such spot rate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quoted on the date as of which the foreign exchange computation is made in the case of any Letter of Credit denominated in an Alternative Currency.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Rate</w:t>
      </w:r>
      <w:r>
        <w:rPr>
          <w:rFonts w:ascii="Arial" w:cs="Arial" w:eastAsia="Arial" w:hAnsi="Arial"/>
          <w:sz w:val="18"/>
          <w:szCs w:val="18"/>
          <w:color w:val="auto"/>
        </w:rPr>
        <w:t>” has the meaning assigned in Section 2.07(c).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Coordinator</w:t>
      </w:r>
      <w:r>
        <w:rPr>
          <w:rFonts w:ascii="Arial" w:cs="Arial" w:eastAsia="Arial" w:hAnsi="Arial"/>
          <w:sz w:val="18"/>
          <w:szCs w:val="18"/>
          <w:color w:val="auto"/>
        </w:rPr>
        <w:t>” means BofA Securities, Inc., in its capacity as the sustainability coordinator.</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Linked Loan Principles</w:t>
      </w:r>
      <w:r>
        <w:rPr>
          <w:rFonts w:ascii="Arial" w:cs="Arial" w:eastAsia="Arial" w:hAnsi="Arial"/>
          <w:sz w:val="18"/>
          <w:szCs w:val="18"/>
          <w:color w:val="auto"/>
        </w:rPr>
        <w:t>” means the Sustainability Linked Loan Principles as most recently published by the Loan Market Association and Loan Syndications &amp; Trading Association.</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76"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Bank of America (through itself or through one of its designated Affiliates or branch offices), in its capacity as lender of Swingline Loans hereunder, or any successor swingline lender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Loan Notice</w:t>
      </w:r>
      <w:r>
        <w:rPr>
          <w:rFonts w:ascii="Arial" w:cs="Arial" w:eastAsia="Arial" w:hAnsi="Arial"/>
          <w:sz w:val="17"/>
          <w:szCs w:val="17"/>
          <w:color w:val="auto"/>
        </w:rPr>
        <w:t xml:space="preserve">” means a notice of a Swingline Loan Borrowing pursuant to Section 2.04, which, shall be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3" w:name="page54"/>
    <w:bookmarkEnd w:id="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Swingline Loan Sublimit</w:t>
      </w:r>
      <w:r>
        <w:rPr>
          <w:rFonts w:ascii="Arial" w:cs="Arial" w:eastAsia="Arial" w:hAnsi="Arial"/>
          <w:sz w:val="18"/>
          <w:szCs w:val="18"/>
          <w:color w:val="auto"/>
        </w:rPr>
        <w:t>” means $175,000,000.</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for the applicable corresponding tenor (or if any Available Tenor of a Benchmark does not correspond to an Available Tenor for the applicable Benchmark Replacement, the closest corresponding Available Tenor and if such Available Tenor corresponds equally to two Available Tenors of the applicable Benchmark Replacement, the corresponding tenor of the shorter duration shall be applied), the forward-looking term rate based on SOFR that has been selected or recommended by the Relevant Governmental Body.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TIBOR</w:t>
      </w:r>
      <w:r>
        <w:rPr>
          <w:rFonts w:ascii="Arial" w:cs="Arial" w:eastAsia="Arial" w:hAnsi="Arial"/>
          <w:sz w:val="18"/>
          <w:szCs w:val="18"/>
          <w:color w:val="auto"/>
        </w:rPr>
        <w:t>” has the meaning assigned to such term in the definition of “Alternative Currency Term Rate.”</w:t>
      </w:r>
    </w:p>
    <w:p>
      <w:pPr>
        <w:spacing w:after="0" w:line="225"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execution, delivery and performance by the Loan Parties of this Agreement and the other Loan Documents, the borrowing of Loans, the use of the proceeds thereof, the issuance of Letters of Credit hereunder and the payment of fees and expenses hereunder.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the LIBOR Daily Floating Rate, the Alternative Currency Daily Rate, the Alternative Currency Term Rate or the Base Rate.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set forth in Section 2.05(c)(i).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5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Japan.</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and Borrowings may be classified and referred to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5" w:name="page56"/>
    <w:bookmarkEnd w:id="55"/>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w:t>
      </w:r>
    </w:p>
    <w:p>
      <w:pPr>
        <w:spacing w:after="0" w:line="1" w:lineRule="exact"/>
        <w:rPr>
          <w:sz w:val="20"/>
          <w:szCs w:val="20"/>
          <w:color w:val="auto"/>
        </w:rPr>
      </w:pPr>
    </w:p>
    <w:p>
      <w:pPr>
        <w:ind w:left="4" w:right="20" w:hanging="4"/>
        <w:spacing w:after="0" w:line="295"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26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117" w:lineRule="exact"/>
        <w:rPr>
          <w:sz w:val="20"/>
          <w:szCs w:val="20"/>
          <w:color w:val="auto"/>
        </w:rPr>
      </w:pPr>
    </w:p>
    <w:p>
      <w:pPr>
        <w:ind w:left="4" w:right="60" w:firstLine="987"/>
        <w:spacing w:after="0" w:line="269" w:lineRule="auto"/>
        <w:tabs>
          <w:tab w:leader="none" w:pos="13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left="4" w:firstLine="987"/>
        <w:spacing w:after="0" w:line="263" w:lineRule="auto"/>
        <w:tabs>
          <w:tab w:leader="none" w:pos="13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84"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Payments on Business Days</w:t>
      </w:r>
      <w:r>
        <w:rPr>
          <w:rFonts w:ascii="Arial" w:cs="Arial" w:eastAsia="Arial" w:hAnsi="Arial"/>
          <w:sz w:val="17"/>
          <w:szCs w:val="17"/>
          <w:color w:val="auto"/>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payment of interest on or principal of Eurocurrency Loans, if such extension would cause any such payment to be made in the next succeeding calendar month, such payment shall be made on the immediately preceding Business Day.</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56" w:name="page57"/>
    <w:bookmarkEnd w:id="56"/>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Arial" w:cs="Arial" w:eastAsia="Arial" w:hAnsi="Arial"/>
          <w:sz w:val="17"/>
          <w:szCs w:val="17"/>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5"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5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Additional Alternative Currencies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55" w:lineRule="auto"/>
        <w:tabs>
          <w:tab w:leader="none" w:pos="13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Borrower may from time to time request that Alternative Currency Loans be made and/or Letters of Credit be issued in a currency other than Dollars and those specifically listed in the definition of “Alternative Currencies”;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92" w:lineRule="exact"/>
        <w:rPr>
          <w:rFonts w:ascii="Arial" w:cs="Arial" w:eastAsia="Arial" w:hAnsi="Arial"/>
          <w:sz w:val="18"/>
          <w:szCs w:val="18"/>
          <w:color w:val="auto"/>
        </w:rPr>
      </w:pPr>
    </w:p>
    <w:p>
      <w:pPr>
        <w:ind w:right="80" w:firstLine="987"/>
        <w:spacing w:after="0" w:line="271" w:lineRule="auto"/>
        <w:tabs>
          <w:tab w:leader="none" w:pos="1371"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Banks, in its or their sole discretion). In the case of any such request pertaining to Alternative 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Revolving Loans) or the applicable Issuing Bank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57" w:name="page58"/>
    <w:bookmarkEnd w:id="57"/>
    <w:p>
      <w:pPr>
        <w:ind w:firstLine="987"/>
        <w:spacing w:after="0" w:line="252" w:lineRule="auto"/>
        <w:tabs>
          <w:tab w:leader="none" w:pos="1361"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by a Revolving Lender or an Issuing Bank, as the case may be, to respond to such request within the time period specified in the preceding sentence shall be deemed to be a refusal by such Revolving Lender or such Issuing Bank, as the case may be, to permit Alternative Currency Loans to be made or Letters of Credit to be issued in such requested currency. If the Administrative Agent and all the Revolving Lenders consent to making Alternative Currency Loans in such requested currency, the Administrative Agent shall so notify the Borrower and such currency shall thereupon be deemed for all purposes to be an Alternative Currency hereunder for purposes of any Borrowings of Alternative Currency Loans, as applicable;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 and the Borrower may replace such non-consenting Lender, subject to Section 2.18(b). Any specified currency of an Existing Letter of Credit that is neither Dollars nor one of the Alternative Currencies specifically listed in the definition of “Alternative Currencies” shall be deemed an Alternative Currency with respect to such Existing Letter of Credit only.</w:t>
      </w:r>
    </w:p>
    <w:p>
      <w:pPr>
        <w:spacing w:after="0" w:line="30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Change of Currency</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72" w:lineRule="auto"/>
        <w:tabs>
          <w:tab w:leader="none" w:pos="13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Arial" w:cs="Arial" w:eastAsia="Arial" w:hAnsi="Arial"/>
          <w:sz w:val="17"/>
          <w:szCs w:val="17"/>
          <w:color w:val="auto"/>
        </w:rPr>
      </w:pPr>
    </w:p>
    <w:p>
      <w:pPr>
        <w:ind w:right="120" w:firstLine="987"/>
        <w:spacing w:after="0" w:line="263"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83" w:lineRule="exact"/>
        <w:rPr>
          <w:rFonts w:ascii="Arial" w:cs="Arial" w:eastAsia="Arial" w:hAnsi="Arial"/>
          <w:sz w:val="18"/>
          <w:szCs w:val="18"/>
          <w:color w:val="auto"/>
        </w:rPr>
      </w:pPr>
    </w:p>
    <w:p>
      <w:pPr>
        <w:ind w:right="20" w:firstLine="987"/>
        <w:spacing w:after="0" w:line="263" w:lineRule="auto"/>
        <w:tabs>
          <w:tab w:leader="none" w:pos="1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8" w:name="page59"/>
    <w:bookmarkEnd w:id="58"/>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 </w:t>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Exchange Rates; Currency Equivalents; Interest Rates</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93" w:lineRule="auto"/>
        <w:tabs>
          <w:tab w:leader="none" w:pos="13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w:t>
      </w:r>
    </w:p>
    <w:p>
      <w:pPr>
        <w:spacing w:after="0" w:line="164" w:lineRule="exact"/>
        <w:rPr>
          <w:rFonts w:ascii="Arial" w:cs="Arial" w:eastAsia="Arial" w:hAnsi="Arial"/>
          <w:sz w:val="16"/>
          <w:szCs w:val="16"/>
          <w:color w:val="auto"/>
        </w:rPr>
      </w:pPr>
    </w:p>
    <w:p>
      <w:pPr>
        <w:ind w:firstLine="987"/>
        <w:spacing w:after="0" w:line="275" w:lineRule="auto"/>
        <w:tabs>
          <w:tab w:leader="none" w:pos="1378"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76" w:lineRule="exact"/>
        <w:rPr>
          <w:rFonts w:ascii="Arial" w:cs="Arial" w:eastAsia="Arial" w:hAnsi="Arial"/>
          <w:sz w:val="17"/>
          <w:szCs w:val="17"/>
          <w:color w:val="auto"/>
        </w:rPr>
      </w:pPr>
    </w:p>
    <w:p>
      <w:pPr>
        <w:ind w:right="300" w:firstLine="987"/>
        <w:spacing w:after="0" w:line="255"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“Alternative Currency Daily Rate”, “Alternative Currency Term Rate”, “Eurocurrency Rate”, “LIBOR Daily Floating Rate” or with respect to any rate (including, for the avoidance of doubt, the selection of such rate and any related spread or other adjustment) that is an alternative or replacement for or successor to any of such rate (including, without limitation, any Benchmark Replacement and any Successor Rate) or the effect of any of the foregoing, or of any Benchmark Replacement Conforming Changes or Conforming Changes.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Credits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59" w:name="page60"/>
    <w:bookmarkEnd w:id="59"/>
    <w:p>
      <w:pPr>
        <w:ind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and conditions set forth herein, each Revolving Lender severally agrees to make Revolving Loans to the Borrower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 may borrow, prepay and reborrow Revolving Loans.</w:t>
      </w:r>
    </w:p>
    <w:p>
      <w:pPr>
        <w:spacing w:after="0" w:line="2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57" w:lineRule="auto"/>
        <w:tabs>
          <w:tab w:leader="none" w:pos="1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87" w:lineRule="exact"/>
        <w:rPr>
          <w:rFonts w:ascii="Arial" w:cs="Arial" w:eastAsia="Arial" w:hAnsi="Arial"/>
          <w:sz w:val="18"/>
          <w:szCs w:val="18"/>
          <w:color w:val="auto"/>
        </w:rPr>
      </w:pPr>
    </w:p>
    <w:p>
      <w:pPr>
        <w:ind w:right="300" w:firstLine="987"/>
        <w:spacing w:after="0" w:line="255" w:lineRule="auto"/>
        <w:tabs>
          <w:tab w:leader="none" w:pos="14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Section 2.07, each Borrowing shall be comprised entirely of Base Rate Loans, Eurocurrency Loans, LIBOR Daily Floating Rate Loans, Alternative Currency Daily Rate Loans or Alternative Currency Term Rate Loans, as the Borrower may request in accordance herewith. Each Base Rate Loan and each Eurocurrency Loan shall, in each case, only be made in Dollars. Each Swingline Loan shall be a Base Rate Loan. Each Lender at its option may make any Alternative Currency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92" w:lineRule="exact"/>
        <w:rPr>
          <w:rFonts w:ascii="Arial" w:cs="Arial" w:eastAsia="Arial" w:hAnsi="Arial"/>
          <w:sz w:val="18"/>
          <w:szCs w:val="18"/>
          <w:color w:val="auto"/>
        </w:rPr>
      </w:pPr>
    </w:p>
    <w:p>
      <w:pPr>
        <w:ind w:firstLine="987"/>
        <w:spacing w:after="0" w:line="290" w:lineRule="auto"/>
        <w:tabs>
          <w:tab w:leader="none" w:pos="13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Borrowing of, conversion to or continuation of Eurocurrency Loans, LIBOR Daily Floating Rate Loans or Alternative Currency Loans shall be in an aggregate amount that is an 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provided that Eurocurrency Loans, Base Rate Loans, LIBOR Daily Floating Rate Loans and Alternative Currency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provided that there shall not at any time be more than a total of twenty (20) Eurocurrency Borrowings and Alternative Currency Term Rate Loans outstanding.</w:t>
      </w:r>
    </w:p>
    <w:p>
      <w:pPr>
        <w:spacing w:after="0" w:line="165" w:lineRule="exact"/>
        <w:rPr>
          <w:rFonts w:ascii="Arial" w:cs="Arial" w:eastAsia="Arial" w:hAnsi="Arial"/>
          <w:sz w:val="16"/>
          <w:szCs w:val="16"/>
          <w:color w:val="auto"/>
        </w:rPr>
      </w:pPr>
    </w:p>
    <w:p>
      <w:pPr>
        <w:ind w:right="580" w:firstLine="987"/>
        <w:spacing w:after="0" w:line="277" w:lineRule="auto"/>
        <w:tabs>
          <w:tab w:leader="none" w:pos="13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would end after the applicable Revolving Credit Maturity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60" w:name="page61"/>
    <w:bookmarkEnd w:id="60"/>
    <w:p>
      <w:pPr>
        <w:ind w:left="4" w:right="80" w:firstLine="987"/>
        <w:spacing w:after="0" w:line="275" w:lineRule="auto"/>
        <w:tabs>
          <w:tab w:leader="none" w:pos="1372"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6" w:lineRule="exact"/>
        <w:rPr>
          <w:sz w:val="20"/>
          <w:szCs w:val="20"/>
          <w:color w:val="auto"/>
        </w:rPr>
      </w:pPr>
    </w:p>
    <w:p>
      <w:pPr>
        <w:ind w:left="4" w:right="500" w:firstLine="440"/>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To request a Borrowing, a conversion of Loans from one Type to the other or a continuation of Eurocurrency Loans or Alternative Currency Term Rate Loans, the Borrower shall irrevocably notify the Administrative Agent of such request by</w:t>
      </w:r>
    </w:p>
    <w:p>
      <w:pPr>
        <w:ind w:left="4" w:right="60" w:hanging="4"/>
        <w:spacing w:after="0" w:line="281" w:lineRule="auto"/>
        <w:tabs>
          <w:tab w:leader="none" w:pos="29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telephone or (B) a written Borrowing Request in a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Business Days prior to the requested date of any Borrowing of, conversion to or continuation of Eurocurrency Loans or of any conversion of Eurocurrency Loans to Base Rate Loans,</w:t>
      </w:r>
    </w:p>
    <w:p>
      <w:pPr>
        <w:spacing w:after="0" w:line="3" w:lineRule="exact"/>
        <w:rPr>
          <w:rFonts w:ascii="Arial" w:cs="Arial" w:eastAsia="Arial" w:hAnsi="Arial"/>
          <w:sz w:val="16"/>
          <w:szCs w:val="16"/>
          <w:color w:val="auto"/>
        </w:rPr>
      </w:pPr>
    </w:p>
    <w:p>
      <w:pPr>
        <w:ind w:left="4"/>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(ii) three Business Days (or five Business Days in the case of a Special Notice Currency) prior to the requested date of any Borrowing of Alternative Currency Loans or, in the case of Alternative Currency Term Rate Loans, any continuation thereof, and (iii) on the requested date of any Borrowing of Base Rate Loans or LIBOR Daily Floating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Borrower wishes to request Eurocurrency Loans or Alternative Currency Term Rate Loans having an Interest Period other than one, two, three or six months in duration as provided in the definition of “Interest Period,” the applicable notice must be received by the Administrative Agent not later than 11:00 a.m. (i) four Business Days prior to the requested date of such Borrowing, conversion or continuation of Eurocurrency Loans, or (ii) five Business Days (or six Business Days in the case of a Special Notice Currency) prior to the requested date of such Borrowing, conversion or continuation of Alternative Currency Term Rate Loans, whereupon the Administrative Agent shall give prompt notice to the applicable Lenders of such request and determine whether the requested Interest Period is acceptable to all of them. Not later than 11:00 a.m., (i) three Business Days before the requested date of such Borrowing, conversion or continuation of Eurocurrency Loans, or (ii) four Business Days (or five Business Days in the case of a Special Notice Currency) prior to the requested date of such Borrowing, conversion or continuation of Alternative Currency Term Rate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74" w:lineRule="exact"/>
        <w:rPr>
          <w:rFonts w:ascii="Arial" w:cs="Arial" w:eastAsia="Arial" w:hAnsi="Arial"/>
          <w:sz w:val="16"/>
          <w:szCs w:val="16"/>
          <w:color w:val="auto"/>
        </w:rPr>
      </w:pPr>
    </w:p>
    <w:p>
      <w:pPr>
        <w:ind w:left="1204" w:hanging="341"/>
        <w:spacing w:after="0"/>
        <w:tabs>
          <w:tab w:leader="none" w:pos="120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aggregate amount of the requested Borrowing, conversion or continuation;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61" w:name="page62"/>
    <w:bookmarkEnd w:id="61"/>
    <w:p>
      <w:pPr>
        <w:ind w:left="1260" w:hanging="401"/>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of such Borrowing, conversion or continuation, which shall be a Business Day;</w:t>
      </w:r>
    </w:p>
    <w:p>
      <w:pPr>
        <w:spacing w:after="0" w:line="117" w:lineRule="exact"/>
        <w:rPr>
          <w:rFonts w:ascii="Arial" w:cs="Arial" w:eastAsia="Arial" w:hAnsi="Arial"/>
          <w:sz w:val="18"/>
          <w:szCs w:val="18"/>
          <w:color w:val="auto"/>
        </w:rPr>
      </w:pPr>
    </w:p>
    <w:p>
      <w:pPr>
        <w:ind w:left="440" w:right="400" w:firstLine="419"/>
        <w:spacing w:after="0" w:line="277"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such Borrowing, conversion or continuation is to be a Base Rate Borrowing, a Eurocurrency Borrowing, a LIBOR Daily Floating Rate Borrowing, or an Alternative Currency Borrowing;</w:t>
      </w:r>
    </w:p>
    <w:p>
      <w:pPr>
        <w:spacing w:after="0" w:line="62" w:lineRule="exact"/>
        <w:rPr>
          <w:rFonts w:ascii="Arial" w:cs="Arial" w:eastAsia="Arial" w:hAnsi="Arial"/>
          <w:sz w:val="18"/>
          <w:szCs w:val="18"/>
          <w:color w:val="auto"/>
        </w:rPr>
      </w:pPr>
    </w:p>
    <w:p>
      <w:pPr>
        <w:ind w:left="1300" w:hanging="441"/>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in which such Borrowing is to be made, which shall be Dollars or an Alternative Currency;</w:t>
      </w:r>
    </w:p>
    <w:p>
      <w:pPr>
        <w:spacing w:after="0" w:line="117" w:lineRule="exact"/>
        <w:rPr>
          <w:rFonts w:ascii="Arial" w:cs="Arial" w:eastAsia="Arial" w:hAnsi="Arial"/>
          <w:sz w:val="18"/>
          <w:szCs w:val="18"/>
          <w:color w:val="auto"/>
        </w:rPr>
      </w:pPr>
    </w:p>
    <w:p>
      <w:pPr>
        <w:ind w:left="440" w:right="40" w:firstLine="419"/>
        <w:spacing w:after="0" w:line="277" w:lineRule="auto"/>
        <w:tabs>
          <w:tab w:leader="none" w:pos="12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 Eurocurrency Borrowing or an Alternative Currency Term Rate Borrowing, the Interest Period to be applicable thereto, which shall be a period contemplated by the definition of the term “Interest Period”;</w:t>
      </w:r>
    </w:p>
    <w:p>
      <w:pPr>
        <w:spacing w:after="0" w:line="62" w:lineRule="exact"/>
        <w:rPr>
          <w:rFonts w:ascii="Arial" w:cs="Arial" w:eastAsia="Arial" w:hAnsi="Arial"/>
          <w:sz w:val="18"/>
          <w:szCs w:val="18"/>
          <w:color w:val="auto"/>
        </w:rPr>
      </w:pPr>
    </w:p>
    <w:p>
      <w:pPr>
        <w:ind w:left="440" w:right="220" w:firstLine="419"/>
        <w:spacing w:after="0" w:line="277" w:lineRule="auto"/>
        <w:tabs>
          <w:tab w:leader="none" w:pos="130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 which shall comply with the requirements of Section 2.06;</w:t>
      </w:r>
    </w:p>
    <w:p>
      <w:pPr>
        <w:spacing w:after="0" w:line="62" w:lineRule="exact"/>
        <w:rPr>
          <w:rFonts w:ascii="Arial" w:cs="Arial" w:eastAsia="Arial" w:hAnsi="Arial"/>
          <w:sz w:val="18"/>
          <w:szCs w:val="18"/>
          <w:color w:val="auto"/>
        </w:rPr>
      </w:pPr>
    </w:p>
    <w:p>
      <w:pPr>
        <w:ind w:left="440" w:right="680" w:firstLine="419"/>
        <w:spacing w:after="0" w:line="277" w:lineRule="auto"/>
        <w:tabs>
          <w:tab w:leader="none" w:pos="13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Borrower is requesting a new Borrowing, a conversion of Loans from one Type to the other, or a continuation of Eurocurrency Loans or Alternative Currency Term Rate Loans; and</w:t>
      </w:r>
    </w:p>
    <w:p>
      <w:pPr>
        <w:spacing w:after="0" w:line="62" w:lineRule="exact"/>
        <w:rPr>
          <w:rFonts w:ascii="Arial" w:cs="Arial" w:eastAsia="Arial" w:hAnsi="Arial"/>
          <w:sz w:val="18"/>
          <w:szCs w:val="18"/>
          <w:color w:val="auto"/>
        </w:rPr>
      </w:pPr>
    </w:p>
    <w:p>
      <w:pPr>
        <w:ind w:left="1400" w:hanging="541"/>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Type of Loans to be borrowed or to which existing Loans are to be converted.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no election as to the Type of Borrowing is specified, then, in the case of a Borrowing denominated in Dollars to the Borrower, the requested Revolving Borrowing shall be a Base Rate Borrowing. In the case of a failure to timely request a conversion or continuation of Eurocurrency Loans or Alternative Currency Term Rate Loans, such Loans shall be continued as Eurocurrency Loans or Alternative Currency Term Rate Loans in their original currency, as applicable, with an Interest Period of one month’s duration. If no Interest Period is specified with respect to any requested Eurocurrency Borrowing or Alternative Currency Term Rate Borrowing or conversion or continuation of Eurocurrency Loans or Alternative Currency Term Rate Loans, then the Borrower shall be deemed to have selected an Interest Period of one month’s duration. Promptly following receipt of a Borrowing Request in accordance with this Section, the Administrative Agent shall advise each Lender of the details thereof and of the amount (and currency) of such Lender’s Loan to be made as part of the requested Borrowing. Except as otherwise provided herein, a Eurocurrency Loan or an Alternative Currency Term Rate Loan may be continued or converted only on the last day of an Interest Period for such Loan. During the existence of a Default, no Loans may be requested as, converted to or continued as Eurocurrency Loans, LIBOR Daily Floating Rate Loans or Alternative Currency Loans without the consent of the Required Lenders, and the Required Lenders may demand that any or all of the then outstanding Alternative Currency Loans be prepaid, or redenominated into Dollars in the amount of the Dollar Equivalent thereof promptly, in the case of Alternative Currency Daily Rate Loans or, on the last day of the then current Interest Period with respect thereto in the case of Alternative Currency Term Rate Loans. No Loan may be converted into or continued as a Loan denominated in a different currency, but instead must be prepaid in the original currency of such Loan and reborrowed in the other currency.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2" w:name="page63"/>
    <w:bookmarkEnd w:id="62"/>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2.04</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89" w:lineRule="auto"/>
        <w:tabs>
          <w:tab w:leader="none" w:pos="13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the Swingline Lender agrees, in reliance upon the agreements of the other Lenders set forth in this Section 2.04, to make Swingline Loans in Dollars to the Borrower from time to time during the Availability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Swingline Loan shall be permitted if, after giving effect thereto, (i) the aggregate principal amount of outstanding Swingline Loans would exceed the Swingline Loan Sublimit, (ii) the aggregate Revolving Credit Exposures would exceed the total Revolving Commitments or (iii) such Swingline Lender’s Credit Exposure would exceed its Revolving Commitment;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66" w:lineRule="exact"/>
        <w:rPr>
          <w:rFonts w:ascii="Arial" w:cs="Arial" w:eastAsia="Arial" w:hAnsi="Arial"/>
          <w:sz w:val="16"/>
          <w:szCs w:val="16"/>
          <w:color w:val="auto"/>
        </w:rPr>
      </w:pPr>
    </w:p>
    <w:p>
      <w:pPr>
        <w:ind w:firstLine="987"/>
        <w:spacing w:after="0" w:line="268" w:lineRule="auto"/>
        <w:tabs>
          <w:tab w:leader="none" w:pos="1378"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To request a Swingline Loan, the Borrower shall notify the Administrative Agent and Swingline Lender of such request, which may be given by (A) telephone or (B) by a Swingline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Lender) prior to 2:00 p.m. on the date of the proposed Swingline Loan Borrowing (A) directing the Swingline Lender not to make such Swingline Loan as a result of the limitations set forth in Section 2.04(a), or (B) that one or more of the applicable conditions specified in Article IV is not then satisfied, then, the Swingline Lender shall make such Swingline Loan available to the Borrower by means of a credit to the general deposit account of the Borrower with the Swingline Lender (or, in the case of a Swingline Loan made to finance the reimbursement of an L/C Disbursement as provided in Section 2.05(c), by remittance to the relevant Issuing Bank) by 3:00 p.m. on the requested date of such Swingline Loan.</w:t>
      </w:r>
    </w:p>
    <w:p>
      <w:pPr>
        <w:spacing w:after="0" w:line="184" w:lineRule="exact"/>
        <w:rPr>
          <w:rFonts w:ascii="Arial" w:cs="Arial" w:eastAsia="Arial" w:hAnsi="Arial"/>
          <w:sz w:val="17"/>
          <w:szCs w:val="17"/>
          <w:color w:val="auto"/>
        </w:rPr>
      </w:pPr>
    </w:p>
    <w:p>
      <w:pPr>
        <w:ind w:right="60" w:firstLine="987"/>
        <w:spacing w:after="0" w:line="255" w:lineRule="auto"/>
        <w:tabs>
          <w:tab w:leader="none" w:pos="1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3" w:name="page64"/>
    <w:bookmarkEnd w:id="63"/>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set forth in Section 4.01 or Section 4.02, as applicable. The Swingline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Borrower in such amount. The Administrative Agent shall remit the funds so received to the Swingline Lender.</w:t>
      </w:r>
    </w:p>
    <w:p>
      <w:pPr>
        <w:spacing w:after="0" w:line="56" w:lineRule="exact"/>
        <w:rPr>
          <w:sz w:val="20"/>
          <w:szCs w:val="20"/>
          <w:color w:val="auto"/>
        </w:rPr>
      </w:pPr>
    </w:p>
    <w:p>
      <w:pPr>
        <w:ind w:left="440" w:firstLine="419"/>
        <w:spacing w:after="0" w:line="286" w:lineRule="auto"/>
        <w:tabs>
          <w:tab w:leader="none" w:pos="12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 Revolving Lender (through the Administrative Agent) with respect to any amounts owing under this clause (ii) shall be conclusive absent manifest error.</w:t>
      </w:r>
    </w:p>
    <w:p>
      <w:pPr>
        <w:spacing w:after="0" w:line="65" w:lineRule="exact"/>
        <w:rPr>
          <w:rFonts w:ascii="Arial" w:cs="Arial" w:eastAsia="Arial" w:hAnsi="Arial"/>
          <w:sz w:val="16"/>
          <w:szCs w:val="16"/>
          <w:color w:val="auto"/>
        </w:rPr>
      </w:pPr>
    </w:p>
    <w:p>
      <w:pPr>
        <w:ind w:left="440" w:right="20" w:firstLine="419"/>
        <w:spacing w:after="0" w:line="272" w:lineRule="auto"/>
        <w:tabs>
          <w:tab w:leader="none" w:pos="1313"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Revolving Lender’s obligation to make Base Rate Loans pursuant to this Section 2.04(c) is subject to the conditions set forth in Section 4.01 or Section 4.02, as applicable. No such funding of risk participations shall relieve or otherwise impair the obligation of the Borrower to repay Swingline Loans, together with interest as provided herein.</w:t>
      </w:r>
    </w:p>
    <w:p>
      <w:pPr>
        <w:spacing w:after="0" w:line="177" w:lineRule="exact"/>
        <w:rPr>
          <w:sz w:val="20"/>
          <w:szCs w:val="20"/>
          <w:color w:val="auto"/>
        </w:rPr>
      </w:pPr>
    </w:p>
    <w:p>
      <w:pPr>
        <w:ind w:right="480" w:firstLine="987"/>
        <w:spacing w:after="0" w:line="277"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At any time after any Revolving Lender has purchased and funded a risk participation in a Swingline Loan, if the Swingline Lender receives any payment on account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4" w:name="page65"/>
    <w:bookmarkEnd w:id="64"/>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Swingline Loan, the Swingline Lender will distribute to such Revolving Lender its Applicable Percentage thereof in the same funds as those received by the Swingline Lender.</w:t>
      </w:r>
    </w:p>
    <w:p>
      <w:pPr>
        <w:spacing w:after="0" w:line="62" w:lineRule="exact"/>
        <w:rPr>
          <w:sz w:val="20"/>
          <w:szCs w:val="20"/>
          <w:color w:val="auto"/>
        </w:rPr>
      </w:pPr>
    </w:p>
    <w:p>
      <w:pPr>
        <w:ind w:left="440" w:firstLine="419"/>
        <w:spacing w:after="0" w:line="254" w:lineRule="auto"/>
        <w:tabs>
          <w:tab w:leader="none" w:pos="12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from time to time in effect. The Administrative Agent will make such demand upon the request of the Swingline Lender. The obligations of the Revolving Lenders under this clause shall survive the payment in full of the Obligations and the termination of this Agreement.</w:t>
      </w:r>
    </w:p>
    <w:p>
      <w:pPr>
        <w:spacing w:after="0" w:line="194" w:lineRule="exact"/>
        <w:rPr>
          <w:rFonts w:ascii="Arial" w:cs="Arial" w:eastAsia="Arial" w:hAnsi="Arial"/>
          <w:sz w:val="18"/>
          <w:szCs w:val="18"/>
          <w:color w:val="auto"/>
        </w:rPr>
      </w:pPr>
    </w:p>
    <w:p>
      <w:pPr>
        <w:ind w:right="160" w:firstLine="987"/>
        <w:spacing w:after="0" w:line="286" w:lineRule="auto"/>
        <w:tabs>
          <w:tab w:leader="none" w:pos="1368"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Swingline Lender shall be responsible for invoicing the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165" w:lineRule="exact"/>
        <w:rPr>
          <w:rFonts w:ascii="Arial" w:cs="Arial" w:eastAsia="Arial" w:hAnsi="Arial"/>
          <w:sz w:val="17"/>
          <w:szCs w:val="17"/>
          <w:color w:val="auto"/>
        </w:rPr>
      </w:pPr>
    </w:p>
    <w:p>
      <w:pPr>
        <w:ind w:left="1340" w:hanging="353"/>
        <w:spacing w:after="0"/>
        <w:tabs>
          <w:tab w:leader="none" w:pos="13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Borrower shall make all payments of principal and interest in respect of its Swingline Loans directly to the Swingline Lender.</w:t>
      </w:r>
    </w:p>
    <w:p>
      <w:pPr>
        <w:spacing w:after="0" w:line="34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8" w:lineRule="auto"/>
        <w:tabs>
          <w:tab w:leader="none" w:pos="12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Issuing Bank agrees, in reliance upon the agreements of the Revolving Lenders set forth in this Section 2.05, (1) from time to time on any Business Day during the period from the Closing Date until the Letter of Credit Expiration Date, to issue Letters of Credit denominated in Dollars or in one or more Alternative Currencies for the account of the Borrower or its Subsidiaries, and to amend or extend Letters of Credit previously issued by it, in accordance with subsection (b) below, and (2) to honor drawings under the Letters of Credit; and (B) the Revolving Lenders severally agree to participate in Letters of Credit issued for the account of the Borrower or its Subsidiaries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(x) the aggregate L/C Exposure shall not exceed the L/C Exposure Sublimit, (y) the total Revolving Credit Exposures shall not exceed the total Revolving Commitments, and (z) such Issuing Bank’s Credit Exposure shall not exceed its Revolving Commitment;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Goldman Sachs Bank USA (or any of its Affiliates) is an Issuing Bank for the purposes of this Agreement only in respect of standby Letters of Credit.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65" w:name="page66"/>
    <w:bookmarkEnd w:id="65"/>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76" w:lineRule="exact"/>
        <w:rPr>
          <w:sz w:val="20"/>
          <w:szCs w:val="20"/>
          <w:color w:val="auto"/>
        </w:rPr>
      </w:pPr>
    </w:p>
    <w:p>
      <w:pPr>
        <w:ind w:right="40" w:firstLine="419"/>
        <w:spacing w:after="0" w:line="293" w:lineRule="auto"/>
        <w:tabs>
          <w:tab w:leader="none" w:pos="823"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 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 shall immediately Cash Collateralize the then Outstanding Amount of all L/C Exposure in accordance with Section 2.05(g)).</w:t>
      </w:r>
    </w:p>
    <w:p>
      <w:pPr>
        <w:spacing w:after="0" w:line="56" w:lineRule="exact"/>
        <w:rPr>
          <w:rFonts w:ascii="Arial" w:cs="Arial" w:eastAsia="Arial" w:hAnsi="Arial"/>
          <w:sz w:val="16"/>
          <w:szCs w:val="16"/>
          <w:color w:val="auto"/>
        </w:rPr>
      </w:pPr>
    </w:p>
    <w:p>
      <w:pPr>
        <w:ind w:left="860" w:hanging="441"/>
        <w:spacing w:after="0"/>
        <w:tabs>
          <w:tab w:leader="none" w:pos="8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Issuing Bank shall be under any obligation to issue any Letter of Credit if:</w:t>
      </w:r>
    </w:p>
    <w:p>
      <w:pPr>
        <w:spacing w:after="0" w:line="117" w:lineRule="exact"/>
        <w:rPr>
          <w:sz w:val="20"/>
          <w:szCs w:val="20"/>
          <w:color w:val="auto"/>
        </w:rPr>
      </w:pPr>
    </w:p>
    <w:p>
      <w:pPr>
        <w:ind w:firstLine="419"/>
        <w:spacing w:after="0" w:line="272" w:lineRule="auto"/>
        <w:tabs>
          <w:tab w:leader="none" w:pos="8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69" w:lineRule="exact"/>
        <w:rPr>
          <w:rFonts w:ascii="Arial" w:cs="Arial" w:eastAsia="Arial" w:hAnsi="Arial"/>
          <w:sz w:val="17"/>
          <w:szCs w:val="17"/>
          <w:color w:val="auto"/>
        </w:rPr>
      </w:pPr>
    </w:p>
    <w:p>
      <w:pPr>
        <w:ind w:left="840" w:hanging="421"/>
        <w:spacing w:after="0"/>
        <w:tabs>
          <w:tab w:leader="none" w:pos="8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 credit generally;</w:t>
      </w:r>
    </w:p>
    <w:p>
      <w:pPr>
        <w:spacing w:after="0" w:line="140" w:lineRule="exact"/>
        <w:rPr>
          <w:rFonts w:ascii="Arial" w:cs="Arial" w:eastAsia="Arial" w:hAnsi="Arial"/>
          <w:sz w:val="16"/>
          <w:szCs w:val="16"/>
          <w:color w:val="auto"/>
        </w:rPr>
      </w:pPr>
    </w:p>
    <w:p>
      <w:pPr>
        <w:ind w:right="20" w:firstLine="419"/>
        <w:spacing w:after="0" w:line="277" w:lineRule="auto"/>
        <w:tabs>
          <w:tab w:leader="none" w:pos="8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in an initial stated amount less than $100,000, in the case of a commercial Letter of Credit, or $500,000, in the case of a standby Letter of Credit;</w:t>
      </w:r>
    </w:p>
    <w:p>
      <w:pPr>
        <w:spacing w:after="0" w:line="62" w:lineRule="exact"/>
        <w:rPr>
          <w:rFonts w:ascii="Arial" w:cs="Arial" w:eastAsia="Arial" w:hAnsi="Arial"/>
          <w:sz w:val="18"/>
          <w:szCs w:val="18"/>
          <w:color w:val="auto"/>
        </w:rPr>
      </w:pPr>
    </w:p>
    <w:p>
      <w:pPr>
        <w:ind w:right="540" w:firstLine="419"/>
        <w:spacing w:after="0" w:line="277" w:lineRule="auto"/>
        <w:tabs>
          <w:tab w:leader="none" w:pos="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Issuing Bank, such Letter of Credit is to be denominated in a currency other than Dollars or an Alternative Currency;</w:t>
      </w:r>
    </w:p>
    <w:p>
      <w:pPr>
        <w:spacing w:after="0" w:line="62" w:lineRule="exact"/>
        <w:rPr>
          <w:rFonts w:ascii="Arial" w:cs="Arial" w:eastAsia="Arial" w:hAnsi="Arial"/>
          <w:sz w:val="18"/>
          <w:szCs w:val="18"/>
          <w:color w:val="auto"/>
        </w:rPr>
      </w:pPr>
    </w:p>
    <w:p>
      <w:pPr>
        <w:ind w:left="820" w:hanging="401"/>
        <w:spacing w:after="0"/>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Issuing Bank does not as of the issuance date of such requested Letter of Credit issue Letters of Credit in the requested currency;</w:t>
      </w:r>
    </w:p>
    <w:p>
      <w:pPr>
        <w:spacing w:after="0" w:line="140" w:lineRule="exact"/>
        <w:rPr>
          <w:rFonts w:ascii="Arial" w:cs="Arial" w:eastAsia="Arial" w:hAnsi="Arial"/>
          <w:sz w:val="16"/>
          <w:szCs w:val="16"/>
          <w:color w:val="auto"/>
        </w:rPr>
      </w:pPr>
    </w:p>
    <w:p>
      <w:pPr>
        <w:ind w:left="820" w:hanging="401"/>
        <w:spacing w:after="0"/>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 or</w:t>
      </w:r>
    </w:p>
    <w:p>
      <w:pPr>
        <w:spacing w:after="0" w:line="16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20"/>
          </w:cols>
          <w:pgMar w:left="880" w:top="274" w:right="499" w:bottom="1440" w:gutter="0" w:footer="0" w:header="0"/>
        </w:sectPr>
      </w:pPr>
    </w:p>
    <w:bookmarkStart w:id="66" w:name="page67"/>
    <w:bookmarkEnd w:id="66"/>
    <w:p>
      <w:pPr>
        <w:ind w:right="480" w:firstLine="419"/>
        <w:spacing w:after="0" w:line="311" w:lineRule="auto"/>
        <w:tabs>
          <w:tab w:leader="none" w:pos="853"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default of any Revolving Lender’s obligations to fund under Section 2.05(c) exists or any Revolving Lender is at such time a Defaulting Lender hereunder, unless such Issuing Bank has entered into satisfactory arrangements (in such Issuing Bank’s sole and absolute discretion) with the Borrower or such Revolving Lender to eliminate such Issuing Bank’s risk with respect to such Revolving Lender.</w:t>
      </w:r>
    </w:p>
    <w:p>
      <w:pPr>
        <w:spacing w:after="0" w:line="41" w:lineRule="exact"/>
        <w:rPr>
          <w:sz w:val="20"/>
          <w:szCs w:val="20"/>
          <w:color w:val="auto"/>
        </w:rPr>
      </w:pPr>
    </w:p>
    <w:p>
      <w:pPr>
        <w:ind w:right="300" w:firstLine="419"/>
        <w:spacing w:after="0" w:line="277" w:lineRule="auto"/>
        <w:tabs>
          <w:tab w:leader="none" w:pos="8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Issuing Bank shall amend any Letter of Credit if such Issuing Bank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right="40" w:firstLine="419"/>
        <w:spacing w:after="0" w:line="263" w:lineRule="auto"/>
        <w:tabs>
          <w:tab w:leader="none" w:pos="8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75" w:lineRule="exact"/>
        <w:rPr>
          <w:rFonts w:ascii="Arial" w:cs="Arial" w:eastAsia="Arial" w:hAnsi="Arial"/>
          <w:sz w:val="18"/>
          <w:szCs w:val="18"/>
          <w:color w:val="auto"/>
        </w:rPr>
      </w:pPr>
    </w:p>
    <w:p>
      <w:pPr>
        <w:ind w:right="20" w:firstLine="419"/>
        <w:spacing w:after="0" w:line="296" w:lineRule="auto"/>
        <w:tabs>
          <w:tab w:leader="none" w:pos="86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pacing w:after="0" w:line="269" w:lineRule="exact"/>
        <w:rPr>
          <w:sz w:val="20"/>
          <w:szCs w:val="20"/>
          <w:color w:val="auto"/>
        </w:rPr>
      </w:pPr>
    </w:p>
    <w:p>
      <w:pPr>
        <w:ind w:left="940" w:hanging="393"/>
        <w:spacing w:after="0"/>
        <w:tabs>
          <w:tab w:leader="none" w:pos="94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19"/>
        <w:spacing w:after="0" w:line="287" w:lineRule="auto"/>
        <w:tabs>
          <w:tab w:leader="none" w:pos="773"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40"/>
          </w:cols>
          <w:pgMar w:left="880" w:top="274" w:right="479" w:bottom="1440" w:gutter="0" w:footer="0" w:header="0"/>
        </w:sectPr>
      </w:pPr>
    </w:p>
    <w:bookmarkStart w:id="67" w:name="page68"/>
    <w:bookmarkEnd w:id="67"/>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 as the applicable Issuing Bank may require. Additionally, the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76" w:lineRule="exact"/>
        <w:rPr>
          <w:sz w:val="20"/>
          <w:szCs w:val="20"/>
          <w:color w:val="auto"/>
        </w:rPr>
      </w:pPr>
    </w:p>
    <w:p>
      <w:pPr>
        <w:ind w:firstLine="419"/>
        <w:spacing w:after="0" w:line="288" w:lineRule="auto"/>
        <w:tabs>
          <w:tab w:leader="none" w:pos="823"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pacing w:after="0" w:line="60" w:lineRule="exact"/>
        <w:rPr>
          <w:rFonts w:ascii="Arial" w:cs="Arial" w:eastAsia="Arial" w:hAnsi="Arial"/>
          <w:sz w:val="16"/>
          <w:szCs w:val="16"/>
          <w:color w:val="auto"/>
        </w:rPr>
      </w:pPr>
    </w:p>
    <w:p>
      <w:pPr>
        <w:ind w:firstLine="419"/>
        <w:spacing w:after="0" w:line="286" w:lineRule="auto"/>
        <w:tabs>
          <w:tab w:leader="none" w:pos="873"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Issuing Bank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Issuing Bank, the Borrower shall not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Issuing Bank shall permit any such extension if (A) such Issuing Bank has determined that it would not be permitted at such time to issue such Letter of Credit in its revised form (as extended) under the terms hereof (by reason of the provisions of clause (ii) or (iii) of Section 2.05(a) or otherwise), or (B) it has received notice (which may be by telephone or in writing) on or before the day that is ten Business Days before the Non-Extension Notice Date (1) from the Administrative Agent that the Required Lenders have elected not to permit such extension or (2) from the Administrative Agent, or any Revolving Lender or the Borrower that one or more of the applicable conditions specified in Section 4.01 or Section 4.02, as applicable, is not then satisfied, and in each such case directing such Issuing Bank not to permit such extension.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60"/>
          </w:cols>
          <w:pgMar w:left="880" w:top="274" w:right="459" w:bottom="1440" w:gutter="0" w:footer="0" w:header="0"/>
        </w:sectPr>
      </w:pPr>
    </w:p>
    <w:bookmarkStart w:id="68" w:name="page69"/>
    <w:bookmarkEnd w:id="68"/>
    <w:p>
      <w:pPr>
        <w:ind w:firstLine="419"/>
        <w:spacing w:after="0" w:line="263" w:lineRule="auto"/>
        <w:tabs>
          <w:tab w:leader="none" w:pos="863"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291" w:lineRule="exact"/>
        <w:rPr>
          <w:rFonts w:ascii="Arial" w:cs="Arial" w:eastAsia="Arial" w:hAnsi="Arial"/>
          <w:sz w:val="18"/>
          <w:szCs w:val="18"/>
          <w:color w:val="auto"/>
        </w:rPr>
      </w:pPr>
    </w:p>
    <w:p>
      <w:pPr>
        <w:ind w:left="920" w:hanging="373"/>
        <w:spacing w:after="0"/>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sz w:val="20"/>
          <w:szCs w:val="20"/>
          <w:color w:val="auto"/>
        </w:rPr>
      </w:pPr>
    </w:p>
    <w:p>
      <w:pPr>
        <w:ind w:firstLine="419"/>
        <w:spacing w:after="0" w:line="284" w:lineRule="auto"/>
        <w:tabs>
          <w:tab w:leader="none" w:pos="773"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applicable Issuing Bank shall notify the Borrower and the Administrative Agent thereof. In the case of a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an Alternative Currency, the applicable Issuing Bank shall notify the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 Dollar amount paid by the Borrower on the date of payment by the Borrower (whether on or after the Honor Date) shall not be adequate on the date of such payment to purchase in accordance with normal banking procedures a sum denominated in the Alternative Currency equal to the drawing, the Borrower agrees, as a separate and independent obligation, to indemnify the applicable Issuing Bank for the loss resulting from its inability on that date to purchase the Alternative Currency in the full amount of the drawing. If the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Lender’s Applicable Percentage thereof. In such event, the Borrower shall be deemed to have requested a Borrowing of Base Rate Loans to be disbursed on the Business Day following the Honor Date in an amount equal to the Unreimbursed Amount, without regard to the minimum and multiples specified in Section 2.02 for the principal amount of Base Rate Loans, but subject to the amount of the unutilized portion of the Revolving Commitments and the conditions set forth in Section 4.01 or Section 4.02, as applicable (other than the delivery of a Borrowing Request). Any notice given by the applicable Issuing Bank or the Administrative Agent pursuant to this Section 2.05(c)(i)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60"/>
          </w:cols>
          <w:pgMar w:left="880" w:top="274" w:right="459" w:bottom="1440" w:gutter="0" w:footer="0" w:header="0"/>
        </w:sectPr>
      </w:pPr>
    </w:p>
    <w:bookmarkStart w:id="69" w:name="page70"/>
    <w:bookmarkEnd w:id="69"/>
    <w:p>
      <w:pPr>
        <w:ind w:left="4" w:firstLine="419"/>
        <w:spacing w:after="0" w:line="255" w:lineRule="auto"/>
        <w:tabs>
          <w:tab w:leader="none" w:pos="826"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Borrower in such amount. The Administrative Agent shall remit the funds so received to the applicable Issuing Bank in Dollars.</w:t>
      </w:r>
    </w:p>
    <w:p>
      <w:pPr>
        <w:spacing w:after="0" w:line="84" w:lineRule="exact"/>
        <w:rPr>
          <w:rFonts w:ascii="Arial" w:cs="Arial" w:eastAsia="Arial" w:hAnsi="Arial"/>
          <w:sz w:val="18"/>
          <w:szCs w:val="18"/>
          <w:color w:val="auto"/>
        </w:rPr>
      </w:pPr>
    </w:p>
    <w:p>
      <w:pPr>
        <w:ind w:left="4" w:right="20" w:firstLine="419"/>
        <w:spacing w:after="0" w:line="290" w:lineRule="auto"/>
        <w:tabs>
          <w:tab w:leader="none" w:pos="876" w:val="left"/>
        </w:tabs>
        <w:numPr>
          <w:ilvl w:val="1"/>
          <w:numId w:val="54"/>
        </w:numPr>
        <w:rPr>
          <w:rFonts w:ascii="Arial" w:cs="Arial" w:eastAsia="Arial" w:hAnsi="Arial"/>
          <w:sz w:val="16"/>
          <w:szCs w:val="16"/>
          <w:color w:val="auto"/>
        </w:rPr>
      </w:pPr>
      <w:r>
        <w:rPr>
          <w:rFonts w:ascii="Arial" w:cs="Arial" w:eastAsia="Arial" w:hAnsi="Arial"/>
          <w:sz w:val="16"/>
          <w:szCs w:val="16"/>
          <w:color w:val="auto"/>
        </w:rPr>
        <w:t>If any drawing under any Letter of Credit is not reimbursed on the date of drawing, the Dollar Equivalent of the amount of such drawing shall accrue interest at the rate applicable to Base Rate Loans; provided that with respect to any Unreimbursed Amount in respect of a Letter of Credit that is not fully refinanced by a Revolving Borrowing of Base Rate Loans because the conditions set forth in Section 4.01 or Section 4.02, as applicable,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57" w:lineRule="exact"/>
        <w:rPr>
          <w:rFonts w:ascii="Arial" w:cs="Arial" w:eastAsia="Arial" w:hAnsi="Arial"/>
          <w:sz w:val="16"/>
          <w:szCs w:val="16"/>
          <w:color w:val="auto"/>
        </w:rPr>
      </w:pPr>
    </w:p>
    <w:p>
      <w:pPr>
        <w:ind w:left="4" w:right="20" w:firstLine="419"/>
        <w:spacing w:after="0" w:line="263" w:lineRule="auto"/>
        <w:tabs>
          <w:tab w:leader="none" w:pos="8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pacing w:after="0" w:line="75" w:lineRule="exact"/>
        <w:rPr>
          <w:rFonts w:ascii="Arial" w:cs="Arial" w:eastAsia="Arial" w:hAnsi="Arial"/>
          <w:sz w:val="18"/>
          <w:szCs w:val="18"/>
          <w:color w:val="auto"/>
        </w:rPr>
      </w:pPr>
    </w:p>
    <w:p>
      <w:pPr>
        <w:ind w:left="4" w:right="160" w:firstLine="419"/>
        <w:spacing w:after="0" w:line="286" w:lineRule="auto"/>
        <w:tabs>
          <w:tab w:leader="none" w:pos="816" w:val="left"/>
        </w:tabs>
        <w:numPr>
          <w:ilvl w:val="1"/>
          <w:numId w:val="54"/>
        </w:numPr>
        <w:rPr>
          <w:rFonts w:ascii="Arial" w:cs="Arial" w:eastAsia="Arial" w:hAnsi="Arial"/>
          <w:sz w:val="16"/>
          <w:szCs w:val="16"/>
          <w:color w:val="auto"/>
        </w:rPr>
      </w:pPr>
      <w:r>
        <w:rPr>
          <w:rFonts w:ascii="Arial" w:cs="Arial" w:eastAsia="Arial" w:hAnsi="Arial"/>
          <w:sz w:val="16"/>
          <w:szCs w:val="16"/>
          <w:color w:val="auto"/>
        </w:rPr>
        <w:t>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the Borrower, any Subsidiary or any other Person for any reason whatsoever; (B) the occurrence or continuance of a Default, or</w:t>
      </w:r>
    </w:p>
    <w:p>
      <w:pPr>
        <w:spacing w:after="0" w:line="1" w:lineRule="exact"/>
        <w:rPr>
          <w:rFonts w:ascii="Arial" w:cs="Arial" w:eastAsia="Arial" w:hAnsi="Arial"/>
          <w:sz w:val="16"/>
          <w:szCs w:val="16"/>
          <w:color w:val="auto"/>
        </w:rPr>
      </w:pPr>
    </w:p>
    <w:p>
      <w:pPr>
        <w:ind w:left="4" w:hanging="4"/>
        <w:spacing w:after="0" w:line="253" w:lineRule="auto"/>
        <w:tabs>
          <w:tab w:leader="none" w:pos="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Lender’s obligation to make Revolving Loans pursuant to this Section 2.05(c) is subject to the conditions set forth in Section 4.01 or Section 4.02, as applicable (other than delivery by the Borrower of a Borrowing Request). No such making of an L/C Advance shall relieve or otherwise impair the obligation of the Borrower to reimburse an Issuing Bank for the amount of any payment made by such Issuing Bank under any Letter of Credit, together with interest as provided herein.</w:t>
      </w:r>
    </w:p>
    <w:p>
      <w:pPr>
        <w:spacing w:after="0" w:line="82" w:lineRule="exact"/>
        <w:rPr>
          <w:rFonts w:ascii="Arial" w:cs="Arial" w:eastAsia="Arial" w:hAnsi="Arial"/>
          <w:sz w:val="18"/>
          <w:szCs w:val="18"/>
          <w:color w:val="auto"/>
        </w:rPr>
      </w:pPr>
    </w:p>
    <w:p>
      <w:pPr>
        <w:ind w:left="4" w:right="140" w:firstLine="419"/>
        <w:spacing w:after="0" w:line="277" w:lineRule="auto"/>
        <w:tabs>
          <w:tab w:leader="none" w:pos="866"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any Revolving Lender fails to make available to the Administrative Agent for the account of an Issuing Bank any amount required to be paid by such Revolving</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64"/>
          </w:cols>
          <w:pgMar w:left="876" w:top="274" w:right="459" w:bottom="1440" w:gutter="0" w:footer="0" w:header="0"/>
        </w:sectPr>
      </w:pPr>
    </w:p>
    <w:bookmarkStart w:id="70" w:name="page71"/>
    <w:bookmarkEnd w:id="70"/>
    <w:p>
      <w:pPr>
        <w:ind w:left="44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pursuant to the foregoing provisions of this Section 2.05(c) by the time specified in Section 2.05(c)(ii),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If such Revolving Lender pays such amount (with interest and fees as aforesaid), the amount so paid shall constitute such Revolving Lender’s Revolving Loan included in the relevant Borrowing or L/C Advance in respect of the relevant L/C Borrowing, as the case may be. A certificate of an Issuing Bank submitted to any Lender (through the Administrative Agent) with respect to any amounts owing under this clause (vi) shall be conclusive absent manifest error.</w:t>
      </w:r>
    </w:p>
    <w:p>
      <w:pPr>
        <w:spacing w:after="0" w:line="304" w:lineRule="exact"/>
        <w:rPr>
          <w:sz w:val="20"/>
          <w:szCs w:val="20"/>
          <w:color w:val="auto"/>
        </w:rPr>
      </w:pPr>
    </w:p>
    <w:p>
      <w:pPr>
        <w:ind w:left="1380" w:hanging="393"/>
        <w:spacing w:after="0"/>
        <w:tabs>
          <w:tab w:leader="none" w:pos="138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96" w:lineRule="auto"/>
        <w:tabs>
          <w:tab w:leader="none" w:pos="12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53" w:lineRule="exact"/>
        <w:rPr>
          <w:rFonts w:ascii="Arial" w:cs="Arial" w:eastAsia="Arial" w:hAnsi="Arial"/>
          <w:sz w:val="16"/>
          <w:szCs w:val="16"/>
          <w:color w:val="auto"/>
        </w:rPr>
      </w:pPr>
    </w:p>
    <w:p>
      <w:pPr>
        <w:ind w:left="440" w:firstLine="419"/>
        <w:spacing w:after="0" w:line="273" w:lineRule="auto"/>
        <w:tabs>
          <w:tab w:leader="none" w:pos="126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Issuing Bank pursuant to Section 2.05(d)(i)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77" w:lineRule="exact"/>
        <w:rPr>
          <w:rFonts w:ascii="Arial" w:cs="Arial" w:eastAsia="Arial" w:hAnsi="Arial"/>
          <w:sz w:val="17"/>
          <w:szCs w:val="17"/>
          <w:color w:val="auto"/>
        </w:rPr>
      </w:pPr>
    </w:p>
    <w:p>
      <w:pPr>
        <w:ind w:right="80" w:firstLine="987"/>
        <w:spacing w:after="0" w:line="272" w:lineRule="auto"/>
        <w:tabs>
          <w:tab w:leader="none" w:pos="1371"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obligation of the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Issuing Bank or any other Person, whether in connection with this Agreement, the transactions contemplated hereby or by such Letter of Credit or any agreement or instrument relating thereto,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1" w:name="page72"/>
    <w:bookmarkEnd w:id="71"/>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such Issuing Bank’s protection and not the protection of any Loan Party or any Subsidiary or any waiver by any Issuing Bank which does not in fact materially prejudice the Borrower;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w:t>
      </w:r>
    </w:p>
    <w:p>
      <w:pPr>
        <w:spacing w:after="0" w:line="190" w:lineRule="exact"/>
        <w:rPr>
          <w:sz w:val="20"/>
          <w:szCs w:val="20"/>
          <w:color w:val="auto"/>
        </w:rPr>
      </w:pPr>
    </w:p>
    <w:p>
      <w:pPr>
        <w:ind w:left="4" w:right="100" w:firstLine="987"/>
        <w:spacing w:after="0" w:line="284" w:lineRule="auto"/>
        <w:tabs>
          <w:tab w:leader="none" w:pos="135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Role of Issuing Banks</w:t>
      </w:r>
      <w:r>
        <w:rPr>
          <w:rFonts w:ascii="Arial" w:cs="Arial" w:eastAsia="Arial" w:hAnsi="Arial"/>
          <w:sz w:val="16"/>
          <w:szCs w:val="16"/>
          <w:color w:val="auto"/>
        </w:rPr>
        <w:t>. Each Revolving Lender and the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4" w:lineRule="exact"/>
        <w:rPr>
          <w:rFonts w:ascii="Arial" w:cs="Arial" w:eastAsia="Arial" w:hAnsi="Arial"/>
          <w:sz w:val="16"/>
          <w:szCs w:val="16"/>
          <w:color w:val="auto"/>
        </w:rPr>
      </w:pPr>
    </w:p>
    <w:p>
      <w:pPr>
        <w:ind w:left="4" w:right="240" w:hanging="4"/>
        <w:spacing w:after="0" w:line="281" w:lineRule="auto"/>
        <w:tabs>
          <w:tab w:leader="none" w:pos="3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w:t>
      </w:r>
    </w:p>
    <w:p>
      <w:pPr>
        <w:spacing w:after="0" w:line="2" w:lineRule="exact"/>
        <w:rPr>
          <w:rFonts w:ascii="Arial" w:cs="Arial" w:eastAsia="Arial" w:hAnsi="Arial"/>
          <w:sz w:val="16"/>
          <w:szCs w:val="16"/>
          <w:color w:val="auto"/>
        </w:rPr>
      </w:pPr>
    </w:p>
    <w:p>
      <w:pPr>
        <w:ind w:left="4" w:right="340" w:hanging="4"/>
        <w:spacing w:after="0" w:line="260" w:lineRule="auto"/>
        <w:tabs>
          <w:tab w:leader="none" w:pos="2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through (ix) of Section 2.05(e);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Borrower may have a claim against any Issuing Bank,</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72" w:name="page73"/>
    <w:bookmarkEnd w:id="72"/>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293" w:lineRule="exact"/>
        <w:rPr>
          <w:sz w:val="20"/>
          <w:szCs w:val="20"/>
          <w:color w:val="auto"/>
        </w:rPr>
      </w:pPr>
    </w:p>
    <w:p>
      <w:pPr>
        <w:ind w:left="1384" w:hanging="393"/>
        <w:spacing w:after="0"/>
        <w:tabs>
          <w:tab w:leader="none" w:pos="1384"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60" w:firstLine="419"/>
        <w:spacing w:after="0" w:line="259" w:lineRule="auto"/>
        <w:tabs>
          <w:tab w:leader="none" w:pos="1217"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the Borrower shall, in each case, immediately Cash Collateralize the then Outstanding Amount of all L/C Exposure attributable to the Letters of Credit issued for the benefit of the Borrower.</w:t>
      </w:r>
    </w:p>
    <w:p>
      <w:pPr>
        <w:spacing w:after="0" w:line="78" w:lineRule="exact"/>
        <w:rPr>
          <w:rFonts w:ascii="Arial" w:cs="Arial" w:eastAsia="Arial" w:hAnsi="Arial"/>
          <w:sz w:val="18"/>
          <w:szCs w:val="18"/>
          <w:color w:val="auto"/>
        </w:rPr>
      </w:pPr>
    </w:p>
    <w:p>
      <w:pPr>
        <w:ind w:left="1264" w:hanging="401"/>
        <w:spacing w:after="0"/>
        <w:tabs>
          <w:tab w:leader="none" w:pos="12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4" w:right="240" w:firstLine="419"/>
        <w:spacing w:after="0" w:line="277" w:lineRule="auto"/>
        <w:tabs>
          <w:tab w:leader="none" w:pos="13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30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event of an Event of Default, upon the request of the Required Lenders, the Borrower shall immediately Cash Collateralize the then L/C Exposure of all Revolving Lenders.</w:t>
      </w:r>
    </w:p>
    <w:p>
      <w:pPr>
        <w:spacing w:after="0" w:line="170" w:lineRule="exact"/>
        <w:rPr>
          <w:rFonts w:ascii="Arial" w:cs="Arial" w:eastAsia="Arial" w:hAnsi="Arial"/>
          <w:sz w:val="18"/>
          <w:szCs w:val="18"/>
          <w:color w:val="auto"/>
        </w:rPr>
      </w:pPr>
    </w:p>
    <w:p>
      <w:pPr>
        <w:ind w:left="4" w:right="60" w:firstLine="987"/>
        <w:spacing w:after="0" w:line="291" w:lineRule="auto"/>
        <w:tabs>
          <w:tab w:leader="none" w:pos="1385"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Issuing Banks and the Borrower when a Letter of Credit is issued (including any such agreement applicable to an Existing Letter of Credit), (i) the rules of the ISP shall apply to each standby Letter of Credit, and</w:t>
      </w:r>
    </w:p>
    <w:p>
      <w:pPr>
        <w:ind w:left="4" w:right="140" w:hanging="4"/>
        <w:spacing w:after="0" w:line="290" w:lineRule="auto"/>
        <w:tabs>
          <w:tab w:leader="none" w:pos="26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each Issuing Bank’s rights and remedies against the Borrower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73" w:name="page74"/>
    <w:bookmarkEnd w:id="73"/>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Letter of Credit or this Agreement, including the Law or any order of a jurisdiction where such Issuing Bank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7" w:lineRule="exact"/>
        <w:rPr>
          <w:sz w:val="20"/>
          <w:szCs w:val="20"/>
          <w:color w:val="auto"/>
        </w:rPr>
      </w:pPr>
    </w:p>
    <w:p>
      <w:pPr>
        <w:ind w:right="380" w:firstLine="987"/>
        <w:spacing w:after="0" w:line="277" w:lineRule="auto"/>
        <w:tabs>
          <w:tab w:leader="none" w:pos="134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ind w:right="20" w:firstLine="987"/>
        <w:spacing w:after="0" w:line="301" w:lineRule="auto"/>
        <w:tabs>
          <w:tab w:leader="none" w:pos="134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 or the Borrower</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57" w:lineRule="exact"/>
        <w:rPr>
          <w:rFonts w:ascii="Arial" w:cs="Arial" w:eastAsia="Arial" w:hAnsi="Arial"/>
          <w:sz w:val="16"/>
          <w:szCs w:val="16"/>
          <w:color w:val="auto"/>
        </w:rPr>
      </w:pPr>
    </w:p>
    <w:p>
      <w:pPr>
        <w:ind w:right="120" w:firstLine="987"/>
        <w:spacing w:after="0" w:line="287" w:lineRule="auto"/>
        <w:tabs>
          <w:tab w:leader="none" w:pos="1381"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Release of Lenders’ Obligations</w:t>
      </w:r>
      <w:r>
        <w:rPr>
          <w:rFonts w:ascii="Arial" w:cs="Arial" w:eastAsia="Arial" w:hAnsi="Arial"/>
          <w:sz w:val="16"/>
          <w:szCs w:val="16"/>
          <w:color w:val="auto"/>
        </w:rPr>
        <w:t xml:space="preserve">. Notwithstanding anything to the contrary contained herein or in any other Loan Document, in the event that (i) an Issuing Bank shall have issued, in accordance with Section 2.05(a)(ii)(B), a Letter of Credit with an expiry date occurring after the Letter of Credit Expiration Date and (ii) the Borrower shall have Cash Collateralized the Outstanding Amount of all such L/C Exposure in respect of such Letter of Credit pursuant to </w:t>
      </w:r>
      <w:r>
        <w:rPr>
          <w:rFonts w:ascii="Arial" w:cs="Arial" w:eastAsia="Arial" w:hAnsi="Arial"/>
          <w:sz w:val="16"/>
          <w:szCs w:val="16"/>
          <w:u w:val="single" w:color="auto"/>
          <w:color w:val="auto"/>
        </w:rPr>
        <w:t>Section 2.05(g)</w:t>
      </w:r>
      <w:r>
        <w:rPr>
          <w:rFonts w:ascii="Arial" w:cs="Arial" w:eastAsia="Arial" w:hAnsi="Arial"/>
          <w:sz w:val="16"/>
          <w:szCs w:val="16"/>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such obligations of each Lender hereunder to the applicable Issuing Bank in respect of such Letter of Credit shall be revived if any Cash Collateral provided by the Borrower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280"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3" w:lineRule="auto"/>
        <w:tabs>
          <w:tab w:leader="none" w:pos="1371"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Each Lender shall make each Loan to be made by it hereunder on the proposed date thereof by wire transfer in Same Day Funds (i) 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2.04. The Administrative Agent will make such Loans available to the Borrower by promptly crediting the amounts so received, in like funds, to (x) an account designated by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4" w:name="page75"/>
    <w:bookmarkEnd w:id="74"/>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in the applicable Borrowing Request, in the case of Loans denominated in Dollars and (y) an account of the Borrower in the relevant jurisdiction and designated by the Borrower in the applicable Borrowing Request, in the case of Loans denominated in an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Base Rate Loans made to finance the reimbursement of an L/C Disbursement as provided in Section 2.05(c) shall be remitted by the Administrative Agent to the relevant Issuing Bank.</w:t>
      </w:r>
    </w:p>
    <w:p>
      <w:pPr>
        <w:spacing w:after="0" w:line="187" w:lineRule="exact"/>
        <w:rPr>
          <w:sz w:val="20"/>
          <w:szCs w:val="20"/>
          <w:color w:val="auto"/>
        </w:rPr>
      </w:pPr>
    </w:p>
    <w:p>
      <w:pPr>
        <w:ind w:right="20" w:firstLine="987"/>
        <w:spacing w:after="0" w:line="287" w:lineRule="auto"/>
        <w:tabs>
          <w:tab w:leader="none" w:pos="13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Market Disruption; Inability to Determine Rates</w:t>
      </w:r>
      <w:r>
        <w:rPr>
          <w:rFonts w:ascii="Arial" w:cs="Arial" w:eastAsia="Arial" w:hAnsi="Arial"/>
          <w:sz w:val="16"/>
          <w:szCs w:val="16"/>
          <w:color w:val="auto"/>
        </w:rPr>
        <w:t>. (a) Notwithstanding the satisfaction of all conditions referred to in Article II 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Alternative Currency Borrowings or Letters of Credit comprising such Credit Event to be denominated in the Alternative Currency specified by the Borrower or (ii) the Dollar Equivalent of such currency is not readily calculable, then the Administrative Agent shall forthwith give notice thereof to the Borrower, the Lenders and, if such Credit Event is a Letter of Credit, the relevant Issuing Bank, and such Credit Events shall not be denominated in such Alternative Currency but shall, except as otherwise set forth in Section 2.06, be made on the date of such Credit Event in Dollars, (a) if such Credit Event is a Borrowing, in an aggregate principal amount equal to the Dollar Equivalent of the aggregate principal amount specified in the related Borrowing Request or Interest Election Request, as the case may be, unless the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440" w:top="274" w:right="479" w:bottom="1440" w:gutter="0" w:footer="0" w:header="0"/>
        </w:sectPr>
      </w:pPr>
    </w:p>
    <w:bookmarkStart w:id="75" w:name="page76"/>
    <w:bookmarkEnd w:id="75"/>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Borrower notifies the Administrative Agent at least one (1) Business Day before such date that (i) it elects not to request the issuance of such 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77" w:lineRule="exact"/>
        <w:rPr>
          <w:sz w:val="20"/>
          <w:szCs w:val="20"/>
          <w:color w:val="auto"/>
        </w:rPr>
      </w:pPr>
    </w:p>
    <w:p>
      <w:pPr>
        <w:ind w:right="60" w:firstLine="987"/>
        <w:spacing w:after="0" w:line="286" w:lineRule="auto"/>
        <w:tabs>
          <w:tab w:leader="none" w:pos="13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in connection with any request for a Eurocurrency Loan or an Alternative Currency Loan or a conversion of Base Rate Loans to Eurocurrency Loans or a continuation of any of such Loans, as applicable, (i) the Administrative Agent determines (which determination shall be conclusive absent manifest error) that (A) no Benchmark Replacement or Successor Rate, as applicable, for the Relevant Rate for the applicable Agreed Currency has been determined in accordance with Section 2.07(c) or Section 2.07(d), as applicable, and the circumstances under clause (i) of</w:t>
      </w:r>
    </w:p>
    <w:p>
      <w:pPr>
        <w:spacing w:after="0" w:line="1"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Section 2.07(c) or the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Eurocurrency Loan or a proposed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of such Lenders of funding such Loan, the Administrative Agent will promptly notify the Borrower and each Lender. Thereafter, (x) the obligation of the Lenders to make or maintain Loans in the affected currencies, as applicable, or to convert Base Rate Loans to Eurocurrency Loans, shall be suspended in each case to the extent of the affected Alternative Currency Loans or Interest Period or determination date(s), as applicable,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clause (ii) of this Section 2.07(b), until the Administrative Agent upon instruction of the Required Lenders) revokes such notice. Upon receipt of such notice, (1) the Borrower may revoke any pending request for a Borrowing or, or conversion to, Eurocurrency Loans, or Borrowing of, or a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(2)(A) any outstanding LIBOR Daily Floating Rate Loans shall be deemed to have been converted to Base Rate Loans immediately and (B) any outstanding affected Alternative Currency Loans, at the Borrower’s election, shall either (I) be converted into a Borrowing of Base Rate Loans denominated in Dollars in the Dollar Equivalent of the amount of such outstanding Alternative Currency Loan immediately, in the case of an Alternative Currency Daily Rate Loan, or at the 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6" w:name="page77"/>
    <w:bookmarkEnd w:id="76"/>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applicable Interest Period, in the case of an Alternative Currency Term Rate Loan, or (II) be prepaid in full immediately, in the case of an Alternative Currency Daily Rate Loan, or at the end of the applicable Interest Period, in the case of an Alternative Currency Term Rate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election is made by the Borrower, (x) in the case of an Alternative Currency Daily Rate Loan, by the date that is three Business Days after receipt by the Borrower of such notice or (y) in the case of an Alternative Currency Term Rate Loan by the last day of the current Interest Period for such Alternative Currency Term Rate Loan, the Borrower shall be deemed to have elected clause (I) above.</w:t>
      </w:r>
    </w:p>
    <w:p>
      <w:pPr>
        <w:spacing w:after="0" w:line="176" w:lineRule="exact"/>
        <w:rPr>
          <w:sz w:val="20"/>
          <w:szCs w:val="20"/>
          <w:color w:val="auto"/>
        </w:rPr>
      </w:pPr>
    </w:p>
    <w:p>
      <w:pPr>
        <w:ind w:firstLine="987"/>
        <w:spacing w:after="0" w:line="259" w:lineRule="auto"/>
        <w:tabs>
          <w:tab w:leader="none" w:pos="137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 (x) for purposes of this Section 2.07(c), the term “Agreed Currency” shall not include Dollars and (y)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6" w:lineRule="exact"/>
        <w:rPr>
          <w:rFonts w:ascii="Arial" w:cs="Arial" w:eastAsia="Arial" w:hAnsi="Arial"/>
          <w:sz w:val="18"/>
          <w:szCs w:val="18"/>
          <w:color w:val="auto"/>
        </w:rPr>
      </w:pPr>
    </w:p>
    <w:p>
      <w:pPr>
        <w:ind w:right="140" w:firstLine="1428"/>
        <w:spacing w:after="0" w:line="263" w:lineRule="auto"/>
        <w:tabs>
          <w:tab w:leader="none" w:pos="1782" w:val="left"/>
        </w:tabs>
        <w:numPr>
          <w:ilvl w:val="1"/>
          <w:numId w:val="6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Relevant Rate for an Agreed Currency because none of the tenors of such Relevant Rate (including any forward-looking term rate thereof) is available or published on a current basis, and such circumstances are unlikely to be temporary, or</w:t>
      </w:r>
    </w:p>
    <w:p>
      <w:pPr>
        <w:spacing w:after="0" w:line="183" w:lineRule="exact"/>
        <w:rPr>
          <w:rFonts w:ascii="Arial" w:cs="Arial" w:eastAsia="Arial" w:hAnsi="Arial"/>
          <w:sz w:val="18"/>
          <w:szCs w:val="18"/>
          <w:color w:val="auto"/>
        </w:rPr>
      </w:pPr>
    </w:p>
    <w:p>
      <w:pPr>
        <w:ind w:right="20" w:firstLine="1428"/>
        <w:spacing w:after="0" w:line="293" w:lineRule="auto"/>
        <w:tabs>
          <w:tab w:leader="none" w:pos="1832"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Applicable Authority has made a public statement identifying a specific date after which all tenors of the Relevant Rate for an Agreed Currency (including any forward-looking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Arial" w:cs="Arial" w:eastAsia="Arial" w:hAnsi="Arial"/>
          <w:sz w:val="16"/>
          <w:szCs w:val="16"/>
          <w:u w:val="single" w:color="auto"/>
          <w:color w:val="auto"/>
        </w:rPr>
        <w:t>Scheduled Unavailability Date</w:t>
      </w:r>
      <w:r>
        <w:rPr>
          <w:rFonts w:ascii="Arial" w:cs="Arial" w:eastAsia="Arial" w:hAnsi="Arial"/>
          <w:sz w:val="16"/>
          <w:szCs w:val="16"/>
          <w:color w:val="auto"/>
        </w:rPr>
        <w:t>”); or</w:t>
      </w:r>
    </w:p>
    <w:p>
      <w:pPr>
        <w:spacing w:after="0" w:line="164" w:lineRule="exact"/>
        <w:rPr>
          <w:rFonts w:ascii="Arial" w:cs="Arial" w:eastAsia="Arial" w:hAnsi="Arial"/>
          <w:sz w:val="16"/>
          <w:szCs w:val="16"/>
          <w:color w:val="auto"/>
        </w:rPr>
      </w:pPr>
    </w:p>
    <w:p>
      <w:pPr>
        <w:ind w:right="800" w:firstLine="1428"/>
        <w:spacing w:after="0" w:line="277" w:lineRule="auto"/>
        <w:tabs>
          <w:tab w:leader="none" w:pos="1882" w:val="left"/>
        </w:tabs>
        <w:numPr>
          <w:ilvl w:val="1"/>
          <w:numId w:val="68"/>
        </w:numPr>
        <w:rPr>
          <w:rFonts w:ascii="Arial" w:cs="Arial" w:eastAsia="Arial" w:hAnsi="Arial"/>
          <w:sz w:val="18"/>
          <w:szCs w:val="18"/>
          <w:color w:val="auto"/>
        </w:rPr>
      </w:pPr>
      <w:r>
        <w:rPr>
          <w:rFonts w:ascii="Arial" w:cs="Arial" w:eastAsia="Arial" w:hAnsi="Arial"/>
          <w:sz w:val="18"/>
          <w:szCs w:val="18"/>
          <w:color w:val="auto"/>
        </w:rPr>
        <w:t>syndicated loans currently being executed and agented in the U.S. are being executed or amended (as applicable) to incorporate or adopt a new benchmark interest rate to replace the Relevant Rate for an Agreed Currency;</w:t>
      </w:r>
    </w:p>
    <w:p>
      <w:pPr>
        <w:spacing w:after="0" w:line="170"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or if the events or circumstances of the type described in Section 2.07(c)(i), (ii) or (iii)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Section 2.07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77" w:name="page78"/>
    <w:bookmarkEnd w:id="77"/>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Arial" w:cs="Arial" w:eastAsia="Arial" w:hAnsi="Arial"/>
          <w:sz w:val="16"/>
          <w:szCs w:val="16"/>
          <w:u w:val="single" w:color="auto"/>
          <w:color w:val="auto"/>
        </w:rPr>
        <w:t>Successor Rate</w:t>
      </w:r>
      <w:r>
        <w:rPr>
          <w:rFonts w:ascii="Arial" w:cs="Arial" w:eastAsia="Arial" w:hAnsi="Arial"/>
          <w:sz w:val="16"/>
          <w:szCs w:val="16"/>
          <w:color w:val="auto"/>
        </w:rPr>
        <w:t xml:space="preserve">”),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The Administrative Agent will promptly (in one or more notices) notify the Borrower and each Lender of the implementation of any Successor Rate. Any Successor Rate shall be applied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zero percent (0%), the Successor Rate will be deemed to be zero percent (0%) for the purposes of this Agreement and the other Loan Documents. 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68" w:lineRule="exact"/>
        <w:rPr>
          <w:sz w:val="20"/>
          <w:szCs w:val="20"/>
          <w:color w:val="auto"/>
        </w:rPr>
      </w:pPr>
    </w:p>
    <w:p>
      <w:pPr>
        <w:ind w:left="1380" w:hanging="393"/>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Loan Document:</w:t>
      </w:r>
    </w:p>
    <w:p>
      <w:pPr>
        <w:spacing w:after="0" w:line="225" w:lineRule="exact"/>
        <w:rPr>
          <w:rFonts w:ascii="Arial" w:cs="Arial" w:eastAsia="Arial" w:hAnsi="Arial"/>
          <w:sz w:val="18"/>
          <w:szCs w:val="18"/>
          <w:color w:val="auto"/>
        </w:rPr>
      </w:pPr>
    </w:p>
    <w:p>
      <w:pPr>
        <w:ind w:firstLine="1428"/>
        <w:spacing w:after="0" w:line="290" w:lineRule="auto"/>
        <w:tabs>
          <w:tab w:leader="none" w:pos="1782" w:val="left"/>
        </w:tabs>
        <w:numPr>
          <w:ilvl w:val="1"/>
          <w:numId w:val="69"/>
        </w:numPr>
        <w:rPr>
          <w:rFonts w:ascii="Arial" w:cs="Arial" w:eastAsia="Arial" w:hAnsi="Arial"/>
          <w:sz w:val="16"/>
          <w:szCs w:val="16"/>
          <w:color w:val="auto"/>
        </w:rPr>
      </w:pPr>
      <w:r>
        <w:rPr>
          <w:rFonts w:ascii="Arial" w:cs="Arial" w:eastAsia="Arial" w:hAnsi="Arial"/>
          <w:sz w:val="16"/>
          <w:szCs w:val="16"/>
          <w:color w:val="auto"/>
        </w:rPr>
        <w:t>On March 5, 2021 the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the regulatory supervisor of LIBOR’s administrator (“</w:t>
      </w:r>
      <w:r>
        <w:rPr>
          <w:rFonts w:ascii="Arial" w:cs="Arial" w:eastAsia="Arial" w:hAnsi="Arial"/>
          <w:sz w:val="16"/>
          <w:szCs w:val="16"/>
          <w:u w:val="single" w:color="auto"/>
          <w:color w:val="auto"/>
        </w:rPr>
        <w:t>IBA</w:t>
      </w:r>
      <w:r>
        <w:rPr>
          <w:rFonts w:ascii="Arial" w:cs="Arial" w:eastAsia="Arial" w:hAnsi="Arial"/>
          <w:sz w:val="16"/>
          <w:szCs w:val="16"/>
          <w:color w:val="auto"/>
        </w:rPr>
        <w:t>”), announced in a public statement the future cessation or loss of representativeness of overnight/Spot Next, 1-week, 1-month, 2-month, 3-month, 6-month and 12-month U.S. dollar LIBOR tenor settings. On the earliest of (A) the date that all Available Tenors of U.S. dollar LIBOR have permanently or indefinitely ceased to be provided by IBA or have been announced by the FCA pursuant to public statement or publication of information to be no longer representative, (B) June 30, 2023 and (C) the Early Opt-in Effective Date in respect of a SOFR Early Opt-in,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monthly basis.</w:t>
      </w:r>
    </w:p>
    <w:p>
      <w:pPr>
        <w:spacing w:after="0" w:line="165" w:lineRule="exact"/>
        <w:rPr>
          <w:rFonts w:ascii="Arial" w:cs="Arial" w:eastAsia="Arial" w:hAnsi="Arial"/>
          <w:sz w:val="16"/>
          <w:szCs w:val="16"/>
          <w:color w:val="auto"/>
        </w:rPr>
      </w:pPr>
    </w:p>
    <w:p>
      <w:pPr>
        <w:jc w:val="both"/>
        <w:ind w:right="40" w:firstLine="1428"/>
        <w:spacing w:after="0" w:line="287" w:lineRule="auto"/>
        <w:tabs>
          <w:tab w:leader="none" w:pos="1832" w:val="left"/>
        </w:tabs>
        <w:numPr>
          <w:ilvl w:val="1"/>
          <w:numId w:val="69"/>
        </w:numPr>
        <w:rPr>
          <w:rFonts w:ascii="Arial" w:cs="Arial" w:eastAsia="Arial" w:hAnsi="Arial"/>
          <w:sz w:val="16"/>
          <w:szCs w:val="16"/>
          <w:color w:val="auto"/>
        </w:rPr>
      </w:pPr>
      <w:r>
        <w:rPr>
          <w:rFonts w:ascii="Arial" w:cs="Arial" w:eastAsia="Arial" w:hAnsi="Arial"/>
          <w:sz w:val="16"/>
          <w:szCs w:val="16"/>
          <w:color w:val="auto"/>
        </w:rPr>
        <w:t>(x) Upon (A) the occurrence of a Benchmark Transition Event or (B) a determination by the Administrative Agent that neither of the alternatives under clause (1) of the definition of Benchmark Replacement are available, the Benchmark Replacement will replace the then-current Benchmark for all purposes hereunder and under any Loan Document in respect of any Benchmark setting at or after 5:00 p.m. on the fifth (5</w:t>
      </w:r>
      <w:r>
        <w:rPr>
          <w:rFonts w:ascii="Arial" w:cs="Arial" w:eastAsia="Arial" w:hAnsi="Arial"/>
          <w:sz w:val="13"/>
          <w:szCs w:val="13"/>
          <w:color w:val="auto"/>
        </w:rPr>
        <w:t>th</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in the event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8" w:name="page79"/>
    <w:bookmarkEnd w:id="78"/>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then-current Benchmark at the time of such Benchmark Transition Event is not a SOFR-based rate, the Benchmark Replacement therefor shall be determined in accordance with clause (1) of the definition of Benchmark Replacement unless the Administrative Agent determines that neither of such alternative rates is available. (y) 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61" w:lineRule="exact"/>
        <w:rPr>
          <w:sz w:val="20"/>
          <w:szCs w:val="20"/>
          <w:color w:val="auto"/>
        </w:rPr>
      </w:pPr>
    </w:p>
    <w:p>
      <w:pPr>
        <w:ind w:right="40" w:firstLine="1428"/>
        <w:spacing w:after="0" w:line="271" w:lineRule="auto"/>
        <w:tabs>
          <w:tab w:leader="none" w:pos="1872" w:val="left"/>
        </w:tabs>
        <w:numPr>
          <w:ilvl w:val="0"/>
          <w:numId w:val="70"/>
        </w:numPr>
        <w:rPr>
          <w:rFonts w:ascii="Arial" w:cs="Arial" w:eastAsia="Arial" w:hAnsi="Arial"/>
          <w:sz w:val="17"/>
          <w:szCs w:val="17"/>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78" w:lineRule="exact"/>
        <w:rPr>
          <w:rFonts w:ascii="Arial" w:cs="Arial" w:eastAsia="Arial" w:hAnsi="Arial"/>
          <w:sz w:val="17"/>
          <w:szCs w:val="17"/>
          <w:color w:val="auto"/>
        </w:rPr>
      </w:pPr>
    </w:p>
    <w:p>
      <w:pPr>
        <w:jc w:val="both"/>
        <w:ind w:right="100" w:firstLine="1428"/>
        <w:spacing w:after="0" w:line="259" w:lineRule="auto"/>
        <w:tabs>
          <w:tab w:leader="none" w:pos="18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connection with the implementation and administration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86" w:lineRule="exact"/>
        <w:rPr>
          <w:rFonts w:ascii="Arial" w:cs="Arial" w:eastAsia="Arial" w:hAnsi="Arial"/>
          <w:sz w:val="18"/>
          <w:szCs w:val="18"/>
          <w:color w:val="auto"/>
        </w:rPr>
      </w:pPr>
    </w:p>
    <w:p>
      <w:pPr>
        <w:ind w:firstLine="1428"/>
        <w:spacing w:after="0" w:line="255" w:lineRule="auto"/>
        <w:tabs>
          <w:tab w:leader="none" w:pos="18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Borrower and the Lenders of (A) the implementation of any Benchmark Replacement and (B) the effectiveness of any Benchmark Replacement Conforming Changes. Any determination, decision or election that may be made by the Administrative Agent pursuant to this Section 2.07(d),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Section 2.07(d).</w:t>
      </w:r>
    </w:p>
    <w:p>
      <w:pPr>
        <w:spacing w:after="0" w:line="192" w:lineRule="exact"/>
        <w:rPr>
          <w:rFonts w:ascii="Arial" w:cs="Arial" w:eastAsia="Arial" w:hAnsi="Arial"/>
          <w:sz w:val="18"/>
          <w:szCs w:val="18"/>
          <w:color w:val="auto"/>
        </w:rPr>
      </w:pPr>
    </w:p>
    <w:p>
      <w:pPr>
        <w:jc w:val="both"/>
        <w:ind w:right="20" w:firstLine="1428"/>
        <w:spacing w:after="0" w:line="259" w:lineRule="auto"/>
        <w:tabs>
          <w:tab w:leader="none" w:pos="18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any time (including in connection with the implementation of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ind w:left="-20" w:right="140" w:firstLine="987"/>
        <w:spacing w:after="0" w:line="277" w:lineRule="auto"/>
        <w:tabs>
          <w:tab w:leader="none" w:pos="1351"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previously terminated, all Revolving Commitments of any Class shall terminate on the Revolving Credit Maturity Date with respect to such Class.</w:t>
      </w:r>
    </w:p>
    <w:p>
      <w:pPr>
        <w:spacing w:after="0" w:line="170" w:lineRule="exact"/>
        <w:rPr>
          <w:rFonts w:ascii="Arial" w:cs="Arial" w:eastAsia="Arial" w:hAnsi="Arial"/>
          <w:sz w:val="18"/>
          <w:szCs w:val="18"/>
          <w:color w:val="auto"/>
        </w:rPr>
      </w:pPr>
    </w:p>
    <w:p>
      <w:pPr>
        <w:ind w:left="-20" w:right="80" w:firstLine="987"/>
        <w:spacing w:after="0" w:line="257" w:lineRule="auto"/>
        <w:tabs>
          <w:tab w:leader="none" w:pos="13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Borrower may at any time terminate, or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$1,000,000 and not less than $1,000,000 (or, if less, the remaining amount of the Revolving Commitments), (ii) the Borrower shall not terminate or reduce the Revolving Commitments if, after giving effect to any concurrent prepayment of the Loans in accordance with Section 2.10, the total Revolving Credit Exposures would exceed the total Revolving Commitments.</w:t>
      </w:r>
    </w:p>
    <w:p>
      <w:pPr>
        <w:spacing w:after="0" w:line="187" w:lineRule="exact"/>
        <w:rPr>
          <w:rFonts w:ascii="Arial" w:cs="Arial" w:eastAsia="Arial" w:hAnsi="Arial"/>
          <w:sz w:val="18"/>
          <w:szCs w:val="18"/>
          <w:color w:val="auto"/>
        </w:rPr>
      </w:pPr>
    </w:p>
    <w:p>
      <w:pPr>
        <w:ind w:left="-20" w:firstLine="987"/>
        <w:spacing w:after="0" w:line="289" w:lineRule="auto"/>
        <w:tabs>
          <w:tab w:leader="none" w:pos="1348"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Borrower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Revolving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274"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17" w:lineRule="exact"/>
        <w:rPr>
          <w:sz w:val="20"/>
          <w:szCs w:val="20"/>
          <w:color w:val="auto"/>
        </w:rPr>
      </w:pPr>
    </w:p>
    <w:p>
      <w:pPr>
        <w:ind w:left="-20" w:right="60" w:firstLine="987"/>
        <w:spacing w:after="0" w:line="254" w:lineRule="auto"/>
        <w:tabs>
          <w:tab w:leader="none" w:pos="1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promises to pay (i) to the Administrative Agent for the account of each Lender the then unpaid principal amount of each Revolving Loan of any Class made to the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Loan is made, the Borrower shall repay all Swingline Loans then outstanding.</w:t>
      </w:r>
    </w:p>
    <w:p>
      <w:pPr>
        <w:spacing w:after="0" w:line="194" w:lineRule="exact"/>
        <w:rPr>
          <w:rFonts w:ascii="Arial" w:cs="Arial" w:eastAsia="Arial" w:hAnsi="Arial"/>
          <w:sz w:val="18"/>
          <w:szCs w:val="18"/>
          <w:color w:val="auto"/>
        </w:rPr>
      </w:pPr>
    </w:p>
    <w:p>
      <w:pPr>
        <w:ind w:left="-20" w:right="40" w:firstLine="987"/>
        <w:spacing w:after="0" w:line="263" w:lineRule="auto"/>
        <w:tabs>
          <w:tab w:leader="none" w:pos="136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left="-20" w:right="80" w:firstLine="987"/>
        <w:spacing w:after="0" w:line="342" w:lineRule="auto"/>
        <w:tabs>
          <w:tab w:leader="none" w:pos="134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currency and Type thereof and the Interest Period, if any, applicable thereto, (ii) the amount of any principal or interest due and payable or to become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80"/>
          </w:cols>
          <w:pgMar w:left="460" w:top="274" w:right="459" w:bottom="1440" w:gutter="0" w:footer="0" w:header="0"/>
        </w:sectPr>
      </w:pPr>
    </w:p>
    <w:bookmarkStart w:id="80" w:name="page81"/>
    <w:bookmarkEnd w:id="80"/>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and payable from the Borrower to each Lender hereunder and (iii) the amount of any sum received by the Administrative Agent hereunder for the account of the Lenders and each Lender’s share thereof.</w:t>
      </w:r>
    </w:p>
    <w:p>
      <w:pPr>
        <w:spacing w:after="0" w:line="170" w:lineRule="exact"/>
        <w:rPr>
          <w:sz w:val="20"/>
          <w:szCs w:val="20"/>
          <w:color w:val="auto"/>
        </w:rPr>
      </w:pPr>
    </w:p>
    <w:p>
      <w:pPr>
        <w:ind w:right="160" w:firstLine="987"/>
        <w:spacing w:after="0" w:line="259" w:lineRule="auto"/>
        <w:tabs>
          <w:tab w:leader="none" w:pos="13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right="60" w:firstLine="987"/>
        <w:spacing w:after="0" w:line="301" w:lineRule="auto"/>
        <w:tabs>
          <w:tab w:leader="none" w:pos="136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371"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(i) The Borrower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75" w:lineRule="exact"/>
        <w:rPr>
          <w:rFonts w:ascii="Arial" w:cs="Arial" w:eastAsia="Arial" w:hAnsi="Arial"/>
          <w:sz w:val="18"/>
          <w:szCs w:val="18"/>
          <w:color w:val="auto"/>
        </w:rPr>
      </w:pPr>
    </w:p>
    <w:p>
      <w:pPr>
        <w:ind w:left="440" w:right="80" w:firstLine="419"/>
        <w:spacing w:after="0" w:line="291" w:lineRule="auto"/>
        <w:tabs>
          <w:tab w:leader="none" w:pos="1259"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Borrower shall notify the Administrative Agent (and, in the case of prepayment of a Swingline Loan, the Swingline Lender) by telephone (confirmed by telecopy or transmission by electronic communication in accordance with Section 9.01(b)) of any prepayment hereunder</w:t>
      </w:r>
    </w:p>
    <w:p>
      <w:pPr>
        <w:ind w:left="660" w:hanging="224"/>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(x) in the case of prepayment of a Eurocurrency Borrowing, not later than 2:00 p.m. New York City time, three (3) Business Days before the</w:t>
      </w:r>
    </w:p>
    <w:p>
      <w:pPr>
        <w:spacing w:after="0" w:line="32" w:lineRule="exact"/>
        <w:rPr>
          <w:rFonts w:ascii="Arial" w:cs="Arial" w:eastAsia="Arial" w:hAnsi="Arial"/>
          <w:sz w:val="16"/>
          <w:szCs w:val="16"/>
          <w:color w:val="auto"/>
        </w:rPr>
      </w:pPr>
    </w:p>
    <w:p>
      <w:pPr>
        <w:ind w:left="44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date of prepayment, or (y) four Business Days (or five, in the case of prepayment of Loans denominated in Special Notice Currencies) prior to any date of prepayment of Alternative Currency Loans, (ii) in the case of prepayment of a Base Rate Borrowing and LIBOR Daily Floating Rate Loans,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accompanied by accrued interest to the extent required by Section 2.12 and shall be subject to Section 2.15.</w:t>
      </w:r>
    </w:p>
    <w:p>
      <w:pPr>
        <w:spacing w:after="0" w:line="333" w:lineRule="exact"/>
        <w:rPr>
          <w:sz w:val="20"/>
          <w:szCs w:val="20"/>
          <w:color w:val="auto"/>
        </w:rPr>
      </w:pPr>
    </w:p>
    <w:p>
      <w:pPr>
        <w:ind w:left="1380" w:hanging="393"/>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If the Administrative Agent notifies the Borrower at any time that the Revolving Credit Exposure at such time exceeds an amount equal to 105% of the Revolving Commitments then in effect, then, within two Business Days after receipt of such notice, the Borrower shall prepay Loans and/or Cash Collateralize the L/C Exposure in an aggregate amount sufficient to reduce such Revolving Credit Exposure as of such date of payment to an amount not to exceed 100% of the Revolving Commitments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Borrower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30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68" w:lineRule="auto"/>
        <w:tabs>
          <w:tab w:leader="none" w:pos="123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Borrower agrees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 so long as such Lender shall be a Defaulting Lender except to the extent that such facility fee shall otherwise have been due and payable by the Borrower prior to such time;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84" w:lineRule="exact"/>
        <w:rPr>
          <w:rFonts w:ascii="Arial" w:cs="Arial" w:eastAsia="Arial" w:hAnsi="Arial"/>
          <w:sz w:val="17"/>
          <w:szCs w:val="17"/>
          <w:color w:val="auto"/>
        </w:rPr>
      </w:pPr>
    </w:p>
    <w:p>
      <w:pPr>
        <w:ind w:right="40" w:firstLine="987"/>
        <w:spacing w:after="0" w:line="259" w:lineRule="auto"/>
        <w:tabs>
          <w:tab w:leader="none" w:pos="137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Eurocurrency Loans on the average daily Dollar Equivalent of such Lender’s L/C Exposure (excluding any portion thereof attributable to unreimbursed L/C Disbursements) during the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82" w:name="page83"/>
    <w:bookmarkEnd w:id="8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and including the Closing Date to but excluding the later of the date on which such Lender’s Revolving Commitment terminates and the date on which such Lender ceases to have any L/C Exposure (the fees referred to in this clause (i), the “</w:t>
      </w: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and (ii) to each Issuing Bank a fronting fee, which shall accrue at the rate of 0.125% per annum on the average daily Dollar Equivalent of the L/C Exposure (excluding any portion thereof attributable to unreimbursed L/C Disbursements) attributable to Letters of Credit issued by such Issuing Bank during the period from and including the Closing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6" w:lineRule="exact"/>
        <w:rPr>
          <w:sz w:val="20"/>
          <w:szCs w:val="20"/>
          <w:color w:val="auto"/>
        </w:rPr>
      </w:pPr>
    </w:p>
    <w:p>
      <w:pPr>
        <w:ind w:left="1360" w:hanging="373"/>
        <w:spacing w:after="0"/>
        <w:tabs>
          <w:tab w:leader="none" w:pos="1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87"/>
        <w:spacing w:after="0" w:line="277" w:lineRule="auto"/>
        <w:tabs>
          <w:tab w:leader="none" w:pos="13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jc w:val="both"/>
        <w:ind w:right="80" w:firstLine="987"/>
        <w:spacing w:after="0" w:line="263" w:lineRule="auto"/>
        <w:tabs>
          <w:tab w:leader="none" w:pos="13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in Same Day Funds, to the Administrative Agent (or to the relevant Issuing Bank, in the case of fees payable to it) for distribution, in the case of facility fees and participation fees, to the Lenders. Fees paid shall not be refundable under any circumstances.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77" w:lineRule="auto"/>
        <w:tabs>
          <w:tab w:leader="none" w:pos="13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Loans comprising each Base Rate Borrowing (including each Swingline Loan) shall bear interest at the Base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80" w:firstLine="987"/>
        <w:spacing w:after="0" w:line="277" w:lineRule="auto"/>
        <w:tabs>
          <w:tab w:leader="none" w:pos="137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Loans comprising each Eurocurrency Borrowing shall bear interest at the Eurocurrency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300" w:firstLine="987"/>
        <w:spacing w:after="0" w:line="277" w:lineRule="auto"/>
        <w:tabs>
          <w:tab w:leader="none" w:pos="13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Loans comprising each LIBOR Daily Floating Rate Borrowing shall bear interest at the LIBOR Daily Floating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274" w:right="499" w:bottom="1440" w:gutter="0" w:footer="0" w:header="0"/>
        </w:sectPr>
      </w:pPr>
    </w:p>
    <w:bookmarkStart w:id="83" w:name="page84"/>
    <w:bookmarkEnd w:id="83"/>
    <w:p>
      <w:pPr>
        <w:ind w:left="-40" w:right="60" w:firstLine="987"/>
        <w:spacing w:after="0" w:line="277" w:lineRule="auto"/>
        <w:tabs>
          <w:tab w:leader="none" w:pos="1338"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Loans comprising each Alternative Currency Daily Rate Borrowing shall bear interest at the Alternative Currency Daily Rate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40" w:right="40" w:firstLine="987"/>
        <w:spacing w:after="0" w:line="277" w:lineRule="auto"/>
        <w:tabs>
          <w:tab w:leader="none" w:pos="132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Loans comprising each Alternative Currency Term Rate Borrowing shall bear interest at the Alternative Currency Term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40" w:right="180" w:firstLine="987"/>
        <w:spacing w:after="0" w:line="255"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Notwithstanding the foregoing, at any time (x) an Event of Default has occurred and is continuing under clauses (h), (i) or (j) of Article VII or (y) if any principal of or interest on any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any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such Loan as provided in the preceding paragraphs of this Section or (ii) in the case of any other amount, upon the request of the Required Lenders, 2% plus the rate applicable to Base Rate Loans as provided in paragraph (a) of this Section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0" w:right="40" w:firstLine="987"/>
        <w:spacing w:after="0" w:line="273" w:lineRule="auto"/>
        <w:tabs>
          <w:tab w:leader="none" w:pos="1331"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(c) of this Section shall be payable on demand, (ii) in the event of any repayment or prepayment of any Loan (other than a prepayment of a Base Rate Loan prior to the end of the Availability Period or a Swingline Loan),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ind w:left="-40" w:firstLine="987"/>
        <w:spacing w:after="0" w:line="293" w:lineRule="auto"/>
        <w:tabs>
          <w:tab w:leader="none" w:pos="1331"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(i) computed by reference to the Base Rate shall be computed on the basis of a year of 365 days (or 366 days in a leap year), (ii) for Borrowings denominated in Sterling shall be computed on the basis of a year of 365 days, and in each case, shall be payable for the actual number of days elapsed (including the first day but excluding the last day) and (iii) in the case of interest in respect of Loans denominated in Alternative Currencies as to which market practice differs from the foregoing, shall be computed in accordance with such market practice. The applicable Base Rate, Eurocurrency Rate or other Relevant Rate shall be determined by the Administrative Agent in accordance with the provisions of this Agreement, and such determination shall be conclusive absent manifest error.</w:t>
      </w:r>
    </w:p>
    <w:p>
      <w:pPr>
        <w:spacing w:after="0" w:line="272"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17" w:lineRule="exact"/>
        <w:rPr>
          <w:sz w:val="20"/>
          <w:szCs w:val="20"/>
          <w:color w:val="auto"/>
        </w:rPr>
      </w:pPr>
    </w:p>
    <w:p>
      <w:pPr>
        <w:ind w:left="400"/>
        <w:spacing w:after="0"/>
        <w:tabs>
          <w:tab w:leader="none" w:pos="16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1320" w:hanging="373"/>
        <w:spacing w:after="0"/>
        <w:tabs>
          <w:tab w:leader="none" w:pos="13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00" w:right="280" w:firstLine="525"/>
        <w:spacing w:after="0" w:line="277" w:lineRule="auto"/>
        <w:tabs>
          <w:tab w:leader="none" w:pos="1278"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20"/>
          </w:cols>
          <w:pgMar w:left="480" w:top="274" w:right="499" w:bottom="1440" w:gutter="0" w:footer="0" w:header="0"/>
        </w:sectPr>
      </w:pPr>
    </w:p>
    <w:bookmarkStart w:id="84" w:name="page85"/>
    <w:bookmarkEnd w:id="84"/>
    <w:p>
      <w:pPr>
        <w:ind w:left="440" w:right="220" w:firstLine="419"/>
        <w:spacing w:after="0" w:line="308" w:lineRule="auto"/>
        <w:tabs>
          <w:tab w:leader="none" w:pos="1263"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38" w:lineRule="exact"/>
        <w:rPr>
          <w:rFonts w:ascii="Arial" w:cs="Arial" w:eastAsia="Arial" w:hAnsi="Arial"/>
          <w:sz w:val="17"/>
          <w:szCs w:val="17"/>
          <w:color w:val="auto"/>
        </w:rPr>
      </w:pPr>
    </w:p>
    <w:p>
      <w:pPr>
        <w:ind w:left="440" w:right="220" w:firstLine="419"/>
        <w:spacing w:after="0" w:line="263" w:lineRule="auto"/>
        <w:tabs>
          <w:tab w:leader="none" w:pos="131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impose on any Lender or any Issuing Bank or any applicable interbank market any other condition affecting this Agreement, any LIBOR Daily Floating Rate Loans, any Eurocurrency Loans or any Alternative Currency Loans made by such Lender or any Letter of Credit or participation therein;</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 will pay to such Lender or such Issuing Bank, as the case may be, such additional amount or amounts as will compensate such Lender or such Issuing Bank, as the case may be, for such additional costs incurred or reduction suffered.</w:t>
      </w:r>
    </w:p>
    <w:p>
      <w:pPr>
        <w:spacing w:after="0" w:line="185" w:lineRule="exact"/>
        <w:rPr>
          <w:sz w:val="20"/>
          <w:szCs w:val="20"/>
          <w:color w:val="auto"/>
        </w:rPr>
      </w:pPr>
    </w:p>
    <w:p>
      <w:pPr>
        <w:ind w:right="20" w:firstLine="987"/>
        <w:spacing w:after="0" w:line="253" w:lineRule="auto"/>
        <w:tabs>
          <w:tab w:leader="none" w:pos="138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upon the request of such Lender or such Issuing Bank,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6" w:lineRule="exact"/>
        <w:rPr>
          <w:rFonts w:ascii="Arial" w:cs="Arial" w:eastAsia="Arial" w:hAnsi="Arial"/>
          <w:sz w:val="18"/>
          <w:szCs w:val="18"/>
          <w:color w:val="auto"/>
        </w:rPr>
      </w:pPr>
    </w:p>
    <w:p>
      <w:pPr>
        <w:ind w:right="220" w:firstLine="987"/>
        <w:spacing w:after="0" w:line="301" w:lineRule="auto"/>
        <w:tabs>
          <w:tab w:leader="none" w:pos="1361"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(or such later date as may be agreed by the applicable Lender) after receipt thereof.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5" w:name="page86"/>
    <w:bookmarkEnd w:id="85"/>
    <w:p>
      <w:pPr>
        <w:ind w:left="-20" w:firstLine="987"/>
        <w:spacing w:after="0" w:line="293" w:lineRule="auto"/>
        <w:tabs>
          <w:tab w:leader="none" w:pos="1361"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an Issuing Bank pursuant to this Section for any increased costs or reductions incurred more than 135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64" w:lineRule="exact"/>
        <w:rPr>
          <w:rFonts w:ascii="Arial" w:cs="Arial" w:eastAsia="Arial" w:hAnsi="Arial"/>
          <w:sz w:val="16"/>
          <w:szCs w:val="16"/>
          <w:color w:val="auto"/>
        </w:rPr>
      </w:pPr>
    </w:p>
    <w:p>
      <w:pPr>
        <w:ind w:left="-20" w:right="260" w:firstLine="987"/>
        <w:spacing w:after="0" w:line="263" w:lineRule="auto"/>
        <w:tabs>
          <w:tab w:leader="none" w:pos="13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Borrower.</w:t>
      </w:r>
    </w:p>
    <w:p>
      <w:pPr>
        <w:spacing w:after="0" w:line="29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w:t>
      </w:r>
    </w:p>
    <w:p>
      <w:pPr>
        <w:spacing w:after="0" w:line="117" w:lineRule="exact"/>
        <w:rPr>
          <w:sz w:val="20"/>
          <w:szCs w:val="20"/>
          <w:color w:val="auto"/>
        </w:rPr>
      </w:pPr>
    </w:p>
    <w:p>
      <w:pPr>
        <w:ind w:left="-20" w:firstLine="436"/>
        <w:spacing w:after="0" w:line="285" w:lineRule="auto"/>
        <w:tabs>
          <w:tab w:leader="none" w:pos="6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payment of any principal of any Eurocurrency Loan or any Alternative Currency Term Rate Loan other than on the last day of an Interest Period applicable thereto (including as a result of an Event of Default or as a result of any prepayment pursuant to Section 2.10), (b) the conversion of any Eurocurrency Loan or any Alternative Currency Term Rate Loan other than on the last day of the Interest Period applicable thereto, (c) the failure to borrow, convert, continue or prepay any Eurocurrency Loan or any Alternative Currency Term Rate Loan on the date specified in any notice delivered pursuant hereto (regardless of whether such notice may be revoked under Section 2.10 and is revoked in accordance therewith) or (d) the assignment of any Eurocurrency Loan or any Alternative Currency Term Rate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Eurocurrency Rate or Alternative Currency Term Rate, as applicable,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eurocurrency market or any other applicable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82" w:lineRule="exact"/>
        <w:rPr>
          <w:sz w:val="20"/>
          <w:szCs w:val="20"/>
          <w:color w:val="auto"/>
        </w:rPr>
      </w:pPr>
    </w:p>
    <w:p>
      <w:pPr>
        <w:ind w:left="420"/>
        <w:spacing w:after="0"/>
        <w:tabs>
          <w:tab w:leader="none" w:pos="170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60"/>
          </w:cols>
          <w:pgMar w:left="460" w:top="274" w:right="479" w:bottom="1440" w:gutter="0" w:footer="0" w:header="0"/>
        </w:sectPr>
      </w:pPr>
    </w:p>
    <w:bookmarkStart w:id="86" w:name="page87"/>
    <w:bookmarkEnd w:id="86"/>
    <w:p>
      <w:pPr>
        <w:ind w:left="-20" w:firstLine="987"/>
        <w:spacing w:after="0" w:line="253" w:lineRule="auto"/>
        <w:tabs>
          <w:tab w:leader="none" w:pos="135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Free of Taxes; Obligation to Withhold; Payments on Account of Taxes</w:t>
      </w:r>
      <w:r>
        <w:rPr>
          <w:rFonts w:ascii="Arial" w:cs="Arial" w:eastAsia="Arial" w:hAnsi="Arial"/>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94" w:lineRule="exact"/>
        <w:rPr>
          <w:rFonts w:ascii="Arial" w:cs="Arial" w:eastAsia="Arial" w:hAnsi="Arial"/>
          <w:sz w:val="18"/>
          <w:szCs w:val="18"/>
          <w:color w:val="auto"/>
        </w:rPr>
      </w:pPr>
    </w:p>
    <w:p>
      <w:pPr>
        <w:ind w:left="-20" w:right="40" w:firstLine="987"/>
        <w:spacing w:after="0" w:line="263" w:lineRule="auto"/>
        <w:tabs>
          <w:tab w:leader="none" w:pos="136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83" w:lineRule="exact"/>
        <w:rPr>
          <w:rFonts w:ascii="Arial" w:cs="Arial" w:eastAsia="Arial" w:hAnsi="Arial"/>
          <w:sz w:val="18"/>
          <w:szCs w:val="18"/>
          <w:color w:val="auto"/>
        </w:rPr>
      </w:pPr>
    </w:p>
    <w:p>
      <w:pPr>
        <w:ind w:left="1340" w:hanging="373"/>
        <w:spacing w:after="0"/>
        <w:tabs>
          <w:tab w:leader="none" w:pos="134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60" w:firstLine="525"/>
        <w:spacing w:after="0" w:line="272" w:lineRule="auto"/>
        <w:tabs>
          <w:tab w:leader="none" w:pos="1298"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pacing w:after="0" w:line="69" w:lineRule="exact"/>
        <w:rPr>
          <w:rFonts w:ascii="Arial" w:cs="Arial" w:eastAsia="Arial" w:hAnsi="Arial"/>
          <w:sz w:val="17"/>
          <w:szCs w:val="17"/>
          <w:color w:val="auto"/>
        </w:rPr>
      </w:pPr>
    </w:p>
    <w:p>
      <w:pPr>
        <w:ind w:left="420" w:right="60" w:firstLine="525"/>
        <w:spacing w:after="0" w:line="271" w:lineRule="auto"/>
        <w:tabs>
          <w:tab w:leader="none" w:pos="1348" w:val="left"/>
        </w:tabs>
        <w:numPr>
          <w:ilvl w:val="0"/>
          <w:numId w:val="89"/>
        </w:numPr>
        <w:rPr>
          <w:rFonts w:ascii="Arial" w:cs="Arial" w:eastAsia="Arial" w:hAnsi="Arial"/>
          <w:sz w:val="17"/>
          <w:szCs w:val="17"/>
          <w:color w:val="auto"/>
        </w:rPr>
      </w:pPr>
      <w:r>
        <w:rPr>
          <w:rFonts w:ascii="Arial" w:cs="Arial" w:eastAsia="Arial" w:hAnsi="Arial"/>
          <w:sz w:val="17"/>
          <w:szCs w:val="17"/>
          <w:color w:val="auto"/>
        </w:rPr>
        <w:t>Each Lender and each Issuing Bank shall, and does hereby, severally indemnify, and shall make payment in respect thereof within 10 days after written demand therefor, (x) the Administrative Agent against any Indemnified Taxes attributable to such Lender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such Issuing Bank, in each case, that are payable or paid by the Administrative Agent or a Loan Party in connection with any Loan Document, and any reasonable expenses arising therefrom or with respect thereto, whether or not such Taxes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60" w:top="274" w:right="459" w:bottom="1440" w:gutter="0" w:footer="0" w:header="0"/>
        </w:sectPr>
      </w:pPr>
    </w:p>
    <w:bookmarkStart w:id="87" w:name="page88"/>
    <w:bookmarkEnd w:id="87"/>
    <w:p>
      <w:pPr>
        <w:ind w:left="440"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 such Lender or such Issuing Bank, as the case may be, under this Agreement or any other Loan Document against any amount due to the Administrative Agent or any Loan Party, as applicable, under this clause (ii).</w:t>
      </w:r>
    </w:p>
    <w:p>
      <w:pPr>
        <w:spacing w:after="0" w:line="176" w:lineRule="exact"/>
        <w:rPr>
          <w:sz w:val="20"/>
          <w:szCs w:val="20"/>
          <w:color w:val="auto"/>
        </w:rPr>
      </w:pPr>
    </w:p>
    <w:p>
      <w:pPr>
        <w:ind w:right="20" w:firstLine="987"/>
        <w:spacing w:after="0" w:line="255" w:lineRule="auto"/>
        <w:tabs>
          <w:tab w:leader="none" w:pos="1381"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Laws to report such payment or other evidence of such payment reasonably satisfactory to the Borrower or the Administrative Agent, as the case may be.</w:t>
      </w:r>
    </w:p>
    <w:p>
      <w:pPr>
        <w:spacing w:after="0" w:line="192" w:lineRule="exact"/>
        <w:rPr>
          <w:rFonts w:ascii="Arial" w:cs="Arial" w:eastAsia="Arial" w:hAnsi="Arial"/>
          <w:sz w:val="18"/>
          <w:szCs w:val="18"/>
          <w:color w:val="auto"/>
        </w:rPr>
      </w:pPr>
    </w:p>
    <w:p>
      <w:pPr>
        <w:ind w:left="1360" w:hanging="373"/>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firstLine="425"/>
        <w:spacing w:after="0" w:line="287" w:lineRule="auto"/>
        <w:tabs>
          <w:tab w:leader="none" w:pos="129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Laws or the taxing authorities of a jurisdiction pursuant to such applicable Laws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3" w:lineRule="exact"/>
        <w:rPr>
          <w:rFonts w:ascii="Arial" w:cs="Arial" w:eastAsia="Arial" w:hAnsi="Arial"/>
          <w:sz w:val="16"/>
          <w:szCs w:val="16"/>
          <w:color w:val="auto"/>
        </w:rPr>
      </w:pPr>
    </w:p>
    <w:p>
      <w:pPr>
        <w:ind w:left="1360" w:hanging="395"/>
        <w:spacing w:after="0"/>
        <w:tabs>
          <w:tab w:leader="none" w:pos="1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40" w:firstLine="910"/>
        <w:spacing w:after="0" w:line="259" w:lineRule="auto"/>
        <w:tabs>
          <w:tab w:leader="none" w:pos="2357" w:val="left"/>
        </w:tabs>
        <w:numPr>
          <w:ilvl w:val="2"/>
          <w:numId w:val="91"/>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8" w:name="page89"/>
    <w:bookmarkEnd w:id="88"/>
    <w:p>
      <w:pPr>
        <w:ind w:left="-20" w:right="80" w:firstLine="910"/>
        <w:spacing w:after="0" w:line="259" w:lineRule="auto"/>
        <w:tabs>
          <w:tab w:leader="none" w:pos="130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92" w:lineRule="exact"/>
        <w:rPr>
          <w:rFonts w:ascii="Arial" w:cs="Arial" w:eastAsia="Arial" w:hAnsi="Arial"/>
          <w:sz w:val="18"/>
          <w:szCs w:val="18"/>
          <w:color w:val="auto"/>
        </w:rPr>
      </w:pPr>
    </w:p>
    <w:p>
      <w:pPr>
        <w:ind w:left="1840" w:hanging="428"/>
        <w:spacing w:after="0"/>
        <w:tabs>
          <w:tab w:leader="none" w:pos="184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1840" w:right="80"/>
        <w:spacing w:after="0" w:line="252"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99" w:lineRule="exact"/>
        <w:rPr>
          <w:rFonts w:ascii="Arial" w:cs="Arial" w:eastAsia="Arial" w:hAnsi="Arial"/>
          <w:sz w:val="16"/>
          <w:szCs w:val="16"/>
          <w:color w:val="auto"/>
        </w:rPr>
      </w:pPr>
    </w:p>
    <w:p>
      <w:pPr>
        <w:ind w:left="1840" w:hanging="428"/>
        <w:spacing w:after="0"/>
        <w:tabs>
          <w:tab w:leader="none" w:pos="18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1840" w:hanging="428"/>
        <w:spacing w:after="0" w:line="273" w:lineRule="auto"/>
        <w:tabs>
          <w:tab w:leader="none" w:pos="18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83" w:lineRule="exact"/>
        <w:rPr>
          <w:rFonts w:ascii="Arial" w:cs="Arial" w:eastAsia="Arial" w:hAnsi="Arial"/>
          <w:sz w:val="17"/>
          <w:szCs w:val="17"/>
          <w:color w:val="auto"/>
        </w:rPr>
      </w:pPr>
    </w:p>
    <w:p>
      <w:pPr>
        <w:ind w:left="1840" w:right="120" w:hanging="428"/>
        <w:spacing w:after="0" w:line="257" w:lineRule="auto"/>
        <w:tabs>
          <w:tab w:leader="none" w:pos="18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w:t>
      </w:r>
    </w:p>
    <w:p>
      <w:pPr>
        <w:spacing w:after="0" w:line="1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000"/>
          </w:cols>
          <w:pgMar w:left="1440" w:top="274" w:right="459" w:bottom="1440" w:gutter="0" w:footer="0" w:header="0"/>
        </w:sectPr>
      </w:pPr>
    </w:p>
    <w:bookmarkStart w:id="89" w:name="page90"/>
    <w:bookmarkEnd w:id="89"/>
    <w:p>
      <w:pPr>
        <w:ind w:left="2840"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76" w:lineRule="exact"/>
        <w:rPr>
          <w:sz w:val="20"/>
          <w:szCs w:val="20"/>
          <w:color w:val="auto"/>
        </w:rPr>
      </w:pPr>
    </w:p>
    <w:p>
      <w:pPr>
        <w:ind w:left="960" w:right="20" w:firstLine="910"/>
        <w:spacing w:after="0" w:line="293" w:lineRule="auto"/>
        <w:tabs>
          <w:tab w:leader="none" w:pos="2282"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60" w:firstLine="910"/>
        <w:spacing w:after="0" w:line="270" w:lineRule="auto"/>
        <w:tabs>
          <w:tab w:leader="none" w:pos="2292"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2" w:lineRule="exact"/>
        <w:rPr>
          <w:rFonts w:ascii="Arial" w:cs="Arial" w:eastAsia="Arial" w:hAnsi="Arial"/>
          <w:sz w:val="17"/>
          <w:szCs w:val="17"/>
          <w:color w:val="auto"/>
        </w:rPr>
      </w:pPr>
    </w:p>
    <w:p>
      <w:pPr>
        <w:ind w:left="520" w:right="120" w:firstLine="425"/>
        <w:spacing w:after="0" w:line="263" w:lineRule="auto"/>
        <w:tabs>
          <w:tab w:leader="none" w:pos="13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4" w:lineRule="exact"/>
        <w:rPr>
          <w:sz w:val="20"/>
          <w:szCs w:val="20"/>
          <w:color w:val="auto"/>
        </w:rPr>
      </w:pPr>
    </w:p>
    <w:p>
      <w:pPr>
        <w:ind w:left="-20" w:right="60" w:firstLine="987"/>
        <w:spacing w:after="0" w:line="255" w:lineRule="auto"/>
        <w:tabs>
          <w:tab w:leader="none" w:pos="133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 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80"/>
          </w:cols>
          <w:pgMar w:left="460" w:top="274" w:right="459" w:bottom="1440" w:gutter="0" w:footer="0" w:header="0"/>
        </w:sectPr>
      </w:pPr>
    </w:p>
    <w:bookmarkStart w:id="90" w:name="page91"/>
    <w:bookmarkEnd w:id="90"/>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68" w:lineRule="exact"/>
        <w:rPr>
          <w:sz w:val="20"/>
          <w:szCs w:val="20"/>
          <w:color w:val="auto"/>
        </w:rPr>
      </w:pPr>
    </w:p>
    <w:p>
      <w:pPr>
        <w:ind w:left="4" w:right="160" w:firstLine="987"/>
        <w:spacing w:after="0" w:line="277" w:lineRule="auto"/>
        <w:tabs>
          <w:tab w:leader="none" w:pos="138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Treatment of Swingline Lender and Issuing Bank</w:t>
      </w:r>
      <w:r>
        <w:rPr>
          <w:rFonts w:ascii="Arial" w:cs="Arial" w:eastAsia="Arial" w:hAnsi="Arial"/>
          <w:sz w:val="18"/>
          <w:szCs w:val="18"/>
          <w:color w:val="auto"/>
        </w:rPr>
        <w:t>. For purposes of this Section 2.16, the term “Lender” shall include any Swingline Lender and any Issuing Bank and the term “applicable Laws” includes FATCA.</w:t>
      </w:r>
    </w:p>
    <w:p>
      <w:pPr>
        <w:spacing w:after="0" w:line="170" w:lineRule="exact"/>
        <w:rPr>
          <w:rFonts w:ascii="Arial" w:cs="Arial" w:eastAsia="Arial" w:hAnsi="Arial"/>
          <w:sz w:val="18"/>
          <w:szCs w:val="18"/>
          <w:color w:val="auto"/>
        </w:rPr>
      </w:pPr>
    </w:p>
    <w:p>
      <w:pPr>
        <w:jc w:val="both"/>
        <w:ind w:left="4" w:firstLine="987"/>
        <w:spacing w:after="0" w:line="263" w:lineRule="auto"/>
        <w:tabs>
          <w:tab w:leader="none" w:pos="138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292"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4" w:lineRule="auto"/>
        <w:tabs>
          <w:tab w:leader="none" w:pos="1372"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 Administrative Agent’s Office for such currency, in each case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w:t>
      </w:r>
    </w:p>
    <w:p>
      <w:pPr>
        <w:spacing w:after="0" w:line="2"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Without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4" w:right="459" w:bottom="1440" w:gutter="0" w:footer="0" w:header="0"/>
        </w:sectPr>
      </w:pPr>
    </w:p>
    <w:bookmarkStart w:id="91" w:name="page92"/>
    <w:bookmarkEnd w:id="91"/>
    <w:p>
      <w:pPr>
        <w:ind w:right="2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Arial" w:cs="Arial" w:eastAsia="Arial" w:hAnsi="Arial"/>
          <w:sz w:val="16"/>
          <w:szCs w:val="16"/>
          <w:u w:val="single" w:color="auto"/>
          <w:color w:val="auto"/>
        </w:rPr>
        <w:t>Original Currency</w:t>
      </w:r>
      <w:r>
        <w:rPr>
          <w:rFonts w:ascii="Arial" w:cs="Arial" w:eastAsia="Arial" w:hAnsi="Arial"/>
          <w:sz w:val="16"/>
          <w:szCs w:val="16"/>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 all risks of the imposition of any such currency control or exchange regulations.</w:t>
      </w:r>
    </w:p>
    <w:p>
      <w:pPr>
        <w:spacing w:after="0" w:line="168" w:lineRule="exact"/>
        <w:rPr>
          <w:sz w:val="20"/>
          <w:szCs w:val="20"/>
          <w:color w:val="auto"/>
        </w:rPr>
      </w:pPr>
    </w:p>
    <w:p>
      <w:pPr>
        <w:ind w:right="140" w:firstLine="987"/>
        <w:spacing w:after="0" w:line="255" w:lineRule="auto"/>
        <w:tabs>
          <w:tab w:leader="none" w:pos="13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92" w:lineRule="exact"/>
        <w:rPr>
          <w:rFonts w:ascii="Arial" w:cs="Arial" w:eastAsia="Arial" w:hAnsi="Arial"/>
          <w:sz w:val="18"/>
          <w:szCs w:val="18"/>
          <w:color w:val="auto"/>
        </w:rPr>
      </w:pPr>
    </w:p>
    <w:p>
      <w:pPr>
        <w:ind w:firstLine="987"/>
        <w:spacing w:after="0" w:line="286" w:lineRule="auto"/>
        <w:tabs>
          <w:tab w:leader="none" w:pos="137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participation as fully as if such Lender were a direct creditor of the Borrower in the amount of such participation.</w:t>
      </w:r>
    </w:p>
    <w:p>
      <w:pPr>
        <w:spacing w:after="0" w:line="225" w:lineRule="exact"/>
        <w:rPr>
          <w:sz w:val="20"/>
          <w:szCs w:val="20"/>
          <w:color w:val="auto"/>
        </w:rPr>
      </w:pPr>
    </w:p>
    <w:p>
      <w:pPr>
        <w:ind w:right="60" w:firstLine="987"/>
        <w:spacing w:after="0" w:line="286" w:lineRule="auto"/>
        <w:tabs>
          <w:tab w:leader="none" w:pos="138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Unless the Administrative Agent shall have received notice from the Borrower prior to the date on which any payment is due to the Administrative Agent for the account of the Lenders or the relevant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and (ii)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Arial" w:cs="Arial" w:eastAsia="Arial" w:hAnsi="Arial"/>
          <w:sz w:val="16"/>
          <w:szCs w:val="16"/>
          <w:u w:val="single" w:color="auto"/>
          <w:color w:val="auto"/>
        </w:rPr>
        <w:t>Rescindable Amount</w:t>
      </w:r>
      <w:r>
        <w:rPr>
          <w:rFonts w:ascii="Arial" w:cs="Arial" w:eastAsia="Arial" w:hAnsi="Arial"/>
          <w:sz w:val="16"/>
          <w:szCs w:val="16"/>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relevant Issuing Bank,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A notice of the Administrative Agent to any Lender, any Issuing Bank or the Borrower with respect to any amount owing under this subsection (d) shall be conclusive, absent manifest error.</w:t>
      </w:r>
    </w:p>
    <w:p>
      <w:pPr>
        <w:spacing w:after="0" w:line="173" w:lineRule="exact"/>
        <w:rPr>
          <w:rFonts w:ascii="Arial" w:cs="Arial" w:eastAsia="Arial" w:hAnsi="Arial"/>
          <w:sz w:val="16"/>
          <w:szCs w:val="16"/>
          <w:color w:val="auto"/>
        </w:rPr>
      </w:pPr>
    </w:p>
    <w:p>
      <w:pPr>
        <w:ind w:right="220" w:firstLine="987"/>
        <w:spacing w:after="0" w:line="272" w:lineRule="auto"/>
        <w:tabs>
          <w:tab w:leader="none" w:pos="137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28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55" w:lineRule="auto"/>
        <w:tabs>
          <w:tab w:leader="none" w:pos="13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3" w:name="page94"/>
    <w:bookmarkEnd w:id="93"/>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84" w:lineRule="exact"/>
        <w:rPr>
          <w:sz w:val="20"/>
          <w:szCs w:val="20"/>
          <w:color w:val="auto"/>
        </w:rPr>
      </w:pPr>
    </w:p>
    <w:p>
      <w:pPr>
        <w:ind w:right="20" w:firstLine="987"/>
        <w:spacing w:after="0" w:line="287" w:lineRule="auto"/>
        <w:tabs>
          <w:tab w:leader="none" w:pos="138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If (1) any Lender requests compensation under Section 2.14, (2) the Borrower is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(5) if any Lender is prohibited under applicable Law from making Loans or Letters of Credit denominated in one or more Alternative Currencies to the Borrower in accordance with the terms of this Agreement, and at such time the Required Lenders are permitted under applicable Law (and have agreed) to make such Loans and Letters of Credit in such Alternative Currencies, or (6)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63" w:lineRule="exact"/>
        <w:rPr>
          <w:rFonts w:ascii="Arial" w:cs="Arial" w:eastAsia="Arial" w:hAnsi="Arial"/>
          <w:sz w:val="16"/>
          <w:szCs w:val="16"/>
          <w:color w:val="auto"/>
        </w:rPr>
      </w:pPr>
    </w:p>
    <w:p>
      <w:pPr>
        <w:ind w:left="540" w:right="20" w:firstLine="425"/>
        <w:spacing w:after="0" w:line="277"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62" w:lineRule="exact"/>
        <w:rPr>
          <w:rFonts w:ascii="Arial" w:cs="Arial" w:eastAsia="Arial" w:hAnsi="Arial"/>
          <w:sz w:val="18"/>
          <w:szCs w:val="18"/>
          <w:color w:val="auto"/>
        </w:rPr>
      </w:pPr>
    </w:p>
    <w:p>
      <w:pPr>
        <w:ind w:left="540" w:firstLine="425"/>
        <w:spacing w:after="0" w:line="259" w:lineRule="auto"/>
        <w:tabs>
          <w:tab w:leader="none" w:pos="13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540" w:right="360" w:firstLine="425"/>
        <w:spacing w:after="0" w:line="308" w:lineRule="auto"/>
        <w:tabs>
          <w:tab w:leader="none" w:pos="14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38" w:lineRule="exact"/>
        <w:rPr>
          <w:rFonts w:ascii="Arial" w:cs="Arial" w:eastAsia="Arial" w:hAnsi="Arial"/>
          <w:sz w:val="17"/>
          <w:szCs w:val="17"/>
          <w:color w:val="auto"/>
        </w:rPr>
      </w:pPr>
    </w:p>
    <w:p>
      <w:pPr>
        <w:ind w:left="540" w:right="140" w:firstLine="425"/>
        <w:spacing w:after="0" w:line="263" w:lineRule="auto"/>
        <w:tabs>
          <w:tab w:leader="none" w:pos="139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75" w:lineRule="exact"/>
        <w:rPr>
          <w:rFonts w:ascii="Arial" w:cs="Arial" w:eastAsia="Arial" w:hAnsi="Arial"/>
          <w:sz w:val="18"/>
          <w:szCs w:val="18"/>
          <w:color w:val="auto"/>
        </w:rPr>
      </w:pPr>
    </w:p>
    <w:p>
      <w:pPr>
        <w:ind w:left="540" w:right="640" w:firstLine="425"/>
        <w:spacing w:after="0" w:line="342" w:lineRule="auto"/>
        <w:tabs>
          <w:tab w:leader="none" w:pos="134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(5) above, (A) the applicable assignee shall be permitted under Law to make Loans and Letters of Credit in all Alternative Currencies to the Borrower in accordance with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4" w:name="page95"/>
    <w:bookmarkEnd w:id="94"/>
    <w:p>
      <w:pPr>
        <w:ind w:left="540" w:right="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this Agreement and the other Loan Documents, and (B) after giving effect to such assignment (and any other assignments made in connection therewith), each Lender shall be permitted under applicable Law to make Loans to and Letters of Credit to the Borrower in all Alternative Currencies;</w:t>
      </w:r>
    </w:p>
    <w:p>
      <w:pPr>
        <w:spacing w:after="0" w:line="76" w:lineRule="exact"/>
        <w:rPr>
          <w:sz w:val="20"/>
          <w:szCs w:val="20"/>
          <w:color w:val="auto"/>
        </w:rPr>
      </w:pPr>
    </w:p>
    <w:p>
      <w:pPr>
        <w:ind w:left="540" w:right="140" w:firstLine="425"/>
        <w:spacing w:after="0" w:line="301" w:lineRule="auto"/>
        <w:tabs>
          <w:tab w:leader="none" w:pos="139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the case of an assignment resulting from a circumstance described in clause (6) above, (A) the applicable assignee shall be permitted under Law and licensed to make Loans and other applicable extensions of credit to the Borrower in accordance with the terms of this Agreement and (B) 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49" w:lineRule="exact"/>
        <w:rPr>
          <w:rFonts w:ascii="Arial" w:cs="Arial" w:eastAsia="Arial" w:hAnsi="Arial"/>
          <w:sz w:val="16"/>
          <w:szCs w:val="16"/>
          <w:color w:val="auto"/>
        </w:rPr>
      </w:pPr>
    </w:p>
    <w:p>
      <w:pPr>
        <w:ind w:left="1460" w:hanging="495"/>
        <w:spacing w:after="0"/>
        <w:tabs>
          <w:tab w:leader="none" w:pos="1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78"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Expansion Option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Borrower may from time to time after the Closing Date elect to increase the Revolving Commitments (“</w:t>
      </w:r>
      <w:r>
        <w:rPr>
          <w:rFonts w:ascii="Arial" w:cs="Arial" w:eastAsia="Arial" w:hAnsi="Arial"/>
          <w:sz w:val="16"/>
          <w:szCs w:val="16"/>
          <w:u w:val="single" w:color="auto"/>
          <w:color w:val="auto"/>
        </w:rPr>
        <w:t>Increased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in an aggregate principal amount of not less than $25,000,000. The Borrower may arrange for any such increase to be provided by one or more Lenders (each Lender so agreeing to an increase in its Revolving Commitment, an “</w:t>
      </w:r>
      <w:r>
        <w:rPr>
          <w:rFonts w:ascii="Arial" w:cs="Arial" w:eastAsia="Arial" w:hAnsi="Arial"/>
          <w:sz w:val="16"/>
          <w:szCs w:val="16"/>
          <w:u w:val="single" w:color="auto"/>
          <w:color w:val="auto"/>
        </w:rPr>
        <w:t>Increasing Lender</w:t>
      </w:r>
      <w:r>
        <w:rPr>
          <w:rFonts w:ascii="Arial" w:cs="Arial" w:eastAsia="Arial" w:hAnsi="Arial"/>
          <w:sz w:val="16"/>
          <w:szCs w:val="16"/>
          <w:color w:val="auto"/>
        </w:rPr>
        <w:t>”), or by one or more new banks, financial institutions or other entities (each such new bank, financial institution or other entity, an “</w:t>
      </w:r>
      <w:r>
        <w:rPr>
          <w:rFonts w:ascii="Arial" w:cs="Arial" w:eastAsia="Arial" w:hAnsi="Arial"/>
          <w:sz w:val="16"/>
          <w:szCs w:val="16"/>
          <w:u w:val="single" w:color="auto"/>
          <w:color w:val="auto"/>
        </w:rPr>
        <w:t>Augmenting Lender</w:t>
      </w:r>
      <w:r>
        <w:rPr>
          <w:rFonts w:ascii="Arial" w:cs="Arial" w:eastAsia="Arial" w:hAnsi="Arial"/>
          <w:sz w:val="16"/>
          <w:szCs w:val="16"/>
          <w:color w:val="auto"/>
        </w:rPr>
        <w:t xml:space="preserve">”), to increase their existing Revolving Commitments or to participate in such Revolving Commitments,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Augmenting Lender (and, in the case of an Increased Commitment, each Increasing Lender) shall be subject to the approval of the Borrower,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Borrower, to effect the provisions of this Section 2.19. Increases of Revolving Commitments shall become effective on the date agreed by the Borrower, the Administrative Agent and the 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 Section 4.02 shall be satisfied or waived by the Required Lenders and the Administrative Agent, (ii) after giving effect to such increase in the Revolving Commitments, the Borrower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5" w:name="page96"/>
    <w:bookmarkEnd w:id="9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set forth in clauses (i) and (ii) above, dated such date and executed by a Financial Officer of the Borrower. On the effective date of any increase in the Revolving Commitments, (i) 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 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Request, minimum borrowing, pro rata borrowing and pro rata payment requirements contained elsewhere in this Agreement shall not apply to the transactions effected pursuant to the immediately preceding sentence. The deemed payments made pursuant to clause (ii) of the second preceding sentence shall be accompanied by payment of all accrued interest on the amount prepaid and, in respect of each Eurocurrency Loan and each Alternative Currency Term Rate Loan, shall be subject to indemnification by the Borrower pursuant to the provisions of Section 2.15 if the deemed payment occurs other than on the last day of the related Interest Periods. For the avoidance of doubt, no Lender shall have any obligation to provide any Increased Commitment.</w:t>
      </w:r>
    </w:p>
    <w:p>
      <w:pPr>
        <w:spacing w:after="0" w:line="167"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This Section 2.19 shall override any provisions in Section 9.02 to the contrary.</w:t>
      </w:r>
    </w:p>
    <w:p>
      <w:pPr>
        <w:spacing w:after="0" w:line="225"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from the Borrower hereunder in the currency expressed to be payable herein (the “</w:t>
      </w:r>
      <w:r>
        <w:rPr>
          <w:rFonts w:ascii="Arial" w:cs="Arial" w:eastAsia="Arial" w:hAnsi="Arial"/>
          <w:sz w:val="17"/>
          <w:szCs w:val="17"/>
          <w:u w:val="single" w:color="auto"/>
          <w:color w:val="auto"/>
        </w:rPr>
        <w:t>specified currency</w:t>
      </w:r>
      <w:r>
        <w:rPr>
          <w:rFonts w:ascii="Arial" w:cs="Arial" w:eastAsia="Arial" w:hAnsi="Arial"/>
          <w:sz w:val="17"/>
          <w:szCs w:val="17"/>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any Issuing Bank or the Administrative Agent hereunder shall, notwithstanding any judgment in a currency other than the specified currency, be discharged only to the extent that on the Business Day following receipt by such Lender, such Issuing Bank or the Administrative Agent (as the case may be) of any sum adjudged to be so due in such other currency such Lender, such Issuing Bank or the Administrative Agent (as the case may be) may in accordance with normal, reasonable banking procedures purchase the specified currency with such other currency. If the amount of the specified currency so purchased is less than the sum originally due to such Lender, such Issuing Bank or the Administrative Agent, as the case may be, in the specified currency, the Borrower agrees, to the fullest extent that it may effectively do so, as a separate obligation and notwithstanding any such judgment, to indemnify such Lender, such Issuing Bank or the Administrative Agent, as the case may be, against such loss, and if the amount of the specified currency so purchased exceeds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6" w:name="page97"/>
    <w:bookmarkEnd w:id="96"/>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92"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2" w:lineRule="auto"/>
        <w:tabs>
          <w:tab w:leader="none" w:pos="1375"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Request for Extended Revolving Commitments</w:t>
      </w:r>
      <w:r>
        <w:rPr>
          <w:rFonts w:ascii="Arial" w:cs="Arial" w:eastAsia="Arial" w:hAnsi="Arial"/>
          <w:sz w:val="16"/>
          <w:szCs w:val="16"/>
          <w:color w:val="auto"/>
        </w:rPr>
        <w:t>. The Borrower may at any time and from time to time after the Closing Date, upon written request to and the consent of the Administrative Agent (each, a “</w:t>
      </w:r>
      <w:r>
        <w:rPr>
          <w:rFonts w:ascii="Arial" w:cs="Arial" w:eastAsia="Arial" w:hAnsi="Arial"/>
          <w:sz w:val="16"/>
          <w:szCs w:val="16"/>
          <w:u w:val="single" w:color="auto"/>
          <w:color w:val="auto"/>
        </w:rPr>
        <w:t>Revolving Extension Request</w:t>
      </w:r>
      <w:r>
        <w:rPr>
          <w:rFonts w:ascii="Arial" w:cs="Arial" w:eastAsia="Arial" w:hAnsi="Arial"/>
          <w:sz w:val="16"/>
          <w:szCs w:val="16"/>
          <w:color w:val="auto"/>
        </w:rPr>
        <w:t>”), request that an aggregate principal amount of not less than $300,000,000 of the then existing Commitments of any Class (each, an “</w:t>
      </w:r>
      <w:r>
        <w:rPr>
          <w:rFonts w:ascii="Arial" w:cs="Arial" w:eastAsia="Arial" w:hAnsi="Arial"/>
          <w:sz w:val="16"/>
          <w:szCs w:val="16"/>
          <w:u w:val="single" w:color="auto"/>
          <w:color w:val="auto"/>
        </w:rPr>
        <w:t>Existing Revolver Tranche</w:t>
      </w:r>
      <w:r>
        <w:rPr>
          <w:rFonts w:ascii="Arial" w:cs="Arial" w:eastAsia="Arial" w:hAnsi="Arial"/>
          <w:sz w:val="16"/>
          <w:szCs w:val="16"/>
          <w:color w:val="auto"/>
        </w:rPr>
        <w:t>”) be amended to, among other things, extend the applicable Revolving Credit Maturity Date with respect thereto (the “</w:t>
      </w:r>
      <w:r>
        <w:rPr>
          <w:rFonts w:ascii="Arial" w:cs="Arial" w:eastAsia="Arial" w:hAnsi="Arial"/>
          <w:sz w:val="16"/>
          <w:szCs w:val="16"/>
          <w:u w:val="single" w:color="auto"/>
          <w:color w:val="auto"/>
        </w:rPr>
        <w:t>Existing Maturity Date</w:t>
      </w:r>
      <w:r>
        <w:rPr>
          <w:rFonts w:ascii="Arial" w:cs="Arial" w:eastAsia="Arial" w:hAnsi="Arial"/>
          <w:sz w:val="16"/>
          <w:szCs w:val="16"/>
          <w:color w:val="auto"/>
        </w:rPr>
        <w:t>”) to a date that is no earlier than the then Latest Maturity Date of any other Commitment hereunder (any such Revolving Commitments so amended, “</w:t>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 xml:space="preserve">”); provided that (i) after giving effect to any Extended Revolving Commitment under this Section 2.21, there shall be no more than three (3) Classes of Commitments outstanding at any time and (ii) 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 changes will become effective (which may be prior to the Existing Maturity Date) and (D) any other amendments or modifications to this Agreement applicable to such Extended Revolving Commitments,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such changes or modifications pursuant to this clause (D) shall become effective prior to the then Latest Maturity Date. At the time of sending such notice, the Borrower (in consultation with the Administrative Agent) shall specify the time period within which each applicable Revolving Lender is requested to respond to such request (which shall in no event be less than fifteen</w:t>
      </w:r>
    </w:p>
    <w:p>
      <w:pPr>
        <w:spacing w:after="0" w:line="11" w:lineRule="exact"/>
        <w:rPr>
          <w:rFonts w:ascii="Arial" w:cs="Arial" w:eastAsia="Arial" w:hAnsi="Arial"/>
          <w:sz w:val="16"/>
          <w:szCs w:val="16"/>
          <w:color w:val="auto"/>
        </w:rPr>
      </w:pPr>
    </w:p>
    <w:p>
      <w:pPr>
        <w:ind w:left="4" w:right="200" w:hanging="4"/>
        <w:spacing w:after="0" w:line="255" w:lineRule="auto"/>
        <w:tabs>
          <w:tab w:leader="none" w:pos="3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Section 2.21.</w:t>
      </w:r>
    </w:p>
    <w:p>
      <w:pPr>
        <w:spacing w:after="0" w:line="189" w:lineRule="exact"/>
        <w:rPr>
          <w:rFonts w:ascii="Arial" w:cs="Arial" w:eastAsia="Arial" w:hAnsi="Arial"/>
          <w:sz w:val="18"/>
          <w:szCs w:val="18"/>
          <w:color w:val="auto"/>
        </w:rPr>
      </w:pPr>
    </w:p>
    <w:p>
      <w:pPr>
        <w:ind w:left="4" w:right="40" w:firstLine="987"/>
        <w:spacing w:after="0" w:line="257" w:lineRule="auto"/>
        <w:tabs>
          <w:tab w:leader="none" w:pos="138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Election to Extend</w:t>
      </w:r>
      <w:r>
        <w:rPr>
          <w:rFonts w:ascii="Arial" w:cs="Arial" w:eastAsia="Arial" w:hAnsi="Arial"/>
          <w:sz w:val="18"/>
          <w:szCs w:val="18"/>
          <w:color w:val="auto"/>
        </w:rPr>
        <w:t>. Any Revolving Lender wishing to have all or a portion of its Revolving Commitments under the Existing Revolver Tranche amended into Extended Revolving Commitments (each, an “</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97" w:name="page98"/>
    <w:bookmarkEnd w:id="9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agree to provide any Extended Revolving Commitment pursuant to any Revolving Extension Request. Any Revolving Lender not responding on or prior to such response date shall be deemed to have declined such Revolving Extension Request. The Administrative Agent shall notify the Borrower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 the principal amount of Extended Revolving Commitments requested by the Borrower shall be allocated to each Extending Revolving Lender in such manner and in such amounts as may be agreed by Administrative Agent and the Borrower, in their sole discretion.</w:t>
      </w:r>
    </w:p>
    <w:p>
      <w:pPr>
        <w:spacing w:after="0" w:line="177"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Extended Revolving Commitments shall be established pursuant to an amendment (each,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Extension Amendment</w:t>
      </w:r>
      <w:r>
        <w:rPr>
          <w:rFonts w:ascii="Arial" w:cs="Arial" w:eastAsia="Arial" w:hAnsi="Arial"/>
          <w:sz w:val="16"/>
          <w:szCs w:val="16"/>
          <w:color w:val="auto"/>
        </w:rPr>
        <w:t>”) to this Agreement among the Borrower, the Administrative Agent and each Extending Revolving Lender,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providing an Extended Revolving Commitment thereunder, which shall be consistent with the provisions set forth in Sections 2.21(a), (b) and (d)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shall not require the consent of any other Lender). The effectiveness of any Revolving Extension Amendment shall be subject to the satisfaction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thereof of each of the conditions set forth in Sections 4.02(a) and (b) (with all references in such Sections to a Borrowing being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references to such Revolving Extension Request) and receipt of a certificate to that effect and, any other condition as may be agreed among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the Administrative Agent and the Extending Revolving Lenders. The Administrative Agent shall promptly notify each Revolving Lender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effectiveness of each Revolving Extension Amendment and the matters specified therein. Each of the parties hereto hereby agrees that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and the other Loan Documents may be amended pursuant to a Revolving Extension Amendment, without the consent of any other Lender,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(but only to the extent) necessary to (i) reflect the existence and terms of the Extended Revolving Commitments incurred pursuant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effect such other amendments to this Agreement and the other Loan Documents as may be necessary or appropriate, in the reasonable opinion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Administrative Agent and the Borrower, to effect the provisions of this Section 2.21, in each case, in a manner consistent with the terms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2.21 and the Required Lenders hereby expressly authorize the Administrative Agent to enter into any such Revolving Extension Amendment.</w:t>
      </w:r>
    </w:p>
    <w:p>
      <w:pPr>
        <w:spacing w:after="0" w:line="234" w:lineRule="exact"/>
        <w:rPr>
          <w:sz w:val="20"/>
          <w:szCs w:val="20"/>
          <w:color w:val="auto"/>
        </w:rPr>
      </w:pPr>
    </w:p>
    <w:p>
      <w:pPr>
        <w:ind w:right="140" w:firstLine="987"/>
        <w:spacing w:after="0" w:line="270" w:lineRule="auto"/>
        <w:tabs>
          <w:tab w:leader="none" w:pos="1381"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Terms of Extended Revolving Commitments</w:t>
      </w:r>
      <w:r>
        <w:rPr>
          <w:rFonts w:ascii="Arial" w:cs="Arial" w:eastAsia="Arial" w:hAnsi="Arial"/>
          <w:sz w:val="17"/>
          <w:szCs w:val="17"/>
          <w:color w:val="auto"/>
        </w:rPr>
        <w:t>. Except as expressly provided herein, all Extended Revolving Commitments effected pursuant to any Revolving Extension Request and Revolving Extension Amendment shall be subject to the same terms (including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 respect to the existing Revolving Lenders under the then existing Revolving Commitments on or prior to the Closing Date or with respect to any other Extending Revolving Lenders in connection with any other Extended Revolving Commitments effected pursuant to this Section 2.21); provided, however, that at the election of the Borrower (in consultation with the Administrative Agent), the Borrower may offer to effect Extended Revolving Commitments with (i) interest and fees at different rates applicable solely with respect to such Extended Revolving Commitments (and related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98" w:name="page99"/>
    <w:bookmarkEnd w:id="9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outstandings), which may take effect as of the date of the Revolving Extension Amendment, and (ii) 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 shall make prepayments of Revolving Loans and shall Cash Collateralize Letters of Credit, such that, after giving effect to such prepayments and such provision of cash collateral, the aggregate Revolving Credit Exposure as of such date will not exceed the aggregate Extended Revolving Commitments of the Extending Revolving Lenders extended pursuant to this Section 2.21 (and the Borrower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168" w:lineRule="exact"/>
        <w:rPr>
          <w:sz w:val="20"/>
          <w:szCs w:val="20"/>
          <w:color w:val="auto"/>
        </w:rPr>
      </w:pPr>
    </w:p>
    <w:p>
      <w:pPr>
        <w:ind w:right="120" w:firstLine="987"/>
        <w:spacing w:after="0" w:line="301" w:lineRule="auto"/>
        <w:tabs>
          <w:tab w:leader="none" w:pos="1371"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Any Extended Revolving Commitments effected pursuant to a Revolving Extension Request shall be designated a series (each, a “</w:t>
      </w:r>
      <w:r>
        <w:rPr>
          <w:rFonts w:ascii="Arial" w:cs="Arial" w:eastAsia="Arial" w:hAnsi="Arial"/>
          <w:sz w:val="16"/>
          <w:szCs w:val="16"/>
          <w:u w:val="single" w:color="auto"/>
          <w:color w:val="auto"/>
        </w:rPr>
        <w:t>Revolving Extension Series</w:t>
      </w:r>
      <w:r>
        <w:rPr>
          <w:rFonts w:ascii="Arial" w:cs="Arial" w:eastAsia="Arial" w:hAnsi="Arial"/>
          <w:sz w:val="16"/>
          <w:szCs w:val="16"/>
          <w:color w:val="auto"/>
        </w:rPr>
        <w:t>”)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17" w:lineRule="exact"/>
        <w:rPr>
          <w:sz w:val="20"/>
          <w:szCs w:val="20"/>
          <w:color w:val="auto"/>
        </w:rPr>
      </w:pPr>
    </w:p>
    <w:p>
      <w:pPr>
        <w:ind w:right="340" w:firstLine="987"/>
        <w:spacing w:after="0" w:line="342" w:lineRule="auto"/>
        <w:tabs>
          <w:tab w:leader="none" w:pos="1371"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23" w:lineRule="exact"/>
        <w:rPr>
          <w:rFonts w:ascii="Arial" w:cs="Arial" w:eastAsia="Arial" w:hAnsi="Arial"/>
          <w:sz w:val="16"/>
          <w:szCs w:val="16"/>
          <w:color w:val="auto"/>
        </w:rPr>
      </w:pPr>
    </w:p>
    <w:p>
      <w:pPr>
        <w:ind w:right="20" w:firstLine="1428"/>
        <w:spacing w:after="0" w:line="270" w:lineRule="auto"/>
        <w:tabs>
          <w:tab w:leader="none" w:pos="1827"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such Defaulting Lender to any Issuing Bank or Swingline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Issuing Banks’ L/C Exposure with respect to such Defaulting Lender in accordance with Section 2.05(g); </w:t>
      </w:r>
      <w:r>
        <w:rPr>
          <w:rFonts w:ascii="Arial" w:cs="Arial" w:eastAsia="Arial" w:hAnsi="Arial"/>
          <w:sz w:val="17"/>
          <w:szCs w:val="17"/>
          <w:i w:val="1"/>
          <w:iCs w:val="1"/>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if so determined by the Administrative Agent and the Borrower, to be held in a deposit account and released pro rata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40" w:top="274" w:right="479" w:bottom="144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Section 2.05(g);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4.01 or Section 4.02, as applicable,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Commitments without giving effect to Section 2.22(a)(ii). Any payments, prepayments or other amounts paid or payable to a Defaulting Lender that are applied (or held) to pay amounts owed by a Defaulting Lender or to post Cash Collateral pursuant to this Section 2.22(a)(i) shall be deemed paid to and redirected by such Defaulting Lender, and each Lender irrevocably consents hereto.</w:t>
      </w:r>
    </w:p>
    <w:p>
      <w:pPr>
        <w:spacing w:after="0" w:line="180" w:lineRule="exact"/>
        <w:rPr>
          <w:sz w:val="20"/>
          <w:szCs w:val="20"/>
          <w:color w:val="auto"/>
        </w:rPr>
      </w:pPr>
    </w:p>
    <w:p>
      <w:pPr>
        <w:ind w:right="60" w:firstLine="1428"/>
        <w:spacing w:after="0" w:line="254" w:lineRule="auto"/>
        <w:tabs>
          <w:tab w:leader="none" w:pos="1877"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L/C Disbursements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4" w:lineRule="exact"/>
        <w:rPr>
          <w:rFonts w:ascii="Arial" w:cs="Arial" w:eastAsia="Arial" w:hAnsi="Arial"/>
          <w:sz w:val="18"/>
          <w:szCs w:val="18"/>
          <w:color w:val="auto"/>
        </w:rPr>
      </w:pPr>
    </w:p>
    <w:p>
      <w:pPr>
        <w:ind w:right="20" w:firstLine="1428"/>
        <w:spacing w:after="0" w:line="259" w:lineRule="auto"/>
        <w:tabs>
          <w:tab w:leader="none" w:pos="1927"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Section 2.22(a)(ii) above cannot, or can only partially, be effected, the Borrower shall, without prejudice to any right or remedy available to it hereunder or under law, (x) first, prepay Swingline Loans in an amount equal to the Swingline Lenders’ Swingline Exposure and (y) second, Cash Collateralize the Issuing Banks’ L/C Exposure in accordance with the procedures set forth in Section 2.05(g).</w:t>
      </w:r>
    </w:p>
    <w:p>
      <w:pPr>
        <w:spacing w:after="0" w:line="186" w:lineRule="exact"/>
        <w:rPr>
          <w:rFonts w:ascii="Arial" w:cs="Arial" w:eastAsia="Arial" w:hAnsi="Arial"/>
          <w:sz w:val="18"/>
          <w:szCs w:val="18"/>
          <w:color w:val="auto"/>
        </w:rPr>
      </w:pPr>
    </w:p>
    <w:p>
      <w:pPr>
        <w:ind w:firstLine="987"/>
        <w:spacing w:after="0" w:line="263" w:lineRule="auto"/>
        <w:tabs>
          <w:tab w:leader="none" w:pos="138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the Borrower, the Administrative Agent and each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100" w:name="page101"/>
    <w:bookmarkEnd w:id="100"/>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(without giving effect to Section 2.22(a)(ii)),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7" w:lineRule="exact"/>
        <w:rPr>
          <w:sz w:val="20"/>
          <w:szCs w:val="20"/>
          <w:color w:val="auto"/>
        </w:rPr>
      </w:pPr>
    </w:p>
    <w:p>
      <w:pPr>
        <w:ind w:right="80" w:firstLine="987"/>
        <w:spacing w:after="0" w:line="257" w:lineRule="auto"/>
        <w:tabs>
          <w:tab w:leader="none" w:pos="137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So long as any Lender is a Defaulting Lender, the Swingline Lender shall not be required to fund any Swingline Loan and no Issuing Bank shall be required to issue, amend or increase any Letter of Credit, unless it is satisfied that, after giving effect to such Swingline Loan or Letter of Credit and the reallocation of all Defaulting Lenders’ participation therein pursuant to Section 2.22(a)(ii), the aggregate Revolving Credit Exposure of all non-Defaulting Lenders does not exceed the aggregate Revolving Commitments of all non-Defaulting Lenders.</w:t>
      </w:r>
    </w:p>
    <w:p>
      <w:pPr>
        <w:spacing w:after="0" w:line="29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6"/>
          <w:szCs w:val="16"/>
          <w:u w:val="single" w:color="auto"/>
          <w:color w:val="auto"/>
        </w:rPr>
        <w:t>Sustainability Adjustments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ESG Amendment</w:t>
      </w:r>
      <w:r>
        <w:rPr>
          <w:rFonts w:ascii="Arial" w:cs="Arial" w:eastAsia="Arial" w:hAnsi="Arial"/>
          <w:sz w:val="16"/>
          <w:szCs w:val="16"/>
          <w:color w:val="auto"/>
        </w:rPr>
        <w:t>. After the Closing Date, the Borrower, in consultation with the Sustainability Coordinator, shall be entitled to establish specified key performance indicators (“</w:t>
      </w:r>
      <w:r>
        <w:rPr>
          <w:rFonts w:ascii="Arial" w:cs="Arial" w:eastAsia="Arial" w:hAnsi="Arial"/>
          <w:sz w:val="16"/>
          <w:szCs w:val="16"/>
          <w:u w:val="single" w:color="auto"/>
          <w:color w:val="auto"/>
        </w:rPr>
        <w:t>KPIs</w:t>
      </w:r>
      <w:r>
        <w:rPr>
          <w:rFonts w:ascii="Arial" w:cs="Arial" w:eastAsia="Arial" w:hAnsi="Arial"/>
          <w:sz w:val="16"/>
          <w:szCs w:val="16"/>
          <w:color w:val="auto"/>
        </w:rPr>
        <w:t>”) with respect to certain environmental, social and governance (“</w:t>
      </w:r>
      <w:r>
        <w:rPr>
          <w:rFonts w:ascii="Arial" w:cs="Arial" w:eastAsia="Arial" w:hAnsi="Arial"/>
          <w:sz w:val="16"/>
          <w:szCs w:val="16"/>
          <w:u w:val="single" w:color="auto"/>
          <w:color w:val="auto"/>
        </w:rPr>
        <w:t>ESG</w:t>
      </w:r>
      <w:r>
        <w:rPr>
          <w:rFonts w:ascii="Arial" w:cs="Arial" w:eastAsia="Arial" w:hAnsi="Arial"/>
          <w:sz w:val="16"/>
          <w:szCs w:val="16"/>
          <w:color w:val="auto"/>
        </w:rPr>
        <w:t>”) targets of the Borrower and its Subsidiaries. The Sustainability Coordinator and the Borrower may amend this Agreement (such amendment, the “</w:t>
      </w:r>
      <w:r>
        <w:rPr>
          <w:rFonts w:ascii="Arial" w:cs="Arial" w:eastAsia="Arial" w:hAnsi="Arial"/>
          <w:sz w:val="16"/>
          <w:szCs w:val="16"/>
          <w:u w:val="single" w:color="auto"/>
          <w:color w:val="auto"/>
        </w:rPr>
        <w:t>ESG Amendment</w:t>
      </w:r>
      <w:r>
        <w:rPr>
          <w:rFonts w:ascii="Arial" w:cs="Arial" w:eastAsia="Arial" w:hAnsi="Arial"/>
          <w:sz w:val="16"/>
          <w:szCs w:val="16"/>
          <w:color w:val="auto"/>
        </w:rPr>
        <w:t>”) solely for the purpose of incorporating the KPIs and other related provisions (the “</w:t>
      </w:r>
      <w:r>
        <w:rPr>
          <w:rFonts w:ascii="Arial" w:cs="Arial" w:eastAsia="Arial" w:hAnsi="Arial"/>
          <w:sz w:val="16"/>
          <w:szCs w:val="16"/>
          <w:u w:val="single" w:color="auto"/>
          <w:color w:val="auto"/>
        </w:rPr>
        <w:t>ESG Pricing Provisions</w:t>
      </w:r>
      <w:r>
        <w:rPr>
          <w:rFonts w:ascii="Arial" w:cs="Arial" w:eastAsia="Arial" w:hAnsi="Arial"/>
          <w:sz w:val="16"/>
          <w:szCs w:val="16"/>
          <w:color w:val="auto"/>
        </w:rPr>
        <w:t>”) into this Agreement, and any such amendment shall become effective at 5:00 p.m., New York City time, on the tenth Business Day after the Administrative Agent shall have posted such proposed amendment to all Lenders and the Borrower unless, prior to such time, Lenders comprising the Required Lenders have delivered to the Administrative Agent (who shall promptly notify the Borrower) written notice that such Required Lenders object to such ESG Amendment. In the event that Required Lenders deliver a written notice objecting to any such ESG Amendment, an alternative ESG Amendment may be effectuated with the consent of the Required Lenders, the Borrower and the Sustainability Coordinator. Upon the effectiveness of any such ESG Amendment, based on the Borrower’s performance against the KPIs, certain adjustments (increase, decrease or no adjustment) to the otherwise applicable facility fee, Applicable Rate for Base Rate Loans, Swingline Loans, Eurocurrency Loans, Alternative Currency Loans, LIBOR Daily Floating Rate Loans and Letter of Credit Fees will be made; provided that the amount of such adjustments shall not exceed (i) in the case of the facility fee, an increase and/or decrease of 0.01% and (ii) in the case of the Applicable Rate for Eurocurrency Loans, Alternative Currency Loans, LIBOR Daily Floating Rate Loans and Letter of Credit Fees, an increase and/or decrease of 0.04%, and the adjustments to the Applicable Rate for Base Rate Loans and Swingline Loans shall be the same amount, in basis points, as the adjustments to the Applicable Rate for Eurocurrency Loans and Letter of Credit Fees, provided that in no event shall the Applicable Rate for Base Rate Loans and Swingline Loans be less than zero. The pricing adjustments pursuant to the KPIs will require, among other things,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01" w:name="page102"/>
    <w:bookmarkEnd w:id="101"/>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and validation of the measurement of the KPIs in a manner that is aligned with the Sustainability Linked Loan Principles and is to be agreed between the Borrower and the Sustainability Coordinator (each acting reasonably). Following the effectiveness of the ESG Amendment:</w:t>
      </w:r>
    </w:p>
    <w:p>
      <w:pPr>
        <w:spacing w:after="0" w:line="146" w:lineRule="exact"/>
        <w:rPr>
          <w:sz w:val="20"/>
          <w:szCs w:val="20"/>
          <w:color w:val="auto"/>
        </w:rPr>
      </w:pPr>
    </w:p>
    <w:p>
      <w:pPr>
        <w:ind w:right="40" w:firstLine="1428"/>
        <w:spacing w:after="0" w:line="272" w:lineRule="auto"/>
        <w:tabs>
          <w:tab w:leader="none" w:pos="178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modification to the ESG Pricing Provisions which has the effect of (x) reducing the facility fee, Applicable Rate for Base Rate Loans and Swingline Loans, or Applicable Rate for Eurocurrency Loans, Alternative Currency Loans, LIBOR Daily Floating Rate Loans and Letter of Credit Fees to a level not otherwise permitted by Section 2.23(a) or (y) increasing the facility fee, Applicable Rate for Base Rate Loans and Swingline Loans, or Applicable Rate for Eurocurrency Loans, Alternative Currency Loans, LIBOR Daily Floating Rate Loans and Letter of Credit Fees that is not accompanied by a corresponding reduction of the facility fee, Applicable Rate for Base Rate Loans and Swingline Loans, or Applicable Rate for Eurocurrency Loans, Alternative Currency Loans, LIBOR Daily Floating Rate Loans and Letter of Credit Fees by a percentage equivalent to such increase, shall (in each case) be subject to the consent of all Lenders; and</w:t>
      </w:r>
    </w:p>
    <w:p>
      <w:pPr>
        <w:spacing w:after="0" w:line="177" w:lineRule="exact"/>
        <w:rPr>
          <w:rFonts w:ascii="Arial" w:cs="Arial" w:eastAsia="Arial" w:hAnsi="Arial"/>
          <w:sz w:val="17"/>
          <w:szCs w:val="17"/>
          <w:color w:val="auto"/>
        </w:rPr>
      </w:pPr>
    </w:p>
    <w:p>
      <w:pPr>
        <w:ind w:right="160" w:firstLine="1428"/>
        <w:spacing w:after="0" w:line="277" w:lineRule="auto"/>
        <w:tabs>
          <w:tab w:leader="none" w:pos="18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other modification to the ESG Pricing Provisions (other than as provided for in Section 2.23(a)(i) above) shall be subject only to the consent of the Required Lenders.</w:t>
      </w:r>
    </w:p>
    <w:p>
      <w:pPr>
        <w:spacing w:after="0" w:line="170" w:lineRule="exact"/>
        <w:rPr>
          <w:rFonts w:ascii="Arial" w:cs="Arial" w:eastAsia="Arial" w:hAnsi="Arial"/>
          <w:sz w:val="18"/>
          <w:szCs w:val="18"/>
          <w:color w:val="auto"/>
        </w:rPr>
      </w:pPr>
    </w:p>
    <w:p>
      <w:pPr>
        <w:ind w:right="100" w:firstLine="987"/>
        <w:spacing w:after="0" w:line="263"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Sustainability Coordinator</w:t>
      </w:r>
      <w:r>
        <w:rPr>
          <w:rFonts w:ascii="Arial" w:cs="Arial" w:eastAsia="Arial" w:hAnsi="Arial"/>
          <w:sz w:val="18"/>
          <w:szCs w:val="18"/>
          <w:color w:val="auto"/>
        </w:rPr>
        <w:t>. The Sustainability Coordinator will (i) assist the Borrower in determining the ESG Pricing Provisions in connection with the ESG Amendment and (ii) assist the Borrower in preparing informational materials focused on ESG to be used in connection with the ESG Amendment.</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This Section shall supersede any provisions in Section 9.02 to the contrary.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Borrower represents and warrants to the Administrative Agent, the Lenders and the Issuing Banks as of the Closing Date and (except as to representations and warranties made as of a date certain) as of the date such representations and warranties are deemed to be made under Section 4.02 of this Agreement, that:</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 Subsidiaries</w:t>
      </w:r>
      <w:r>
        <w:rPr>
          <w:rFonts w:ascii="Arial" w:cs="Arial" w:eastAsia="Arial" w:hAnsi="Arial"/>
          <w:sz w:val="17"/>
          <w:szCs w:val="17"/>
          <w:color w:val="auto"/>
        </w:rPr>
        <w:t>.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102" w:name="page103"/>
    <w:bookmarkEnd w:id="102"/>
    <w:p>
      <w:pPr>
        <w:ind w:left="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w:t>
      </w:r>
      <w:r>
        <w:rPr>
          <w:rFonts w:ascii="Arial" w:cs="Arial" w:eastAsia="Arial" w:hAnsi="Arial"/>
          <w:sz w:val="16"/>
          <w:szCs w:val="16"/>
          <w:u w:val="single" w:color="auto"/>
          <w:color w:val="auto"/>
        </w:rPr>
        <w:t>Schedule 3.01</w:t>
      </w:r>
      <w:r>
        <w:rPr>
          <w:rFonts w:ascii="Arial" w:cs="Arial" w:eastAsia="Arial" w:hAnsi="Arial"/>
          <w:sz w:val="16"/>
          <w:szCs w:val="16"/>
          <w:color w:val="auto"/>
        </w:rPr>
        <w:t>.</w:t>
      </w:r>
    </w:p>
    <w:p>
      <w:pPr>
        <w:spacing w:after="0" w:line="164"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w:t>
      </w:r>
    </w:p>
    <w:p>
      <w:pPr>
        <w:spacing w:after="0" w:line="1" w:lineRule="exact"/>
        <w:rPr>
          <w:sz w:val="20"/>
          <w:szCs w:val="20"/>
          <w:color w:val="auto"/>
        </w:rPr>
      </w:pPr>
    </w:p>
    <w:p>
      <w:pPr>
        <w:ind w:left="444" w:right="2200" w:hanging="444"/>
        <w:spacing w:after="0" w:line="492" w:lineRule="auto"/>
        <w:tabs>
          <w:tab w:leader="none" w:pos="2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above, to the extent that such violation or default would not reasonably be expected to have a Material Adverse Effect. SECTION 3.04 </w:t>
      </w:r>
      <w:r>
        <w:rPr>
          <w:rFonts w:ascii="Arial" w:cs="Arial" w:eastAsia="Arial" w:hAnsi="Arial"/>
          <w:sz w:val="18"/>
          <w:szCs w:val="18"/>
          <w:u w:val="single" w:color="auto"/>
          <w:color w:val="auto"/>
        </w:rPr>
        <w:t>Financial Statements; Financial Condition; No Material Adverse Change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right="80" w:firstLine="987"/>
        <w:spacing w:after="0" w:line="275" w:lineRule="auto"/>
        <w:tabs>
          <w:tab w:leader="none" w:pos="14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Borrower has heretofore furnished to the Lenders the Borrower’s consolidated balance sheet and statements of earnings, stockholders equity and cash flows, (x) for each of the three fiscal years ended December 31, 2020, December 31, 2019 and December 31, 2018 reported on by Deloitte &amp; Touche LLP, independent public accountants, and (y) as of, and for the fiscal quarter ended, March 31, 2020, certified by its chief financial officer which financial statements present fairly, in all material respects, the consolidated financial position and results of operations and cash flows of the Borrower as of such dates and for such periods in accordance with GAAP.</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4"/>
          </w:cols>
          <w:pgMar w:left="436" w:top="274" w:right="479" w:bottom="1440" w:gutter="0" w:footer="0" w:header="0"/>
        </w:sectPr>
      </w:pPr>
    </w:p>
    <w:bookmarkStart w:id="103" w:name="page104"/>
    <w:bookmarkEnd w:id="103"/>
    <w:p>
      <w:pPr>
        <w:ind w:left="4" w:right="100" w:firstLine="987"/>
        <w:spacing w:after="0" w:line="277" w:lineRule="auto"/>
        <w:tabs>
          <w:tab w:leader="none" w:pos="13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on </w:t>
      </w:r>
      <w:r>
        <w:rPr>
          <w:rFonts w:ascii="Arial" w:cs="Arial" w:eastAsia="Arial" w:hAnsi="Arial"/>
          <w:sz w:val="18"/>
          <w:szCs w:val="18"/>
          <w:u w:val="single" w:color="auto"/>
          <w:color w:val="auto"/>
        </w:rPr>
        <w:t>Schedule 3.04(b)</w:t>
      </w:r>
      <w:r>
        <w:rPr>
          <w:rFonts w:ascii="Arial" w:cs="Arial" w:eastAsia="Arial" w:hAnsi="Arial"/>
          <w:sz w:val="18"/>
          <w:szCs w:val="18"/>
          <w:color w:val="auto"/>
        </w:rPr>
        <w:t>, since December 31, 2020, there has been no material adverse change in the business, assets, properties or financial condition of the Borrower and its Subsidiaries, taken as a whole.</w:t>
      </w:r>
    </w:p>
    <w:p>
      <w:pPr>
        <w:spacing w:after="0" w:line="2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59" w:lineRule="auto"/>
        <w:tabs>
          <w:tab w:leader="none" w:pos="13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ind w:left="4" w:right="20" w:firstLine="987"/>
        <w:spacing w:after="0" w:line="279" w:lineRule="auto"/>
        <w:tabs>
          <w:tab w:leader="none" w:pos="138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75" w:lineRule="auto"/>
        <w:tabs>
          <w:tab w:leader="none" w:pos="1372"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8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other Loan Party is required to register as an “investment company” as defined in the Investment Company Act of 1940.</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4"/>
          </w:cols>
          <w:pgMar w:left="436" w:top="274" w:right="439" w:bottom="1440" w:gutter="0" w:footer="0" w:header="0"/>
        </w:sectPr>
      </w:pPr>
    </w:p>
    <w:bookmarkStart w:id="104" w:name="page105"/>
    <w:bookmarkEnd w:id="104"/>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Solvency</w:t>
      </w:r>
      <w:r>
        <w:rPr>
          <w:rFonts w:ascii="Arial" w:cs="Arial" w:eastAsia="Arial" w:hAnsi="Arial"/>
          <w:sz w:val="18"/>
          <w:szCs w:val="18"/>
          <w:color w:val="auto"/>
        </w:rPr>
        <w:t>. On the Closing Date after giving effect to the Transactions, the Borrower and its Subsidiaries, on a consolidated basis, are Solvent.</w:t>
      </w:r>
    </w:p>
    <w:p>
      <w:pPr>
        <w:spacing w:after="0" w:line="278"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No part of the proceeds of any Loan have been used or will be used, whether directly or indirectly, for any purpose that entails a violation of any of the Regulations of the Board, including Regulations T, U and X.</w:t>
      </w:r>
    </w:p>
    <w:p>
      <w:pPr>
        <w:spacing w:after="0" w:line="170"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Loan Parties and each of their respective Subsidiaries are in compliance, in all material respects, with the Act. 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96"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OFAC</w:t>
      </w:r>
      <w:r>
        <w:rPr>
          <w:rFonts w:ascii="Arial" w:cs="Arial" w:eastAsia="Arial" w:hAnsi="Arial"/>
          <w:sz w:val="16"/>
          <w:szCs w:val="16"/>
          <w:color w:val="auto"/>
        </w:rPr>
        <w:t>.</w:t>
      </w:r>
    </w:p>
    <w:p>
      <w:pPr>
        <w:spacing w:after="0" w:line="117" w:lineRule="exact"/>
        <w:rPr>
          <w:sz w:val="20"/>
          <w:szCs w:val="20"/>
          <w:color w:val="auto"/>
        </w:rPr>
      </w:pPr>
    </w:p>
    <w:p>
      <w:pPr>
        <w:ind w:left="4" w:right="520" w:firstLine="987"/>
        <w:spacing w:after="0" w:line="263" w:lineRule="auto"/>
        <w:tabs>
          <w:tab w:leader="none" w:pos="13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Neither the Borrower, nor any Subsidiary is (i) a Person whose name appears on the list of Specially Designated Nationals and Blocked Persons published by OFAC (an “</w:t>
      </w:r>
      <w:r>
        <w:rPr>
          <w:rFonts w:ascii="Arial" w:cs="Arial" w:eastAsia="Arial" w:hAnsi="Arial"/>
          <w:sz w:val="18"/>
          <w:szCs w:val="18"/>
          <w:u w:val="single" w:color="auto"/>
          <w:color w:val="auto"/>
        </w:rPr>
        <w:t>OFAC Listed Person</w:t>
      </w:r>
      <w:r>
        <w:rPr>
          <w:rFonts w:ascii="Arial" w:cs="Arial" w:eastAsia="Arial" w:hAnsi="Arial"/>
          <w:sz w:val="18"/>
          <w:szCs w:val="18"/>
          <w:color w:val="auto"/>
        </w:rPr>
        <w:t>”) or a Person sanctioned by the United States of America pursuant to any of the regulations administered or enforced by OFAC (31 C.F.R., Subtitle B, Chapter V, as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105" w:name="page106"/>
    <w:bookmarkEnd w:id="105"/>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or a Person whose name appears on any economic sanctions list administered by the European Union or Her Majesty’s Treasury (an “</w:t>
      </w:r>
      <w:r>
        <w:rPr>
          <w:rFonts w:ascii="Arial" w:cs="Arial" w:eastAsia="Arial" w:hAnsi="Arial"/>
          <w:sz w:val="16"/>
          <w:szCs w:val="16"/>
          <w:u w:val="single" w:color="auto"/>
          <w:color w:val="auto"/>
        </w:rPr>
        <w:t>EU/UK</w:t>
      </w:r>
      <w:r>
        <w:rPr>
          <w:rFonts w:ascii="Arial" w:cs="Arial" w:eastAsia="Arial" w:hAnsi="Arial"/>
          <w:sz w:val="16"/>
          <w:szCs w:val="16"/>
          <w:color w:val="auto"/>
        </w:rPr>
        <w:t xml:space="preserve"> </w:t>
      </w:r>
      <w:r>
        <w:rPr>
          <w:rFonts w:ascii="Arial" w:cs="Arial" w:eastAsia="Arial" w:hAnsi="Arial"/>
          <w:sz w:val="16"/>
          <w:szCs w:val="16"/>
          <w:u w:val="single" w:color="auto"/>
          <w:color w:val="auto"/>
        </w:rPr>
        <w:t>Listed Person</w:t>
      </w:r>
      <w:r>
        <w:rPr>
          <w:rFonts w:ascii="Arial" w:cs="Arial" w:eastAsia="Arial" w:hAnsi="Arial"/>
          <w:sz w:val="16"/>
          <w:szCs w:val="16"/>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6"/>
          <w:szCs w:val="16"/>
          <w:u w:val="single" w:color="auto"/>
          <w:color w:val="auto"/>
        </w:rPr>
        <w:t>OFAC Countries</w:t>
      </w:r>
      <w:r>
        <w:rPr>
          <w:rFonts w:ascii="Arial" w:cs="Arial" w:eastAsia="Arial" w:hAnsi="Arial"/>
          <w:sz w:val="16"/>
          <w:szCs w:val="16"/>
          <w:color w:val="auto"/>
        </w:rPr>
        <w:t>”).</w:t>
      </w:r>
    </w:p>
    <w:p>
      <w:pPr>
        <w:spacing w:after="0" w:line="157" w:lineRule="exact"/>
        <w:rPr>
          <w:sz w:val="20"/>
          <w:szCs w:val="20"/>
          <w:color w:val="auto"/>
        </w:rPr>
      </w:pPr>
    </w:p>
    <w:p>
      <w:pPr>
        <w:ind w:right="140" w:firstLine="987"/>
        <w:spacing w:after="0" w:line="254" w:lineRule="auto"/>
        <w:tabs>
          <w:tab w:leader="none" w:pos="13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Borrower represents and covenants that no Loan, nor the proceeds from any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The information included in the Beneficial Ownership Certification, if applicable, is true and correct in all respects, as of the Closing Date and each other date on which such Beneficial Ownership Certification is delivered.</w:t>
      </w:r>
    </w:p>
    <w:p>
      <w:pPr>
        <w:spacing w:after="0" w:line="14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Representations as to Foreign Obligors</w:t>
      </w:r>
      <w:r>
        <w:rPr>
          <w:rFonts w:ascii="Arial" w:cs="Arial" w:eastAsia="Arial" w:hAnsi="Arial"/>
          <w:sz w:val="18"/>
          <w:szCs w:val="18"/>
          <w:color w:val="auto"/>
        </w:rPr>
        <w:t>. Each Foreign Obligor represents and warrants to the Administrative Agent, the Lenders and the Issuing Banks that:</w:t>
      </w:r>
    </w:p>
    <w:p>
      <w:pPr>
        <w:spacing w:after="0" w:line="170" w:lineRule="exact"/>
        <w:rPr>
          <w:sz w:val="20"/>
          <w:szCs w:val="20"/>
          <w:color w:val="auto"/>
        </w:rPr>
      </w:pPr>
    </w:p>
    <w:p>
      <w:pPr>
        <w:ind w:firstLine="987"/>
        <w:spacing w:after="0" w:line="254" w:lineRule="auto"/>
        <w:tabs>
          <w:tab w:leader="none" w:pos="13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Arial" w:cs="Arial" w:eastAsia="Arial" w:hAnsi="Arial"/>
          <w:sz w:val="18"/>
          <w:szCs w:val="18"/>
          <w:color w:val="auto"/>
        </w:rPr>
      </w:pPr>
    </w:p>
    <w:p>
      <w:pPr>
        <w:ind w:right="120" w:firstLine="987"/>
        <w:spacing w:after="0" w:line="255" w:lineRule="auto"/>
        <w:tabs>
          <w:tab w:leader="none" w:pos="13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106" w:name="page107"/>
    <w:bookmarkEnd w:id="106"/>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49" w:lineRule="exact"/>
        <w:rPr>
          <w:sz w:val="20"/>
          <w:szCs w:val="20"/>
          <w:color w:val="auto"/>
        </w:rPr>
      </w:pPr>
    </w:p>
    <w:p>
      <w:pPr>
        <w:ind w:firstLine="987"/>
        <w:spacing w:after="0" w:line="279" w:lineRule="auto"/>
        <w:tabs>
          <w:tab w:leader="none" w:pos="136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Initial Credit Events</w:t>
      </w:r>
      <w:r>
        <w:rPr>
          <w:rFonts w:ascii="Arial" w:cs="Arial" w:eastAsia="Arial" w:hAnsi="Arial"/>
          <w:sz w:val="16"/>
          <w:szCs w:val="16"/>
          <w:color w:val="auto"/>
        </w:rPr>
        <w:t>. The obligations of the Lenders to make Loans and of the Issuing Banks to issue Letters of Credit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Closing Date are subject to each of the following conditions being satisfied on or prior to the Closing Date:</w:t>
      </w:r>
    </w:p>
    <w:p>
      <w:pPr>
        <w:spacing w:after="0" w:line="211" w:lineRule="exact"/>
        <w:rPr>
          <w:sz w:val="20"/>
          <w:szCs w:val="20"/>
          <w:color w:val="auto"/>
        </w:rPr>
      </w:pPr>
    </w:p>
    <w:p>
      <w:pPr>
        <w:ind w:right="180" w:firstLine="987"/>
        <w:spacing w:after="0" w:line="311" w:lineRule="auto"/>
        <w:tabs>
          <w:tab w:leader="none" w:pos="136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each party hereto either (A) a counterpart of this Agreement duly executed and delivered by or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148" w:lineRule="exact"/>
        <w:rPr>
          <w:rFonts w:ascii="Arial" w:cs="Arial" w:eastAsia="Arial" w:hAnsi="Arial"/>
          <w:sz w:val="16"/>
          <w:szCs w:val="16"/>
          <w:color w:val="auto"/>
        </w:rPr>
      </w:pPr>
    </w:p>
    <w:p>
      <w:pPr>
        <w:jc w:val="both"/>
        <w:ind w:right="160" w:firstLine="987"/>
        <w:spacing w:after="0" w:line="259" w:lineRule="auto"/>
        <w:tabs>
          <w:tab w:leader="none" w:pos="137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opinions of (i) Cravath, Swaine &amp; Moore LLP, special New York counsel to the Borrower and the Loan Parties, (ii) Morgan, Lewis &amp; Bockius LLP, special Pennsylvania counsel to the Borrower and the Loan Parties, and (iii) NautaDutilh N.V., special Dutch counsel to the Borrower and the Loan Parties, in each case in a form reasonably satisfactory to the Administrative Agent. The Borrower hereby requests such counsel to deliver such opinions;</w:t>
      </w:r>
    </w:p>
    <w:p>
      <w:pPr>
        <w:spacing w:after="0" w:line="186" w:lineRule="exact"/>
        <w:rPr>
          <w:rFonts w:ascii="Arial" w:cs="Arial" w:eastAsia="Arial" w:hAnsi="Arial"/>
          <w:sz w:val="18"/>
          <w:szCs w:val="18"/>
          <w:color w:val="auto"/>
        </w:rPr>
      </w:pPr>
    </w:p>
    <w:p>
      <w:pPr>
        <w:ind w:right="100" w:firstLine="987"/>
        <w:spacing w:after="0" w:line="301" w:lineRule="auto"/>
        <w:tabs>
          <w:tab w:leader="none" w:pos="136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customary closing documents and certificates as the Administrative Agent or its counsel may reasonably request relating to the organization, existence and good standing (to the extent such concept is applicable in the relevant jurisdiction) of the Borrower and the Loan Parties, the authorization of the Transactions and any other legal matters relating to the Borrower and the Loan Parties, the Loan Documents or the Transactions, all in form and substance reasonably satisfactory to the Administrative Agent and its counsel;</w:t>
      </w:r>
    </w:p>
    <w:p>
      <w:pPr>
        <w:spacing w:after="0" w:line="157" w:lineRule="exact"/>
        <w:rPr>
          <w:rFonts w:ascii="Arial" w:cs="Arial" w:eastAsia="Arial" w:hAnsi="Arial"/>
          <w:sz w:val="16"/>
          <w:szCs w:val="16"/>
          <w:color w:val="auto"/>
        </w:rPr>
      </w:pPr>
    </w:p>
    <w:p>
      <w:pPr>
        <w:ind w:right="80" w:firstLine="987"/>
        <w:spacing w:after="0" w:line="263" w:lineRule="auto"/>
        <w:tabs>
          <w:tab w:leader="none" w:pos="137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prior to or substantially concurrently with the making of the initial Credit Events hereunder, all Indebtedness under the Existing Credit Agreement and all other amounts payable thereunder have been paid in full and all commitments to extend credit thereunder shall have terminated;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40" w:top="274" w:right="499" w:bottom="1440" w:gutter="0" w:footer="0" w:header="0"/>
        </w:sectPr>
      </w:pPr>
    </w:p>
    <w:bookmarkStart w:id="107" w:name="page108"/>
    <w:bookmarkEnd w:id="107"/>
    <w:p>
      <w:pPr>
        <w:ind w:firstLine="987"/>
        <w:spacing w:after="0" w:line="263" w:lineRule="auto"/>
        <w:tabs>
          <w:tab w:leader="none" w:pos="13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have received a certificate attesting to the Solvency of the Borrower and its Subsidiaries (taken as a whole) on the Closing Date after giving effect to the Transactions in or substantially in the form attached as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from a Financial Officer of the Borrower;</w:t>
      </w:r>
    </w:p>
    <w:p>
      <w:pPr>
        <w:spacing w:after="0" w:line="183" w:lineRule="exact"/>
        <w:rPr>
          <w:rFonts w:ascii="Arial" w:cs="Arial" w:eastAsia="Arial" w:hAnsi="Arial"/>
          <w:sz w:val="18"/>
          <w:szCs w:val="18"/>
          <w:color w:val="auto"/>
        </w:rPr>
      </w:pPr>
    </w:p>
    <w:p>
      <w:pPr>
        <w:ind w:right="60" w:firstLine="987"/>
        <w:spacing w:after="0" w:line="296" w:lineRule="auto"/>
        <w:tabs>
          <w:tab w:leader="none" w:pos="135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Upon the reasonable request of the Administrative Agent or any Lender made at least ten days prior to the Closing Date, the Borrower shall have provided to the Administrative Agent or such Lender the documentation and other information so requested in connection with applicable “know your customer” and anti-money-laundering rules and regulations, including the Act, in each case at least five days prior to the Closing Date and (ii) at least five days prior to the Closing Date, if the Borrower qualifies as a “legal entity customer” under the Beneficial Ownership Regulation, the Borrower shall deliver to the Administrative Agent and the Lenders a Beneficial Ownership Certification in relation to the Borrower;</w:t>
      </w:r>
    </w:p>
    <w:p>
      <w:pPr>
        <w:spacing w:after="0" w:line="161" w:lineRule="exact"/>
        <w:rPr>
          <w:rFonts w:ascii="Arial" w:cs="Arial" w:eastAsia="Arial" w:hAnsi="Arial"/>
          <w:sz w:val="16"/>
          <w:szCs w:val="16"/>
          <w:color w:val="auto"/>
        </w:rPr>
      </w:pPr>
    </w:p>
    <w:p>
      <w:pPr>
        <w:ind w:right="100" w:firstLine="987"/>
        <w:spacing w:after="0" w:line="311" w:lineRule="auto"/>
        <w:tabs>
          <w:tab w:leader="none" w:pos="137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48" w:lineRule="exact"/>
        <w:rPr>
          <w:rFonts w:ascii="Arial" w:cs="Arial" w:eastAsia="Arial" w:hAnsi="Arial"/>
          <w:sz w:val="16"/>
          <w:szCs w:val="16"/>
          <w:color w:val="auto"/>
        </w:rPr>
      </w:pPr>
    </w:p>
    <w:p>
      <w:pPr>
        <w:ind w:right="20" w:firstLine="987"/>
        <w:spacing w:after="0" w:line="277" w:lineRule="auto"/>
        <w:tabs>
          <w:tab w:leader="none" w:pos="13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70" w:lineRule="exact"/>
        <w:rPr>
          <w:rFonts w:ascii="Arial" w:cs="Arial" w:eastAsia="Arial" w:hAnsi="Arial"/>
          <w:sz w:val="18"/>
          <w:szCs w:val="18"/>
          <w:color w:val="auto"/>
        </w:rPr>
      </w:pPr>
    </w:p>
    <w:p>
      <w:pPr>
        <w:ind w:right="20" w:firstLine="987"/>
        <w:spacing w:after="0" w:line="259" w:lineRule="auto"/>
        <w:tabs>
          <w:tab w:leader="none" w:pos="13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signed by a Responsible Officer of the Borrower certifying (A) that the conditions specified in Section 4.02(a) and Section 4.02(b) have been satisfied and (B) that, except as set forth on </w:t>
      </w:r>
      <w:r>
        <w:rPr>
          <w:rFonts w:ascii="Arial" w:cs="Arial" w:eastAsia="Arial" w:hAnsi="Arial"/>
          <w:sz w:val="18"/>
          <w:szCs w:val="18"/>
          <w:u w:val="single" w:color="auto"/>
          <w:color w:val="auto"/>
        </w:rPr>
        <w:t>Schedule 3.04(b)</w:t>
      </w:r>
      <w:r>
        <w:rPr>
          <w:rFonts w:ascii="Arial" w:cs="Arial" w:eastAsia="Arial" w:hAnsi="Arial"/>
          <w:sz w:val="18"/>
          <w:szCs w:val="18"/>
          <w:color w:val="auto"/>
        </w:rPr>
        <w:t>, there has been no event or circumstance since the date of the audited financial statements that has had or could be reasonably expected to have, either individually or in the aggregate, a Material Adverse Effect; and</w:t>
      </w:r>
    </w:p>
    <w:p>
      <w:pPr>
        <w:spacing w:after="0" w:line="186" w:lineRule="exact"/>
        <w:rPr>
          <w:rFonts w:ascii="Arial" w:cs="Arial" w:eastAsia="Arial" w:hAnsi="Arial"/>
          <w:sz w:val="18"/>
          <w:szCs w:val="18"/>
          <w:color w:val="auto"/>
        </w:rPr>
      </w:pPr>
    </w:p>
    <w:p>
      <w:pPr>
        <w:ind w:left="1340" w:hanging="353"/>
        <w:spacing w:after="0"/>
        <w:tabs>
          <w:tab w:leader="none" w:pos="1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Subsequent Credit Events</w:t>
      </w:r>
      <w:r>
        <w:rPr>
          <w:rFonts w:ascii="Arial" w:cs="Arial" w:eastAsia="Arial" w:hAnsi="Arial"/>
          <w:sz w:val="18"/>
          <w:szCs w:val="18"/>
          <w:color w:val="auto"/>
        </w:rPr>
        <w:t>. The obligation of each Lender to make a Loan on the occasion of any Borrowing (but not a conversion or continuation of Loans), and of the Issuing Banks to issue, amend, renew or extend any Letter of Credit, in each case, following the Closing Date is subject to the satisfaction of the following conditions: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108" w:name="page109"/>
    <w:bookmarkEnd w:id="108"/>
    <w:p>
      <w:pPr>
        <w:ind w:right="180" w:firstLine="987"/>
        <w:spacing w:after="0" w:line="272" w:lineRule="auto"/>
        <w:tabs>
          <w:tab w:leader="none" w:pos="1368"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 (i) where any representation and warranty is expressly made as of a specific earlier date, such representation and warranty shall be true in all material respects as of any such earlier date and (ii) the representations and warranties set forth in Section 3.04(b) and Section 3.06 shall only be required to be made on the Closing Date and shall not be required to be made for any Credit Event following the Closing Date (but shall be required to be made on the date any Increased Commitments are established);</w:t>
      </w:r>
    </w:p>
    <w:p>
      <w:pPr>
        <w:spacing w:after="0" w:line="177" w:lineRule="exact"/>
        <w:rPr>
          <w:rFonts w:ascii="Arial" w:cs="Arial" w:eastAsia="Arial" w:hAnsi="Arial"/>
          <w:sz w:val="17"/>
          <w:szCs w:val="17"/>
          <w:color w:val="auto"/>
        </w:rPr>
      </w:pPr>
    </w:p>
    <w:p>
      <w:pPr>
        <w:ind w:firstLine="987"/>
        <w:spacing w:after="0" w:line="277" w:lineRule="auto"/>
        <w:tabs>
          <w:tab w:leader="none" w:pos="137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 and</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Except to the extent required above, each Borrowing and each issuance, amendment, renewal or extension of a Letter of Credit shall be deemed to constitute a representation and warranty by the Borrower on the date thereof as to the matters specified in paragraphs (a) and (b) of this Section 4.02.</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Affirmative Covenants</w:t>
      </w:r>
    </w:p>
    <w:p>
      <w:pPr>
        <w:spacing w:after="0" w:line="229"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(who shall promptly furnish a copy to each Lender):</w:t>
      </w:r>
    </w:p>
    <w:p>
      <w:pPr>
        <w:spacing w:after="0" w:line="170" w:lineRule="exact"/>
        <w:rPr>
          <w:sz w:val="20"/>
          <w:szCs w:val="20"/>
          <w:color w:val="auto"/>
        </w:rPr>
      </w:pPr>
    </w:p>
    <w:p>
      <w:pPr>
        <w:ind w:right="80" w:firstLine="987"/>
        <w:spacing w:after="0" w:line="293" w:lineRule="auto"/>
        <w:tabs>
          <w:tab w:leader="none" w:pos="137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20"/>
          </w:cols>
          <w:pgMar w:left="440" w:top="274" w:right="439" w:bottom="1440" w:gutter="0" w:footer="0" w:header="0"/>
        </w:sectPr>
      </w:pPr>
    </w:p>
    <w:bookmarkStart w:id="109" w:name="page110"/>
    <w:bookmarkEnd w:id="109"/>
    <w:p>
      <w:pPr>
        <w:ind w:firstLine="987"/>
        <w:spacing w:after="0" w:line="293" w:lineRule="auto"/>
        <w:tabs>
          <w:tab w:leader="none" w:pos="1381"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64" w:lineRule="exact"/>
        <w:rPr>
          <w:rFonts w:ascii="Arial" w:cs="Arial" w:eastAsia="Arial" w:hAnsi="Arial"/>
          <w:sz w:val="16"/>
          <w:szCs w:val="16"/>
          <w:color w:val="auto"/>
        </w:rPr>
      </w:pPr>
    </w:p>
    <w:p>
      <w:pPr>
        <w:ind w:right="120" w:firstLine="987"/>
        <w:spacing w:after="0" w:line="259" w:lineRule="auto"/>
        <w:tabs>
          <w:tab w:leader="none" w:pos="137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Borrower acknowledges that (a) the Administrative Agent and/or the Arrangers may, but shall not be obligated to, make available to the Lenders and the Issuing Banks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such information on DebtDomain, IntraLinks, Syndtrak, ClearPar, or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 side” Lenders (i.e., Lenders that do not wish to receive material non-public information 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10" w:name="page111"/>
    <w:bookmarkEnd w:id="110"/>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1360" w:hanging="373"/>
        <w:spacing w:after="0"/>
        <w:tabs>
          <w:tab w:leader="none" w:pos="13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occurrence of any continuing Default;</w:t>
      </w:r>
    </w:p>
    <w:p>
      <w:pPr>
        <w:spacing w:after="0" w:line="225"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170" w:lineRule="exact"/>
        <w:rPr>
          <w:rFonts w:ascii="Arial" w:cs="Arial" w:eastAsia="Arial" w:hAnsi="Arial"/>
          <w:sz w:val="18"/>
          <w:szCs w:val="18"/>
          <w:color w:val="auto"/>
        </w:rPr>
      </w:pPr>
    </w:p>
    <w:p>
      <w:pPr>
        <w:ind w:right="280" w:firstLine="987"/>
        <w:spacing w:after="0" w:line="277" w:lineRule="auto"/>
        <w:tabs>
          <w:tab w:leader="none" w:pos="137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a Material Adverse Effect; and</w:t>
      </w:r>
    </w:p>
    <w:p>
      <w:pPr>
        <w:spacing w:after="0" w:line="170" w:lineRule="exact"/>
        <w:rPr>
          <w:rFonts w:ascii="Arial" w:cs="Arial" w:eastAsia="Arial" w:hAnsi="Arial"/>
          <w:sz w:val="18"/>
          <w:szCs w:val="18"/>
          <w:color w:val="auto"/>
        </w:rPr>
      </w:pPr>
    </w:p>
    <w:p>
      <w:pPr>
        <w:ind w:right="720" w:firstLine="987"/>
        <w:spacing w:after="0" w:line="277" w:lineRule="auto"/>
        <w:tabs>
          <w:tab w:leader="none" w:pos="138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11" w:name="page112"/>
    <w:bookmarkEnd w:id="111"/>
    <w:p>
      <w:pPr>
        <w:ind w:firstLine="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66"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 and Letters of Credit</w:t>
      </w:r>
      <w:r>
        <w:rPr>
          <w:rFonts w:ascii="Arial" w:cs="Arial" w:eastAsia="Arial" w:hAnsi="Arial"/>
          <w:sz w:val="18"/>
          <w:szCs w:val="18"/>
          <w:color w:val="auto"/>
        </w:rPr>
        <w:t>. The proceeds of Loans and other Credit Events will be used for general lawful corporate purposes of the Borrower and its Subsidiaries. No part of the proceeds of any Loan will be used, whether directly or indirectly, for any purpose that entails a violation of any of the Regulations of the Board, including Regulations T, U and X.</w:t>
      </w:r>
    </w:p>
    <w:p>
      <w:pPr>
        <w:spacing w:after="0" w:line="184"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Guarantees</w:t>
      </w:r>
      <w:r>
        <w:rPr>
          <w:rFonts w:ascii="Arial" w:cs="Arial" w:eastAsia="Arial" w:hAnsi="Arial"/>
          <w:sz w:val="16"/>
          <w:szCs w:val="16"/>
          <w:color w:val="auto"/>
        </w:rPr>
        <w:t>. (i) In the event that any Subsidiary of the Borrower (other than an Excluded Finco or a Receivables Entity) incurs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guarantees (x) any Indebtedness of the Borrower, owed to a Person other than any Subsidiary, in excess of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$500,000,000 for all such Indebtedness of such Subsidiary with respect to the Borrower (such Indebtedness of such Subsidiary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w:t>
      </w:r>
      <w:r>
        <w:rPr>
          <w:rFonts w:ascii="Arial" w:cs="Arial" w:eastAsia="Arial" w:hAnsi="Arial"/>
          <w:sz w:val="16"/>
          <w:szCs w:val="16"/>
          <w:u w:val="single" w:color="auto"/>
          <w:color w:val="auto"/>
        </w:rPr>
        <w:t>Triggering Indebtedness</w:t>
      </w:r>
      <w:r>
        <w:rPr>
          <w:rFonts w:ascii="Arial" w:cs="Arial" w:eastAsia="Arial" w:hAnsi="Arial"/>
          <w:sz w:val="16"/>
          <w:szCs w:val="16"/>
          <w:color w:val="auto"/>
        </w:rPr>
        <w:t>”) or (y) Mylan Notes in excess of an aggregate principal amount of $500,000,000, and (ii) if Finco ceases to be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Excluded Finco and would otherwise satisfy clause (i) above, then, in each case, the Borrower shall cause each such Subsidiary to Guarantee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in favor of the Administrative Agent for the benefit of the Administrative Agent and the Lenders and shall cause each such Subsidiary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deliver to the Administrative Agent (A) a joinder to this Agreement in or substantially in the form attached as Exhibit F (each such joinder, a “</w:t>
      </w:r>
      <w:r>
        <w:rPr>
          <w:rFonts w:ascii="Arial" w:cs="Arial" w:eastAsia="Arial" w:hAnsi="Arial"/>
          <w:sz w:val="16"/>
          <w:szCs w:val="16"/>
          <w:u w:val="single" w:color="auto"/>
          <w:color w:val="auto"/>
        </w:rPr>
        <w:t>Guarantor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Joinder Agreement</w:t>
      </w:r>
      <w:r>
        <w:rPr>
          <w:rFonts w:ascii="Arial" w:cs="Arial" w:eastAsia="Arial" w:hAnsi="Arial"/>
          <w:sz w:val="16"/>
          <w:szCs w:val="16"/>
          <w:color w:val="auto"/>
        </w:rPr>
        <w:t>”) duly executed and delivered by such Subsidiary, (B) all documents and other information reasonably requested by the Lenders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allow the Lenders to comply with the Act and the Beneficial Ownership Regulation, (C) customary legal opinions substantially similar to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delivered pursuant to Section 4.01(b) (with such changes as may be appropriate to reflect local law concerns), (D) customary closing documents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similar to those delivered pursuant to Section 4.01(c) and (E) other documentation required under applicable Laws (it being understood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guarantee of Indebtedness by such Subsidiary shall be subject to the provisions of Section 6.01 of this Agreement). In the event that (1)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receives evidence reasonably satisfactory to it that any Guarantor has been or will concurrently 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2" w:name="page113"/>
    <w:bookmarkEnd w:id="112"/>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payable hereunder have been paid in full and all Letters of Credit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4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260" w:firstLine="987"/>
        <w:spacing w:after="0" w:line="263" w:lineRule="auto"/>
        <w:tabs>
          <w:tab w:leader="none" w:pos="138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firstLine="987"/>
        <w:spacing w:after="0" w:line="284" w:lineRule="auto"/>
        <w:tabs>
          <w:tab w:leader="none" w:pos="138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5.01(a) or (b) and (ii) any Permitted Refinancing Indebtedness in respect of Indebtedness permitted by clause (i) of this clause (d);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113" w:name="page114"/>
    <w:bookmarkEnd w:id="113"/>
    <w:p>
      <w:pPr>
        <w:ind w:left="4" w:firstLine="987"/>
        <w:spacing w:after="0" w:line="257" w:lineRule="auto"/>
        <w:tabs>
          <w:tab w:leader="none" w:pos="1375" w:val="left"/>
        </w:tabs>
        <w:numPr>
          <w:ilvl w:val="1"/>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7" w:lineRule="exact"/>
        <w:rPr>
          <w:rFonts w:ascii="Arial" w:cs="Arial" w:eastAsia="Arial" w:hAnsi="Arial"/>
          <w:sz w:val="18"/>
          <w:szCs w:val="18"/>
          <w:color w:val="auto"/>
        </w:rPr>
      </w:pPr>
    </w:p>
    <w:p>
      <w:pPr>
        <w:ind w:left="4" w:right="200" w:firstLine="987"/>
        <w:spacing w:after="0" w:line="263" w:lineRule="auto"/>
        <w:tabs>
          <w:tab w:leader="none" w:pos="13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20" w:firstLine="987"/>
        <w:spacing w:after="0" w:line="259" w:lineRule="auto"/>
        <w:tabs>
          <w:tab w:leader="none" w:pos="138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80" w:firstLine="987"/>
        <w:spacing w:after="0" w:line="342" w:lineRule="auto"/>
        <w:tabs>
          <w:tab w:leader="none" w:pos="134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60" w:firstLine="987"/>
        <w:spacing w:after="0" w:line="287" w:lineRule="auto"/>
        <w:tabs>
          <w:tab w:leader="none" w:pos="138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800" w:firstLine="987"/>
        <w:spacing w:after="0" w:line="277" w:lineRule="auto"/>
        <w:tabs>
          <w:tab w:leader="none" w:pos="13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right="20" w:firstLine="987"/>
        <w:spacing w:after="0" w:line="308" w:lineRule="auto"/>
        <w:tabs>
          <w:tab w:leader="none" w:pos="138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84"/>
          </w:cols>
          <w:pgMar w:left="436" w:top="274" w:right="479" w:bottom="1440" w:gutter="0" w:footer="0" w:header="0"/>
        </w:sectPr>
      </w:pPr>
    </w:p>
    <w:bookmarkStart w:id="114" w:name="page115"/>
    <w:bookmarkEnd w:id="114"/>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amount, when aggregated with the amount of Indebtedness of the Loan Parties secured by Liens pursuant to Section 6.02(r), not to exceed the greater of (x) $2,750,000,000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87" w:lineRule="exact"/>
        <w:rPr>
          <w:sz w:val="20"/>
          <w:szCs w:val="20"/>
          <w:color w:val="auto"/>
        </w:rPr>
      </w:pPr>
    </w:p>
    <w:p>
      <w:pPr>
        <w:ind w:left="4" w:right="60" w:firstLine="987"/>
        <w:spacing w:after="0" w:line="287" w:lineRule="auto"/>
        <w:tabs>
          <w:tab w:leader="none" w:pos="138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236" w:lineRule="exact"/>
        <w:rPr>
          <w:rFonts w:ascii="Arial" w:cs="Arial" w:eastAsia="Arial" w:hAnsi="Arial"/>
          <w:sz w:val="17"/>
          <w:szCs w:val="17"/>
          <w:color w:val="auto"/>
        </w:rPr>
      </w:pPr>
    </w:p>
    <w:p>
      <w:pPr>
        <w:ind w:left="1344" w:hanging="353"/>
        <w:spacing w:after="0"/>
        <w:tabs>
          <w:tab w:leader="none" w:pos="134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left="4" w:right="460" w:firstLine="987"/>
        <w:spacing w:after="0" w:line="277" w:lineRule="auto"/>
        <w:tabs>
          <w:tab w:leader="none" w:pos="136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4" w:hanging="373"/>
        <w:spacing w:after="0"/>
        <w:tabs>
          <w:tab w:leader="none" w:pos="13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4" w:right="280" w:firstLine="987"/>
        <w:spacing w:after="0" w:line="275" w:lineRule="auto"/>
        <w:tabs>
          <w:tab w:leader="none" w:pos="13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76" w:lineRule="exact"/>
        <w:rPr>
          <w:rFonts w:ascii="Arial" w:cs="Arial" w:eastAsia="Arial" w:hAnsi="Arial"/>
          <w:sz w:val="17"/>
          <w:szCs w:val="17"/>
          <w:color w:val="auto"/>
        </w:rPr>
      </w:pPr>
    </w:p>
    <w:p>
      <w:pPr>
        <w:ind w:left="4" w:firstLine="987"/>
        <w:spacing w:after="0" w:line="255" w:lineRule="auto"/>
        <w:tabs>
          <w:tab w:leader="none" w:pos="13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4"/>
          </w:cols>
          <w:pgMar w:left="436" w:top="274" w:right="499" w:bottom="1440" w:gutter="0" w:footer="0" w:header="0"/>
        </w:sectPr>
      </w:pPr>
    </w:p>
    <w:bookmarkStart w:id="115" w:name="page116"/>
    <w:bookmarkEnd w:id="115"/>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which it secures on the date of such acquisition or the date such Person becomes a Subsidiary, as the case may be, and Permitted Refinancing Indebtedness in respect thereof;</w:t>
      </w:r>
    </w:p>
    <w:p>
      <w:pPr>
        <w:spacing w:after="0" w:line="170" w:lineRule="exact"/>
        <w:rPr>
          <w:sz w:val="20"/>
          <w:szCs w:val="20"/>
          <w:color w:val="auto"/>
        </w:rPr>
      </w:pPr>
    </w:p>
    <w:p>
      <w:pPr>
        <w:ind w:left="4" w:right="20" w:firstLine="987"/>
        <w:spacing w:after="0" w:line="288" w:lineRule="auto"/>
        <w:tabs>
          <w:tab w:leader="none" w:pos="138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(i) Liens on fixed or capital assets acquired, constructed, repaired, replaced or improved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individual financings of fixed or capital assets provided by one lender may be cross-collateralized to other financings of fixed or capital assets provided by such lender;</w:t>
      </w:r>
    </w:p>
    <w:p>
      <w:pPr>
        <w:spacing w:after="0" w:line="168" w:lineRule="exact"/>
        <w:rPr>
          <w:rFonts w:ascii="Arial" w:cs="Arial" w:eastAsia="Arial" w:hAnsi="Arial"/>
          <w:sz w:val="16"/>
          <w:szCs w:val="16"/>
          <w:color w:val="auto"/>
        </w:rPr>
      </w:pPr>
    </w:p>
    <w:p>
      <w:pPr>
        <w:ind w:left="4" w:right="60" w:firstLine="987"/>
        <w:spacing w:after="0" w:line="259" w:lineRule="auto"/>
        <w:tabs>
          <w:tab w:leader="none" w:pos="137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4"/>
          </w:cols>
          <w:pgMar w:left="436" w:top="274" w:right="459" w:bottom="1440" w:gutter="0" w:footer="0" w:header="0"/>
        </w:sectPr>
      </w:pPr>
    </w:p>
    <w:bookmarkStart w:id="116" w:name="page117"/>
    <w:bookmarkEnd w:id="116"/>
    <w:p>
      <w:pPr>
        <w:ind w:left="4" w:right="200" w:firstLine="987"/>
        <w:spacing w:after="0" w:line="277" w:lineRule="auto"/>
        <w:tabs>
          <w:tab w:leader="none" w:pos="1345" w:val="left"/>
        </w:tabs>
        <w:numPr>
          <w:ilvl w:val="1"/>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38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5" w:lineRule="exact"/>
        <w:rPr>
          <w:sz w:val="20"/>
          <w:szCs w:val="20"/>
          <w:color w:val="auto"/>
        </w:rPr>
      </w:pPr>
    </w:p>
    <w:p>
      <w:pPr>
        <w:ind w:left="4" w:hanging="4"/>
        <w:spacing w:after="0" w:line="271" w:lineRule="auto"/>
        <w:tabs>
          <w:tab w:leader="none" w:pos="229"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$2,750,000,000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78" w:lineRule="exact"/>
        <w:rPr>
          <w:rFonts w:ascii="Arial" w:cs="Arial" w:eastAsia="Arial" w:hAnsi="Arial"/>
          <w:sz w:val="17"/>
          <w:szCs w:val="17"/>
          <w:color w:val="auto"/>
        </w:rPr>
      </w:pPr>
    </w:p>
    <w:p>
      <w:pPr>
        <w:ind w:left="1364" w:hanging="373"/>
        <w:spacing w:after="0"/>
        <w:tabs>
          <w:tab w:leader="none" w:pos="136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left="4" w:right="240" w:firstLine="987"/>
        <w:spacing w:after="0" w:line="342" w:lineRule="auto"/>
        <w:tabs>
          <w:tab w:leader="none" w:pos="134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4"/>
          </w:cols>
          <w:pgMar w:left="436" w:top="274" w:right="459" w:bottom="1440" w:gutter="0" w:footer="0" w:header="0"/>
        </w:sectPr>
      </w:pPr>
    </w:p>
    <w:bookmarkStart w:id="117" w:name="page118"/>
    <w:bookmarkEnd w:id="117"/>
    <w:p>
      <w:pPr>
        <w:ind w:left="4" w:firstLine="987"/>
        <w:spacing w:after="0" w:line="277" w:lineRule="auto"/>
        <w:tabs>
          <w:tab w:leader="none" w:pos="13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arising from Uniform Commercial Code financing statement filings regarding operating leases or consignments entered into by the Borrower and its Subsidiaries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left="4" w:right="80" w:firstLine="987"/>
        <w:spacing w:after="0" w:line="277" w:lineRule="auto"/>
        <w:tabs>
          <w:tab w:leader="none" w:pos="142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on Cash Equivalents deposited as Cash Collateral on Letters of Credit as contemplated by this Agreement;</w:t>
      </w:r>
    </w:p>
    <w:p>
      <w:pPr>
        <w:spacing w:after="0" w:line="225" w:lineRule="exact"/>
        <w:rPr>
          <w:rFonts w:ascii="Arial" w:cs="Arial" w:eastAsia="Arial" w:hAnsi="Arial"/>
          <w:sz w:val="18"/>
          <w:szCs w:val="18"/>
          <w:color w:val="auto"/>
        </w:rPr>
      </w:pPr>
    </w:p>
    <w:p>
      <w:pPr>
        <w:ind w:left="4" w:firstLine="987"/>
        <w:spacing w:after="0" w:line="277" w:lineRule="auto"/>
        <w:tabs>
          <w:tab w:leader="none" w:pos="138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left="4" w:right="240" w:firstLine="987"/>
        <w:spacing w:after="0" w:line="311" w:lineRule="auto"/>
        <w:tabs>
          <w:tab w:leader="none" w:pos="137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xml:space="preserve">.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Investment in connection therewith is otherwise permitted by Section 6.05;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w:t>
      </w:r>
    </w:p>
    <w:p>
      <w:pPr>
        <w:spacing w:after="0" w:line="2" w:lineRule="exact"/>
        <w:rPr>
          <w:sz w:val="20"/>
          <w:szCs w:val="20"/>
          <w:color w:val="auto"/>
        </w:rPr>
      </w:pPr>
    </w:p>
    <w:p>
      <w:pPr>
        <w:jc w:val="both"/>
        <w:ind w:left="4" w:right="60" w:hanging="4"/>
        <w:spacing w:after="0" w:line="277" w:lineRule="auto"/>
        <w:tabs>
          <w:tab w:leader="none" w:pos="25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4"/>
          </w:cols>
          <w:pgMar w:left="436" w:top="274" w:right="479" w:bottom="1440" w:gutter="0" w:footer="0" w:header="0"/>
        </w:sectPr>
      </w:pPr>
    </w:p>
    <w:bookmarkStart w:id="118" w:name="page119"/>
    <w:bookmarkEnd w:id="11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 (g) 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6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and will not allow any of its Subsidiaries to make or hold any Investments, except:</w:t>
      </w:r>
    </w:p>
    <w:p>
      <w:pPr>
        <w:spacing w:after="0" w:line="225" w:lineRule="exact"/>
        <w:rPr>
          <w:sz w:val="20"/>
          <w:szCs w:val="20"/>
          <w:color w:val="auto"/>
        </w:rPr>
      </w:pPr>
    </w:p>
    <w:p>
      <w:pPr>
        <w:ind w:left="1360" w:hanging="373"/>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right="20" w:firstLine="987"/>
        <w:spacing w:after="0" w:line="301" w:lineRule="auto"/>
        <w:tabs>
          <w:tab w:leader="none" w:pos="138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60" w:hanging="373"/>
        <w:spacing w:after="0"/>
        <w:tabs>
          <w:tab w:leader="none" w:pos="1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right="120" w:firstLine="987"/>
        <w:spacing w:after="0" w:line="255" w:lineRule="auto"/>
        <w:tabs>
          <w:tab w:leader="none" w:pos="138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92" w:lineRule="exact"/>
        <w:rPr>
          <w:rFonts w:ascii="Arial" w:cs="Arial" w:eastAsia="Arial" w:hAnsi="Arial"/>
          <w:sz w:val="18"/>
          <w:szCs w:val="18"/>
          <w:color w:val="auto"/>
        </w:rPr>
      </w:pPr>
    </w:p>
    <w:p>
      <w:pPr>
        <w:ind w:right="100" w:firstLine="987"/>
        <w:spacing w:after="0" w:line="259" w:lineRule="auto"/>
        <w:tabs>
          <w:tab w:leader="none" w:pos="13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0"/>
          </w:cols>
          <w:pgMar w:left="440" w:top="274" w:right="479" w:bottom="1440" w:gutter="0" w:footer="0" w:header="0"/>
        </w:sectPr>
      </w:pPr>
    </w:p>
    <w:bookmarkStart w:id="119" w:name="page120"/>
    <w:bookmarkEnd w:id="119"/>
    <w:p>
      <w:pPr>
        <w:ind w:left="1340" w:hanging="353"/>
        <w:spacing w:after="0"/>
        <w:tabs>
          <w:tab w:leader="none" w:pos="1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in Swap Agreements in the ordinary course of business;</w:t>
      </w:r>
    </w:p>
    <w:p>
      <w:pPr>
        <w:spacing w:after="0" w:line="225" w:lineRule="exact"/>
        <w:rPr>
          <w:rFonts w:ascii="Arial" w:cs="Arial" w:eastAsia="Arial" w:hAnsi="Arial"/>
          <w:sz w:val="18"/>
          <w:szCs w:val="18"/>
          <w:color w:val="auto"/>
        </w:rPr>
      </w:pPr>
    </w:p>
    <w:p>
      <w:pPr>
        <w:ind w:right="180" w:firstLine="987"/>
        <w:spacing w:after="0" w:line="277" w:lineRule="auto"/>
        <w:tabs>
          <w:tab w:leader="none" w:pos="13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right="720" w:firstLine="987"/>
        <w:spacing w:after="0" w:line="342" w:lineRule="auto"/>
        <w:tabs>
          <w:tab w:leader="none" w:pos="134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advances of payroll payments, fees or other compensation to officers, directors, consultants or employees,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firstLine="987"/>
        <w:spacing w:after="0" w:line="254" w:lineRule="auto"/>
        <w:tabs>
          <w:tab w:leader="none" w:pos="13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94" w:lineRule="exact"/>
        <w:rPr>
          <w:rFonts w:ascii="Arial" w:cs="Arial" w:eastAsia="Arial" w:hAnsi="Arial"/>
          <w:sz w:val="18"/>
          <w:szCs w:val="18"/>
          <w:color w:val="auto"/>
        </w:rPr>
      </w:pPr>
    </w:p>
    <w:p>
      <w:pPr>
        <w:ind w:right="60" w:firstLine="987"/>
        <w:spacing w:after="0" w:line="263" w:lineRule="auto"/>
        <w:tabs>
          <w:tab w:leader="none" w:pos="135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Borrower will not, and will not permit any of its Subsidiaries to, sell, lease or otherwise transfer any Property to, or purchase, lease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40" w:top="274" w:right="479" w:bottom="1440" w:gutter="0" w:footer="0" w:header="0"/>
        </w:sectPr>
      </w:pPr>
    </w:p>
    <w:bookmarkStart w:id="120" w:name="page121"/>
    <w:bookmarkEnd w:id="12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w:t>
      </w:r>
      <w:r>
        <w:rPr>
          <w:rFonts w:ascii="Arial" w:cs="Arial" w:eastAsia="Arial" w:hAnsi="Arial"/>
          <w:sz w:val="16"/>
          <w:szCs w:val="16"/>
          <w:u w:val="single" w:color="auto"/>
          <w:color w:val="auto"/>
        </w:rPr>
        <w:t>Schedule 6.06</w:t>
      </w:r>
      <w:r>
        <w:rPr>
          <w:rFonts w:ascii="Arial" w:cs="Arial" w:eastAsia="Arial" w:hAnsi="Arial"/>
          <w:sz w:val="16"/>
          <w:szCs w:val="16"/>
          <w:color w:val="auto"/>
        </w:rPr>
        <w:t xml:space="preserve">, in each case, with officers, directors, consultants and employees of the Borrower or its Subsidiaries, (g) the transactions pursuant to the agreements set forth in </w:t>
      </w:r>
      <w:r>
        <w:rPr>
          <w:rFonts w:ascii="Arial" w:cs="Arial" w:eastAsia="Arial" w:hAnsi="Arial"/>
          <w:sz w:val="16"/>
          <w:szCs w:val="16"/>
          <w:u w:val="single" w:color="auto"/>
          <w:color w:val="auto"/>
        </w:rPr>
        <w:t>Schedule 6.06</w:t>
      </w:r>
      <w:r>
        <w:rPr>
          <w:rFonts w:ascii="Arial" w:cs="Arial" w:eastAsia="Arial" w:hAnsi="Arial"/>
          <w:sz w:val="16"/>
          <w:szCs w:val="16"/>
          <w:color w:val="auto"/>
        </w:rPr>
        <w:t xml:space="preserve">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Arial" w:cs="Arial" w:eastAsia="Arial" w:hAnsi="Arial"/>
          <w:sz w:val="16"/>
          <w:szCs w:val="16"/>
          <w:u w:val="single" w:color="auto"/>
          <w:color w:val="auto"/>
        </w:rPr>
        <w:t>Schedule 6.06</w:t>
      </w:r>
      <w:r>
        <w:rPr>
          <w:rFonts w:ascii="Arial" w:cs="Arial" w:eastAsia="Arial" w:hAnsi="Arial"/>
          <w:sz w:val="16"/>
          <w:szCs w:val="16"/>
          <w:color w:val="auto"/>
        </w:rPr>
        <w:t>,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175" w:lineRule="exact"/>
        <w:rPr>
          <w:sz w:val="20"/>
          <w:szCs w:val="20"/>
          <w:color w:val="auto"/>
        </w:rPr>
      </w:pPr>
    </w:p>
    <w:p>
      <w:pPr>
        <w:jc w:val="both"/>
        <w:ind w:right="100" w:firstLine="440"/>
        <w:spacing w:after="0" w:line="275"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The Borrower will not permit the Consolidated Leverage Ratio as of the last day of (x) each fiscal quarter ending after the Closing Date through and including the fiscal quarter ending June 30, 2022, to exceed 4.25 to 1.00, (y) each fiscal quarter ending after June 30, 2022 through and including the fiscal quarter ending December 31, 2022, to exceed 4.00 to 1.00 and (z) any fiscal quarter thereafter, to exceed 3.75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lieu of the ratio set forth in this clause (z), for any such date occurring after a Qualified Acquisition, on or prior to the last day of the third full fiscal quarter of the Borrower after the consummation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121" w:name="page122"/>
    <w:bookmarkEnd w:id="1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Qualified Acquisition, the Borrower will not permit the Consolidated Leverage Ratio as of such date to exceed 4.25 to 1.00.</w:t>
      </w:r>
    </w:p>
    <w:p>
      <w:pPr>
        <w:spacing w:after="0" w:line="225" w:lineRule="exact"/>
        <w:rPr>
          <w:sz w:val="20"/>
          <w:szCs w:val="20"/>
          <w:color w:val="auto"/>
        </w:rPr>
      </w:pPr>
    </w:p>
    <w:p>
      <w:pPr>
        <w:ind w:left="4" w:right="300" w:firstLine="440"/>
        <w:spacing w:after="0" w:line="286"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Lines of Business</w:t>
      </w:r>
      <w:r>
        <w:rPr>
          <w:rFonts w:ascii="Arial" w:cs="Arial" w:eastAsia="Arial" w:hAnsi="Arial"/>
          <w:sz w:val="17"/>
          <w:szCs w:val="17"/>
          <w:color w:val="auto"/>
        </w:rPr>
        <w:t>.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w:t>
      </w:r>
    </w:p>
    <w:p>
      <w:pPr>
        <w:spacing w:after="0" w:line="225" w:lineRule="exact"/>
        <w:rPr>
          <w:sz w:val="20"/>
          <w:szCs w:val="20"/>
          <w:color w:val="auto"/>
        </w:rPr>
      </w:pPr>
    </w:p>
    <w:p>
      <w:pPr>
        <w:ind w:left="4" w:right="180" w:firstLine="987"/>
        <w:spacing w:after="0" w:line="308" w:lineRule="auto"/>
        <w:tabs>
          <w:tab w:leader="none" w:pos="1375"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ind w:left="1384" w:hanging="393"/>
        <w:spacing w:after="0"/>
        <w:tabs>
          <w:tab w:leader="none" w:pos="1384"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Loan or any fee or any other amount (other than an amount referred to in clause</w:t>
      </w:r>
    </w:p>
    <w:p>
      <w:pPr>
        <w:spacing w:after="0" w:line="46" w:lineRule="exact"/>
        <w:rPr>
          <w:rFonts w:ascii="Arial" w:cs="Arial" w:eastAsia="Arial" w:hAnsi="Arial"/>
          <w:sz w:val="16"/>
          <w:szCs w:val="16"/>
          <w:color w:val="auto"/>
        </w:rPr>
      </w:pPr>
    </w:p>
    <w:p>
      <w:pPr>
        <w:ind w:left="4" w:right="60" w:hanging="4"/>
        <w:spacing w:after="0" w:line="260" w:lineRule="auto"/>
        <w:tabs>
          <w:tab w:leader="none" w:pos="2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of this Article) payable under this Agreement, when and as the same shall become due and payable, and such failure shall continue unremedied for a period of five (5) Business Days;</w:t>
      </w:r>
    </w:p>
    <w:p>
      <w:pPr>
        <w:spacing w:after="0" w:line="185" w:lineRule="exact"/>
        <w:rPr>
          <w:rFonts w:ascii="Arial" w:cs="Arial" w:eastAsia="Arial" w:hAnsi="Arial"/>
          <w:sz w:val="18"/>
          <w:szCs w:val="18"/>
          <w:color w:val="auto"/>
        </w:rPr>
      </w:pPr>
    </w:p>
    <w:p>
      <w:pPr>
        <w:ind w:left="4" w:firstLine="987"/>
        <w:spacing w:after="0" w:line="279" w:lineRule="auto"/>
        <w:tabs>
          <w:tab w:leader="none" w:pos="137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left="4" w:right="20" w:firstLine="987"/>
        <w:spacing w:after="0" w:line="277" w:lineRule="auto"/>
        <w:tabs>
          <w:tab w:leader="none" w:pos="138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or Article VI;</w:t>
      </w:r>
    </w:p>
    <w:p>
      <w:pPr>
        <w:spacing w:after="0" w:line="170" w:lineRule="exact"/>
        <w:rPr>
          <w:rFonts w:ascii="Arial" w:cs="Arial" w:eastAsia="Arial" w:hAnsi="Arial"/>
          <w:sz w:val="18"/>
          <w:szCs w:val="18"/>
          <w:color w:val="auto"/>
        </w:rPr>
      </w:pPr>
    </w:p>
    <w:p>
      <w:pPr>
        <w:ind w:left="4" w:right="140" w:firstLine="987"/>
        <w:spacing w:after="0" w:line="263" w:lineRule="auto"/>
        <w:tabs>
          <w:tab w:leader="none" w:pos="137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83" w:lineRule="exact"/>
        <w:rPr>
          <w:rFonts w:ascii="Arial" w:cs="Arial" w:eastAsia="Arial" w:hAnsi="Arial"/>
          <w:sz w:val="18"/>
          <w:szCs w:val="18"/>
          <w:color w:val="auto"/>
        </w:rPr>
      </w:pPr>
    </w:p>
    <w:p>
      <w:pPr>
        <w:ind w:left="4" w:right="20" w:firstLine="987"/>
        <w:spacing w:after="0" w:line="301" w:lineRule="auto"/>
        <w:tabs>
          <w:tab w:leader="none" w:pos="135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274" w:right="459" w:bottom="1440" w:gutter="0" w:footer="0" w:header="0"/>
        </w:sectPr>
      </w:pPr>
    </w:p>
    <w:bookmarkStart w:id="122" w:name="page123"/>
    <w:bookmarkEnd w:id="122"/>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87" w:lineRule="exact"/>
        <w:rPr>
          <w:sz w:val="20"/>
          <w:szCs w:val="20"/>
          <w:color w:val="auto"/>
        </w:rPr>
      </w:pPr>
    </w:p>
    <w:p>
      <w:pPr>
        <w:ind w:left="4" w:right="100" w:firstLine="987"/>
        <w:spacing w:after="0" w:line="284" w:lineRule="auto"/>
        <w:tabs>
          <w:tab w:leader="none" w:pos="138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w:t>
      </w:r>
    </w:p>
    <w:p>
      <w:pPr>
        <w:spacing w:after="0" w:line="2" w:lineRule="exact"/>
        <w:rPr>
          <w:rFonts w:ascii="Arial" w:cs="Arial" w:eastAsia="Arial" w:hAnsi="Arial"/>
          <w:sz w:val="16"/>
          <w:szCs w:val="16"/>
          <w:color w:val="auto"/>
        </w:rPr>
      </w:pPr>
    </w:p>
    <w:p>
      <w:pPr>
        <w:ind w:left="4" w:right="300" w:hanging="4"/>
        <w:spacing w:after="0" w:line="290" w:lineRule="auto"/>
        <w:tabs>
          <w:tab w:leader="none" w:pos="269"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61" w:lineRule="exact"/>
        <w:rPr>
          <w:rFonts w:ascii="Arial" w:cs="Arial" w:eastAsia="Arial" w:hAnsi="Arial"/>
          <w:sz w:val="17"/>
          <w:szCs w:val="17"/>
          <w:color w:val="auto"/>
        </w:rPr>
      </w:pPr>
    </w:p>
    <w:p>
      <w:pPr>
        <w:ind w:left="4" w:right="240" w:firstLine="987"/>
        <w:spacing w:after="0" w:line="293" w:lineRule="auto"/>
        <w:tabs>
          <w:tab w:leader="none" w:pos="1385"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left="4" w:firstLine="987"/>
        <w:spacing w:after="0" w:line="254" w:lineRule="auto"/>
        <w:tabs>
          <w:tab w:leader="none" w:pos="13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94" w:lineRule="exact"/>
        <w:rPr>
          <w:rFonts w:ascii="Arial" w:cs="Arial" w:eastAsia="Arial" w:hAnsi="Arial"/>
          <w:sz w:val="18"/>
          <w:szCs w:val="18"/>
          <w:color w:val="auto"/>
        </w:rPr>
      </w:pPr>
    </w:p>
    <w:p>
      <w:pPr>
        <w:ind w:left="4" w:right="180" w:firstLine="987"/>
        <w:spacing w:after="0" w:line="277" w:lineRule="auto"/>
        <w:tabs>
          <w:tab w:leader="none" w:pos="134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Loan Party or any Material Subsidiary shall become generally unable, admit in writing its inability generally or fail generally to pay its debts as they become due;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4"/>
          </w:cols>
          <w:pgMar w:left="436" w:top="274" w:right="439" w:bottom="1440" w:gutter="0" w:footer="0" w:header="0"/>
        </w:sectPr>
      </w:pPr>
    </w:p>
    <w:bookmarkStart w:id="123" w:name="page124"/>
    <w:bookmarkEnd w:id="123"/>
    <w:p>
      <w:pPr>
        <w:ind w:firstLine="987"/>
        <w:spacing w:after="0" w:line="259" w:lineRule="auto"/>
        <w:tabs>
          <w:tab w:leader="none" w:pos="1381"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6"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right="40" w:firstLine="987"/>
        <w:spacing w:after="0" w:line="272" w:lineRule="auto"/>
        <w:tabs>
          <w:tab w:leader="none" w:pos="138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 or purports in writing to revoke or rescind any Guarantee Agreement, in each case with respect to a material provision of any such Guarantee Agreement,</w:t>
      </w:r>
    </w:p>
    <w:p>
      <w:pPr>
        <w:spacing w:after="0" w:line="177"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Administrative Agent</w:t>
      </w:r>
    </w:p>
    <w:p>
      <w:pPr>
        <w:spacing w:after="0" w:line="229" w:lineRule="exact"/>
        <w:rPr>
          <w:sz w:val="20"/>
          <w:szCs w:val="20"/>
          <w:color w:val="auto"/>
        </w:rPr>
      </w:pPr>
    </w:p>
    <w:p>
      <w:pPr>
        <w:ind w:left="-20" w:right="80" w:firstLine="987"/>
        <w:spacing w:after="0" w:line="290" w:lineRule="auto"/>
        <w:tabs>
          <w:tab w:leader="none" w:pos="135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the Lenders and the Issuing Banks,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5" w:lineRule="exact"/>
        <w:rPr>
          <w:rFonts w:ascii="Arial" w:cs="Arial" w:eastAsia="Arial" w:hAnsi="Arial"/>
          <w:sz w:val="16"/>
          <w:szCs w:val="16"/>
          <w:color w:val="auto"/>
        </w:rPr>
      </w:pPr>
    </w:p>
    <w:p>
      <w:pPr>
        <w:ind w:left="-20" w:right="20" w:firstLine="987"/>
        <w:spacing w:after="0" w:line="272" w:lineRule="auto"/>
        <w:tabs>
          <w:tab w:leader="none" w:pos="135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77" w:lineRule="exact"/>
        <w:rPr>
          <w:rFonts w:ascii="Arial" w:cs="Arial" w:eastAsia="Arial" w:hAnsi="Arial"/>
          <w:sz w:val="17"/>
          <w:szCs w:val="17"/>
          <w:color w:val="auto"/>
        </w:rPr>
      </w:pPr>
    </w:p>
    <w:p>
      <w:pPr>
        <w:ind w:left="-20" w:firstLine="987"/>
        <w:spacing w:after="0" w:line="269" w:lineRule="auto"/>
        <w:tabs>
          <w:tab w:leader="none" w:pos="13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460" w:top="267" w:right="479" w:bottom="1440" w:gutter="0" w:footer="0" w:header="0"/>
        </w:sectPr>
      </w:pPr>
    </w:p>
    <w:bookmarkStart w:id="125" w:name="page126"/>
    <w:bookmarkEnd w:id="1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a Lender or an Issuing Bank; and (e) shall not be responsible for or have any duty or obligation to any Lender, any Issuing Bank,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71" w:lineRule="exact"/>
        <w:rPr>
          <w:sz w:val="20"/>
          <w:szCs w:val="20"/>
          <w:color w:val="auto"/>
        </w:rPr>
      </w:pPr>
    </w:p>
    <w:p>
      <w:pPr>
        <w:ind w:right="100" w:firstLine="987"/>
        <w:spacing w:after="0" w:line="288" w:lineRule="auto"/>
        <w:tabs>
          <w:tab w:leader="none" w:pos="137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68" w:lineRule="exact"/>
        <w:rPr>
          <w:rFonts w:ascii="Arial" w:cs="Arial" w:eastAsia="Arial" w:hAnsi="Arial"/>
          <w:sz w:val="16"/>
          <w:szCs w:val="16"/>
          <w:color w:val="auto"/>
        </w:rPr>
      </w:pPr>
    </w:p>
    <w:p>
      <w:pPr>
        <w:ind w:firstLine="987"/>
        <w:spacing w:after="0" w:line="257" w:lineRule="auto"/>
        <w:tabs>
          <w:tab w:leader="none" w:pos="13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40" w:top="274" w:right="479" w:bottom="1440" w:gutter="0" w:footer="0" w:header="0"/>
        </w:sectPr>
      </w:pPr>
    </w:p>
    <w:bookmarkStart w:id="126" w:name="page127"/>
    <w:bookmarkEnd w:id="12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4" w:lineRule="exact"/>
        <w:rPr>
          <w:sz w:val="20"/>
          <w:szCs w:val="20"/>
          <w:color w:val="auto"/>
        </w:rPr>
      </w:pPr>
    </w:p>
    <w:p>
      <w:pPr>
        <w:ind w:right="20" w:firstLine="987"/>
        <w:spacing w:after="0" w:line="289" w:lineRule="auto"/>
        <w:tabs>
          <w:tab w:leader="none" w:pos="135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 The Administrative Agent may at any time give notice of its resignation to the Lenders, the Issuing Banks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Issuing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58" w:lineRule="exact"/>
        <w:rPr>
          <w:rFonts w:ascii="Arial" w:cs="Arial" w:eastAsia="Arial" w:hAnsi="Arial"/>
          <w:sz w:val="16"/>
          <w:szCs w:val="16"/>
          <w:color w:val="auto"/>
        </w:rPr>
      </w:pPr>
    </w:p>
    <w:p>
      <w:pPr>
        <w:ind w:left="440" w:firstLine="419"/>
        <w:spacing w:after="0" w:line="269" w:lineRule="auto"/>
        <w:tabs>
          <w:tab w:leader="none" w:pos="1263"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provided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77" w:lineRule="exact"/>
        <w:rPr>
          <w:rFonts w:ascii="Arial" w:cs="Arial" w:eastAsia="Arial" w:hAnsi="Arial"/>
          <w:sz w:val="17"/>
          <w:szCs w:val="17"/>
          <w:color w:val="auto"/>
        </w:rPr>
      </w:pPr>
    </w:p>
    <w:p>
      <w:pPr>
        <w:ind w:left="440" w:right="60" w:firstLine="419"/>
        <w:spacing w:after="0" w:line="254" w:lineRule="auto"/>
        <w:tabs>
          <w:tab w:leader="none" w:pos="130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27" w:name="page128"/>
    <w:bookmarkEnd w:id="127"/>
    <w:p>
      <w:pPr>
        <w:ind w:left="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74" w:lineRule="exact"/>
        <w:rPr>
          <w:sz w:val="20"/>
          <w:szCs w:val="20"/>
          <w:color w:val="auto"/>
        </w:rPr>
      </w:pPr>
    </w:p>
    <w:p>
      <w:pPr>
        <w:ind w:left="440" w:right="80" w:firstLine="419"/>
        <w:spacing w:after="0" w:line="268" w:lineRule="auto"/>
        <w:tabs>
          <w:tab w:leader="none" w:pos="129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an Issuing Bank hereunder with respect to all Letters of Credit outstanding as of the effective date of its resignation as Issuing Bank and all Obligations in respect of Letters of Credit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 of a successor Issuing Bank or Swingline Lender hereunder (which successor shall in all cases be a Lender other than a Defaulting Lender and shall expressly agree to assume such role),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4" w:lineRule="exact"/>
        <w:rPr>
          <w:rFonts w:ascii="Arial" w:cs="Arial" w:eastAsia="Arial" w:hAnsi="Arial"/>
          <w:sz w:val="17"/>
          <w:szCs w:val="17"/>
          <w:color w:val="auto"/>
        </w:rPr>
      </w:pPr>
    </w:p>
    <w:p>
      <w:pPr>
        <w:jc w:val="both"/>
        <w:ind w:right="40" w:firstLine="987"/>
        <w:spacing w:after="0" w:line="279" w:lineRule="auto"/>
        <w:tabs>
          <w:tab w:leader="none" w:pos="1381"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Issuing Bank as to any matter, including whether the Administrative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128" w:name="page129"/>
    <w:bookmarkEnd w:id="12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or any Arranger have disclosed material information in their (or their Related Parties’) possession. Each Lender and each Issuing Bank represents to the Administrative Agent and the Arrangers that it has, independently and without reliance upon the Administrative Agent, the Arrangers, any other Lender or other Issuing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any other Lender or other Issuing Bank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or an Issuing Bank, as applicable, party hereto, each Lender and each Issuing Bank represents and warrants that (i) it is the intention of such Lender or such Issuing Bank, as applicable, that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2" w:lineRule="exact"/>
        <w:rPr>
          <w:sz w:val="20"/>
          <w:szCs w:val="20"/>
          <w:color w:val="auto"/>
        </w:rPr>
      </w:pPr>
    </w:p>
    <w:p>
      <w:pPr>
        <w:ind w:left="1380" w:hanging="393"/>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987"/>
        <w:spacing w:after="0" w:line="254" w:lineRule="auto"/>
        <w:tabs>
          <w:tab w:leader="none" w:pos="13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Lenders and the Issuing Banks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29" w:name="page130"/>
    <w:bookmarkEnd w:id="129"/>
    <w:p>
      <w:pPr>
        <w:ind w:firstLine="987"/>
        <w:spacing w:after="0" w:line="263" w:lineRule="auto"/>
        <w:tabs>
          <w:tab w:leader="none" w:pos="1331"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83" w:lineRule="exact"/>
        <w:rPr>
          <w:rFonts w:ascii="Arial" w:cs="Arial" w:eastAsia="Arial" w:hAnsi="Arial"/>
          <w:sz w:val="18"/>
          <w:szCs w:val="18"/>
          <w:color w:val="auto"/>
        </w:rPr>
      </w:pPr>
    </w:p>
    <w:p>
      <w:pPr>
        <w:ind w:firstLine="987"/>
        <w:spacing w:after="0" w:line="269" w:lineRule="auto"/>
        <w:tabs>
          <w:tab w:leader="none" w:pos="137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and the Issuing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Loans, the Letters of Credit, the Commitments and this Agreement, (y) may recognize a gain if it extended the Loans, the Letters of Credit or the Commitments for an amount less than the amount being paid for an interest in the Loans, the Letters of Credit or the Commitments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5" w:lineRule="exact"/>
        <w:rPr>
          <w:rFonts w:ascii="Arial" w:cs="Arial" w:eastAsia="Arial" w:hAnsi="Arial"/>
          <w:sz w:val="17"/>
          <w:szCs w:val="17"/>
          <w:color w:val="auto"/>
        </w:rPr>
      </w:pPr>
    </w:p>
    <w:p>
      <w:pPr>
        <w:ind w:right="60" w:firstLine="987"/>
        <w:spacing w:after="0" w:line="288" w:lineRule="auto"/>
        <w:tabs>
          <w:tab w:leader="none" w:pos="134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Recovery of Erroneous Payments</w:t>
      </w:r>
      <w:r>
        <w:rPr>
          <w:rFonts w:ascii="Arial" w:cs="Arial" w:eastAsia="Arial" w:hAnsi="Arial"/>
          <w:sz w:val="16"/>
          <w:szCs w:val="16"/>
          <w:color w:val="auto"/>
        </w:rPr>
        <w:t>. Without limitation of any other provision in this Agreement, if at any time the Administrative Agent makes a payment hereunder in error to any Lender or any Issuing Bank (each a “</w:t>
      </w:r>
      <w:r>
        <w:rPr>
          <w:rFonts w:ascii="Arial" w:cs="Arial" w:eastAsia="Arial" w:hAnsi="Arial"/>
          <w:sz w:val="16"/>
          <w:szCs w:val="16"/>
          <w:u w:val="single" w:color="auto"/>
          <w:color w:val="auto"/>
        </w:rPr>
        <w:t>Credit Party</w:t>
      </w:r>
      <w:r>
        <w:rPr>
          <w:rFonts w:ascii="Arial" w:cs="Arial" w:eastAsia="Arial" w:hAnsi="Arial"/>
          <w:sz w:val="16"/>
          <w:szCs w:val="16"/>
          <w:color w:val="auto"/>
        </w:rPr>
        <w:t>”),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80" w:firstLine="987"/>
        <w:spacing w:after="0" w:line="263" w:lineRule="auto"/>
        <w:tabs>
          <w:tab w:leader="none" w:pos="1371"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30" w:name="page131"/>
    <w:bookmarkEnd w:id="130"/>
    <w:p>
      <w:pPr>
        <w:ind w:left="4"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follows, and all notices and other communications expressly permitted hereunder to be given by telephone shall be made to the applicable telephone number, as follows:</w:t>
      </w:r>
    </w:p>
    <w:p>
      <w:pPr>
        <w:spacing w:after="0" w:line="62" w:lineRule="exact"/>
        <w:rPr>
          <w:sz w:val="20"/>
          <w:szCs w:val="20"/>
          <w:color w:val="auto"/>
        </w:rPr>
      </w:pPr>
    </w:p>
    <w:p>
      <w:pPr>
        <w:ind w:left="444" w:right="40" w:firstLine="419"/>
        <w:spacing w:after="0" w:line="277" w:lineRule="auto"/>
        <w:tabs>
          <w:tab w:leader="none" w:pos="121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any Issuing Bank or the Swingline Lender,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4" w:right="200" w:firstLine="419"/>
        <w:spacing w:after="0" w:line="277" w:lineRule="auto"/>
        <w:tabs>
          <w:tab w:leader="none" w:pos="126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4" w:right="40" w:firstLine="987"/>
        <w:spacing w:after="0" w:line="254" w:lineRule="auto"/>
        <w:tabs>
          <w:tab w:leader="none" w:pos="138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hanging="4"/>
        <w:spacing w:after="0" w:line="255" w:lineRule="auto"/>
        <w:tabs>
          <w:tab w:leader="none" w:pos="26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80" w:firstLine="987"/>
        <w:spacing w:after="0" w:line="257" w:lineRule="auto"/>
        <w:tabs>
          <w:tab w:leader="none" w:pos="1375"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84"/>
          </w:cols>
          <w:pgMar w:left="436" w:top="274" w:right="479" w:bottom="1440" w:gutter="0" w:footer="0" w:header="0"/>
        </w:sectPr>
      </w:pPr>
    </w:p>
    <w:bookmarkStart w:id="131" w:name="page132"/>
    <w:bookmarkEnd w:id="131"/>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Loan Party, any Lender, any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Loan Party, any Lender, any Issuing Bank or any other Person for indirect, special, incidental, consequential or punitive damages (as opposed to direct or actual damages).</w:t>
      </w:r>
    </w:p>
    <w:p>
      <w:pPr>
        <w:spacing w:after="0" w:line="181" w:lineRule="exact"/>
        <w:rPr>
          <w:sz w:val="20"/>
          <w:szCs w:val="20"/>
          <w:color w:val="auto"/>
        </w:rPr>
      </w:pPr>
    </w:p>
    <w:p>
      <w:pPr>
        <w:ind w:firstLine="987"/>
        <w:spacing w:after="0" w:line="287" w:lineRule="auto"/>
        <w:tabs>
          <w:tab w:leader="none" w:pos="1381"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(with respect to the notice address for the Loan Parties), the Administrative Agent, any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71" w:lineRule="exact"/>
        <w:rPr>
          <w:rFonts w:ascii="Arial" w:cs="Arial" w:eastAsia="Arial" w:hAnsi="Arial"/>
          <w:sz w:val="16"/>
          <w:szCs w:val="16"/>
          <w:color w:val="auto"/>
        </w:rPr>
      </w:pPr>
    </w:p>
    <w:p>
      <w:pPr>
        <w:ind w:firstLine="987"/>
        <w:spacing w:after="0" w:line="270" w:lineRule="auto"/>
        <w:tabs>
          <w:tab w:leader="none" w:pos="137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Issuing Banks and Lenders</w:t>
      </w:r>
      <w:r>
        <w:rPr>
          <w:rFonts w:ascii="Arial" w:cs="Arial" w:eastAsia="Arial" w:hAnsi="Arial"/>
          <w:sz w:val="17"/>
          <w:szCs w:val="17"/>
          <w:color w:val="auto"/>
        </w:rPr>
        <w:t>. The Administrative Agent, the Issuing Banks and the Lenders shall be entitled to rely and act upon any notices (including telephonic or electronic notices, Letter of Credit Applications,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as determined by a court of competent jurisdiction by final and non-appealable judgment. All telephonic notices to and other telephonic communications with the Administrative Agent may be recorded by the Administrative Agent, and each of the parties hereto hereby consents to such recording.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00"/>
          </w:cols>
          <w:pgMar w:left="440" w:top="274" w:right="459" w:bottom="1440" w:gutter="0" w:footer="0" w:header="0"/>
        </w:sectPr>
      </w:pPr>
    </w:p>
    <w:bookmarkStart w:id="132" w:name="page133"/>
    <w:bookmarkEnd w:id="132"/>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89" w:lineRule="auto"/>
        <w:tabs>
          <w:tab w:leader="none" w:pos="137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66" w:lineRule="exact"/>
        <w:rPr>
          <w:rFonts w:ascii="Arial" w:cs="Arial" w:eastAsia="Arial" w:hAnsi="Arial"/>
          <w:sz w:val="16"/>
          <w:szCs w:val="16"/>
          <w:color w:val="auto"/>
        </w:rPr>
      </w:pPr>
    </w:p>
    <w:p>
      <w:pPr>
        <w:ind w:firstLine="987"/>
        <w:spacing w:after="0" w:line="282" w:lineRule="auto"/>
        <w:tabs>
          <w:tab w:leader="none" w:pos="138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2.12(f) or to waive any obligation of the Borrower to pay interest at the rate set forth therein, (iii) postpone the scheduled date of payment of the principal amount 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 (v) change any of the provisions of this Section, the definition of “Required Lenders” or the definition of “Alternative Currencies” or any other provision hereof specifying the number or percentage of Lenders required to waive, amend or modify any rights hereunder or make any determination or grant any consent hereunder without the written consent of each Lender, (vi) release all or substantially all of (A) the Guarantors from their obligations under any Guarantee Agreement (other than pursuant to the proviso set forth in</w:t>
      </w:r>
    </w:p>
    <w:p>
      <w:pPr>
        <w:spacing w:after="0" w:line="11"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Section 5.09) or (B) the value of the Guarantees of the Obligations, without the consent of each Lender or (vii) subordinate the Obligations hereunder to any other Indebtedness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133" w:name="page134"/>
    <w:bookmarkEnd w:id="133"/>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 without the written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178"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w:t>
      </w:r>
    </w:p>
    <w:p>
      <w:pPr>
        <w:spacing w:after="0" w:line="1" w:lineRule="exact"/>
        <w:rPr>
          <w:sz w:val="20"/>
          <w:szCs w:val="20"/>
          <w:color w:val="auto"/>
        </w:rPr>
      </w:pPr>
    </w:p>
    <w:p>
      <w:pPr>
        <w:ind w:left="444" w:right="2640" w:hanging="444"/>
        <w:spacing w:after="0" w:line="492" w:lineRule="auto"/>
        <w:tabs>
          <w:tab w:leader="none" w:pos="26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to include appropriately the Lenders holding such credit facilities in any determination of the Required Lenders. 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 w:right="60" w:firstLine="987"/>
        <w:spacing w:after="0" w:line="287" w:lineRule="auto"/>
        <w:tabs>
          <w:tab w:leader="none" w:pos="137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relevant Issuing Bank in connection with the issuance, amendment, renewal or extension of any Letter of Credit or any demand for payment thereunder and (iii) all reasonable and 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67" w:lineRule="exact"/>
        <w:rPr>
          <w:rFonts w:ascii="Arial" w:cs="Arial" w:eastAsia="Arial" w:hAnsi="Arial"/>
          <w:sz w:val="16"/>
          <w:szCs w:val="16"/>
          <w:color w:val="auto"/>
        </w:rPr>
      </w:pPr>
    </w:p>
    <w:p>
      <w:pPr>
        <w:ind w:left="4" w:right="80" w:firstLine="987"/>
        <w:spacing w:after="0" w:line="308" w:lineRule="auto"/>
        <w:tabs>
          <w:tab w:leader="none" w:pos="1382"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Borrower shall indemnify the Administrative Agent, the Arrangers,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4"/>
          </w:cols>
          <w:pgMar w:left="436" w:top="274" w:right="499" w:bottom="1440" w:gutter="0" w:footer="0" w:header="0"/>
        </w:sectPr>
      </w:pPr>
    </w:p>
    <w:bookmarkStart w:id="134" w:name="page135"/>
    <w:bookmarkEnd w:id="13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 (i) the execution or delivery of this Agreement or any agreement or instrument contemplated hereby (including, without limitation, any Indemnitee’s reliance on any Communication executed using an Electronic Signature, or in the form of an Electronic Record), the performance by the parties hereto of their respective obligations hereunder or the consummation of the Transactions or any other transactions contemplated hereby,</w:t>
      </w:r>
    </w:p>
    <w:p>
      <w:pPr>
        <w:spacing w:after="0" w:line="4" w:lineRule="exact"/>
        <w:rPr>
          <w:sz w:val="20"/>
          <w:szCs w:val="20"/>
          <w:color w:val="auto"/>
        </w:rPr>
      </w:pPr>
    </w:p>
    <w:p>
      <w:pPr>
        <w:ind w:left="4" w:right="20" w:hanging="4"/>
        <w:spacing w:after="0" w:line="267" w:lineRule="auto"/>
        <w:tabs>
          <w:tab w:leader="none" w:pos="26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1" w:lineRule="exact"/>
        <w:rPr>
          <w:rFonts w:ascii="Arial" w:cs="Arial" w:eastAsia="Arial" w:hAnsi="Arial"/>
          <w:sz w:val="17"/>
          <w:szCs w:val="17"/>
          <w:color w:val="auto"/>
        </w:rPr>
      </w:pPr>
    </w:p>
    <w:p>
      <w:pPr>
        <w:ind w:left="4" w:right="60" w:firstLine="987"/>
        <w:spacing w:after="0" w:line="255" w:lineRule="auto"/>
        <w:tabs>
          <w:tab w:leader="none" w:pos="137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92" w:lineRule="exact"/>
        <w:rPr>
          <w:rFonts w:ascii="Arial" w:cs="Arial" w:eastAsia="Arial" w:hAnsi="Arial"/>
          <w:sz w:val="18"/>
          <w:szCs w:val="18"/>
          <w:color w:val="auto"/>
        </w:rPr>
      </w:pPr>
    </w:p>
    <w:p>
      <w:pPr>
        <w:jc w:val="both"/>
        <w:ind w:left="4" w:right="100" w:firstLine="987"/>
        <w:spacing w:after="0" w:line="275" w:lineRule="auto"/>
        <w:tabs>
          <w:tab w:leader="none" w:pos="138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84"/>
          </w:cols>
          <w:pgMar w:left="436" w:top="274" w:right="479" w:bottom="1440" w:gutter="0" w:footer="0" w:header="0"/>
        </w:sectPr>
      </w:pPr>
    </w:p>
    <w:bookmarkStart w:id="135" w:name="page136"/>
    <w:bookmarkEnd w:id="135"/>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57" w:lineRule="exact"/>
        <w:rPr>
          <w:sz w:val="20"/>
          <w:szCs w:val="20"/>
          <w:color w:val="auto"/>
        </w:rPr>
      </w:pPr>
    </w:p>
    <w:p>
      <w:pPr>
        <w:ind w:right="40" w:firstLine="987"/>
        <w:spacing w:after="0" w:line="311" w:lineRule="auto"/>
        <w:tabs>
          <w:tab w:leader="none" w:pos="136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14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firstLine="987"/>
        <w:spacing w:after="0" w:line="269" w:lineRule="auto"/>
        <w:tabs>
          <w:tab w:leader="none" w:pos="1371"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Banks and the Lenders) any legal or equitable right, remedy or claim under or by reason of this Agreement.</w:t>
      </w:r>
    </w:p>
    <w:p>
      <w:pPr>
        <w:spacing w:after="0" w:line="185" w:lineRule="exact"/>
        <w:rPr>
          <w:rFonts w:ascii="Arial" w:cs="Arial" w:eastAsia="Arial" w:hAnsi="Arial"/>
          <w:sz w:val="17"/>
          <w:szCs w:val="17"/>
          <w:color w:val="auto"/>
        </w:rPr>
      </w:pPr>
    </w:p>
    <w:p>
      <w:pPr>
        <w:jc w:val="both"/>
        <w:ind w:right="60" w:firstLine="987"/>
        <w:spacing w:after="0" w:line="259" w:lineRule="auto"/>
        <w:tabs>
          <w:tab w:leader="none" w:pos="1381"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(each such assignee being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8" w:lineRule="exact"/>
        <w:rPr>
          <w:rFonts w:ascii="Arial" w:cs="Arial" w:eastAsia="Arial" w:hAnsi="Arial"/>
          <w:sz w:val="18"/>
          <w:szCs w:val="18"/>
          <w:color w:val="auto"/>
        </w:rPr>
      </w:pPr>
    </w:p>
    <w:p>
      <w:pPr>
        <w:ind w:left="1200" w:hanging="341"/>
        <w:spacing w:after="0"/>
        <w:tabs>
          <w:tab w:leader="none" w:pos="12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sz w:val="20"/>
          <w:szCs w:val="20"/>
          <w:color w:val="auto"/>
        </w:rPr>
      </w:pPr>
    </w:p>
    <w:p>
      <w:pPr>
        <w:ind w:left="440" w:right="140" w:firstLine="419"/>
        <w:spacing w:after="0" w:line="342" w:lineRule="auto"/>
        <w:tabs>
          <w:tab w:leader="none" w:pos="129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5" w:lineRule="exact"/>
        <w:rPr>
          <w:rFonts w:ascii="Arial" w:cs="Arial" w:eastAsia="Arial" w:hAnsi="Arial"/>
          <w:sz w:val="16"/>
          <w:szCs w:val="16"/>
          <w:color w:val="auto"/>
        </w:rPr>
      </w:pPr>
    </w:p>
    <w:p>
      <w:pPr>
        <w:ind w:left="1280" w:hanging="421"/>
        <w:spacing w:after="0"/>
        <w:tabs>
          <w:tab w:leader="none" w:pos="12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any case not described in subsection (b)(i)(A) of this Section,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36" w:name="page137"/>
    <w:bookmarkEnd w:id="136"/>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jc w:val="both"/>
        <w:ind w:left="4" w:right="160" w:hanging="4"/>
        <w:spacing w:after="0" w:line="281" w:lineRule="auto"/>
        <w:tabs>
          <w:tab w:leader="none" w:pos="2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until the interpretation of the term “public” (as referred to in Article 4.1(1) of the Capital Requirements Regulation (EU 575/2013)) has been published by the competent authority, the value of the rights assigned or transferred is at least €100,000 (or its equivalent in another currency) or</w:t>
      </w:r>
    </w:p>
    <w:p>
      <w:pPr>
        <w:spacing w:after="0" w:line="1" w:lineRule="exact"/>
        <w:rPr>
          <w:rFonts w:ascii="Arial" w:cs="Arial" w:eastAsia="Arial" w:hAnsi="Arial"/>
          <w:sz w:val="16"/>
          <w:szCs w:val="16"/>
          <w:color w:val="auto"/>
        </w:rPr>
      </w:pPr>
    </w:p>
    <w:p>
      <w:pPr>
        <w:ind w:left="4" w:right="120" w:hanging="4"/>
        <w:spacing w:after="0" w:line="260" w:lineRule="auto"/>
        <w:tabs>
          <w:tab w:leader="none" w:pos="2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soon as the interpretation of the term “public” has been published by the competent authority, the Lender is not considered to be part of the public on the basis of such interpretation.</w:t>
      </w:r>
    </w:p>
    <w:p>
      <w:pPr>
        <w:spacing w:after="0" w:line="77" w:lineRule="exact"/>
        <w:rPr>
          <w:rFonts w:ascii="Arial" w:cs="Arial" w:eastAsia="Arial" w:hAnsi="Arial"/>
          <w:sz w:val="18"/>
          <w:szCs w:val="18"/>
          <w:color w:val="auto"/>
        </w:rPr>
      </w:pPr>
    </w:p>
    <w:p>
      <w:pPr>
        <w:ind w:left="4" w:right="200" w:firstLine="419"/>
        <w:spacing w:after="0" w:line="291" w:lineRule="auto"/>
        <w:tabs>
          <w:tab w:leader="none" w:pos="826"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Loans or the Commitment of the Class being assigned, except that this clause</w:t>
      </w:r>
    </w:p>
    <w:p>
      <w:pPr>
        <w:jc w:val="both"/>
        <w:ind w:left="4" w:right="120" w:hanging="4"/>
        <w:spacing w:after="0" w:line="255" w:lineRule="auto"/>
        <w:tabs>
          <w:tab w:leader="none" w:pos="2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81" w:lineRule="exact"/>
        <w:rPr>
          <w:rFonts w:ascii="Arial" w:cs="Arial" w:eastAsia="Arial" w:hAnsi="Arial"/>
          <w:sz w:val="18"/>
          <w:szCs w:val="18"/>
          <w:color w:val="auto"/>
        </w:rPr>
      </w:pPr>
    </w:p>
    <w:p>
      <w:pPr>
        <w:ind w:left="4" w:right="480" w:firstLine="419"/>
        <w:spacing w:after="0" w:line="277" w:lineRule="auto"/>
        <w:tabs>
          <w:tab w:leader="none" w:pos="876"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sz w:val="20"/>
          <w:szCs w:val="20"/>
          <w:color w:val="auto"/>
        </w:rPr>
      </w:pPr>
    </w:p>
    <w:p>
      <w:pPr>
        <w:ind w:left="4" w:right="20" w:firstLine="419"/>
        <w:spacing w:after="0" w:line="301" w:lineRule="auto"/>
        <w:tabs>
          <w:tab w:leader="none" w:pos="85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an Event of Default pursuant to clause (a), (b), (h), (i) or (j) of Article VII has occurred and is continuing at the time of such assignment or the assignment is made to a Lender, to a Lender’s Affiliate or to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49" w:lineRule="exact"/>
        <w:rPr>
          <w:rFonts w:ascii="Arial" w:cs="Arial" w:eastAsia="Arial" w:hAnsi="Arial"/>
          <w:sz w:val="16"/>
          <w:szCs w:val="16"/>
          <w:color w:val="auto"/>
        </w:rPr>
      </w:pPr>
    </w:p>
    <w:p>
      <w:pPr>
        <w:ind w:left="4" w:firstLine="419"/>
        <w:spacing w:after="0" w:line="277" w:lineRule="auto"/>
        <w:tabs>
          <w:tab w:leader="none" w:pos="84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Revolving Commitment unless the assignment is to a Lender or its Affiliate;</w:t>
      </w:r>
    </w:p>
    <w:p>
      <w:pPr>
        <w:spacing w:after="0" w:line="62" w:lineRule="exact"/>
        <w:rPr>
          <w:rFonts w:ascii="Arial" w:cs="Arial" w:eastAsia="Arial" w:hAnsi="Arial"/>
          <w:sz w:val="18"/>
          <w:szCs w:val="18"/>
          <w:color w:val="auto"/>
        </w:rPr>
      </w:pPr>
    </w:p>
    <w:p>
      <w:pPr>
        <w:ind w:left="4" w:right="140" w:firstLine="419"/>
        <w:spacing w:after="0" w:line="342" w:lineRule="auto"/>
        <w:tabs>
          <w:tab w:leader="none" w:pos="846"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consent of each Issuing Bank (such consent not to be unreasonably withheld or delayed) shall be required for any assignment that increases the obligation of the assignee to participate in exposure under one or more Letters of Credit (whether or not then outstanding); and</w:t>
      </w:r>
    </w:p>
    <w:p>
      <w:pPr>
        <w:spacing w:after="0" w:line="15" w:lineRule="exact"/>
        <w:rPr>
          <w:rFonts w:ascii="Arial" w:cs="Arial" w:eastAsia="Arial" w:hAnsi="Arial"/>
          <w:sz w:val="16"/>
          <w:szCs w:val="16"/>
          <w:color w:val="auto"/>
        </w:rPr>
      </w:pPr>
    </w:p>
    <w:p>
      <w:pPr>
        <w:ind w:left="4" w:right="20" w:firstLine="419"/>
        <w:spacing w:after="0" w:line="277" w:lineRule="auto"/>
        <w:tabs>
          <w:tab w:leader="none" w:pos="8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consent of the Swingline Lender (such consent not to be unreasonably withheld or delayed) shall be required for any assignment in respect of the Revolving Loans.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564"/>
          </w:cols>
          <w:pgMar w:left="876" w:top="274" w:right="459" w:bottom="1440" w:gutter="0" w:footer="0" w:header="0"/>
        </w:sectPr>
      </w:pPr>
    </w:p>
    <w:bookmarkStart w:id="137" w:name="page138"/>
    <w:bookmarkEnd w:id="137"/>
    <w:p>
      <w:pPr>
        <w:jc w:val="both"/>
        <w:ind w:firstLine="419"/>
        <w:spacing w:after="0" w:line="301" w:lineRule="auto"/>
        <w:tabs>
          <w:tab w:leader="none" w:pos="86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49" w:lineRule="exact"/>
        <w:rPr>
          <w:rFonts w:ascii="Arial" w:cs="Arial" w:eastAsia="Arial" w:hAnsi="Arial"/>
          <w:sz w:val="16"/>
          <w:szCs w:val="16"/>
          <w:color w:val="auto"/>
        </w:rPr>
      </w:pPr>
    </w:p>
    <w:p>
      <w:pPr>
        <w:ind w:left="800" w:hanging="381"/>
        <w:spacing w:after="0"/>
        <w:tabs>
          <w:tab w:leader="none" w:pos="80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No Assignment to Loan Parties</w:t>
      </w:r>
      <w:r>
        <w:rPr>
          <w:rFonts w:ascii="Arial" w:cs="Arial" w:eastAsia="Arial" w:hAnsi="Arial"/>
          <w:sz w:val="16"/>
          <w:szCs w:val="16"/>
          <w:color w:val="auto"/>
        </w:rPr>
        <w:t>. No such assignment shall be made to any Loan Party or any Loan Party’s Affiliates or Subsidiaries.</w:t>
      </w:r>
    </w:p>
    <w:p>
      <w:pPr>
        <w:spacing w:after="0" w:line="140" w:lineRule="exact"/>
        <w:rPr>
          <w:rFonts w:ascii="Arial" w:cs="Arial" w:eastAsia="Arial" w:hAnsi="Arial"/>
          <w:sz w:val="16"/>
          <w:szCs w:val="16"/>
          <w:color w:val="auto"/>
        </w:rPr>
      </w:pPr>
    </w:p>
    <w:p>
      <w:pPr>
        <w:ind w:left="860" w:hanging="441"/>
        <w:spacing w:after="0"/>
        <w:tabs>
          <w:tab w:leader="none" w:pos="8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rFonts w:ascii="Arial" w:cs="Arial" w:eastAsia="Arial" w:hAnsi="Arial"/>
          <w:sz w:val="18"/>
          <w:szCs w:val="18"/>
          <w:color w:val="auto"/>
        </w:rPr>
      </w:pPr>
    </w:p>
    <w:p>
      <w:pPr>
        <w:ind w:right="40" w:firstLine="419"/>
        <w:spacing w:after="0" w:line="287" w:lineRule="auto"/>
        <w:tabs>
          <w:tab w:leader="none" w:pos="913"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Borrower,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3" w:lineRule="exact"/>
        <w:rPr>
          <w:rFonts w:ascii="Arial" w:cs="Arial" w:eastAsia="Arial" w:hAnsi="Arial"/>
          <w:sz w:val="16"/>
          <w:szCs w:val="16"/>
          <w:color w:val="auto"/>
        </w:rPr>
      </w:pPr>
    </w:p>
    <w:p>
      <w:pPr>
        <w:ind w:firstLine="419"/>
        <w:spacing w:after="0" w:line="289" w:lineRule="auto"/>
        <w:tabs>
          <w:tab w:leader="none" w:pos="96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60"/>
          </w:cols>
          <w:pgMar w:left="880" w:top="274" w:right="459" w:bottom="1440" w:gutter="0" w:footer="0" w:header="0"/>
        </w:sectPr>
      </w:pPr>
    </w:p>
    <w:bookmarkStart w:id="138" w:name="page139"/>
    <w:bookmarkEnd w:id="138"/>
    <w:p>
      <w:pPr>
        <w:jc w:val="both"/>
        <w:ind w:left="44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4" w:lineRule="exact"/>
        <w:rPr>
          <w:sz w:val="20"/>
          <w:szCs w:val="20"/>
          <w:color w:val="auto"/>
        </w:rPr>
      </w:pPr>
    </w:p>
    <w:p>
      <w:pPr>
        <w:ind w:firstLine="987"/>
        <w:spacing w:after="0" w:line="254" w:lineRule="auto"/>
        <w:tabs>
          <w:tab w:leader="none" w:pos="137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rFonts w:ascii="Arial" w:cs="Arial" w:eastAsia="Arial" w:hAnsi="Arial"/>
          <w:sz w:val="18"/>
          <w:szCs w:val="18"/>
          <w:color w:val="auto"/>
        </w:rPr>
      </w:pPr>
    </w:p>
    <w:p>
      <w:pPr>
        <w:ind w:firstLine="987"/>
        <w:spacing w:after="0" w:line="253" w:lineRule="auto"/>
        <w:tabs>
          <w:tab w:leader="none" w:pos="138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without the consent of, or notice to, the Borrower, the Administrative Agent, Swingline Lender or Issuing Bank, sell participations to any Person (other than a natural person, a Defaulting Lender or the Borrower or any of the Borrower’s Affiliates or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or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6" w:lineRule="exact"/>
        <w:rPr>
          <w:sz w:val="20"/>
          <w:szCs w:val="20"/>
          <w:color w:val="auto"/>
        </w:rPr>
      </w:pPr>
    </w:p>
    <w:p>
      <w:pPr>
        <w:ind w:right="160" w:firstLine="1432"/>
        <w:spacing w:after="0" w:line="289"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 each Participant shall be entitled to the benefits of Sections 2.14, 2.15 and 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139" w:name="page140"/>
    <w:bookmarkEnd w:id="139"/>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principal amounts and interest thereon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ind w:left="1360" w:hanging="373"/>
        <w:spacing w:after="0"/>
        <w:tabs>
          <w:tab w:leader="none" w:pos="136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Limitations upon New Lender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20" w:hanging="392"/>
        <w:spacing w:after="0"/>
        <w:tabs>
          <w:tab w:leader="none" w:pos="18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0" w:right="480" w:firstLine="910"/>
        <w:spacing w:after="0" w:line="277" w:lineRule="auto"/>
        <w:tabs>
          <w:tab w:leader="none" w:pos="231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0" w:right="60" w:firstLine="910"/>
        <w:spacing w:after="0" w:line="263" w:lineRule="auto"/>
        <w:tabs>
          <w:tab w:leader="none" w:pos="2302" w:val="left"/>
        </w:tabs>
        <w:numPr>
          <w:ilvl w:val="2"/>
          <w:numId w:val="177"/>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right="260" w:firstLine="1428"/>
        <w:spacing w:after="0" w:line="296" w:lineRule="auto"/>
        <w:tabs>
          <w:tab w:leader="none" w:pos="1822"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61" w:lineRule="exact"/>
        <w:rPr>
          <w:rFonts w:ascii="Arial" w:cs="Arial" w:eastAsia="Arial" w:hAnsi="Arial"/>
          <w:sz w:val="16"/>
          <w:szCs w:val="16"/>
          <w:color w:val="auto"/>
        </w:rPr>
      </w:pPr>
    </w:p>
    <w:p>
      <w:pPr>
        <w:ind w:right="180" w:firstLine="987"/>
        <w:spacing w:after="0" w:line="259" w:lineRule="auto"/>
        <w:tabs>
          <w:tab w:leader="none" w:pos="135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8"/>
          <w:szCs w:val="18"/>
          <w:u w:val="single" w:color="auto"/>
          <w:color w:val="auto"/>
        </w:rPr>
        <w:t>New Lender</w:t>
      </w:r>
      <w:r>
        <w:rPr>
          <w:rFonts w:ascii="Arial" w:cs="Arial" w:eastAsia="Arial" w:hAnsi="Arial"/>
          <w:sz w:val="18"/>
          <w:szCs w:val="18"/>
          <w:color w:val="auto"/>
        </w:rPr>
        <w:t>”); provided that no such pledge or assignment shall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80"/>
          </w:cols>
          <w:pgMar w:left="440" w:top="274" w:right="479" w:bottom="1440" w:gutter="0" w:footer="0" w:header="0"/>
        </w:sectPr>
      </w:pPr>
    </w:p>
    <w:bookmarkStart w:id="140" w:name="page141"/>
    <w:bookmarkEnd w:id="14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such Lender from any of its obligations hereunder or substitute any such pledgee or assignee for such Lender as a party hereto.</w:t>
      </w:r>
    </w:p>
    <w:p>
      <w:pPr>
        <w:spacing w:after="0" w:line="225" w:lineRule="exact"/>
        <w:rPr>
          <w:sz w:val="20"/>
          <w:szCs w:val="20"/>
          <w:color w:val="auto"/>
        </w:rPr>
      </w:pPr>
    </w:p>
    <w:p>
      <w:pPr>
        <w:ind w:left="4" w:right="80" w:firstLine="987"/>
        <w:spacing w:after="0" w:line="291" w:lineRule="auto"/>
        <w:tabs>
          <w:tab w:leader="none" w:pos="1385"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Resignation as Issuing Bank or Swingline Lender after Assignment</w:t>
      </w:r>
      <w:r>
        <w:rPr>
          <w:rFonts w:ascii="Arial" w:cs="Arial" w:eastAsia="Arial" w:hAnsi="Arial"/>
          <w:sz w:val="16"/>
          <w:szCs w:val="16"/>
          <w:color w:val="auto"/>
        </w:rPr>
        <w:t>. Notwithstanding anything to the contrary contained herein, if at any time an Issuing Bank assigns all of its Revolving Commitment and Revolving Loans pursuant to subsection (b) above, such Issuing Bank may,</w:t>
      </w:r>
    </w:p>
    <w:p>
      <w:pPr>
        <w:ind w:left="4" w:right="20" w:hanging="4"/>
        <w:spacing w:after="0" w:line="284" w:lineRule="auto"/>
        <w:tabs>
          <w:tab w:leader="none" w:pos="21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upon 30 days’ notice to the Borrower and the Lenders, resign as Issuing Bank and/or (ii) in the case of Bank of America, upon 30 days’ notice to the Borrower, resign as Swingline Lender. In the event of any such resignation as Issuing Bank or Swingline Lender, the Borrower shall be entitled to appoint from among the Lenders a successor Issuing Bank or Swingline Lender hereunder (which successor shall expressly agree to assume such role);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failure by the Borrower to appoint any such successor shall affect the resignation of such Issuing Bank as an Issuing Bank or (in the case of Bank of America) Swingline Lender, as the case may be. If an Issuing Bank resigns as Issuing Bank, it shall retain all the rights, powers, privileges and duties of an Issuing Bank hereunder with respect to all Letters of Credit issued by it and outstanding as of the effective date of its resignation as Issuing Bank and all L/C 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the resigning Issuing Bank to effectively assume the obligations of such Issuing Bank with respect to such Letters of Credit.</w:t>
      </w:r>
    </w:p>
    <w:p>
      <w:pPr>
        <w:spacing w:after="0" w:line="177" w:lineRule="exact"/>
        <w:rPr>
          <w:rFonts w:ascii="Arial" w:cs="Arial" w:eastAsia="Arial" w:hAnsi="Arial"/>
          <w:sz w:val="16"/>
          <w:szCs w:val="16"/>
          <w:color w:val="auto"/>
        </w:rPr>
      </w:pPr>
    </w:p>
    <w:p>
      <w:pPr>
        <w:ind w:left="4" w:firstLine="987"/>
        <w:spacing w:after="0" w:line="287" w:lineRule="auto"/>
        <w:tabs>
          <w:tab w:leader="none" w:pos="138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right="20" w:hanging="4"/>
        <w:spacing w:after="0" w:line="268" w:lineRule="auto"/>
        <w:tabs>
          <w:tab w:leader="none" w:pos="219"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4"/>
          </w:cols>
          <w:pgMar w:left="436" w:top="274" w:right="479" w:bottom="1440" w:gutter="0" w:footer="0" w:header="0"/>
        </w:sectPr>
      </w:pPr>
    </w:p>
    <w:bookmarkStart w:id="141" w:name="page142"/>
    <w:bookmarkEnd w:id="14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6"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66"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42" w:name="page143"/>
    <w:bookmarkEnd w:id="142"/>
    <w:p>
      <w:pPr>
        <w:ind w:right="80" w:firstLine="987"/>
        <w:spacing w:after="0" w:line="254" w:lineRule="auto"/>
        <w:tabs>
          <w:tab w:leader="none" w:pos="13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firstLine="987"/>
        <w:spacing w:after="0" w:line="269" w:lineRule="auto"/>
        <w:tabs>
          <w:tab w:leader="none" w:pos="137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To the extent that any payment by or on behalf of the Borrower or any other Loan Party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Obligations and the termination of this Agreement.</w:t>
      </w:r>
    </w:p>
    <w:p>
      <w:pPr>
        <w:spacing w:after="0" w:line="18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ind w:right="460" w:firstLine="987"/>
        <w:spacing w:after="0" w:line="308" w:lineRule="auto"/>
        <w:tabs>
          <w:tab w:leader="none" w:pos="136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46" w:lineRule="exact"/>
        <w:rPr>
          <w:rFonts w:ascii="Arial" w:cs="Arial" w:eastAsia="Arial" w:hAnsi="Arial"/>
          <w:sz w:val="17"/>
          <w:szCs w:val="17"/>
          <w:color w:val="auto"/>
        </w:rPr>
      </w:pPr>
    </w:p>
    <w:p>
      <w:pPr>
        <w:ind w:right="120" w:firstLine="987"/>
        <w:spacing w:after="0" w:line="271" w:lineRule="auto"/>
        <w:tabs>
          <w:tab w:leader="none" w:pos="137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any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143" w:name="page144"/>
    <w:bookmarkEnd w:id="143"/>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76" w:lineRule="exact"/>
        <w:rPr>
          <w:sz w:val="20"/>
          <w:szCs w:val="20"/>
          <w:color w:val="auto"/>
        </w:rPr>
      </w:pPr>
    </w:p>
    <w:p>
      <w:pPr>
        <w:ind w:left="4" w:right="80" w:firstLine="987"/>
        <w:spacing w:after="0" w:line="301" w:lineRule="auto"/>
        <w:tabs>
          <w:tab w:leader="none" w:pos="137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ind w:left="4" w:right="80" w:firstLine="987"/>
        <w:spacing w:after="0" w:line="259" w:lineRule="auto"/>
        <w:tabs>
          <w:tab w:leader="none" w:pos="13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40" w:hanging="4"/>
        <w:spacing w:after="0" w:line="253" w:lineRule="auto"/>
        <w:tabs>
          <w:tab w:leader="none" w:pos="2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the Administrative Agent, the Lenders and the Issuing Banks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64"/>
          </w:cols>
          <w:pgMar w:left="436" w:top="274" w:right="499" w:bottom="1440" w:gutter="0" w:footer="0" w:header="0"/>
        </w:sectPr>
      </w:pPr>
    </w:p>
    <w:bookmarkStart w:id="144" w:name="page145"/>
    <w:bookmarkEnd w:id="14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requested or required by any regulatory authority purporting to have jurisdiction over it (including any self-regulatory authority, such as the National</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Association of Insurance Commissioners), (c) to the extent required by applicable laws or regulations or by any subpoena or similar legal process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that (other than in the case of any disclosure to a regulator or examiner during a routine examination) to the extent practicable and permitted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law, the Borrower has been notified prior to such disclosure so that the Borrower may seek, at the Borrower’s sole expense, a protective order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other appropriate remedy), (d) to any other party hereto, (e) in connection with the exercise of any remedies hereunder or under any other Loan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Document or any action or proceeding relating to this Agreement or any other Loan Document or the enforcement of rights hereunder or thereunder,</w:t>
      </w:r>
    </w:p>
    <w:p>
      <w:pPr>
        <w:spacing w:after="0" w:line="32" w:lineRule="exact"/>
        <w:rPr>
          <w:sz w:val="20"/>
          <w:szCs w:val="20"/>
          <w:color w:val="auto"/>
        </w:rPr>
      </w:pPr>
    </w:p>
    <w:p>
      <w:pPr>
        <w:ind w:left="4" w:hanging="4"/>
        <w:spacing w:after="0" w:line="266" w:lineRule="auto"/>
        <w:tabs>
          <w:tab w:leader="none" w:pos="22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or other transaction under which payments are to be made by reference to a Loan Party and its obligations, this Agreement or payments hereunder or (iii) any insurers and/or risk protection providers relating to the transactions contemplated under this Agreement, (g) with the consent of any Loan Party, (h)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any Issuing Bank or the Swingline Lender to deliver Borrower Materials or notices to the Lenders,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the Lenders and the Issuing Banks in connection with the administration of this Agreement, the other Loan Documents and the Borrowings hereunder. 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the Borrower or any Subsidiary relating to the Borrower or any Subsidiary or any of their respective businesses, other than any such information that is available to the Administrative Agent, any Lender or any Issuing Bank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Each of the Administrative Agent, the Lenders and the Issuing Banks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84"/>
          </w:cols>
          <w:pgMar w:left="436" w:top="274" w:right="479" w:bottom="1440" w:gutter="0" w:footer="0" w:header="0"/>
        </w:sectPr>
      </w:pPr>
    </w:p>
    <w:bookmarkStart w:id="145" w:name="page146"/>
    <w:bookmarkEnd w:id="145"/>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No Fiduciary Duty</w:t>
      </w:r>
      <w:r>
        <w:rPr>
          <w:rFonts w:ascii="Arial" w:cs="Arial" w:eastAsia="Arial" w:hAnsi="Arial"/>
          <w:sz w:val="17"/>
          <w:szCs w:val="17"/>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80"/>
          </w:cols>
          <w:pgMar w:left="440" w:top="274" w:right="479" w:bottom="1440" w:gutter="0" w:footer="0" w:header="0"/>
        </w:sectPr>
      </w:pPr>
    </w:p>
    <w:bookmarkStart w:id="146" w:name="page147"/>
    <w:bookmarkEnd w:id="146"/>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Electronic Execution of this Agreement and Other Documents</w:t>
      </w:r>
      <w:r>
        <w:rPr>
          <w:rFonts w:ascii="Arial" w:cs="Arial" w:eastAsia="Arial" w:hAnsi="Arial"/>
          <w:sz w:val="16"/>
          <w:szCs w:val="16"/>
          <w:color w:val="auto"/>
        </w:rPr>
        <w:t>.</w:t>
      </w:r>
    </w:p>
    <w:p>
      <w:pPr>
        <w:spacing w:after="0" w:line="225" w:lineRule="exact"/>
        <w:rPr>
          <w:sz w:val="20"/>
          <w:szCs w:val="20"/>
          <w:color w:val="auto"/>
        </w:rPr>
      </w:pPr>
    </w:p>
    <w:p>
      <w:pPr>
        <w:ind w:right="180" w:firstLine="987"/>
        <w:spacing w:after="0" w:line="271" w:lineRule="auto"/>
        <w:tabs>
          <w:tab w:leader="none" w:pos="136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rFonts w:ascii="Arial" w:cs="Arial" w:eastAsia="Arial" w:hAnsi="Arial"/>
          <w:sz w:val="17"/>
          <w:szCs w:val="17"/>
          <w:color w:val="auto"/>
        </w:rPr>
      </w:pPr>
    </w:p>
    <w:p>
      <w:pPr>
        <w:ind w:firstLine="987"/>
        <w:spacing w:after="0" w:line="286" w:lineRule="auto"/>
        <w:tabs>
          <w:tab w:leader="none" w:pos="137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This Agreement, any Loan Document and any other Communication,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and the Issuing Banks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Bank nor the Swingline Lender is under any obligation to accept an Electronic Signature in any form or in any format unless expressly agreed to by such Person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that, without limiting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60"/>
          </w:cols>
          <w:pgMar w:left="440" w:top="274" w:right="499" w:bottom="1440" w:gutter="0" w:footer="0" w:header="0"/>
        </w:sectPr>
      </w:pPr>
    </w:p>
    <w:bookmarkStart w:id="147" w:name="page148"/>
    <w:bookmarkEnd w:id="14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(i) to the extent the Administrative Agent, any Issuing Bank and/or the Swingline Lender has agreed to accept such Electronic Signature, the Loan Parties, the Administrative Agent and each of the Lenders and the Issuing Banks shall be entitled to rely on any such Electronic Signature purportedly given by or on behalf of any party hereto without further verification and regardless of the appearance or form of such Electronic Signature, and (ii) upon the request of the Administrative Agent, any Lender or any Issuing Bank, any Communication executed using an Electronic Signature shall be promptly followed by a manually executed counterpart.</w:t>
      </w:r>
    </w:p>
    <w:p>
      <w:pPr>
        <w:spacing w:after="0" w:line="188" w:lineRule="exact"/>
        <w:rPr>
          <w:sz w:val="20"/>
          <w:szCs w:val="20"/>
          <w:color w:val="auto"/>
        </w:rPr>
      </w:pPr>
    </w:p>
    <w:p>
      <w:pPr>
        <w:ind w:right="120" w:firstLine="987"/>
        <w:spacing w:after="0" w:line="291" w:lineRule="auto"/>
        <w:tabs>
          <w:tab w:leader="none" w:pos="13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Neither the Administrative Agent, any Issuing Bank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Issuing Bank’s or the Swingline Lender’s reliance on any Electronic Signature transmitted by telecopy, emailed .pdf or any other electronic means). The Administrative Agent, any Issuing Bank and the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66" w:lineRule="exact"/>
        <w:rPr>
          <w:rFonts w:ascii="Arial" w:cs="Arial" w:eastAsia="Arial" w:hAnsi="Arial"/>
          <w:sz w:val="16"/>
          <w:szCs w:val="16"/>
          <w:color w:val="auto"/>
        </w:rPr>
      </w:pPr>
    </w:p>
    <w:p>
      <w:pPr>
        <w:ind w:firstLine="987"/>
        <w:spacing w:after="0" w:line="273" w:lineRule="auto"/>
        <w:tabs>
          <w:tab w:leader="none" w:pos="138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Each of the Loan Parties, the Administrative Agent, each Issuing Bank and each Lender hereby waive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Issuing Bank, each Lender and each of its respective Related Party for any liabilities arising solely from the Administrative Agent’s, any Issuing Bank’s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77" w:lineRule="exact"/>
        <w:rPr>
          <w:rFonts w:ascii="Arial" w:cs="Arial" w:eastAsia="Arial" w:hAnsi="Arial"/>
          <w:sz w:val="17"/>
          <w:szCs w:val="17"/>
          <w:color w:val="auto"/>
        </w:rPr>
      </w:pPr>
    </w:p>
    <w:p>
      <w:pPr>
        <w:ind w:right="20" w:firstLine="987"/>
        <w:spacing w:after="0" w:line="342" w:lineRule="auto"/>
        <w:tabs>
          <w:tab w:leader="none" w:pos="137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2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Joint and Several</w:t>
      </w:r>
      <w:r>
        <w:rPr>
          <w:rFonts w:ascii="Arial" w:cs="Arial" w:eastAsia="Arial" w:hAnsi="Arial"/>
          <w:sz w:val="17"/>
          <w:szCs w:val="17"/>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the Borrower or any other Loan Party due to any payment or performance made under this Agreement, in each case until all Obligations shall have been fully satisfied.</w:t>
      </w:r>
    </w:p>
    <w:p>
      <w:pPr>
        <w:spacing w:after="0" w:line="176"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 xml:space="preserve">SECTION 9.18 </w:t>
      </w:r>
      <w:r>
        <w:rPr>
          <w:rFonts w:ascii="Arial" w:cs="Arial" w:eastAsia="Arial" w:hAnsi="Arial"/>
          <w:sz w:val="17"/>
          <w:szCs w:val="17"/>
          <w:u w:val="single" w:color="auto"/>
          <w:color w:val="auto"/>
        </w:rPr>
        <w:t>Enforcement</w:t>
      </w:r>
      <w:r>
        <w:rPr>
          <w:rFonts w:ascii="Arial" w:cs="Arial" w:eastAsia="Arial" w:hAnsi="Arial"/>
          <w:sz w:val="17"/>
          <w:szCs w:val="17"/>
          <w:color w:val="auto"/>
        </w:rPr>
        <w:t>. Notwithstanding anything to the contrary contained herein or in any other Loan Document, the authority to enforce rights and remedies hereunder and under the other Loan Documents against the Loan Parties or any of them shall be vested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148" w:name="page149"/>
    <w:bookmarkEnd w:id="14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exclusively in, and all actions and proceedings at law in connection with such enforcement shall be instituted and maintained exclusively by, the Administrative Agent in accordance with Article VII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prohibit (a) the Administrative Agent from exercising on its own behalf the rights and remedies that inure to its benefit (solely in its capacity as Administrative Agent) hereunder and under the other Loan Documents, (b) each Issuing Bank or the Swingline Lender from exercising the rights and remedies that inure to its benefit (solely in its capacity as Issuing Bank or Swingline Lender, as the case may be) hereunder and under the other Loan Documents, (c) 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72" w:lineRule="exact"/>
        <w:rPr>
          <w:sz w:val="20"/>
          <w:szCs w:val="20"/>
          <w:color w:val="auto"/>
        </w:rPr>
      </w:pPr>
    </w:p>
    <w:p>
      <w:pPr>
        <w:ind w:right="440" w:firstLine="440"/>
        <w:spacing w:after="0" w:line="275"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Netherlands Loan Party Representation</w:t>
      </w:r>
      <w:r>
        <w:rPr>
          <w:rFonts w:ascii="Arial" w:cs="Arial" w:eastAsia="Arial" w:hAnsi="Arial"/>
          <w:sz w:val="17"/>
          <w:szCs w:val="17"/>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76"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9.20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520" w:firstLine="877"/>
        <w:spacing w:after="0" w:line="277" w:lineRule="auto"/>
        <w:tabs>
          <w:tab w:leader="none" w:pos="126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40" w:hanging="381"/>
        <w:spacing w:after="0"/>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200" w:hanging="341"/>
        <w:spacing w:after="0"/>
        <w:tabs>
          <w:tab w:leader="none" w:pos="12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26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149" w:name="page150"/>
    <w:bookmarkEnd w:id="149"/>
    <w:p>
      <w:pPr>
        <w:ind w:left="44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other instruments of ownership will be accepted by it in lieu of any rights with respect to any such liability under this Agreement or any other Loan Document; or</w:t>
      </w:r>
    </w:p>
    <w:p>
      <w:pPr>
        <w:spacing w:after="0" w:line="62" w:lineRule="exact"/>
        <w:rPr>
          <w:sz w:val="20"/>
          <w:szCs w:val="20"/>
          <w:color w:val="auto"/>
        </w:rPr>
      </w:pPr>
    </w:p>
    <w:p>
      <w:pPr>
        <w:ind w:left="440" w:right="140" w:firstLine="419"/>
        <w:spacing w:after="0" w:line="277" w:lineRule="auto"/>
        <w:tabs>
          <w:tab w:leader="none" w:pos="131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firstLine="987"/>
        <w:spacing w:after="0" w:line="287" w:lineRule="auto"/>
        <w:tabs>
          <w:tab w:leader="none" w:pos="137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auto"/>
        </w:rPr>
      </w:pPr>
    </w:p>
    <w:p>
      <w:pPr>
        <w:ind w:left="1360" w:hanging="373"/>
        <w:spacing w:after="0"/>
        <w:tabs>
          <w:tab w:leader="none" w:pos="13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used in this Section 9.21, the following terms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00"/>
          </w:cols>
          <w:pgMar w:left="440" w:top="274" w:right="459" w:bottom="1440" w:gutter="0" w:footer="0" w:header="0"/>
        </w:sectPr>
      </w:pPr>
    </w:p>
    <w:bookmarkStart w:id="150" w:name="page151"/>
    <w:bookmarkEnd w:id="150"/>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The parties hereto agree that, on the Closing Date, the following transactions shall be deemed to occur automatically, without further action by any party hereto: (a) the Existing Credit Agreement shall be deemed to be amended and restated in its entirety pursuant to this Agreement, (b) all Obligations (as defined in the Existing Credit Agreement) under the Existing Credit Agreement shall be deemed to be Obligations outstanding hereunder and (c) all references in the other Loan Documents to the Existing Credit Agreement shall be deemed to refer without further amendment to this Agreement. Further to the foregoing, the amendment of the Existing Credit Agreement in the form of this Agreement shall not constitute a novation of any amount owing under the Existing Credit Agreement or any other Loan Document and all amounts owing in respect of principal, interest, fees and other amounts pursuant to the Existing Credit Agreement and the other Loan Documents shall, to the extent not paid or otherwise extinguished on the Closing Date, continue to be owing under this Agreement or such other Loan Documents until paid in accordance herewith and therewith.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X</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Guarantee</w:t>
      </w:r>
      <w:r>
        <w:rPr>
          <w:rFonts w:ascii="Arial" w:cs="Arial" w:eastAsia="Arial" w:hAnsi="Arial"/>
          <w:sz w:val="16"/>
          <w:szCs w:val="16"/>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60"/>
          </w:cols>
          <w:pgMar w:left="440" w:top="274" w:right="499" w:bottom="1440" w:gutter="0" w:footer="0" w:header="0"/>
        </w:sectPr>
      </w:pPr>
    </w:p>
    <w:bookmarkStart w:id="151" w:name="page152"/>
    <w:bookmarkEnd w:id="15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Arial" w:cs="Arial" w:eastAsia="Arial" w:hAnsi="Arial"/>
          <w:sz w:val="16"/>
          <w:szCs w:val="16"/>
          <w:u w:val="single" w:color="auto"/>
          <w:color w:val="auto"/>
        </w:rPr>
        <w:t>Prohibition</w:t>
      </w:r>
      <w:r>
        <w:rPr>
          <w:rFonts w:ascii="Arial" w:cs="Arial" w:eastAsia="Arial" w:hAnsi="Arial"/>
          <w:sz w:val="16"/>
          <w:szCs w:val="16"/>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6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 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00"/>
          </w:cols>
          <w:pgMar w:left="440" w:top="274" w:right="459" w:bottom="1440" w:gutter="0" w:footer="0" w:header="0"/>
        </w:sectPr>
      </w:pPr>
    </w:p>
    <w:bookmarkStart w:id="152" w:name="page153"/>
    <w:bookmarkEnd w:id="152"/>
    <w:p>
      <w:pPr>
        <w:ind w:right="6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10.04 </w:t>
      </w:r>
      <w:r>
        <w:rPr>
          <w:rFonts w:ascii="Arial" w:cs="Arial" w:eastAsia="Arial" w:hAnsi="Arial"/>
          <w:sz w:val="16"/>
          <w:szCs w:val="16"/>
          <w:u w:val="single" w:color="auto"/>
          <w:color w:val="auto"/>
        </w:rPr>
        <w:t>Amendments, etc., with Respect to the Obligations</w:t>
      </w:r>
      <w:r>
        <w:rPr>
          <w:rFonts w:ascii="Arial" w:cs="Arial" w:eastAsia="Arial" w:hAnsi="Arial"/>
          <w:sz w:val="16"/>
          <w:szCs w:val="16"/>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6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0"/>
          </w:cols>
          <w:pgMar w:left="440" w:top="274" w:right="459" w:bottom="1440" w:gutter="0" w:footer="0" w:header="0"/>
        </w:sectPr>
      </w:pPr>
    </w:p>
    <w:bookmarkStart w:id="153" w:name="page154"/>
    <w:bookmarkEnd w:id="15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88"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Reinstatement</w:t>
      </w:r>
      <w:r>
        <w:rPr>
          <w:rFonts w:ascii="Arial" w:cs="Arial" w:eastAsia="Arial" w:hAnsi="Arial"/>
          <w:sz w:val="16"/>
          <w:szCs w:val="16"/>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Obligations Independent</w:t>
      </w:r>
      <w:r>
        <w:rPr>
          <w:rFonts w:ascii="Arial" w:cs="Arial" w:eastAsia="Arial" w:hAnsi="Arial"/>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Section 2.15. In any case in which a Guarantor makes or is obligated to make payment in Dollars, such Guarantor shall hold the Administrative Agent harmless from any loss incurred by the Administrative Agent arising from any change in the value of Dollars in relation to the currency for payment 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the Borrower,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154" w:name="page155"/>
    <w:bookmarkEnd w:id="154"/>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Subordination</w:t>
      </w:r>
      <w:r>
        <w:rPr>
          <w:rFonts w:ascii="Arial" w:cs="Arial" w:eastAsia="Arial" w:hAnsi="Arial"/>
          <w:sz w:val="17"/>
          <w:szCs w:val="17"/>
          <w:color w:val="auto"/>
        </w:rPr>
        <w:t xml:space="preserve">.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subordination shall not be given effect until such time as the Lender Parties shall have made a request to the Borrower pursuant to the second sentence of this </w:t>
      </w:r>
      <w:r>
        <w:rPr>
          <w:rFonts w:ascii="Arial" w:cs="Arial" w:eastAsia="Arial" w:hAnsi="Arial"/>
          <w:sz w:val="17"/>
          <w:szCs w:val="17"/>
          <w:u w:val="single" w:color="auto"/>
          <w:color w:val="auto"/>
        </w:rPr>
        <w:t>Section 10.09</w:t>
      </w:r>
      <w:r>
        <w:rPr>
          <w:rFonts w:ascii="Arial" w:cs="Arial" w:eastAsia="Arial" w:hAnsi="Arial"/>
          <w:sz w:val="17"/>
          <w:szCs w:val="17"/>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Condition of Borrower</w:t>
      </w:r>
      <w:r>
        <w:rPr>
          <w:rFonts w:ascii="Arial" w:cs="Arial" w:eastAsia="Arial" w:hAnsi="Arial"/>
          <w:sz w:val="18"/>
          <w:szCs w:val="18"/>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92"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Releases</w:t>
      </w:r>
      <w:r>
        <w:rPr>
          <w:rFonts w:ascii="Arial" w:cs="Arial" w:eastAsia="Arial" w:hAnsi="Arial"/>
          <w:sz w:val="18"/>
          <w:szCs w:val="18"/>
          <w:color w:val="auto"/>
        </w:rPr>
        <w:t>.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20"/>
          </w:cols>
          <w:pgMar w:left="440" w:top="274" w:right="439" w:bottom="1440" w:gutter="0" w:footer="0" w:header="0"/>
        </w:sectPr>
      </w:pPr>
    </w:p>
    <w:bookmarkStart w:id="155" w:name="page156"/>
    <w:bookmarkEnd w:id="155"/>
    <w:p>
      <w:pPr>
        <w:jc w:val="center"/>
        <w:ind w:right="-3"/>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ERISA Matters</w:t>
      </w:r>
    </w:p>
    <w:p>
      <w:pPr>
        <w:spacing w:after="0" w:line="229" w:lineRule="exact"/>
        <w:rPr>
          <w:sz w:val="20"/>
          <w:szCs w:val="20"/>
          <w:color w:val="auto"/>
        </w:rPr>
      </w:pPr>
    </w:p>
    <w:p>
      <w:pPr>
        <w:ind w:left="444"/>
        <w:spacing w:after="0"/>
        <w:tabs>
          <w:tab w:leader="none" w:pos="1804"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ind w:left="4" w:right="100" w:firstLine="987"/>
        <w:spacing w:after="0" w:line="259" w:lineRule="auto"/>
        <w:tabs>
          <w:tab w:leader="none" w:pos="137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left="4" w:right="340" w:firstLine="1428"/>
        <w:spacing w:after="0" w:line="263" w:lineRule="auto"/>
        <w:tabs>
          <w:tab w:leader="none" w:pos="178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left="4" w:right="40" w:firstLine="1428"/>
        <w:spacing w:after="0" w:line="273" w:lineRule="auto"/>
        <w:tabs>
          <w:tab w:leader="none" w:pos="1836" w:val="left"/>
        </w:tabs>
        <w:numPr>
          <w:ilvl w:val="2"/>
          <w:numId w:val="19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7" w:lineRule="exact"/>
        <w:rPr>
          <w:rFonts w:ascii="Arial" w:cs="Arial" w:eastAsia="Arial" w:hAnsi="Arial"/>
          <w:sz w:val="17"/>
          <w:szCs w:val="17"/>
          <w:color w:val="auto"/>
        </w:rPr>
      </w:pPr>
    </w:p>
    <w:p>
      <w:pPr>
        <w:ind w:left="4" w:firstLine="1428"/>
        <w:spacing w:after="0" w:line="254" w:lineRule="auto"/>
        <w:tabs>
          <w:tab w:leader="none" w:pos="188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4" w:lineRule="exact"/>
        <w:rPr>
          <w:rFonts w:ascii="Arial" w:cs="Arial" w:eastAsia="Arial" w:hAnsi="Arial"/>
          <w:sz w:val="18"/>
          <w:szCs w:val="18"/>
          <w:color w:val="auto"/>
        </w:rPr>
      </w:pPr>
    </w:p>
    <w:p>
      <w:pPr>
        <w:ind w:left="4" w:right="260" w:firstLine="1428"/>
        <w:spacing w:after="0" w:line="277" w:lineRule="auto"/>
        <w:tabs>
          <w:tab w:leader="none" w:pos="1876" w:val="left"/>
        </w:tabs>
        <w:numPr>
          <w:ilvl w:val="2"/>
          <w:numId w:val="19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987"/>
        <w:spacing w:after="0" w:line="291" w:lineRule="auto"/>
        <w:tabs>
          <w:tab w:leader="none" w:pos="138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90" w:lineRule="auto"/>
        <w:tabs>
          <w:tab w:leader="none" w:pos="259" w:val="left"/>
        </w:tabs>
        <w:numPr>
          <w:ilvl w:val="0"/>
          <w:numId w:val="195"/>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04"/>
          </w:cols>
          <w:pgMar w:left="436" w:top="267" w:right="459" w:bottom="1440" w:gutter="0" w:footer="0" w:header="0"/>
        </w:sectPr>
      </w:pPr>
    </w:p>
    <w:bookmarkStart w:id="156" w:name="page157"/>
    <w:bookmarkEnd w:id="156"/>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840"/>
          </w:cols>
          <w:pgMar w:left="440" w:top="274" w:right="619" w:bottom="1440" w:gutter="0" w:footer="0" w:header="0"/>
        </w:sectPr>
      </w:pPr>
    </w:p>
    <w:bookmarkStart w:id="157" w:name="page158"/>
    <w:bookmarkEnd w:id="15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62"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VIATRIS INC., </w:t>
      </w:r>
      <w:r>
        <w:rPr>
          <w:rFonts w:ascii="Arial" w:cs="Arial" w:eastAsia="Arial" w:hAnsi="Arial"/>
          <w:sz w:val="18"/>
          <w:szCs w:val="18"/>
          <w:color w:val="auto"/>
        </w:rPr>
        <w:t>as the Borrower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UTAH ACQUISITION SUB INC., </w:t>
      </w:r>
      <w:r>
        <w:rPr>
          <w:rFonts w:ascii="Arial" w:cs="Arial" w:eastAsia="Arial" w:hAnsi="Arial"/>
          <w:sz w:val="18"/>
          <w:szCs w:val="18"/>
          <w:color w:val="auto"/>
        </w:rPr>
        <w:t>as a Guarantor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6980"/>
        <w:spacing w:after="0"/>
        <w:tabs>
          <w:tab w:leader="none" w:pos="7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Treasurer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INC.</w:t>
      </w:r>
      <w:r>
        <w:rPr>
          <w:rFonts w:ascii="Arial" w:cs="Arial" w:eastAsia="Arial" w:hAnsi="Arial"/>
          <w:sz w:val="18"/>
          <w:szCs w:val="18"/>
          <w:color w:val="auto"/>
        </w:rPr>
        <w:t>, as a Guarantor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MYLAN II B.V.</w:t>
      </w:r>
      <w:r>
        <w:rPr>
          <w:rFonts w:ascii="Arial" w:cs="Arial" w:eastAsia="Arial" w:hAnsi="Arial"/>
          <w:sz w:val="18"/>
          <w:szCs w:val="18"/>
          <w:color w:val="auto"/>
        </w:rPr>
        <w:t>, as a Guarantor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Board Member</w:t>
      </w:r>
    </w:p>
    <w:p>
      <w:pPr>
        <w:spacing w:after="0" w:line="14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10920"/>
          </w:cols>
          <w:pgMar w:left="440" w:top="274" w:right="539" w:bottom="1440" w:gutter="0" w:footer="0" w:header="0"/>
        </w:sectPr>
      </w:pPr>
    </w:p>
    <w:bookmarkStart w:id="158" w:name="page159"/>
    <w:bookmarkEnd w:id="1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 individually as a Lender,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Swingline Lender and as the Issuing Bank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Yinghua Zhang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Yinghua Zhang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1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780"/>
          </w:cols>
          <w:pgMar w:left="1440" w:top="517" w:right="679" w:bottom="1440" w:gutter="0" w:footer="0" w:header="0"/>
        </w:sectPr>
      </w:pPr>
    </w:p>
    <w:bookmarkStart w:id="159" w:name="page160"/>
    <w:bookmarkEnd w:id="159"/>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Arial" w:cs="Arial" w:eastAsia="Arial" w:hAnsi="Arial"/>
          <w:sz w:val="17"/>
          <w:szCs w:val="17"/>
          <w:color w:val="auto"/>
        </w:rPr>
        <w:t>., as the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Maurice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Maurice Washington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5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900"/>
          </w:cols>
          <w:pgMar w:left="1440" w:top="270" w:right="559" w:bottom="1440" w:gutter="0" w:footer="0" w:header="0"/>
        </w:sectPr>
      </w:pPr>
    </w:p>
    <w:bookmarkStart w:id="160" w:name="page161"/>
    <w:bookmarkEnd w:id="16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Ronnie Glenn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1" w:name="page162"/>
    <w:bookmarkEnd w:id="16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Christopher Sked</w:t>
      </w:r>
    </w:p>
    <w:p>
      <w:pPr>
        <w:spacing w:after="0" w:line="35"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Nicolas Doche</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2" w:name="page163"/>
    <w:bookmarkEnd w:id="16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Patricia A. Guerra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Name: Patricia A. Guerra</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3" w:name="page164"/>
    <w:bookmarkEnd w:id="16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Marko Lukin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580"/>
          </w:cols>
          <w:pgMar w:left="1440" w:top="274" w:right="879" w:bottom="1440" w:gutter="0" w:footer="0" w:header="0"/>
        </w:sectPr>
      </w:pPr>
    </w:p>
    <w:bookmarkStart w:id="164" w:name="page165"/>
    <w:bookmarkEnd w:id="16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DNB CAPITAL LLC,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Samantha K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Samantha K Stone</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Ahelia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Ahelia Singh</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5" w:name="page166"/>
    <w:bookmarkEnd w:id="16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Jacob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Jacob Elder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40"/>
          </w:cols>
          <w:pgMar w:left="1440" w:top="274" w:right="1419" w:bottom="1440" w:gutter="0" w:footer="0" w:header="0"/>
        </w:sectPr>
      </w:pPr>
    </w:p>
    <w:bookmarkStart w:id="166" w:name="page167"/>
    <w:bookmarkEnd w:id="16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BANK, N.V., DUBLIN BRANCH,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Padraig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Padraig Matthews</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Sean Hassett</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380"/>
          </w:cols>
          <w:pgMar w:left="1440" w:top="274" w:right="1079" w:bottom="1440" w:gutter="0" w:footer="0" w:header="0"/>
        </w:sectPr>
      </w:pPr>
    </w:p>
    <w:bookmarkStart w:id="167" w:name="page168"/>
    <w:bookmarkEnd w:id="16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T. Martin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20"/>
          </w:cols>
          <w:pgMar w:left="1440" w:top="274" w:right="1339" w:bottom="1440" w:gutter="0" w:footer="0" w:header="0"/>
        </w:sectPr>
      </w:pPr>
    </w:p>
    <w:bookmarkStart w:id="168" w:name="page169"/>
    <w:bookmarkEnd w:id="16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Sacks</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69" w:name="page170"/>
    <w:bookmarkEnd w:id="169"/>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Colcombe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Colcombe</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660"/>
          </w:cols>
          <w:pgMar w:left="1440" w:top="274" w:right="799" w:bottom="1440" w:gutter="0" w:footer="0" w:header="0"/>
        </w:sectPr>
      </w:pPr>
    </w:p>
    <w:bookmarkStart w:id="170" w:name="page171"/>
    <w:bookmarkEnd w:id="17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MacVicar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MacVicar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1" w:name="page172"/>
    <w:bookmarkEnd w:id="17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2" w:name="page173"/>
    <w:bookmarkEnd w:id="17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BANK,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80"/>
          </w:cols>
          <w:pgMar w:left="1440" w:top="274" w:right="1279" w:bottom="1440" w:gutter="0" w:footer="0" w:header="0"/>
        </w:sectPr>
      </w:pPr>
    </w:p>
    <w:bookmarkStart w:id="173" w:name="page174"/>
    <w:bookmarkEnd w:id="17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DBS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Terence Yong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Terence Yong</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4" w:name="page175"/>
    <w:bookmarkEnd w:id="17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SKANDINAVISKA ENSKILDA BANKEN AB (PUBL),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Penny Neville-Park</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Moore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980"/>
          </w:cols>
          <w:pgMar w:left="1440" w:top="274" w:right="479" w:bottom="1440" w:gutter="0" w:footer="0" w:header="0"/>
        </w:sectPr>
      </w:pPr>
    </w:p>
    <w:bookmarkStart w:id="175" w:name="page176"/>
    <w:bookmarkEnd w:id="17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SOCIETE GENERALE,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Kimberly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Kimberly Metzger</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019"/>
          </w:cols>
          <w:pgMar w:left="1440" w:top="274" w:right="1440" w:bottom="1440" w:gutter="0" w:footer="0" w:header="0"/>
        </w:sectPr>
      </w:pPr>
    </w:p>
    <w:bookmarkStart w:id="176" w:name="page177"/>
    <w:bookmarkEnd w:id="17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CHARTERED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Kristopher Tracy</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Financing Solutions</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160"/>
          </w:cols>
          <w:pgMar w:left="1440" w:top="274" w:right="1299" w:bottom="1440" w:gutter="0" w:footer="0" w:header="0"/>
        </w:sectPr>
      </w:pPr>
    </w:p>
    <w:bookmarkStart w:id="177" w:name="page178"/>
    <w:bookmarkEnd w:id="17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BANK USA, as an Issuing Bank</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Jacob Elder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Jacob Elder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1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Revolving Credit Agreement]</w:t>
      </w:r>
    </w:p>
    <w:p>
      <w:pPr>
        <w:sectPr>
          <w:pgSz w:w="11900" w:h="16838" w:orient="portrait"/>
          <w:cols w:equalWidth="0" w:num="1">
            <w:col w:w="9560"/>
          </w:cols>
          <w:pgMar w:left="1440" w:top="274" w:right="8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TERM LOAN 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JULY 1, 2021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the Guarantors from time to time party hereto</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and the Lenders from time to time party hereto</w:t>
      </w:r>
    </w:p>
    <w:p>
      <w:pPr>
        <w:spacing w:after="0" w:line="248"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MUFG BANK, LTD.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6"/>
          <w:szCs w:val="16"/>
          <w:color w:val="auto"/>
        </w:rPr>
        <w:t>as Mandated Lead Arrangers and Book Runners</w:t>
      </w:r>
    </w:p>
    <w:p>
      <w:pPr>
        <w:spacing w:after="0" w:line="23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MUFG BANK, LTD.</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ectPr>
          <w:pgSz w:w="11900" w:h="16838" w:orient="portrait"/>
          <w:cols w:equalWidth="0" w:num="1">
            <w:col w:w="10020"/>
          </w:cols>
          <w:pgMar w:left="1440" w:top="121" w:right="4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8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4"/>
                <w:szCs w:val="24"/>
                <w:color w:val="auto"/>
              </w:rPr>
            </w:pPr>
          </w:p>
        </w:tc>
        <w:tc>
          <w:tcPr>
            <w:tcW w:w="8840" w:type="dxa"/>
            <w:vAlign w:val="bottom"/>
            <w:vMerge w:val="restart"/>
          </w:tcPr>
          <w:p>
            <w:pPr>
              <w:jc w:val="center"/>
              <w:ind w:right="1430"/>
              <w:spacing w:after="0"/>
              <w:rPr>
                <w:sz w:val="20"/>
                <w:szCs w:val="20"/>
                <w:color w:val="auto"/>
              </w:rPr>
            </w:pPr>
            <w:r>
              <w:rPr>
                <w:rFonts w:ascii="Arial" w:cs="Arial" w:eastAsia="Arial" w:hAnsi="Arial"/>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360"/>
              <w:spacing w:after="0"/>
              <w:rPr>
                <w:sz w:val="20"/>
                <w:szCs w:val="20"/>
                <w:color w:val="auto"/>
              </w:rPr>
            </w:pPr>
            <w:r>
              <w:rPr>
                <w:rFonts w:ascii="Arial" w:cs="Arial" w:eastAsia="Arial" w:hAnsi="Arial"/>
                <w:sz w:val="18"/>
                <w:szCs w:val="18"/>
                <w:color w:val="auto"/>
              </w:rPr>
              <w:t>Currency Translation</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1.03</w:t>
            </w:r>
          </w:p>
        </w:tc>
        <w:tc>
          <w:tcPr>
            <w:tcW w:w="8840" w:type="dxa"/>
            <w:vAlign w:val="bottom"/>
          </w:tcPr>
          <w:p>
            <w:pPr>
              <w:ind w:left="360"/>
              <w:spacing w:after="0"/>
              <w:rPr>
                <w:sz w:val="20"/>
                <w:szCs w:val="20"/>
                <w:color w:val="auto"/>
              </w:rPr>
            </w:pPr>
            <w:r>
              <w:rPr>
                <w:rFonts w:ascii="Arial" w:cs="Arial" w:eastAsia="Arial" w:hAnsi="Arial"/>
                <w:sz w:val="18"/>
                <w:szCs w:val="18"/>
                <w:color w:val="auto"/>
              </w:rPr>
              <w:t>Terms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1.04</w:t>
            </w:r>
          </w:p>
        </w:tc>
        <w:tc>
          <w:tcPr>
            <w:tcW w:w="8840" w:type="dxa"/>
            <w:vAlign w:val="bottom"/>
          </w:tcPr>
          <w:p>
            <w:pPr>
              <w:ind w:left="360"/>
              <w:spacing w:after="0"/>
              <w:rPr>
                <w:sz w:val="20"/>
                <w:szCs w:val="20"/>
                <w:color w:val="auto"/>
              </w:rPr>
            </w:pPr>
            <w:r>
              <w:rPr>
                <w:rFonts w:ascii="Arial" w:cs="Arial" w:eastAsia="Arial" w:hAnsi="Arial"/>
                <w:sz w:val="18"/>
                <w:szCs w:val="18"/>
                <w:color w:val="auto"/>
              </w:rPr>
              <w:t>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1.05</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on Business Days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1.06</w:t>
            </w:r>
          </w:p>
        </w:tc>
        <w:tc>
          <w:tcPr>
            <w:tcW w:w="8840" w:type="dxa"/>
            <w:vAlign w:val="bottom"/>
          </w:tcPr>
          <w:p>
            <w:pPr>
              <w:ind w:left="360"/>
              <w:spacing w:after="0"/>
              <w:rPr>
                <w:sz w:val="20"/>
                <w:szCs w:val="20"/>
                <w:color w:val="auto"/>
              </w:rPr>
            </w:pPr>
            <w:r>
              <w:rPr>
                <w:rFonts w:ascii="Arial" w:cs="Arial" w:eastAsia="Arial" w:hAnsi="Arial"/>
                <w:sz w:val="18"/>
                <w:szCs w:val="18"/>
                <w:color w:val="auto"/>
              </w:rPr>
              <w:t>Rounding</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1.07</w:t>
            </w:r>
          </w:p>
        </w:tc>
        <w:tc>
          <w:tcPr>
            <w:tcW w:w="8840" w:type="dxa"/>
            <w:vAlign w:val="bottom"/>
          </w:tcPr>
          <w:p>
            <w:pPr>
              <w:ind w:left="360"/>
              <w:spacing w:after="0"/>
              <w:rPr>
                <w:sz w:val="20"/>
                <w:szCs w:val="20"/>
                <w:color w:val="auto"/>
              </w:rPr>
            </w:pPr>
            <w:r>
              <w:rPr>
                <w:rFonts w:ascii="Arial" w:cs="Arial" w:eastAsia="Arial" w:hAnsi="Arial"/>
                <w:sz w:val="18"/>
                <w:szCs w:val="18"/>
                <w:color w:val="auto"/>
              </w:rPr>
              <w:t>Divisions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1.08</w:t>
            </w:r>
          </w:p>
        </w:tc>
        <w:tc>
          <w:tcPr>
            <w:tcW w:w="8840" w:type="dxa"/>
            <w:vAlign w:val="bottom"/>
          </w:tcPr>
          <w:p>
            <w:pPr>
              <w:ind w:left="360"/>
              <w:spacing w:after="0"/>
              <w:rPr>
                <w:sz w:val="20"/>
                <w:szCs w:val="20"/>
                <w:color w:val="auto"/>
              </w:rPr>
            </w:pPr>
            <w:r>
              <w:rPr>
                <w:rFonts w:ascii="Arial" w:cs="Arial" w:eastAsia="Arial" w:hAnsi="Arial"/>
                <w:sz w:val="18"/>
                <w:szCs w:val="18"/>
                <w:color w:val="auto"/>
              </w:rPr>
              <w:t>Times of Day</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1.09</w:t>
            </w:r>
          </w:p>
        </w:tc>
        <w:tc>
          <w:tcPr>
            <w:tcW w:w="8840" w:type="dxa"/>
            <w:vAlign w:val="bottom"/>
          </w:tcPr>
          <w:p>
            <w:pPr>
              <w:ind w:left="360"/>
              <w:spacing w:after="0"/>
              <w:rPr>
                <w:sz w:val="20"/>
                <w:szCs w:val="20"/>
                <w:color w:val="auto"/>
              </w:rPr>
            </w:pPr>
            <w:r>
              <w:rPr>
                <w:rFonts w:ascii="Arial" w:cs="Arial" w:eastAsia="Arial" w:hAnsi="Arial"/>
                <w:sz w:val="18"/>
                <w:szCs w:val="18"/>
                <w:color w:val="auto"/>
              </w:rPr>
              <w:t>Interest Rates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8840" w:type="dxa"/>
            <w:vAlign w:val="bottom"/>
          </w:tcPr>
          <w:p>
            <w:pPr>
              <w:jc w:val="center"/>
              <w:ind w:right="143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60" w:type="dxa"/>
            <w:vAlign w:val="bottom"/>
          </w:tcPr>
          <w:p>
            <w:pPr>
              <w:spacing w:after="0"/>
              <w:rPr>
                <w:sz w:val="24"/>
                <w:szCs w:val="24"/>
                <w:color w:val="auto"/>
              </w:rPr>
            </w:pPr>
          </w:p>
        </w:tc>
        <w:tc>
          <w:tcPr>
            <w:tcW w:w="8840" w:type="dxa"/>
            <w:vAlign w:val="bottom"/>
          </w:tcPr>
          <w:p>
            <w:pPr>
              <w:jc w:val="center"/>
              <w:ind w:right="1450"/>
              <w:spacing w:after="0"/>
              <w:rPr>
                <w:sz w:val="20"/>
                <w:szCs w:val="20"/>
                <w:color w:val="auto"/>
              </w:rPr>
            </w:pPr>
            <w:r>
              <w:rPr>
                <w:rFonts w:ascii="Arial" w:cs="Arial" w:eastAsia="Arial" w:hAnsi="Arial"/>
                <w:sz w:val="18"/>
                <w:szCs w:val="18"/>
                <w:color w:val="auto"/>
                <w:w w:val="94"/>
              </w:rPr>
              <w:t>THE CREDITS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2.01</w:t>
            </w:r>
          </w:p>
        </w:tc>
        <w:tc>
          <w:tcPr>
            <w:tcW w:w="8840" w:type="dxa"/>
            <w:vAlign w:val="bottom"/>
          </w:tcPr>
          <w:p>
            <w:pPr>
              <w:ind w:left="360"/>
              <w:spacing w:after="0"/>
              <w:rPr>
                <w:sz w:val="20"/>
                <w:szCs w:val="20"/>
                <w:color w:val="auto"/>
              </w:rPr>
            </w:pPr>
            <w:r>
              <w:rPr>
                <w:rFonts w:ascii="Arial" w:cs="Arial" w:eastAsia="Arial" w:hAnsi="Arial"/>
                <w:sz w:val="18"/>
                <w:szCs w:val="18"/>
                <w:color w:val="auto"/>
              </w:rPr>
              <w:t>Term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2.02</w:t>
            </w:r>
          </w:p>
        </w:tc>
        <w:tc>
          <w:tcPr>
            <w:tcW w:w="8840" w:type="dxa"/>
            <w:vAlign w:val="bottom"/>
          </w:tcPr>
          <w:p>
            <w:pPr>
              <w:ind w:left="360"/>
              <w:spacing w:after="0"/>
              <w:rPr>
                <w:sz w:val="20"/>
                <w:szCs w:val="20"/>
                <w:color w:val="auto"/>
              </w:rPr>
            </w:pPr>
            <w:r>
              <w:rPr>
                <w:rFonts w:ascii="Arial" w:cs="Arial" w:eastAsia="Arial" w:hAnsi="Arial"/>
                <w:sz w:val="18"/>
                <w:szCs w:val="18"/>
                <w:color w:val="auto"/>
              </w:rPr>
              <w:t>Loan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360"/>
              <w:spacing w:after="0"/>
              <w:rPr>
                <w:sz w:val="20"/>
                <w:szCs w:val="20"/>
                <w:color w:val="auto"/>
              </w:rPr>
            </w:pPr>
            <w:r>
              <w:rPr>
                <w:rFonts w:ascii="Arial" w:cs="Arial" w:eastAsia="Arial" w:hAnsi="Arial"/>
                <w:sz w:val="18"/>
                <w:szCs w:val="18"/>
                <w:color w:val="auto"/>
              </w:rPr>
              <w:t>Requests for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2.05</w:t>
            </w:r>
          </w:p>
        </w:tc>
        <w:tc>
          <w:tcPr>
            <w:tcW w:w="8840" w:type="dxa"/>
            <w:vAlign w:val="bottom"/>
          </w:tcPr>
          <w:p>
            <w:pPr>
              <w:ind w:left="360"/>
              <w:spacing w:after="0"/>
              <w:rPr>
                <w:sz w:val="20"/>
                <w:szCs w:val="20"/>
                <w:color w:val="auto"/>
              </w:rPr>
            </w:pPr>
            <w:r>
              <w:rPr>
                <w:rFonts w:ascii="Arial" w:cs="Arial" w:eastAsia="Arial" w:hAnsi="Arial"/>
                <w:sz w:val="18"/>
                <w:szCs w:val="18"/>
                <w:color w:val="auto"/>
              </w:rPr>
              <w:t>[Intentionally Omitted]</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2.06</w:t>
            </w:r>
          </w:p>
        </w:tc>
        <w:tc>
          <w:tcPr>
            <w:tcW w:w="8840" w:type="dxa"/>
            <w:vAlign w:val="bottom"/>
          </w:tcPr>
          <w:p>
            <w:pPr>
              <w:ind w:left="360"/>
              <w:spacing w:after="0"/>
              <w:rPr>
                <w:sz w:val="20"/>
                <w:szCs w:val="20"/>
                <w:color w:val="auto"/>
              </w:rPr>
            </w:pPr>
            <w:r>
              <w:rPr>
                <w:rFonts w:ascii="Arial" w:cs="Arial" w:eastAsia="Arial" w:hAnsi="Arial"/>
                <w:sz w:val="18"/>
                <w:szCs w:val="18"/>
                <w:color w:val="auto"/>
              </w:rPr>
              <w:t>Funding of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2.07</w:t>
            </w:r>
          </w:p>
        </w:tc>
        <w:tc>
          <w:tcPr>
            <w:tcW w:w="8840" w:type="dxa"/>
            <w:vAlign w:val="bottom"/>
          </w:tcPr>
          <w:p>
            <w:pPr>
              <w:ind w:left="360"/>
              <w:spacing w:after="0"/>
              <w:rPr>
                <w:sz w:val="20"/>
                <w:szCs w:val="20"/>
                <w:color w:val="auto"/>
              </w:rPr>
            </w:pPr>
            <w:r>
              <w:rPr>
                <w:rFonts w:ascii="Arial" w:cs="Arial" w:eastAsia="Arial" w:hAnsi="Arial"/>
                <w:sz w:val="18"/>
                <w:szCs w:val="18"/>
                <w:color w:val="auto"/>
              </w:rPr>
              <w:t>Illegality</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360"/>
              <w:spacing w:after="0"/>
              <w:rPr>
                <w:sz w:val="20"/>
                <w:szCs w:val="20"/>
                <w:color w:val="auto"/>
              </w:rPr>
            </w:pPr>
            <w:r>
              <w:rPr>
                <w:rFonts w:ascii="Arial" w:cs="Arial" w:eastAsia="Arial" w:hAnsi="Arial"/>
                <w:sz w:val="18"/>
                <w:szCs w:val="18"/>
                <w:color w:val="auto"/>
              </w:rPr>
              <w:t>Reduction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2.09</w:t>
            </w:r>
          </w:p>
        </w:tc>
        <w:tc>
          <w:tcPr>
            <w:tcW w:w="8840" w:type="dxa"/>
            <w:vAlign w:val="bottom"/>
          </w:tcPr>
          <w:p>
            <w:pPr>
              <w:ind w:left="360"/>
              <w:spacing w:after="0"/>
              <w:rPr>
                <w:sz w:val="20"/>
                <w:szCs w:val="20"/>
                <w:color w:val="auto"/>
              </w:rPr>
            </w:pPr>
            <w:r>
              <w:rPr>
                <w:rFonts w:ascii="Arial" w:cs="Arial" w:eastAsia="Arial" w:hAnsi="Arial"/>
                <w:sz w:val="18"/>
                <w:szCs w:val="18"/>
                <w:color w:val="auto"/>
              </w:rPr>
              <w:t>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360"/>
              <w:spacing w:after="0"/>
              <w:rPr>
                <w:sz w:val="20"/>
                <w:szCs w:val="20"/>
                <w:color w:val="auto"/>
              </w:rPr>
            </w:pPr>
            <w:r>
              <w:rPr>
                <w:rFonts w:ascii="Arial" w:cs="Arial" w:eastAsia="Arial" w:hAnsi="Arial"/>
                <w:sz w:val="18"/>
                <w:szCs w:val="18"/>
                <w:color w:val="auto"/>
              </w:rPr>
              <w:t>Optional 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36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2.13</w:t>
            </w:r>
          </w:p>
        </w:tc>
        <w:tc>
          <w:tcPr>
            <w:tcW w:w="8840" w:type="dxa"/>
            <w:vAlign w:val="bottom"/>
          </w:tcPr>
          <w:p>
            <w:pPr>
              <w:ind w:left="360"/>
              <w:spacing w:after="0"/>
              <w:rPr>
                <w:sz w:val="20"/>
                <w:szCs w:val="20"/>
                <w:color w:val="auto"/>
              </w:rPr>
            </w:pPr>
            <w:r>
              <w:rPr>
                <w:rFonts w:ascii="Arial" w:cs="Arial" w:eastAsia="Arial" w:hAnsi="Arial"/>
                <w:sz w:val="18"/>
                <w:szCs w:val="18"/>
                <w:color w:val="auto"/>
              </w:rPr>
              <w:t>Inability to Determine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2.14</w:t>
            </w:r>
          </w:p>
        </w:tc>
        <w:tc>
          <w:tcPr>
            <w:tcW w:w="8840" w:type="dxa"/>
            <w:vAlign w:val="bottom"/>
          </w:tcPr>
          <w:p>
            <w:pPr>
              <w:ind w:left="36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2.15</w:t>
            </w:r>
          </w:p>
        </w:tc>
        <w:tc>
          <w:tcPr>
            <w:tcW w:w="8840" w:type="dxa"/>
            <w:vAlign w:val="bottom"/>
          </w:tcPr>
          <w:p>
            <w:pPr>
              <w:ind w:left="360"/>
              <w:spacing w:after="0"/>
              <w:rPr>
                <w:sz w:val="20"/>
                <w:szCs w:val="20"/>
                <w:color w:val="auto"/>
              </w:rPr>
            </w:pPr>
            <w:r>
              <w:rPr>
                <w:rFonts w:ascii="Arial" w:cs="Arial" w:eastAsia="Arial" w:hAnsi="Arial"/>
                <w:sz w:val="18"/>
                <w:szCs w:val="18"/>
                <w:color w:val="auto"/>
              </w:rPr>
              <w:t>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2.16</w:t>
            </w:r>
          </w:p>
        </w:tc>
        <w:tc>
          <w:tcPr>
            <w:tcW w:w="8840" w:type="dxa"/>
            <w:vAlign w:val="bottom"/>
          </w:tcPr>
          <w:p>
            <w:pPr>
              <w:ind w:left="36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2.17</w:t>
            </w:r>
          </w:p>
        </w:tc>
        <w:tc>
          <w:tcPr>
            <w:tcW w:w="8840" w:type="dxa"/>
            <w:vAlign w:val="bottom"/>
          </w:tcPr>
          <w:p>
            <w:pPr>
              <w:ind w:left="360"/>
              <w:spacing w:after="0"/>
              <w:rPr>
                <w:sz w:val="20"/>
                <w:szCs w:val="20"/>
                <w:color w:val="auto"/>
              </w:rPr>
            </w:pPr>
            <w:r>
              <w:rPr>
                <w:rFonts w:ascii="Arial" w:cs="Arial" w:eastAsia="Arial" w:hAnsi="Arial"/>
                <w:sz w:val="18"/>
                <w:szCs w:val="18"/>
                <w:color w:val="auto"/>
              </w:rPr>
              <w:t>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2.18</w:t>
            </w:r>
          </w:p>
        </w:tc>
        <w:tc>
          <w:tcPr>
            <w:tcW w:w="8840" w:type="dxa"/>
            <w:vAlign w:val="bottom"/>
          </w:tcPr>
          <w:p>
            <w:pPr>
              <w:ind w:left="360"/>
              <w:spacing w:after="0"/>
              <w:rPr>
                <w:sz w:val="20"/>
                <w:szCs w:val="20"/>
                <w:color w:val="auto"/>
              </w:rPr>
            </w:pPr>
            <w:r>
              <w:rPr>
                <w:rFonts w:ascii="Arial" w:cs="Arial" w:eastAsia="Arial" w:hAnsi="Arial"/>
                <w:sz w:val="18"/>
                <w:szCs w:val="18"/>
                <w:color w:val="auto"/>
              </w:rPr>
              <w:t>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SECTION 2.19</w:t>
            </w:r>
          </w:p>
        </w:tc>
        <w:tc>
          <w:tcPr>
            <w:tcW w:w="8840" w:type="dxa"/>
            <w:vAlign w:val="bottom"/>
          </w:tcPr>
          <w:p>
            <w:pPr>
              <w:ind w:left="360"/>
              <w:spacing w:after="0"/>
              <w:rPr>
                <w:sz w:val="20"/>
                <w:szCs w:val="20"/>
                <w:color w:val="auto"/>
              </w:rPr>
            </w:pPr>
            <w:r>
              <w:rPr>
                <w:rFonts w:ascii="Arial" w:cs="Arial" w:eastAsia="Arial" w:hAnsi="Arial"/>
                <w:sz w:val="18"/>
                <w:szCs w:val="18"/>
                <w:color w:val="auto"/>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SECTION 2.20</w:t>
            </w:r>
          </w:p>
        </w:tc>
        <w:tc>
          <w:tcPr>
            <w:tcW w:w="8840" w:type="dxa"/>
            <w:vAlign w:val="bottom"/>
          </w:tcPr>
          <w:p>
            <w:pPr>
              <w:ind w:left="360"/>
              <w:spacing w:after="0"/>
              <w:rPr>
                <w:sz w:val="20"/>
                <w:szCs w:val="20"/>
                <w:color w:val="auto"/>
              </w:rPr>
            </w:pPr>
            <w:r>
              <w:rPr>
                <w:rFonts w:ascii="Arial" w:cs="Arial" w:eastAsia="Arial" w:hAnsi="Arial"/>
                <w:sz w:val="18"/>
                <w:szCs w:val="18"/>
                <w:color w:val="auto"/>
              </w:rPr>
              <w:t>Defaulting Lender</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00"/>
          </w:cols>
          <w:pgMar w:left="800" w:top="270" w:right="499" w:bottom="1440" w:gutter="0" w:footer="0" w:header="0"/>
        </w:sectPr>
      </w:pPr>
    </w:p>
    <w:bookmarkStart w:id="180" w:name="page181"/>
    <w:bookmarkEnd w:id="180"/>
    <w:p>
      <w:pPr>
        <w:jc w:val="center"/>
        <w:ind w:righ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3.01</w:t>
            </w:r>
          </w:p>
        </w:tc>
        <w:tc>
          <w:tcPr>
            <w:tcW w:w="7280" w:type="dxa"/>
            <w:vAlign w:val="bottom"/>
          </w:tcPr>
          <w:p>
            <w:pPr>
              <w:ind w:left="360"/>
              <w:spacing w:after="0"/>
              <w:rPr>
                <w:sz w:val="20"/>
                <w:szCs w:val="20"/>
                <w:color w:val="auto"/>
              </w:rPr>
            </w:pPr>
            <w:r>
              <w:rPr>
                <w:rFonts w:ascii="Arial" w:cs="Arial" w:eastAsia="Arial" w:hAnsi="Arial"/>
                <w:sz w:val="18"/>
                <w:szCs w:val="18"/>
                <w:color w:val="auto"/>
              </w:rPr>
              <w:t>Organization; Powers; Subsidiaries</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3.02</w:t>
            </w:r>
          </w:p>
        </w:tc>
        <w:tc>
          <w:tcPr>
            <w:tcW w:w="7280" w:type="dxa"/>
            <w:vAlign w:val="bottom"/>
          </w:tcPr>
          <w:p>
            <w:pPr>
              <w:ind w:left="360"/>
              <w:spacing w:after="0"/>
              <w:rPr>
                <w:sz w:val="20"/>
                <w:szCs w:val="20"/>
                <w:color w:val="auto"/>
              </w:rPr>
            </w:pPr>
            <w:r>
              <w:rPr>
                <w:rFonts w:ascii="Arial" w:cs="Arial" w:eastAsia="Arial" w:hAnsi="Arial"/>
                <w:sz w:val="18"/>
                <w:szCs w:val="18"/>
                <w:color w:val="auto"/>
              </w:rPr>
              <w:t>Authorization; Enforceability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3.03</w:t>
            </w:r>
          </w:p>
        </w:tc>
        <w:tc>
          <w:tcPr>
            <w:tcW w:w="7280" w:type="dxa"/>
            <w:vAlign w:val="bottom"/>
          </w:tcPr>
          <w:p>
            <w:pPr>
              <w:ind w:left="360"/>
              <w:spacing w:after="0"/>
              <w:rPr>
                <w:sz w:val="20"/>
                <w:szCs w:val="20"/>
                <w:color w:val="auto"/>
              </w:rPr>
            </w:pPr>
            <w:r>
              <w:rPr>
                <w:rFonts w:ascii="Arial" w:cs="Arial" w:eastAsia="Arial" w:hAnsi="Arial"/>
                <w:sz w:val="18"/>
                <w:szCs w:val="18"/>
                <w:color w:val="auto"/>
              </w:rPr>
              <w:t>Governmental Approvals; No Conflicts</w:t>
            </w:r>
          </w:p>
        </w:tc>
        <w:tc>
          <w:tcPr>
            <w:tcW w:w="1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3.04</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Financial Condition; No Material Adverse Change</w:t>
            </w:r>
          </w:p>
        </w:tc>
        <w:tc>
          <w:tcPr>
            <w:tcW w:w="1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3.05</w:t>
            </w:r>
          </w:p>
        </w:tc>
        <w:tc>
          <w:tcPr>
            <w:tcW w:w="7280" w:type="dxa"/>
            <w:vAlign w:val="bottom"/>
          </w:tcPr>
          <w:p>
            <w:pPr>
              <w:ind w:left="360"/>
              <w:spacing w:after="0"/>
              <w:rPr>
                <w:sz w:val="20"/>
                <w:szCs w:val="20"/>
                <w:color w:val="auto"/>
              </w:rPr>
            </w:pPr>
            <w:r>
              <w:rPr>
                <w:rFonts w:ascii="Arial" w:cs="Arial" w:eastAsia="Arial" w:hAnsi="Arial"/>
                <w:sz w:val="18"/>
                <w:szCs w:val="18"/>
                <w:color w:val="auto"/>
              </w:rPr>
              <w:t>Properties</w:t>
            </w:r>
          </w:p>
        </w:tc>
        <w:tc>
          <w:tcPr>
            <w:tcW w:w="1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3.06</w:t>
            </w:r>
          </w:p>
        </w:tc>
        <w:tc>
          <w:tcPr>
            <w:tcW w:w="7280" w:type="dxa"/>
            <w:vAlign w:val="bottom"/>
          </w:tcPr>
          <w:p>
            <w:pPr>
              <w:ind w:left="360"/>
              <w:spacing w:after="0"/>
              <w:rPr>
                <w:sz w:val="20"/>
                <w:szCs w:val="20"/>
                <w:color w:val="auto"/>
              </w:rPr>
            </w:pPr>
            <w:r>
              <w:rPr>
                <w:rFonts w:ascii="Arial" w:cs="Arial" w:eastAsia="Arial" w:hAnsi="Arial"/>
                <w:sz w:val="18"/>
                <w:szCs w:val="18"/>
                <w:color w:val="auto"/>
              </w:rPr>
              <w:t>Litigation and Environmental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 and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3.08</w:t>
            </w:r>
          </w:p>
        </w:tc>
        <w:tc>
          <w:tcPr>
            <w:tcW w:w="7280" w:type="dxa"/>
            <w:vAlign w:val="bottom"/>
          </w:tcPr>
          <w:p>
            <w:pPr>
              <w:ind w:left="360"/>
              <w:spacing w:after="0"/>
              <w:rPr>
                <w:sz w:val="20"/>
                <w:szCs w:val="20"/>
                <w:color w:val="auto"/>
              </w:rPr>
            </w:pPr>
            <w:r>
              <w:rPr>
                <w:rFonts w:ascii="Arial" w:cs="Arial" w:eastAsia="Arial" w:hAnsi="Arial"/>
                <w:sz w:val="18"/>
                <w:szCs w:val="18"/>
                <w:color w:val="auto"/>
              </w:rPr>
              <w:t>Investment Company Status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3.09</w:t>
            </w:r>
          </w:p>
        </w:tc>
        <w:tc>
          <w:tcPr>
            <w:tcW w:w="7280" w:type="dxa"/>
            <w:vAlign w:val="bottom"/>
          </w:tcPr>
          <w:p>
            <w:pPr>
              <w:ind w:left="360"/>
              <w:spacing w:after="0"/>
              <w:rPr>
                <w:sz w:val="20"/>
                <w:szCs w:val="20"/>
                <w:color w:val="auto"/>
              </w:rPr>
            </w:pPr>
            <w:r>
              <w:rPr>
                <w:rFonts w:ascii="Arial" w:cs="Arial" w:eastAsia="Arial" w:hAnsi="Arial"/>
                <w:sz w:val="18"/>
                <w:szCs w:val="18"/>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3.10</w:t>
            </w:r>
          </w:p>
        </w:tc>
        <w:tc>
          <w:tcPr>
            <w:tcW w:w="7280" w:type="dxa"/>
            <w:vAlign w:val="bottom"/>
          </w:tcPr>
          <w:p>
            <w:pPr>
              <w:ind w:left="360"/>
              <w:spacing w:after="0"/>
              <w:rPr>
                <w:sz w:val="20"/>
                <w:szCs w:val="20"/>
                <w:color w:val="auto"/>
              </w:rPr>
            </w:pPr>
            <w:r>
              <w:rPr>
                <w:rFonts w:ascii="Arial" w:cs="Arial" w:eastAsia="Arial" w:hAnsi="Arial"/>
                <w:sz w:val="18"/>
                <w:szCs w:val="18"/>
                <w:color w:val="auto"/>
              </w:rPr>
              <w:t>Solvency</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3.11</w:t>
            </w:r>
          </w:p>
        </w:tc>
        <w:tc>
          <w:tcPr>
            <w:tcW w:w="7280" w:type="dxa"/>
            <w:vAlign w:val="bottom"/>
          </w:tcPr>
          <w:p>
            <w:pPr>
              <w:ind w:left="360"/>
              <w:spacing w:after="0"/>
              <w:rPr>
                <w:sz w:val="20"/>
                <w:szCs w:val="20"/>
                <w:color w:val="auto"/>
              </w:rPr>
            </w:pPr>
            <w:r>
              <w:rPr>
                <w:rFonts w:ascii="Arial" w:cs="Arial" w:eastAsia="Arial" w:hAnsi="Arial"/>
                <w:sz w:val="18"/>
                <w:szCs w:val="18"/>
                <w:color w:val="auto"/>
              </w:rPr>
              <w:t>[Reserved]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3.12</w:t>
            </w:r>
          </w:p>
        </w:tc>
        <w:tc>
          <w:tcPr>
            <w:tcW w:w="7280" w:type="dxa"/>
            <w:vAlign w:val="bottom"/>
          </w:tcPr>
          <w:p>
            <w:pPr>
              <w:ind w:left="360"/>
              <w:spacing w:after="0"/>
              <w:rPr>
                <w:sz w:val="20"/>
                <w:szCs w:val="20"/>
                <w:color w:val="auto"/>
              </w:rPr>
            </w:pPr>
            <w:r>
              <w:rPr>
                <w:rFonts w:ascii="Arial" w:cs="Arial" w:eastAsia="Arial" w:hAnsi="Arial"/>
                <w:sz w:val="18"/>
                <w:szCs w:val="18"/>
                <w:color w:val="auto"/>
              </w:rPr>
              <w:t>Disclosure</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3.13</w:t>
            </w:r>
          </w:p>
        </w:tc>
        <w:tc>
          <w:tcPr>
            <w:tcW w:w="7280" w:type="dxa"/>
            <w:vAlign w:val="bottom"/>
          </w:tcPr>
          <w:p>
            <w:pPr>
              <w:ind w:left="360"/>
              <w:spacing w:after="0"/>
              <w:rPr>
                <w:sz w:val="20"/>
                <w:szCs w:val="20"/>
                <w:color w:val="auto"/>
              </w:rPr>
            </w:pPr>
            <w:r>
              <w:rPr>
                <w:rFonts w:ascii="Arial" w:cs="Arial" w:eastAsia="Arial" w:hAnsi="Arial"/>
                <w:sz w:val="18"/>
                <w:szCs w:val="18"/>
                <w:color w:val="auto"/>
              </w:rPr>
              <w:t>Federal Reserve Regulations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3.14</w:t>
            </w:r>
          </w:p>
        </w:tc>
        <w:tc>
          <w:tcPr>
            <w:tcW w:w="7280" w:type="dxa"/>
            <w:vAlign w:val="bottom"/>
          </w:tcPr>
          <w:p>
            <w:pPr>
              <w:ind w:left="360"/>
              <w:spacing w:after="0"/>
              <w:rPr>
                <w:sz w:val="20"/>
                <w:szCs w:val="20"/>
                <w:color w:val="auto"/>
              </w:rPr>
            </w:pPr>
            <w:r>
              <w:rPr>
                <w:rFonts w:ascii="Arial" w:cs="Arial" w:eastAsia="Arial" w:hAnsi="Arial"/>
                <w:sz w:val="18"/>
                <w:szCs w:val="18"/>
                <w:color w:val="auto"/>
              </w:rPr>
              <w:t>PATRIOT Act</w:t>
            </w: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3.15</w:t>
            </w:r>
          </w:p>
        </w:tc>
        <w:tc>
          <w:tcPr>
            <w:tcW w:w="7280" w:type="dxa"/>
            <w:vAlign w:val="bottom"/>
          </w:tcPr>
          <w:p>
            <w:pPr>
              <w:ind w:left="360"/>
              <w:spacing w:after="0"/>
              <w:rPr>
                <w:sz w:val="20"/>
                <w:szCs w:val="20"/>
                <w:color w:val="auto"/>
              </w:rPr>
            </w:pPr>
            <w:r>
              <w:rPr>
                <w:rFonts w:ascii="Arial" w:cs="Arial" w:eastAsia="Arial" w:hAnsi="Arial"/>
                <w:sz w:val="18"/>
                <w:szCs w:val="18"/>
                <w:color w:val="auto"/>
              </w:rPr>
              <w:t>OFAC</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3.16</w:t>
            </w:r>
          </w:p>
        </w:tc>
        <w:tc>
          <w:tcPr>
            <w:tcW w:w="7280" w:type="dxa"/>
            <w:vAlign w:val="bottom"/>
          </w:tcPr>
          <w:p>
            <w:pPr>
              <w:ind w:left="360"/>
              <w:spacing w:after="0"/>
              <w:rPr>
                <w:sz w:val="20"/>
                <w:szCs w:val="20"/>
                <w:color w:val="auto"/>
              </w:rPr>
            </w:pPr>
            <w:r>
              <w:rPr>
                <w:rFonts w:ascii="Arial" w:cs="Arial" w:eastAsia="Arial" w:hAnsi="Arial"/>
                <w:sz w:val="18"/>
                <w:szCs w:val="18"/>
                <w:color w:val="auto"/>
              </w:rPr>
              <w:t>Beneficial Ownership Certification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3.17</w:t>
            </w:r>
          </w:p>
        </w:tc>
        <w:tc>
          <w:tcPr>
            <w:tcW w:w="7280" w:type="dxa"/>
            <w:vAlign w:val="bottom"/>
          </w:tcPr>
          <w:p>
            <w:pPr>
              <w:ind w:left="360"/>
              <w:spacing w:after="0"/>
              <w:rPr>
                <w:sz w:val="20"/>
                <w:szCs w:val="20"/>
                <w:color w:val="auto"/>
              </w:rPr>
            </w:pPr>
            <w:r>
              <w:rPr>
                <w:rFonts w:ascii="Arial" w:cs="Arial" w:eastAsia="Arial" w:hAnsi="Arial"/>
                <w:sz w:val="18"/>
                <w:szCs w:val="18"/>
                <w:color w:val="auto"/>
              </w:rPr>
              <w:t>Representations as to Foreign Obligors</w:t>
            </w:r>
          </w:p>
        </w:tc>
        <w:tc>
          <w:tcPr>
            <w:tcW w:w="1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8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5"/>
              </w:rPr>
              <w:t>CONDITIONS PRECEDENT</w:t>
            </w:r>
          </w:p>
        </w:tc>
        <w:tc>
          <w:tcPr>
            <w:tcW w:w="1840" w:type="dxa"/>
            <w:vAlign w:val="bottom"/>
          </w:tcPr>
          <w:p>
            <w:pPr>
              <w:spacing w:after="0"/>
              <w:rPr>
                <w:sz w:val="24"/>
                <w:szCs w:val="24"/>
                <w:color w:val="auto"/>
              </w:rPr>
            </w:pP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SECTION 4.01</w:t>
            </w:r>
          </w:p>
        </w:tc>
        <w:tc>
          <w:tcPr>
            <w:tcW w:w="7280" w:type="dxa"/>
            <w:vAlign w:val="bottom"/>
          </w:tcPr>
          <w:p>
            <w:pPr>
              <w:ind w:left="360"/>
              <w:spacing w:after="0"/>
              <w:rPr>
                <w:sz w:val="20"/>
                <w:szCs w:val="20"/>
                <w:color w:val="auto"/>
              </w:rPr>
            </w:pPr>
            <w:r>
              <w:rPr>
                <w:rFonts w:ascii="Arial" w:cs="Arial" w:eastAsia="Arial" w:hAnsi="Arial"/>
                <w:sz w:val="18"/>
                <w:szCs w:val="18"/>
                <w:color w:val="auto"/>
              </w:rPr>
              <w:t>Conditions Precedent to Closing Date Borrowing</w:t>
            </w:r>
          </w:p>
        </w:tc>
        <w:tc>
          <w:tcPr>
            <w:tcW w:w="1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8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8"/>
              </w:rPr>
              <w:t>AFFIRMATIVE COVENANTS</w:t>
            </w:r>
          </w:p>
        </w:tc>
        <w:tc>
          <w:tcPr>
            <w:tcW w:w="184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SECTION 5.01</w:t>
            </w:r>
          </w:p>
        </w:tc>
        <w:tc>
          <w:tcPr>
            <w:tcW w:w="7280" w:type="dxa"/>
            <w:vAlign w:val="bottom"/>
          </w:tcPr>
          <w:p>
            <w:pPr>
              <w:ind w:left="360"/>
              <w:spacing w:after="0"/>
              <w:rPr>
                <w:sz w:val="20"/>
                <w:szCs w:val="20"/>
                <w:color w:val="auto"/>
              </w:rPr>
            </w:pPr>
            <w:r>
              <w:rPr>
                <w:rFonts w:ascii="Arial" w:cs="Arial" w:eastAsia="Arial" w:hAnsi="Arial"/>
                <w:sz w:val="18"/>
                <w:szCs w:val="18"/>
                <w:color w:val="auto"/>
              </w:rPr>
              <w:t>Financial Statements and Other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5.02</w:t>
            </w:r>
          </w:p>
        </w:tc>
        <w:tc>
          <w:tcPr>
            <w:tcW w:w="7280" w:type="dxa"/>
            <w:vAlign w:val="bottom"/>
          </w:tcPr>
          <w:p>
            <w:pPr>
              <w:ind w:left="360"/>
              <w:spacing w:after="0"/>
              <w:rPr>
                <w:sz w:val="20"/>
                <w:szCs w:val="20"/>
                <w:color w:val="auto"/>
              </w:rPr>
            </w:pPr>
            <w:r>
              <w:rPr>
                <w:rFonts w:ascii="Arial" w:cs="Arial" w:eastAsia="Arial" w:hAnsi="Arial"/>
                <w:sz w:val="18"/>
                <w:szCs w:val="18"/>
                <w:color w:val="auto"/>
              </w:rPr>
              <w:t>Notices of Material Events</w:t>
            </w:r>
          </w:p>
        </w:tc>
        <w:tc>
          <w:tcPr>
            <w:tcW w:w="1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5.03</w:t>
            </w:r>
          </w:p>
        </w:tc>
        <w:tc>
          <w:tcPr>
            <w:tcW w:w="7280" w:type="dxa"/>
            <w:vAlign w:val="bottom"/>
          </w:tcPr>
          <w:p>
            <w:pPr>
              <w:ind w:left="360"/>
              <w:spacing w:after="0"/>
              <w:rPr>
                <w:sz w:val="20"/>
                <w:szCs w:val="20"/>
                <w:color w:val="auto"/>
              </w:rPr>
            </w:pPr>
            <w:r>
              <w:rPr>
                <w:rFonts w:ascii="Arial" w:cs="Arial" w:eastAsia="Arial" w:hAnsi="Arial"/>
                <w:sz w:val="18"/>
                <w:szCs w:val="18"/>
                <w:color w:val="auto"/>
              </w:rPr>
              <w:t>Existence; Conduct of Business</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5.04</w:t>
            </w:r>
          </w:p>
        </w:tc>
        <w:tc>
          <w:tcPr>
            <w:tcW w:w="7280" w:type="dxa"/>
            <w:vAlign w:val="bottom"/>
          </w:tcPr>
          <w:p>
            <w:pPr>
              <w:ind w:left="360"/>
              <w:spacing w:after="0"/>
              <w:rPr>
                <w:sz w:val="20"/>
                <w:szCs w:val="20"/>
                <w:color w:val="auto"/>
              </w:rPr>
            </w:pPr>
            <w:r>
              <w:rPr>
                <w:rFonts w:ascii="Arial" w:cs="Arial" w:eastAsia="Arial" w:hAnsi="Arial"/>
                <w:sz w:val="18"/>
                <w:szCs w:val="18"/>
                <w:color w:val="auto"/>
              </w:rPr>
              <w:t>Payment of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5.05</w:t>
            </w:r>
          </w:p>
        </w:tc>
        <w:tc>
          <w:tcPr>
            <w:tcW w:w="7280" w:type="dxa"/>
            <w:vAlign w:val="bottom"/>
          </w:tcPr>
          <w:p>
            <w:pPr>
              <w:ind w:left="360"/>
              <w:spacing w:after="0"/>
              <w:rPr>
                <w:sz w:val="20"/>
                <w:szCs w:val="20"/>
                <w:color w:val="auto"/>
              </w:rPr>
            </w:pPr>
            <w:r>
              <w:rPr>
                <w:rFonts w:ascii="Arial" w:cs="Arial" w:eastAsia="Arial" w:hAnsi="Arial"/>
                <w:sz w:val="18"/>
                <w:szCs w:val="18"/>
                <w:color w:val="auto"/>
              </w:rPr>
              <w:t>Maintenance of Properties; 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5.06</w:t>
            </w:r>
          </w:p>
        </w:tc>
        <w:tc>
          <w:tcPr>
            <w:tcW w:w="7280" w:type="dxa"/>
            <w:vAlign w:val="bottom"/>
          </w:tcPr>
          <w:p>
            <w:pPr>
              <w:ind w:left="360"/>
              <w:spacing w:after="0"/>
              <w:rPr>
                <w:sz w:val="20"/>
                <w:szCs w:val="20"/>
                <w:color w:val="auto"/>
              </w:rPr>
            </w:pPr>
            <w:r>
              <w:rPr>
                <w:rFonts w:ascii="Arial" w:cs="Arial" w:eastAsia="Arial" w:hAnsi="Arial"/>
                <w:sz w:val="18"/>
                <w:szCs w:val="18"/>
                <w:color w:val="auto"/>
              </w:rPr>
              <w:t>Inspection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5.07</w:t>
            </w:r>
          </w:p>
        </w:tc>
        <w:tc>
          <w:tcPr>
            <w:tcW w:w="728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5.08</w:t>
            </w:r>
          </w:p>
        </w:tc>
        <w:tc>
          <w:tcPr>
            <w:tcW w:w="7280" w:type="dxa"/>
            <w:vAlign w:val="bottom"/>
          </w:tcPr>
          <w:p>
            <w:pPr>
              <w:ind w:left="360"/>
              <w:spacing w:after="0"/>
              <w:rPr>
                <w:sz w:val="20"/>
                <w:szCs w:val="20"/>
                <w:color w:val="auto"/>
              </w:rPr>
            </w:pPr>
            <w:r>
              <w:rPr>
                <w:rFonts w:ascii="Arial" w:cs="Arial" w:eastAsia="Arial" w:hAnsi="Arial"/>
                <w:sz w:val="18"/>
                <w:szCs w:val="18"/>
                <w:color w:val="auto"/>
              </w:rPr>
              <w:t>Use of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5.09</w:t>
            </w:r>
          </w:p>
        </w:tc>
        <w:tc>
          <w:tcPr>
            <w:tcW w:w="7280" w:type="dxa"/>
            <w:vAlign w:val="bottom"/>
          </w:tcPr>
          <w:p>
            <w:pPr>
              <w:ind w:left="360"/>
              <w:spacing w:after="0"/>
              <w:rPr>
                <w:sz w:val="20"/>
                <w:szCs w:val="20"/>
                <w:color w:val="auto"/>
              </w:rPr>
            </w:pPr>
            <w:r>
              <w:rPr>
                <w:rFonts w:ascii="Arial" w:cs="Arial" w:eastAsia="Arial" w:hAnsi="Arial"/>
                <w:sz w:val="18"/>
                <w:szCs w:val="18"/>
                <w:color w:val="auto"/>
              </w:rPr>
              <w:t>Guarantees</w:t>
            </w: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840" w:type="dxa"/>
            <w:vAlign w:val="bottom"/>
          </w:tcPr>
          <w:p>
            <w:pPr>
              <w:spacing w:after="0"/>
              <w:rPr>
                <w:sz w:val="24"/>
                <w:szCs w:val="24"/>
                <w:color w:val="auto"/>
              </w:rPr>
            </w:pPr>
          </w:p>
        </w:tc>
      </w:tr>
      <w:tr>
        <w:trPr>
          <w:trHeight w:val="324"/>
        </w:trPr>
        <w:tc>
          <w:tcPr>
            <w:tcW w:w="1480" w:type="dxa"/>
            <w:vAlign w:val="bottom"/>
          </w:tcPr>
          <w:p>
            <w:pPr>
              <w:spacing w:after="0"/>
              <w:rPr>
                <w:sz w:val="24"/>
                <w:szCs w:val="24"/>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97"/>
              </w:rPr>
              <w:t>NEGATIVE COVENANTS</w:t>
            </w:r>
          </w:p>
        </w:tc>
        <w:tc>
          <w:tcPr>
            <w:tcW w:w="1840" w:type="dxa"/>
            <w:vAlign w:val="bottom"/>
          </w:tcPr>
          <w:p>
            <w:pPr>
              <w:spacing w:after="0"/>
              <w:rPr>
                <w:sz w:val="24"/>
                <w:szCs w:val="24"/>
                <w:color w:val="auto"/>
              </w:rPr>
            </w:pPr>
          </w:p>
        </w:tc>
      </w:tr>
      <w:tr>
        <w:trPr>
          <w:trHeight w:val="310"/>
        </w:trPr>
        <w:tc>
          <w:tcPr>
            <w:tcW w:w="1480" w:type="dxa"/>
            <w:vAlign w:val="bottom"/>
          </w:tcPr>
          <w:p>
            <w:pPr>
              <w:spacing w:after="0"/>
              <w:rPr>
                <w:sz w:val="20"/>
                <w:szCs w:val="20"/>
                <w:color w:val="auto"/>
              </w:rPr>
            </w:pPr>
            <w:r>
              <w:rPr>
                <w:rFonts w:ascii="Arial" w:cs="Arial" w:eastAsia="Arial" w:hAnsi="Arial"/>
                <w:sz w:val="18"/>
                <w:szCs w:val="18"/>
                <w:color w:val="auto"/>
              </w:rPr>
              <w:t>SECTION 6.01</w:t>
            </w:r>
          </w:p>
        </w:tc>
        <w:tc>
          <w:tcPr>
            <w:tcW w:w="7280" w:type="dxa"/>
            <w:vAlign w:val="bottom"/>
          </w:tcPr>
          <w:p>
            <w:pPr>
              <w:ind w:left="360"/>
              <w:spacing w:after="0"/>
              <w:rPr>
                <w:sz w:val="20"/>
                <w:szCs w:val="20"/>
                <w:color w:val="auto"/>
              </w:rPr>
            </w:pPr>
            <w:r>
              <w:rPr>
                <w:rFonts w:ascii="Arial" w:cs="Arial" w:eastAsia="Arial" w:hAnsi="Arial"/>
                <w:sz w:val="18"/>
                <w:szCs w:val="18"/>
                <w:color w:val="auto"/>
              </w:rPr>
              <w:t>Indebtedness</w:t>
            </w:r>
          </w:p>
        </w:tc>
        <w:tc>
          <w:tcPr>
            <w:tcW w:w="1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6.02</w:t>
            </w:r>
          </w:p>
        </w:tc>
        <w:tc>
          <w:tcPr>
            <w:tcW w:w="7280" w:type="dxa"/>
            <w:vAlign w:val="bottom"/>
          </w:tcPr>
          <w:p>
            <w:pPr>
              <w:ind w:left="360"/>
              <w:spacing w:after="0"/>
              <w:rPr>
                <w:sz w:val="20"/>
                <w:szCs w:val="20"/>
                <w:color w:val="auto"/>
              </w:rPr>
            </w:pPr>
            <w:r>
              <w:rPr>
                <w:rFonts w:ascii="Arial" w:cs="Arial" w:eastAsia="Arial" w:hAnsi="Arial"/>
                <w:sz w:val="18"/>
                <w:szCs w:val="18"/>
                <w:color w:val="auto"/>
              </w:rPr>
              <w:t>Liens</w:t>
            </w:r>
          </w:p>
        </w:tc>
        <w:tc>
          <w:tcPr>
            <w:tcW w:w="1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SECTION 6.03</w:t>
            </w:r>
          </w:p>
        </w:tc>
        <w:tc>
          <w:tcPr>
            <w:tcW w:w="7280" w:type="dxa"/>
            <w:vAlign w:val="bottom"/>
          </w:tcPr>
          <w:p>
            <w:pPr>
              <w:ind w:left="360"/>
              <w:spacing w:after="0"/>
              <w:rPr>
                <w:sz w:val="20"/>
                <w:szCs w:val="20"/>
                <w:color w:val="auto"/>
              </w:rPr>
            </w:pPr>
            <w:r>
              <w:rPr>
                <w:rFonts w:ascii="Arial" w:cs="Arial" w:eastAsia="Arial" w:hAnsi="Arial"/>
                <w:sz w:val="18"/>
                <w:szCs w:val="18"/>
                <w:color w:val="auto"/>
              </w:rPr>
              <w:t>Fundamental Changes</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SECTION 6.04</w:t>
            </w:r>
          </w:p>
        </w:tc>
        <w:tc>
          <w:tcPr>
            <w:tcW w:w="7280" w:type="dxa"/>
            <w:vAlign w:val="bottom"/>
          </w:tcPr>
          <w:p>
            <w:pPr>
              <w:ind w:left="360"/>
              <w:spacing w:after="0"/>
              <w:rPr>
                <w:sz w:val="20"/>
                <w:szCs w:val="20"/>
                <w:color w:val="auto"/>
              </w:rPr>
            </w:pPr>
            <w:r>
              <w:rPr>
                <w:rFonts w:ascii="Arial" w:cs="Arial" w:eastAsia="Arial" w:hAnsi="Arial"/>
                <w:sz w:val="18"/>
                <w:szCs w:val="18"/>
                <w:color w:val="auto"/>
              </w:rPr>
              <w:t>Restricted Payments</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00"/>
          </w:cols>
          <w:pgMar w:left="800" w:top="274" w:right="4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6.05</w:t>
            </w:r>
          </w:p>
        </w:tc>
        <w:tc>
          <w:tcPr>
            <w:tcW w:w="7340" w:type="dxa"/>
            <w:vAlign w:val="bottom"/>
          </w:tcPr>
          <w:p>
            <w:pPr>
              <w:ind w:left="300"/>
              <w:spacing w:after="0"/>
              <w:rPr>
                <w:sz w:val="20"/>
                <w:szCs w:val="20"/>
                <w:color w:val="auto"/>
              </w:rPr>
            </w:pPr>
            <w:r>
              <w:rPr>
                <w:rFonts w:ascii="Arial" w:cs="Arial" w:eastAsia="Arial" w:hAnsi="Arial"/>
                <w:sz w:val="18"/>
                <w:szCs w:val="18"/>
                <w:color w:val="auto"/>
              </w:rPr>
              <w:t>Investments</w:t>
            </w:r>
          </w:p>
        </w:tc>
        <w:tc>
          <w:tcPr>
            <w:tcW w:w="1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6.06</w:t>
            </w:r>
          </w:p>
        </w:tc>
        <w:tc>
          <w:tcPr>
            <w:tcW w:w="7340" w:type="dxa"/>
            <w:vAlign w:val="bottom"/>
          </w:tcPr>
          <w:p>
            <w:pPr>
              <w:ind w:left="300"/>
              <w:spacing w:after="0"/>
              <w:rPr>
                <w:sz w:val="20"/>
                <w:szCs w:val="20"/>
                <w:color w:val="auto"/>
              </w:rPr>
            </w:pPr>
            <w:r>
              <w:rPr>
                <w:rFonts w:ascii="Arial" w:cs="Arial" w:eastAsia="Arial" w:hAnsi="Arial"/>
                <w:sz w:val="18"/>
                <w:szCs w:val="18"/>
                <w:color w:val="auto"/>
              </w:rPr>
              <w:t>Transactions with Affiliates</w:t>
            </w:r>
          </w:p>
        </w:tc>
        <w:tc>
          <w:tcPr>
            <w:tcW w:w="1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6.07</w:t>
            </w:r>
          </w:p>
        </w:tc>
        <w:tc>
          <w:tcPr>
            <w:tcW w:w="7340" w:type="dxa"/>
            <w:vAlign w:val="bottom"/>
          </w:tcPr>
          <w:p>
            <w:pPr>
              <w:ind w:left="300"/>
              <w:spacing w:after="0"/>
              <w:rPr>
                <w:sz w:val="20"/>
                <w:szCs w:val="20"/>
                <w:color w:val="auto"/>
              </w:rPr>
            </w:pPr>
            <w:r>
              <w:rPr>
                <w:rFonts w:ascii="Arial" w:cs="Arial" w:eastAsia="Arial" w:hAnsi="Arial"/>
                <w:sz w:val="18"/>
                <w:szCs w:val="18"/>
                <w:color w:val="auto"/>
              </w:rPr>
              <w:t>Financial Covenant</w:t>
            </w:r>
          </w:p>
        </w:tc>
        <w:tc>
          <w:tcPr>
            <w:tcW w:w="1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6.08</w:t>
            </w:r>
          </w:p>
        </w:tc>
        <w:tc>
          <w:tcPr>
            <w:tcW w:w="7340" w:type="dxa"/>
            <w:vAlign w:val="bottom"/>
          </w:tcPr>
          <w:p>
            <w:pPr>
              <w:ind w:left="300"/>
              <w:spacing w:after="0"/>
              <w:rPr>
                <w:sz w:val="20"/>
                <w:szCs w:val="20"/>
                <w:color w:val="auto"/>
              </w:rPr>
            </w:pPr>
            <w:r>
              <w:rPr>
                <w:rFonts w:ascii="Arial" w:cs="Arial" w:eastAsia="Arial" w:hAnsi="Arial"/>
                <w:sz w:val="18"/>
                <w:szCs w:val="18"/>
                <w:color w:val="auto"/>
              </w:rPr>
              <w:t>Lines of Business</w:t>
            </w:r>
          </w:p>
        </w:tc>
        <w:tc>
          <w:tcPr>
            <w:tcW w:w="1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50"/>
              <w:spacing w:after="0"/>
              <w:rPr>
                <w:sz w:val="20"/>
                <w:szCs w:val="20"/>
                <w:color w:val="auto"/>
              </w:rPr>
            </w:pPr>
            <w:r>
              <w:rPr>
                <w:rFonts w:ascii="Arial" w:cs="Arial" w:eastAsia="Arial" w:hAnsi="Arial"/>
                <w:sz w:val="18"/>
                <w:szCs w:val="18"/>
                <w:color w:val="auto"/>
              </w:rPr>
              <w:t>ARTICLE VII</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50"/>
              <w:spacing w:after="0"/>
              <w:rPr>
                <w:sz w:val="20"/>
                <w:szCs w:val="20"/>
                <w:color w:val="auto"/>
              </w:rPr>
            </w:pPr>
            <w:r>
              <w:rPr>
                <w:rFonts w:ascii="Arial" w:cs="Arial" w:eastAsia="Arial" w:hAnsi="Arial"/>
                <w:sz w:val="18"/>
                <w:szCs w:val="18"/>
                <w:color w:val="auto"/>
                <w:w w:val="95"/>
              </w:rPr>
              <w:t>EVENTS OF DEFAULT</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70"/>
              <w:spacing w:after="0"/>
              <w:rPr>
                <w:sz w:val="20"/>
                <w:szCs w:val="20"/>
                <w:color w:val="auto"/>
              </w:rPr>
            </w:pPr>
            <w:r>
              <w:rPr>
                <w:rFonts w:ascii="Arial" w:cs="Arial" w:eastAsia="Arial" w:hAnsi="Arial"/>
                <w:sz w:val="18"/>
                <w:szCs w:val="18"/>
                <w:color w:val="auto"/>
              </w:rPr>
              <w:t>ARTICLE VIII</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50"/>
              <w:spacing w:after="0"/>
              <w:rPr>
                <w:sz w:val="20"/>
                <w:szCs w:val="20"/>
                <w:color w:val="auto"/>
              </w:rPr>
            </w:pPr>
            <w:r>
              <w:rPr>
                <w:rFonts w:ascii="Arial" w:cs="Arial" w:eastAsia="Arial" w:hAnsi="Arial"/>
                <w:sz w:val="18"/>
                <w:szCs w:val="18"/>
                <w:color w:val="auto"/>
                <w:w w:val="98"/>
              </w:rPr>
              <w:t>THE ADMINISTRATIVE AGENT</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70"/>
              <w:spacing w:after="0"/>
              <w:rPr>
                <w:sz w:val="20"/>
                <w:szCs w:val="20"/>
                <w:color w:val="auto"/>
              </w:rPr>
            </w:pPr>
            <w:r>
              <w:rPr>
                <w:rFonts w:ascii="Arial" w:cs="Arial" w:eastAsia="Arial" w:hAnsi="Arial"/>
                <w:sz w:val="18"/>
                <w:szCs w:val="18"/>
                <w:color w:val="auto"/>
                <w:w w:val="99"/>
              </w:rPr>
              <w:t>ARTICLE IX</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70"/>
              <w:spacing w:after="0"/>
              <w:rPr>
                <w:sz w:val="20"/>
                <w:szCs w:val="20"/>
                <w:color w:val="auto"/>
              </w:rPr>
            </w:pPr>
            <w:r>
              <w:rPr>
                <w:rFonts w:ascii="Arial" w:cs="Arial" w:eastAsia="Arial" w:hAnsi="Arial"/>
                <w:sz w:val="18"/>
                <w:szCs w:val="18"/>
                <w:color w:val="auto"/>
                <w:w w:val="97"/>
              </w:rPr>
              <w:t>MISCELLANEOUS</w:t>
            </w:r>
          </w:p>
        </w:tc>
        <w:tc>
          <w:tcPr>
            <w:tcW w:w="174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9.01</w:t>
            </w:r>
          </w:p>
        </w:tc>
        <w:tc>
          <w:tcPr>
            <w:tcW w:w="7340" w:type="dxa"/>
            <w:vAlign w:val="bottom"/>
          </w:tcPr>
          <w:p>
            <w:pPr>
              <w:ind w:left="300"/>
              <w:spacing w:after="0"/>
              <w:rPr>
                <w:sz w:val="20"/>
                <w:szCs w:val="20"/>
                <w:color w:val="auto"/>
              </w:rPr>
            </w:pPr>
            <w:r>
              <w:rPr>
                <w:rFonts w:ascii="Arial" w:cs="Arial" w:eastAsia="Arial" w:hAnsi="Arial"/>
                <w:sz w:val="18"/>
                <w:szCs w:val="18"/>
                <w:color w:val="auto"/>
              </w:rPr>
              <w:t>Notices</w:t>
            </w:r>
          </w:p>
        </w:tc>
        <w:tc>
          <w:tcPr>
            <w:tcW w:w="17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9.02</w:t>
            </w:r>
          </w:p>
        </w:tc>
        <w:tc>
          <w:tcPr>
            <w:tcW w:w="7340" w:type="dxa"/>
            <w:vAlign w:val="bottom"/>
          </w:tcPr>
          <w:p>
            <w:pPr>
              <w:ind w:left="300"/>
              <w:spacing w:after="0"/>
              <w:rPr>
                <w:sz w:val="20"/>
                <w:szCs w:val="20"/>
                <w:color w:val="auto"/>
              </w:rPr>
            </w:pPr>
            <w:r>
              <w:rPr>
                <w:rFonts w:ascii="Arial" w:cs="Arial" w:eastAsia="Arial" w:hAnsi="Arial"/>
                <w:sz w:val="18"/>
                <w:szCs w:val="18"/>
                <w:color w:val="auto"/>
              </w:rPr>
              <w:t>Waivers; Amendments</w:t>
            </w:r>
          </w:p>
        </w:tc>
        <w:tc>
          <w:tcPr>
            <w:tcW w:w="17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9.03</w:t>
            </w:r>
          </w:p>
        </w:tc>
        <w:tc>
          <w:tcPr>
            <w:tcW w:w="7340" w:type="dxa"/>
            <w:vAlign w:val="bottom"/>
          </w:tcPr>
          <w:p>
            <w:pPr>
              <w:ind w:left="300"/>
              <w:spacing w:after="0"/>
              <w:rPr>
                <w:sz w:val="20"/>
                <w:szCs w:val="20"/>
                <w:color w:val="auto"/>
              </w:rPr>
            </w:pPr>
            <w:r>
              <w:rPr>
                <w:rFonts w:ascii="Arial" w:cs="Arial" w:eastAsia="Arial" w:hAnsi="Arial"/>
                <w:sz w:val="18"/>
                <w:szCs w:val="18"/>
                <w:color w:val="auto"/>
              </w:rPr>
              <w:t>Expenses; Indemnity; Damage Waiver</w:t>
            </w:r>
          </w:p>
        </w:tc>
        <w:tc>
          <w:tcPr>
            <w:tcW w:w="1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9.04</w:t>
            </w:r>
          </w:p>
        </w:tc>
        <w:tc>
          <w:tcPr>
            <w:tcW w:w="7340" w:type="dxa"/>
            <w:vAlign w:val="bottom"/>
          </w:tcPr>
          <w:p>
            <w:pPr>
              <w:ind w:left="300"/>
              <w:spacing w:after="0"/>
              <w:rPr>
                <w:sz w:val="20"/>
                <w:szCs w:val="20"/>
                <w:color w:val="auto"/>
              </w:rPr>
            </w:pPr>
            <w:r>
              <w:rPr>
                <w:rFonts w:ascii="Arial" w:cs="Arial" w:eastAsia="Arial" w:hAnsi="Arial"/>
                <w:sz w:val="18"/>
                <w:szCs w:val="18"/>
                <w:color w:val="auto"/>
              </w:rPr>
              <w:t>Successors and Assigns</w:t>
            </w:r>
          </w:p>
        </w:tc>
        <w:tc>
          <w:tcPr>
            <w:tcW w:w="17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9.05</w:t>
            </w:r>
          </w:p>
        </w:tc>
        <w:tc>
          <w:tcPr>
            <w:tcW w:w="7340" w:type="dxa"/>
            <w:vAlign w:val="bottom"/>
          </w:tcPr>
          <w:p>
            <w:pPr>
              <w:ind w:left="300"/>
              <w:spacing w:after="0"/>
              <w:rPr>
                <w:sz w:val="20"/>
                <w:szCs w:val="20"/>
                <w:color w:val="auto"/>
              </w:rPr>
            </w:pPr>
            <w:r>
              <w:rPr>
                <w:rFonts w:ascii="Arial" w:cs="Arial" w:eastAsia="Arial" w:hAnsi="Arial"/>
                <w:sz w:val="18"/>
                <w:szCs w:val="18"/>
                <w:color w:val="auto"/>
              </w:rPr>
              <w:t>Survival</w:t>
            </w:r>
          </w:p>
        </w:tc>
        <w:tc>
          <w:tcPr>
            <w:tcW w:w="17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9.06</w:t>
            </w:r>
          </w:p>
        </w:tc>
        <w:tc>
          <w:tcPr>
            <w:tcW w:w="7340" w:type="dxa"/>
            <w:vAlign w:val="bottom"/>
          </w:tcPr>
          <w:p>
            <w:pPr>
              <w:ind w:left="300"/>
              <w:spacing w:after="0"/>
              <w:rPr>
                <w:sz w:val="20"/>
                <w:szCs w:val="20"/>
                <w:color w:val="auto"/>
              </w:rPr>
            </w:pPr>
            <w:r>
              <w:rPr>
                <w:rFonts w:ascii="Arial" w:cs="Arial" w:eastAsia="Arial" w:hAnsi="Arial"/>
                <w:sz w:val="18"/>
                <w:szCs w:val="18"/>
                <w:color w:val="auto"/>
              </w:rPr>
              <w:t>Counterparts; Integration; Effectiveness</w:t>
            </w: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9.07</w:t>
            </w:r>
          </w:p>
        </w:tc>
        <w:tc>
          <w:tcPr>
            <w:tcW w:w="734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9.08</w:t>
            </w:r>
          </w:p>
        </w:tc>
        <w:tc>
          <w:tcPr>
            <w:tcW w:w="7340" w:type="dxa"/>
            <w:vAlign w:val="bottom"/>
          </w:tcPr>
          <w:p>
            <w:pPr>
              <w:ind w:left="300"/>
              <w:spacing w:after="0"/>
              <w:rPr>
                <w:sz w:val="20"/>
                <w:szCs w:val="20"/>
                <w:color w:val="auto"/>
              </w:rPr>
            </w:pPr>
            <w:r>
              <w:rPr>
                <w:rFonts w:ascii="Arial" w:cs="Arial" w:eastAsia="Arial" w:hAnsi="Arial"/>
                <w:sz w:val="18"/>
                <w:szCs w:val="18"/>
                <w:color w:val="auto"/>
              </w:rPr>
              <w:t>Right of Setoff</w:t>
            </w:r>
          </w:p>
        </w:tc>
        <w:tc>
          <w:tcPr>
            <w:tcW w:w="17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9.09</w:t>
            </w:r>
          </w:p>
        </w:tc>
        <w:tc>
          <w:tcPr>
            <w:tcW w:w="7340" w:type="dxa"/>
            <w:vAlign w:val="bottom"/>
          </w:tcPr>
          <w:p>
            <w:pPr>
              <w:ind w:left="300"/>
              <w:spacing w:after="0"/>
              <w:rPr>
                <w:sz w:val="20"/>
                <w:szCs w:val="20"/>
                <w:color w:val="auto"/>
              </w:rPr>
            </w:pPr>
            <w:r>
              <w:rPr>
                <w:rFonts w:ascii="Arial" w:cs="Arial" w:eastAsia="Arial" w:hAnsi="Arial"/>
                <w:sz w:val="18"/>
                <w:szCs w:val="18"/>
                <w:color w:val="auto"/>
              </w:rPr>
              <w:t>Governing Law; Jurisdiction; Consent to Service of Process</w:t>
            </w:r>
          </w:p>
        </w:tc>
        <w:tc>
          <w:tcPr>
            <w:tcW w:w="17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9.10</w:t>
            </w:r>
          </w:p>
        </w:tc>
        <w:tc>
          <w:tcPr>
            <w:tcW w:w="7340" w:type="dxa"/>
            <w:vAlign w:val="bottom"/>
          </w:tcPr>
          <w:p>
            <w:pPr>
              <w:ind w:left="300"/>
              <w:spacing w:after="0"/>
              <w:rPr>
                <w:sz w:val="20"/>
                <w:szCs w:val="20"/>
                <w:color w:val="auto"/>
              </w:rPr>
            </w:pPr>
            <w:r>
              <w:rPr>
                <w:rFonts w:ascii="Arial" w:cs="Arial" w:eastAsia="Arial" w:hAnsi="Arial"/>
                <w:sz w:val="18"/>
                <w:szCs w:val="18"/>
                <w:color w:val="auto"/>
              </w:rPr>
              <w:t>WAIVER OF JURY TRIAL</w:t>
            </w:r>
          </w:p>
        </w:tc>
        <w:tc>
          <w:tcPr>
            <w:tcW w:w="1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9.11</w:t>
            </w:r>
          </w:p>
        </w:tc>
        <w:tc>
          <w:tcPr>
            <w:tcW w:w="7340" w:type="dxa"/>
            <w:vAlign w:val="bottom"/>
          </w:tcPr>
          <w:p>
            <w:pPr>
              <w:ind w:left="300"/>
              <w:spacing w:after="0"/>
              <w:rPr>
                <w:sz w:val="20"/>
                <w:szCs w:val="20"/>
                <w:color w:val="auto"/>
              </w:rPr>
            </w:pPr>
            <w:r>
              <w:rPr>
                <w:rFonts w:ascii="Arial" w:cs="Arial" w:eastAsia="Arial" w:hAnsi="Arial"/>
                <w:sz w:val="18"/>
                <w:szCs w:val="18"/>
                <w:color w:val="auto"/>
              </w:rPr>
              <w:t>Headings</w:t>
            </w:r>
          </w:p>
        </w:tc>
        <w:tc>
          <w:tcPr>
            <w:tcW w:w="1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9.12</w:t>
            </w:r>
          </w:p>
        </w:tc>
        <w:tc>
          <w:tcPr>
            <w:tcW w:w="734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1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9.13</w:t>
            </w:r>
          </w:p>
        </w:tc>
        <w:tc>
          <w:tcPr>
            <w:tcW w:w="7340" w:type="dxa"/>
            <w:vAlign w:val="bottom"/>
          </w:tcPr>
          <w:p>
            <w:pPr>
              <w:ind w:left="300"/>
              <w:spacing w:after="0"/>
              <w:rPr>
                <w:sz w:val="20"/>
                <w:szCs w:val="20"/>
                <w:color w:val="auto"/>
              </w:rPr>
            </w:pPr>
            <w:r>
              <w:rPr>
                <w:rFonts w:ascii="Arial" w:cs="Arial" w:eastAsia="Arial" w:hAnsi="Arial"/>
                <w:sz w:val="18"/>
                <w:szCs w:val="18"/>
                <w:color w:val="auto"/>
              </w:rPr>
              <w:t>USA PATRIOT Act</w:t>
            </w:r>
          </w:p>
        </w:tc>
        <w:tc>
          <w:tcPr>
            <w:tcW w:w="1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9.14</w:t>
            </w:r>
          </w:p>
        </w:tc>
        <w:tc>
          <w:tcPr>
            <w:tcW w:w="7340" w:type="dxa"/>
            <w:vAlign w:val="bottom"/>
          </w:tcPr>
          <w:p>
            <w:pPr>
              <w:ind w:left="300"/>
              <w:spacing w:after="0"/>
              <w:rPr>
                <w:sz w:val="20"/>
                <w:szCs w:val="20"/>
                <w:color w:val="auto"/>
              </w:rPr>
            </w:pPr>
            <w:r>
              <w:rPr>
                <w:rFonts w:ascii="Arial" w:cs="Arial" w:eastAsia="Arial" w:hAnsi="Arial"/>
                <w:sz w:val="18"/>
                <w:szCs w:val="18"/>
                <w:color w:val="auto"/>
              </w:rPr>
              <w:t>Interest Rate Limitation</w:t>
            </w:r>
          </w:p>
        </w:tc>
        <w:tc>
          <w:tcPr>
            <w:tcW w:w="1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9.15</w:t>
            </w:r>
          </w:p>
        </w:tc>
        <w:tc>
          <w:tcPr>
            <w:tcW w:w="7340" w:type="dxa"/>
            <w:vAlign w:val="bottom"/>
          </w:tcPr>
          <w:p>
            <w:pPr>
              <w:ind w:left="300"/>
              <w:spacing w:after="0"/>
              <w:rPr>
                <w:sz w:val="20"/>
                <w:szCs w:val="20"/>
                <w:color w:val="auto"/>
              </w:rPr>
            </w:pPr>
            <w:r>
              <w:rPr>
                <w:rFonts w:ascii="Arial" w:cs="Arial" w:eastAsia="Arial" w:hAnsi="Arial"/>
                <w:sz w:val="18"/>
                <w:szCs w:val="18"/>
                <w:color w:val="auto"/>
              </w:rPr>
              <w:t>No Fiduciary Duty</w:t>
            </w:r>
          </w:p>
        </w:tc>
        <w:tc>
          <w:tcPr>
            <w:tcW w:w="17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9.16</w:t>
            </w:r>
          </w:p>
        </w:tc>
        <w:tc>
          <w:tcPr>
            <w:tcW w:w="7340" w:type="dxa"/>
            <w:vAlign w:val="bottom"/>
          </w:tcPr>
          <w:p>
            <w:pPr>
              <w:ind w:left="300"/>
              <w:spacing w:after="0"/>
              <w:rPr>
                <w:sz w:val="20"/>
                <w:szCs w:val="20"/>
                <w:color w:val="auto"/>
              </w:rPr>
            </w:pPr>
            <w:r>
              <w:rPr>
                <w:rFonts w:ascii="Arial" w:cs="Arial" w:eastAsia="Arial" w:hAnsi="Arial"/>
                <w:sz w:val="18"/>
                <w:szCs w:val="18"/>
                <w:color w:val="auto"/>
              </w:rPr>
              <w:t>Electronic Execution of this Agreement and Other Documents</w:t>
            </w:r>
          </w:p>
        </w:tc>
        <w:tc>
          <w:tcPr>
            <w:tcW w:w="17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9.17</w:t>
            </w:r>
          </w:p>
        </w:tc>
        <w:tc>
          <w:tcPr>
            <w:tcW w:w="7340" w:type="dxa"/>
            <w:vAlign w:val="bottom"/>
          </w:tcPr>
          <w:p>
            <w:pPr>
              <w:ind w:left="300"/>
              <w:spacing w:after="0"/>
              <w:rPr>
                <w:sz w:val="20"/>
                <w:szCs w:val="20"/>
                <w:color w:val="auto"/>
              </w:rPr>
            </w:pPr>
            <w:r>
              <w:rPr>
                <w:rFonts w:ascii="Arial" w:cs="Arial" w:eastAsia="Arial" w:hAnsi="Arial"/>
                <w:sz w:val="18"/>
                <w:szCs w:val="18"/>
                <w:color w:val="auto"/>
              </w:rPr>
              <w:t>Joint and Several</w:t>
            </w: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9.18</w:t>
            </w:r>
          </w:p>
        </w:tc>
        <w:tc>
          <w:tcPr>
            <w:tcW w:w="7340" w:type="dxa"/>
            <w:vAlign w:val="bottom"/>
          </w:tcPr>
          <w:p>
            <w:pPr>
              <w:ind w:left="300"/>
              <w:spacing w:after="0"/>
              <w:rPr>
                <w:sz w:val="20"/>
                <w:szCs w:val="20"/>
                <w:color w:val="auto"/>
              </w:rPr>
            </w:pPr>
            <w:r>
              <w:rPr>
                <w:rFonts w:ascii="Arial" w:cs="Arial" w:eastAsia="Arial" w:hAnsi="Arial"/>
                <w:sz w:val="18"/>
                <w:szCs w:val="18"/>
                <w:color w:val="auto"/>
              </w:rPr>
              <w:t>Enforcement</w:t>
            </w: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9.19</w:t>
            </w:r>
          </w:p>
        </w:tc>
        <w:tc>
          <w:tcPr>
            <w:tcW w:w="7340" w:type="dxa"/>
            <w:vAlign w:val="bottom"/>
          </w:tcPr>
          <w:p>
            <w:pPr>
              <w:ind w:left="300"/>
              <w:spacing w:after="0"/>
              <w:rPr>
                <w:sz w:val="20"/>
                <w:szCs w:val="20"/>
                <w:color w:val="auto"/>
              </w:rPr>
            </w:pPr>
            <w:r>
              <w:rPr>
                <w:rFonts w:ascii="Arial" w:cs="Arial" w:eastAsia="Arial" w:hAnsi="Arial"/>
                <w:sz w:val="18"/>
                <w:szCs w:val="18"/>
                <w:color w:val="auto"/>
              </w:rPr>
              <w:t>Netherlands Loan Party Representation</w:t>
            </w: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9.20</w:t>
            </w:r>
          </w:p>
        </w:tc>
        <w:tc>
          <w:tcPr>
            <w:tcW w:w="7340" w:type="dxa"/>
            <w:vAlign w:val="bottom"/>
          </w:tcPr>
          <w:p>
            <w:pPr>
              <w:ind w:left="30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9.21</w:t>
            </w:r>
          </w:p>
        </w:tc>
        <w:tc>
          <w:tcPr>
            <w:tcW w:w="7340" w:type="dxa"/>
            <w:vAlign w:val="bottom"/>
          </w:tcPr>
          <w:p>
            <w:pPr>
              <w:ind w:left="300"/>
              <w:spacing w:after="0"/>
              <w:rPr>
                <w:sz w:val="20"/>
                <w:szCs w:val="20"/>
                <w:color w:val="auto"/>
              </w:rPr>
            </w:pPr>
            <w:r>
              <w:rPr>
                <w:rFonts w:ascii="Arial" w:cs="Arial" w:eastAsia="Arial" w:hAnsi="Arial"/>
                <w:sz w:val="18"/>
                <w:szCs w:val="18"/>
                <w:color w:val="auto"/>
              </w:rPr>
              <w:t>Acknowledgement Regarding Any Supported QFCs</w:t>
            </w:r>
          </w:p>
        </w:tc>
        <w:tc>
          <w:tcPr>
            <w:tcW w:w="1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50"/>
              <w:spacing w:after="0"/>
              <w:rPr>
                <w:sz w:val="20"/>
                <w:szCs w:val="20"/>
                <w:color w:val="auto"/>
              </w:rPr>
            </w:pPr>
            <w:r>
              <w:rPr>
                <w:rFonts w:ascii="Arial" w:cs="Arial" w:eastAsia="Arial" w:hAnsi="Arial"/>
                <w:sz w:val="18"/>
                <w:szCs w:val="18"/>
                <w:color w:val="auto"/>
                <w:w w:val="98"/>
              </w:rPr>
              <w:t>ARTICLE X</w:t>
            </w:r>
          </w:p>
        </w:tc>
        <w:tc>
          <w:tcPr>
            <w:tcW w:w="1740" w:type="dxa"/>
            <w:vAlign w:val="bottom"/>
          </w:tcPr>
          <w:p>
            <w:pPr>
              <w:spacing w:after="0"/>
              <w:rPr>
                <w:sz w:val="24"/>
                <w:szCs w:val="24"/>
                <w:color w:val="auto"/>
              </w:rPr>
            </w:pPr>
          </w:p>
        </w:tc>
      </w:tr>
      <w:tr>
        <w:trPr>
          <w:trHeight w:val="324"/>
        </w:trPr>
        <w:tc>
          <w:tcPr>
            <w:tcW w:w="1520" w:type="dxa"/>
            <w:vAlign w:val="bottom"/>
          </w:tcPr>
          <w:p>
            <w:pPr>
              <w:spacing w:after="0"/>
              <w:rPr>
                <w:sz w:val="24"/>
                <w:szCs w:val="24"/>
                <w:color w:val="auto"/>
              </w:rPr>
            </w:pPr>
          </w:p>
        </w:tc>
        <w:tc>
          <w:tcPr>
            <w:tcW w:w="7340" w:type="dxa"/>
            <w:vAlign w:val="bottom"/>
          </w:tcPr>
          <w:p>
            <w:pPr>
              <w:jc w:val="center"/>
              <w:ind w:right="70"/>
              <w:spacing w:after="0"/>
              <w:rPr>
                <w:sz w:val="20"/>
                <w:szCs w:val="20"/>
                <w:color w:val="auto"/>
              </w:rPr>
            </w:pPr>
            <w:r>
              <w:rPr>
                <w:rFonts w:ascii="Arial" w:cs="Arial" w:eastAsia="Arial" w:hAnsi="Arial"/>
                <w:sz w:val="18"/>
                <w:szCs w:val="18"/>
                <w:color w:val="auto"/>
                <w:w w:val="98"/>
              </w:rPr>
              <w:t>GUARANTEE</w:t>
            </w:r>
          </w:p>
        </w:tc>
        <w:tc>
          <w:tcPr>
            <w:tcW w:w="1740" w:type="dxa"/>
            <w:vAlign w:val="bottom"/>
          </w:tcPr>
          <w:p>
            <w:pPr>
              <w:spacing w:after="0"/>
              <w:rPr>
                <w:sz w:val="24"/>
                <w:szCs w:val="24"/>
                <w:color w:val="auto"/>
              </w:rPr>
            </w:pPr>
          </w:p>
        </w:tc>
      </w:tr>
      <w:tr>
        <w:trPr>
          <w:trHeight w:val="310"/>
        </w:trPr>
        <w:tc>
          <w:tcPr>
            <w:tcW w:w="1520" w:type="dxa"/>
            <w:vAlign w:val="bottom"/>
          </w:tcPr>
          <w:p>
            <w:pPr>
              <w:spacing w:after="0"/>
              <w:rPr>
                <w:sz w:val="20"/>
                <w:szCs w:val="20"/>
                <w:color w:val="auto"/>
              </w:rPr>
            </w:pPr>
            <w:r>
              <w:rPr>
                <w:rFonts w:ascii="Arial" w:cs="Arial" w:eastAsia="Arial" w:hAnsi="Arial"/>
                <w:sz w:val="18"/>
                <w:szCs w:val="18"/>
                <w:color w:val="auto"/>
              </w:rPr>
              <w:t>SECTION 10.01</w:t>
            </w:r>
          </w:p>
        </w:tc>
        <w:tc>
          <w:tcPr>
            <w:tcW w:w="7340" w:type="dxa"/>
            <w:vAlign w:val="bottom"/>
          </w:tcPr>
          <w:p>
            <w:pPr>
              <w:ind w:left="300"/>
              <w:spacing w:after="0"/>
              <w:rPr>
                <w:sz w:val="20"/>
                <w:szCs w:val="20"/>
                <w:color w:val="auto"/>
              </w:rPr>
            </w:pPr>
            <w:r>
              <w:rPr>
                <w:rFonts w:ascii="Arial" w:cs="Arial" w:eastAsia="Arial" w:hAnsi="Arial"/>
                <w:sz w:val="18"/>
                <w:szCs w:val="18"/>
                <w:color w:val="auto"/>
              </w:rPr>
              <w:t>Guarantee</w:t>
            </w:r>
          </w:p>
        </w:tc>
        <w:tc>
          <w:tcPr>
            <w:tcW w:w="17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SECTION 10.02</w:t>
            </w:r>
          </w:p>
        </w:tc>
        <w:tc>
          <w:tcPr>
            <w:tcW w:w="7340" w:type="dxa"/>
            <w:vAlign w:val="bottom"/>
          </w:tcPr>
          <w:p>
            <w:pPr>
              <w:ind w:left="300"/>
              <w:spacing w:after="0"/>
              <w:rPr>
                <w:sz w:val="20"/>
                <w:szCs w:val="20"/>
                <w:color w:val="auto"/>
              </w:rPr>
            </w:pPr>
            <w:r>
              <w:rPr>
                <w:rFonts w:ascii="Arial" w:cs="Arial" w:eastAsia="Arial" w:hAnsi="Arial"/>
                <w:sz w:val="18"/>
                <w:szCs w:val="18"/>
                <w:color w:val="auto"/>
              </w:rPr>
              <w:t>Right of Contribution</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SECTION 10.03</w:t>
            </w:r>
          </w:p>
        </w:tc>
        <w:tc>
          <w:tcPr>
            <w:tcW w:w="7340" w:type="dxa"/>
            <w:vAlign w:val="bottom"/>
          </w:tcPr>
          <w:p>
            <w:pPr>
              <w:ind w:left="300"/>
              <w:spacing w:after="0"/>
              <w:rPr>
                <w:sz w:val="20"/>
                <w:szCs w:val="20"/>
                <w:color w:val="auto"/>
              </w:rPr>
            </w:pPr>
            <w:r>
              <w:rPr>
                <w:rFonts w:ascii="Arial" w:cs="Arial" w:eastAsia="Arial" w:hAnsi="Arial"/>
                <w:sz w:val="18"/>
                <w:szCs w:val="18"/>
                <w:color w:val="auto"/>
              </w:rPr>
              <w:t>No Subrogation</w:t>
            </w:r>
          </w:p>
        </w:tc>
        <w:tc>
          <w:tcPr>
            <w:tcW w:w="174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00"/>
          </w:cols>
          <w:pgMar w:left="800" w:top="490" w:right="49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10.04</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Amendments, etc., with Respect to the Obligations</w:t>
            </w:r>
          </w:p>
        </w:tc>
        <w:tc>
          <w:tcPr>
            <w:tcW w:w="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10.05</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Guarantee Absolute and Unconditional</w:t>
            </w:r>
          </w:p>
        </w:tc>
        <w:tc>
          <w:tcPr>
            <w:tcW w:w="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10.06</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Reinstatement</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10.07</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Obligations Independent</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10.08</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Payments</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10.09</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Subordination</w:t>
            </w:r>
          </w:p>
        </w:tc>
        <w:tc>
          <w:tcPr>
            <w:tcW w:w="2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10.10</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Stay of Acceleration</w:t>
            </w:r>
          </w:p>
        </w:tc>
        <w:tc>
          <w:tcPr>
            <w:tcW w:w="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10.11</w:t>
            </w: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Condition of Borrower</w:t>
            </w:r>
          </w:p>
        </w:tc>
        <w:tc>
          <w:tcPr>
            <w:tcW w:w="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10.12</w:t>
            </w:r>
          </w:p>
        </w:tc>
        <w:tc>
          <w:tcPr>
            <w:tcW w:w="26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Releases</w:t>
            </w:r>
          </w:p>
        </w:tc>
        <w:tc>
          <w:tcPr>
            <w:tcW w:w="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ind w:left="3120"/>
              <w:spacing w:after="0"/>
              <w:rPr>
                <w:sz w:val="20"/>
                <w:szCs w:val="20"/>
                <w:color w:val="auto"/>
              </w:rPr>
            </w:pPr>
            <w:r>
              <w:rPr>
                <w:rFonts w:ascii="Arial" w:cs="Arial" w:eastAsia="Arial" w:hAnsi="Arial"/>
                <w:sz w:val="18"/>
                <w:szCs w:val="18"/>
                <w:color w:val="auto"/>
              </w:rPr>
              <w:t>ARTICLE XI</w:t>
            </w:r>
          </w:p>
        </w:tc>
        <w:tc>
          <w:tcPr>
            <w:tcW w:w="240" w:type="dxa"/>
            <w:vAlign w:val="bottom"/>
          </w:tcPr>
          <w:p>
            <w:pPr>
              <w:spacing w:after="0"/>
              <w:rPr>
                <w:sz w:val="24"/>
                <w:szCs w:val="24"/>
                <w:color w:val="auto"/>
              </w:rPr>
            </w:pPr>
          </w:p>
        </w:tc>
      </w:tr>
      <w:tr>
        <w:trPr>
          <w:trHeight w:val="324"/>
        </w:trPr>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60" w:type="dxa"/>
            <w:vAlign w:val="bottom"/>
          </w:tcPr>
          <w:p>
            <w:pPr>
              <w:ind w:left="2520"/>
              <w:spacing w:after="0"/>
              <w:rPr>
                <w:sz w:val="20"/>
                <w:szCs w:val="20"/>
                <w:color w:val="auto"/>
              </w:rPr>
            </w:pPr>
            <w:r>
              <w:rPr>
                <w:rFonts w:ascii="Arial" w:cs="Arial" w:eastAsia="Arial" w:hAnsi="Arial"/>
                <w:sz w:val="18"/>
                <w:szCs w:val="18"/>
                <w:color w:val="auto"/>
              </w:rPr>
              <w:t>CERTAIN ERISA MATTERS</w:t>
            </w:r>
          </w:p>
        </w:tc>
        <w:tc>
          <w:tcPr>
            <w:tcW w:w="240" w:type="dxa"/>
            <w:vAlign w:val="bottom"/>
          </w:tcPr>
          <w:p>
            <w:pPr>
              <w:spacing w:after="0"/>
              <w:rPr>
                <w:sz w:val="24"/>
                <w:szCs w:val="24"/>
                <w:color w:val="auto"/>
              </w:rPr>
            </w:pPr>
          </w:p>
        </w:tc>
      </w:tr>
      <w:tr>
        <w:trPr>
          <w:trHeight w:val="324"/>
        </w:trPr>
        <w:tc>
          <w:tcPr>
            <w:tcW w:w="1600" w:type="dxa"/>
            <w:vAlign w:val="bottom"/>
          </w:tcPr>
          <w:p>
            <w:pPr>
              <w:ind w:left="360"/>
              <w:spacing w:after="0"/>
              <w:rPr>
                <w:sz w:val="20"/>
                <w:szCs w:val="20"/>
                <w:color w:val="auto"/>
              </w:rPr>
            </w:pPr>
            <w:r>
              <w:rPr>
                <w:rFonts w:ascii="Arial" w:cs="Arial" w:eastAsia="Arial" w:hAnsi="Arial"/>
                <w:sz w:val="18"/>
                <w:szCs w:val="18"/>
                <w:color w:val="auto"/>
                <w:w w:val="93"/>
              </w:rPr>
              <w:t>SECTION 11.01</w:t>
            </w:r>
          </w:p>
        </w:tc>
        <w:tc>
          <w:tcPr>
            <w:tcW w:w="260" w:type="dxa"/>
            <w:vAlign w:val="bottom"/>
          </w:tcPr>
          <w:p>
            <w:pPr>
              <w:spacing w:after="0"/>
              <w:rPr>
                <w:sz w:val="24"/>
                <w:szCs w:val="24"/>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Certain ERISA Matters</w:t>
            </w:r>
          </w:p>
        </w:tc>
        <w:tc>
          <w:tcPr>
            <w:tcW w:w="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59"/>
        </w:trPr>
        <w:tc>
          <w:tcPr>
            <w:tcW w:w="1600" w:type="dxa"/>
            <w:vAlign w:val="bottom"/>
          </w:tcPr>
          <w:p>
            <w:pPr>
              <w:spacing w:after="0"/>
              <w:rPr>
                <w:sz w:val="20"/>
                <w:szCs w:val="20"/>
                <w:color w:val="auto"/>
              </w:rPr>
            </w:pPr>
            <w:r>
              <w:rPr>
                <w:rFonts w:ascii="Arial" w:cs="Arial" w:eastAsia="Arial" w:hAnsi="Arial"/>
                <w:sz w:val="18"/>
                <w:szCs w:val="18"/>
                <w:color w:val="auto"/>
              </w:rPr>
              <w:t>SCHEDULES:</w:t>
            </w:r>
          </w:p>
        </w:tc>
        <w:tc>
          <w:tcPr>
            <w:tcW w:w="2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0"/>
        </w:trPr>
        <w:tc>
          <w:tcPr>
            <w:tcW w:w="1600" w:type="dxa"/>
            <w:vAlign w:val="bottom"/>
          </w:tcPr>
          <w:p>
            <w:pPr>
              <w:spacing w:after="0"/>
              <w:rPr>
                <w:sz w:val="20"/>
                <w:szCs w:val="20"/>
                <w:color w:val="auto"/>
              </w:rPr>
            </w:pPr>
            <w:r>
              <w:rPr>
                <w:rFonts w:ascii="Arial" w:cs="Arial" w:eastAsia="Arial" w:hAnsi="Arial"/>
                <w:sz w:val="18"/>
                <w:szCs w:val="18"/>
                <w:color w:val="auto"/>
              </w:rPr>
              <w:t>Schedule 2.01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Term Commitments</w:t>
            </w:r>
          </w:p>
        </w:tc>
        <w:tc>
          <w:tcPr>
            <w:tcW w:w="240" w:type="dxa"/>
            <w:vAlign w:val="bottom"/>
          </w:tcPr>
          <w:p>
            <w:pPr>
              <w:spacing w:after="0"/>
              <w:rPr>
                <w:sz w:val="24"/>
                <w:szCs w:val="24"/>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2.03</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Specified Litigation</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Material Subsidiary Stocks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3.04(b)</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Material Adverse Changes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3.06</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Disclosed Matters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3.07</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Compliance with Laws and Agreements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Existing Indebtedness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6.02</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Existing Liens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6.04</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6.05(e)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6.06</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24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Schedule 9.01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60" w:type="dxa"/>
            <w:vAlign w:val="bottom"/>
          </w:tcPr>
          <w:p>
            <w:pPr>
              <w:ind w:left="140"/>
              <w:spacing w:after="0"/>
              <w:rPr>
                <w:sz w:val="20"/>
                <w:szCs w:val="20"/>
                <w:color w:val="auto"/>
              </w:rPr>
            </w:pPr>
            <w:r>
              <w:rPr>
                <w:rFonts w:ascii="Arial" w:cs="Arial" w:eastAsia="Arial" w:hAnsi="Arial"/>
                <w:sz w:val="18"/>
                <w:szCs w:val="18"/>
                <w:color w:val="auto"/>
              </w:rPr>
              <w:t>Notices</w:t>
            </w:r>
          </w:p>
        </w:tc>
        <w:tc>
          <w:tcPr>
            <w:tcW w:w="240" w:type="dxa"/>
            <w:vAlign w:val="bottom"/>
          </w:tcPr>
          <w:p>
            <w:pPr>
              <w:spacing w:after="0"/>
              <w:rPr>
                <w:sz w:val="20"/>
                <w:szCs w:val="20"/>
                <w:color w:val="auto"/>
              </w:rPr>
            </w:pP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A</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Assignment and Assumption</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Term Note</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Borrowing Request</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D</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Compliance Certificate</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E</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Guarantor Joinder Agreement</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F-1</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3"/>
              </w:rPr>
              <w:t>–   Form of U.S. Tax Compliance Certificate (For Foreign Lenders That Are Not Partnerships For U.S. Federal Income Tax</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Purposes)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F-2</w:t>
            </w:r>
          </w:p>
        </w:tc>
        <w:tc>
          <w:tcPr>
            <w:tcW w:w="9360" w:type="dxa"/>
            <w:vAlign w:val="bottom"/>
            <w:gridSpan w:val="3"/>
          </w:tcPr>
          <w:p>
            <w:pPr>
              <w:ind w:left="20"/>
              <w:spacing w:after="0"/>
              <w:rPr>
                <w:sz w:val="20"/>
                <w:szCs w:val="20"/>
                <w:color w:val="auto"/>
              </w:rPr>
            </w:pPr>
            <w:r>
              <w:rPr>
                <w:rFonts w:ascii="Arial" w:cs="Arial" w:eastAsia="Arial" w:hAnsi="Arial"/>
                <w:sz w:val="18"/>
                <w:szCs w:val="18"/>
                <w:color w:val="auto"/>
                <w:w w:val="93"/>
              </w:rPr>
              <w:t>–   Form of U.S. Tax Compliance Certificate (For Foreign Participants That Are Not Partnerships For U.S. Federal Income Tax</w:t>
            </w: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Purposes)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F-3</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3"/>
              </w:rPr>
              <w:t>–   Form of U.S. Tax Compliance Certificate (For Foreign Participants That Are Partnerships For U.S. Federal Income Tax</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Purposes)</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F-4</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w w:val="96"/>
              </w:rPr>
              <w:t>–   Form of U.S. Tax Compliance Certificate (For Foreign Lenders That Are Partnerships For U.S. Federal Income Tax</w:t>
            </w:r>
          </w:p>
        </w:tc>
        <w:tc>
          <w:tcPr>
            <w:tcW w:w="24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Purposes)</w:t>
            </w:r>
          </w:p>
        </w:tc>
        <w:tc>
          <w:tcPr>
            <w:tcW w:w="240" w:type="dxa"/>
            <w:vAlign w:val="bottom"/>
          </w:tcPr>
          <w:p>
            <w:pPr>
              <w:spacing w:after="0"/>
              <w:rPr>
                <w:sz w:val="18"/>
                <w:szCs w:val="18"/>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G</w:t>
            </w:r>
          </w:p>
        </w:tc>
        <w:tc>
          <w:tcPr>
            <w:tcW w:w="9120" w:type="dxa"/>
            <w:vAlign w:val="bottom"/>
            <w:gridSpan w:val="2"/>
          </w:tcPr>
          <w:p>
            <w:pPr>
              <w:ind w:left="20"/>
              <w:spacing w:after="0"/>
              <w:rPr>
                <w:sz w:val="20"/>
                <w:szCs w:val="20"/>
                <w:color w:val="auto"/>
              </w:rPr>
            </w:pPr>
            <w:r>
              <w:rPr>
                <w:rFonts w:ascii="Arial" w:cs="Arial" w:eastAsia="Arial" w:hAnsi="Arial"/>
                <w:sz w:val="18"/>
                <w:szCs w:val="18"/>
                <w:color w:val="auto"/>
              </w:rPr>
              <w:t>–   Form of Solvency Certificate</w:t>
            </w:r>
          </w:p>
        </w:tc>
        <w:tc>
          <w:tcPr>
            <w:tcW w:w="24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183" w:name="page184"/>
    <w:bookmarkEnd w:id="18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LOAN CREDIT AGREEMENT</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This TERM LOAN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July 1, 2021 among VIATRIS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certain Affiliates and Subsidiaries of the Borrower from time to time party hereto as Guarantors, each Lender from time to time party hereto, and MIZUHO BANK, LTD., as Administrative Agent.</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PRELIMINARY STATEMENTS</w:t>
      </w:r>
    </w:p>
    <w:p>
      <w:pPr>
        <w:spacing w:after="0" w:line="22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at the request of the Borrower, the Lenders have agreed to extend credit to the Borrower in the form of Loans on the Closing Date or the Business Day immediately thereafter (as specified by the Borrower in the Borrowing Request), in an aggregate principal amount of ¥40,000,000,000, subject to the terms and conditions hereinafter set forth;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premises and the mutual covenants contained in this Agreement,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Indebtedness</w:t>
      </w:r>
      <w:r>
        <w:rPr>
          <w:rFonts w:ascii="Arial" w:cs="Arial" w:eastAsia="Arial" w:hAnsi="Arial"/>
          <w:sz w:val="18"/>
          <w:szCs w:val="18"/>
          <w:color w:val="auto"/>
        </w:rPr>
        <w:t>” means any Indebtedness of the Loan Parties that has been issued for the purpose of financing, in part, the acquisition of an Acquired Entity or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has the meaning assigned in Section 9.13.</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Mizuho Bank (through itself or through one of its designated Affiliates or branch offices), in its capacity as administrative agent for the Lenders hereunder, or any successor administrative agent.</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with respect to any currency, the Administrative Agent’s address and, as appropriate, account as set forth on Schedule 9.01 with respect to such currency, or such other address or account with respect to such currency as the Administrative Agent may from time to time notify the Borrower and the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ectPr>
          <w:pgSz w:w="11900" w:h="16838" w:orient="portrait"/>
          <w:cols w:equalWidth="0" w:num="1">
            <w:col w:w="10920"/>
          </w:cols>
          <w:pgMar w:left="440" w:top="270" w:right="539" w:bottom="1440" w:gutter="0" w:footer="0" w:header="0"/>
        </w:sectPr>
      </w:pPr>
    </w:p>
    <w:bookmarkStart w:id="184" w:name="page185"/>
    <w:bookmarkEnd w:id="184"/>
    <w:p>
      <w:pPr>
        <w:ind w:left="4"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assigned in Section 9.01(c).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TIBOR Rate</w:t>
      </w:r>
      <w:r>
        <w:rPr>
          <w:rFonts w:ascii="Arial" w:cs="Arial" w:eastAsia="Arial" w:hAnsi="Arial"/>
          <w:sz w:val="17"/>
          <w:szCs w:val="17"/>
          <w:color w:val="auto"/>
        </w:rPr>
        <w:t xml:space="preserve">” means, for any Interest Period, the interest rate per annum at which the Administrative Agent offers to place deposits in Yen with leading banks in the Tokyo interbank market at approximately 11:00 A.M. (Tokyo time) two Tokyo Business Days prior to the first day of such Interest Period in the approximate amount of the applicable Loan and having a maturity equal to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rate is less than zero, the Alternative TIBOR Rate shall be deemed to be zero for the purposes of this Agreement.</w:t>
      </w:r>
    </w:p>
    <w:p>
      <w:pPr>
        <w:spacing w:after="0" w:line="17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TIBOR Rate Loan</w:t>
      </w:r>
      <w:r>
        <w:rPr>
          <w:rFonts w:ascii="Arial" w:cs="Arial" w:eastAsia="Arial" w:hAnsi="Arial"/>
          <w:sz w:val="18"/>
          <w:szCs w:val="18"/>
          <w:color w:val="auto"/>
        </w:rPr>
        <w:t xml:space="preserve">” means a Loan that bears interest based on the Alternative TIBOR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Alternative TIBOR Rate Loans shall only be available in the circumstances described in Section 2.07 or Section 2.13.</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Foreign Obligor Documents</w:t>
      </w:r>
      <w:r>
        <w:rPr>
          <w:rFonts w:ascii="Arial" w:cs="Arial" w:eastAsia="Arial" w:hAnsi="Arial"/>
          <w:sz w:val="18"/>
          <w:szCs w:val="18"/>
          <w:color w:val="auto"/>
        </w:rPr>
        <w:t>” has the meaning assigned in Section 3.17(a).</w:t>
      </w:r>
    </w:p>
    <w:p>
      <w:pPr>
        <w:spacing w:after="0" w:line="225"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Lender at any time, the percentage (carried out to the ninth decimal place) of the Facility represented by (i) on or prior to the date of the initial funding of the Loans pursuant to Section 2.01, such Lender’s Commitment at such time and</w:t>
      </w:r>
    </w:p>
    <w:p>
      <w:pPr>
        <w:jc w:val="both"/>
        <w:ind w:left="4" w:hanging="4"/>
        <w:spacing w:after="0" w:line="255" w:lineRule="auto"/>
        <w:tabs>
          <w:tab w:leader="none" w:pos="26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thereafter, the principal amount of such Lender’s Loans at such time. The initial Applicable Percentage of each Lender in respect of the Facility is set forth next to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0.75% per annum.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“Cash Equivalents.”</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Mizuho Bank and MUFG Bank, Ltd., as mandated lead arrangers and bookrunners and/or syndication agent, as applicable.</w:t>
      </w:r>
    </w:p>
    <w:p>
      <w:pPr>
        <w:spacing w:after="0" w:line="170"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85" w:name="page186"/>
    <w:bookmarkEnd w:id="185"/>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Attributable Receivables Indebtedness</w:t>
      </w:r>
      <w:r>
        <w:rPr>
          <w:rFonts w:ascii="Arial" w:cs="Arial" w:eastAsia="Arial" w:hAnsi="Arial"/>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Loans consisting of TIBOR Rate Loans or Alternative TIBOR Rate Loans, as applicable, made on the date of the initial funding of the Loans pursuant to Section 2.01, or Converted or continued on the same date and, as to which a single Interest Period is in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Minimum</w:t>
      </w:r>
      <w:r>
        <w:rPr>
          <w:rFonts w:ascii="Arial" w:cs="Arial" w:eastAsia="Arial" w:hAnsi="Arial"/>
          <w:sz w:val="18"/>
          <w:szCs w:val="18"/>
          <w:color w:val="auto"/>
        </w:rPr>
        <w:t>” means ¥1,000,000,000.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Multiple</w:t>
      </w:r>
      <w:r>
        <w:rPr>
          <w:rFonts w:ascii="Arial" w:cs="Arial" w:eastAsia="Arial" w:hAnsi="Arial"/>
          <w:sz w:val="18"/>
          <w:szCs w:val="18"/>
          <w:color w:val="auto"/>
        </w:rPr>
        <w:t>” means ¥100,000,000.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86" w:name="page187"/>
    <w:bookmarkEnd w:id="186"/>
    <w:p>
      <w:pPr>
        <w:ind w:right="6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is located, the state of New York or Tokyo, Japan.</w:t>
      </w:r>
    </w:p>
    <w:p>
      <w:pPr>
        <w:spacing w:after="0" w:line="14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8"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American Triumvirate Insurance Company, a Vermont corporation or any successor thereto, so long as such Subsidiary is maintained as a special purpose self-insurance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obligations</w:t>
      </w:r>
      <w:r>
        <w:rPr>
          <w:rFonts w:ascii="Arial" w:cs="Arial" w:eastAsia="Arial" w:hAnsi="Arial"/>
          <w:sz w:val="18"/>
          <w:szCs w:val="18"/>
          <w:color w:val="auto"/>
        </w:rPr>
        <w:t>” means any Loan Party or any Subsidiary’s participation in commercial (or purchasing) card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ind w:right="20" w:firstLine="436"/>
        <w:spacing w:after="0" w:line="277" w:lineRule="auto"/>
        <w:tabs>
          <w:tab w:leader="none" w:pos="83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70" w:lineRule="exact"/>
        <w:rPr>
          <w:rFonts w:ascii="Arial" w:cs="Arial" w:eastAsia="Arial" w:hAnsi="Arial"/>
          <w:sz w:val="18"/>
          <w:szCs w:val="18"/>
          <w:color w:val="auto"/>
        </w:rPr>
      </w:pPr>
    </w:p>
    <w:p>
      <w:pPr>
        <w:ind w:right="40" w:firstLine="436"/>
        <w:spacing w:after="0" w:line="259" w:lineRule="auto"/>
        <w:tabs>
          <w:tab w:leader="none" w:pos="83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Issues with only one short-term credit rating must have a minimum credit rating of A 1, P 1 or F 1;</w:t>
      </w:r>
    </w:p>
    <w:p>
      <w:pPr>
        <w:spacing w:after="0" w:line="186" w:lineRule="exact"/>
        <w:rPr>
          <w:rFonts w:ascii="Arial" w:cs="Arial" w:eastAsia="Arial" w:hAnsi="Arial"/>
          <w:sz w:val="18"/>
          <w:szCs w:val="18"/>
          <w:color w:val="auto"/>
        </w:rPr>
      </w:pPr>
    </w:p>
    <w:p>
      <w:pPr>
        <w:ind w:firstLine="436"/>
        <w:spacing w:after="0" w:line="259" w:lineRule="auto"/>
        <w:tabs>
          <w:tab w:leader="none" w:pos="83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86" w:lineRule="exact"/>
        <w:rPr>
          <w:rFonts w:ascii="Arial" w:cs="Arial" w:eastAsia="Arial" w:hAnsi="Arial"/>
          <w:sz w:val="18"/>
          <w:szCs w:val="18"/>
          <w:color w:val="auto"/>
        </w:rPr>
      </w:pPr>
    </w:p>
    <w:p>
      <w:pPr>
        <w:ind w:left="820" w:hanging="384"/>
        <w:spacing w:after="0"/>
        <w:tabs>
          <w:tab w:leader="none" w:pos="8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asset-backed securities rated AAA by Moody’s, S&amp;P, or Fitch, with weighted average lives of 3 years or less (measured to the next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right="100" w:firstLine="436"/>
        <w:spacing w:after="0" w:line="263" w:lineRule="auto"/>
        <w:tabs>
          <w:tab w:leader="none" w:pos="83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 any member nation of the European Union maturing within 365 days from the date of acquisition;</w:t>
      </w:r>
    </w:p>
    <w:p>
      <w:pPr>
        <w:spacing w:after="0" w:line="183" w:lineRule="exact"/>
        <w:rPr>
          <w:rFonts w:ascii="Arial" w:cs="Arial" w:eastAsia="Arial" w:hAnsi="Arial"/>
          <w:sz w:val="18"/>
          <w:szCs w:val="18"/>
          <w:color w:val="auto"/>
        </w:rPr>
      </w:pPr>
    </w:p>
    <w:p>
      <w:pPr>
        <w:ind w:left="820" w:hanging="384"/>
        <w:spacing w:after="0"/>
        <w:tabs>
          <w:tab w:leader="none" w:pos="8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money market funds which invest substantially all of their assets in assets described in the preceding clauses (1) through (5);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7" w:name="page188"/>
    <w:bookmarkEnd w:id="187"/>
    <w:p>
      <w:pPr>
        <w:jc w:val="both"/>
        <w:ind w:firstLine="436"/>
        <w:spacing w:after="0" w:line="286" w:lineRule="auto"/>
        <w:tabs>
          <w:tab w:leader="none" w:pos="830" w:val="left"/>
        </w:tabs>
        <w:numPr>
          <w:ilvl w:val="0"/>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instruments equivalent to those referred to in clauses (1) through (6) above denominated in any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except in the case of clauses (4) and (5) above, the maximum maturity date of individual securities or deposits will be 3 years or less at the time of purchase or deposit.</w:t>
      </w:r>
    </w:p>
    <w:p>
      <w:pPr>
        <w:spacing w:after="0" w:line="170"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the Borrower.</w:t>
      </w:r>
    </w:p>
    <w:p>
      <w:pPr>
        <w:spacing w:after="0" w:line="16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for purposes of Section 2.14(b), by any Lending Office of such Lender or by such Lender’s holding company, if any) with any request, guideline or directive (whether or not having the force of law) of any Governmental Authority made or issued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all the conditions specified in Section 4.01 of this Agreement are satisfied (or waived in accordance with Section 9.02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Combination Transactions</w:t>
      </w:r>
      <w:r>
        <w:rPr>
          <w:rFonts w:ascii="Arial" w:cs="Arial" w:eastAsia="Arial" w:hAnsi="Arial"/>
          <w:sz w:val="18"/>
          <w:szCs w:val="18"/>
          <w:color w:val="auto"/>
        </w:rPr>
        <w:t>” means the combination and separation transactions by and among Pfizer Inc. (“</w:t>
      </w:r>
      <w:r>
        <w:rPr>
          <w:rFonts w:ascii="Arial" w:cs="Arial" w:eastAsia="Arial" w:hAnsi="Arial"/>
          <w:sz w:val="18"/>
          <w:szCs w:val="18"/>
          <w:u w:val="single" w:color="auto"/>
          <w:color w:val="auto"/>
        </w:rPr>
        <w:t>Pfizer</w:t>
      </w:r>
      <w:r>
        <w:rPr>
          <w:rFonts w:ascii="Arial" w:cs="Arial" w:eastAsia="Arial" w:hAnsi="Arial"/>
          <w:sz w:val="18"/>
          <w:szCs w:val="18"/>
          <w:color w:val="auto"/>
        </w:rPr>
        <w:t>”), the Borrower and Mylan N.V., including but not limited to the separation of Pfizer’s global, primarily offpatent branded and generic established medicine business and the combination of such business with Mylan N.V., the borrowings and other financings related thereto, and the payment of fees and expenses associated therewith.</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w:t>
      </w:r>
      <w:r>
        <w:rPr>
          <w:rFonts w:ascii="Arial" w:cs="Arial" w:eastAsia="Arial" w:hAnsi="Arial"/>
          <w:sz w:val="18"/>
          <w:szCs w:val="18"/>
          <w:color w:val="auto"/>
        </w:rPr>
        <w:t>” means this Agreement, any Loan Document and any document, amendment, approval, consent, information, notice, certificate, request, statement, disclosure or authorization related to any Loan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88" w:name="page189"/>
    <w:bookmarkEnd w:id="188"/>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w:t>
      </w:r>
    </w:p>
    <w:p>
      <w:pPr>
        <w:spacing w:after="0" w:line="1" w:lineRule="exact"/>
        <w:rPr>
          <w:sz w:val="20"/>
          <w:szCs w:val="20"/>
          <w:color w:val="auto"/>
        </w:rPr>
      </w:pPr>
    </w:p>
    <w:p>
      <w:pPr>
        <w:ind w:left="4" w:hanging="4"/>
        <w:spacing w:after="0" w:line="281" w:lineRule="auto"/>
        <w:tabs>
          <w:tab w:leader="none" w:pos="26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Arial" w:cs="Arial" w:eastAsia="Arial" w:hAnsi="Arial"/>
          <w:sz w:val="16"/>
          <w:szCs w:val="16"/>
          <w:u w:val="single" w:color="auto"/>
          <w:color w:val="auto"/>
        </w:rPr>
        <w:t>Schedule 2.03</w:t>
      </w:r>
      <w:r>
        <w:rPr>
          <w:rFonts w:ascii="Arial" w:cs="Arial" w:eastAsia="Arial" w:hAnsi="Arial"/>
          <w:sz w:val="16"/>
          <w:szCs w:val="16"/>
          <w:color w:val="auto"/>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connection with (1) the Combination Transactions, such actions have been taken within 24 months after the closing date of the Combination Transactions and (2) any other acquisition of an Acquired Entity or Business, such actions have been taken within 12 months after the closing date of an acquisition of an Acquired 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Arial" w:cs="Arial" w:eastAsia="Arial" w:hAnsi="Arial"/>
          <w:sz w:val="16"/>
          <w:szCs w:val="16"/>
          <w:u w:val="single" w:color="auto"/>
          <w:color w:val="auto"/>
        </w:rPr>
        <w:t>minus</w:t>
      </w:r>
      <w:r>
        <w:rPr>
          <w:rFonts w:ascii="Arial" w:cs="Arial" w:eastAsia="Arial" w:hAnsi="Arial"/>
          <w:sz w:val="16"/>
          <w:szCs w:val="16"/>
          <w:color w:val="auto"/>
        </w:rPr>
        <w:t>, to the extent included in Consolidated Net Income, the sum of</w:t>
      </w:r>
    </w:p>
    <w:p>
      <w:pPr>
        <w:spacing w:after="0" w:line="14" w:lineRule="exact"/>
        <w:rPr>
          <w:rFonts w:ascii="Arial" w:cs="Arial" w:eastAsia="Arial" w:hAnsi="Arial"/>
          <w:sz w:val="16"/>
          <w:szCs w:val="16"/>
          <w:color w:val="auto"/>
        </w:rPr>
      </w:pPr>
    </w:p>
    <w:p>
      <w:pPr>
        <w:ind w:left="4" w:right="460" w:hanging="4"/>
        <w:spacing w:after="0" w:line="260" w:lineRule="auto"/>
        <w:tabs>
          <w:tab w:leader="none" w:pos="39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unusual, infrequent or extraordinary income or gains, (xvii) any other non-cash income or gains (except to the extent representing (x) an accrual for future cash income or in respect of which cash was received in a prior period or (y) the reversal</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189" w:name="page190"/>
    <w:bookmarkEnd w:id="189"/>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any cash reserves established in a prior period), and (xviii) 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78"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w:t>
      </w:r>
    </w:p>
    <w:p>
      <w:pPr>
        <w:spacing w:after="0" w:line="1" w:lineRule="exact"/>
        <w:rPr>
          <w:sz w:val="20"/>
          <w:szCs w:val="20"/>
          <w:color w:val="auto"/>
        </w:rPr>
      </w:pPr>
    </w:p>
    <w:p>
      <w:pPr>
        <w:ind w:left="4" w:right="320" w:hanging="4"/>
        <w:spacing w:after="0" w:line="281" w:lineRule="auto"/>
        <w:tabs>
          <w:tab w:leader="none" w:pos="31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amortization of deferred financing fees and (iv) expensing of bridge or other financing fees) of the Borrower and its Subsidiaries (other than the Captive Insurance Subsidiary) calculated on a consolidated basis for such period in accordance with GAAP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(a) imputed interest attributable to Capital Lease Obligations of the Borrower and its Subsidiaries (other than the Captive Insurance Subsidiary) for such period,</w:t>
      </w:r>
    </w:p>
    <w:p>
      <w:pPr>
        <w:spacing w:after="0" w:line="1" w:lineRule="exact"/>
        <w:rPr>
          <w:rFonts w:ascii="Arial" w:cs="Arial" w:eastAsia="Arial" w:hAnsi="Arial"/>
          <w:sz w:val="16"/>
          <w:szCs w:val="16"/>
          <w:color w:val="auto"/>
        </w:rPr>
      </w:pPr>
    </w:p>
    <w:p>
      <w:pPr>
        <w:ind w:left="4" w:right="20" w:hanging="4"/>
        <w:spacing w:after="0" w:line="281" w:lineRule="auto"/>
        <w:tabs>
          <w:tab w:leader="none" w:pos="25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w:t>
      </w:r>
    </w:p>
    <w:p>
      <w:pPr>
        <w:spacing w:after="0" w:line="3" w:lineRule="exact"/>
        <w:rPr>
          <w:rFonts w:ascii="Arial" w:cs="Arial" w:eastAsia="Arial" w:hAnsi="Arial"/>
          <w:sz w:val="16"/>
          <w:szCs w:val="16"/>
          <w:color w:val="auto"/>
        </w:rPr>
      </w:pPr>
    </w:p>
    <w:p>
      <w:pPr>
        <w:ind w:left="4" w:right="140" w:hanging="4"/>
        <w:spacing w:after="0" w:line="281" w:lineRule="auto"/>
        <w:tabs>
          <w:tab w:leader="none" w:pos="249"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 Subsidiaries (other than the Captive Insurance Subsidiary) of the type described in clause</w:t>
      </w:r>
    </w:p>
    <w:p>
      <w:pPr>
        <w:spacing w:after="0" w:line="1" w:lineRule="exact"/>
        <w:rPr>
          <w:rFonts w:ascii="Arial" w:cs="Arial" w:eastAsia="Arial" w:hAnsi="Arial"/>
          <w:sz w:val="16"/>
          <w:szCs w:val="16"/>
          <w:color w:val="auto"/>
        </w:rPr>
      </w:pPr>
    </w:p>
    <w:p>
      <w:pPr>
        <w:ind w:left="4" w:right="20" w:hanging="4"/>
        <w:spacing w:after="0" w:line="260" w:lineRule="auto"/>
        <w:tabs>
          <w:tab w:leader="none" w:pos="24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or (f) of the definition of “</w:t>
      </w:r>
      <w:r>
        <w:rPr>
          <w:rFonts w:ascii="Arial" w:cs="Arial" w:eastAsia="Arial" w:hAnsi="Arial"/>
          <w:sz w:val="18"/>
          <w:szCs w:val="18"/>
          <w:u w:val="single" w:color="auto"/>
          <w:color w:val="auto"/>
        </w:rPr>
        <w:t>Indebtedness</w:t>
      </w:r>
      <w:r>
        <w:rPr>
          <w:rFonts w:ascii="Arial" w:cs="Arial" w:eastAsia="Arial" w:hAnsi="Arial"/>
          <w:sz w:val="18"/>
          <w:szCs w:val="18"/>
          <w:color w:val="auto"/>
        </w:rPr>
        <w:t>” for such period and (h) the interest component of all Attributable Receivables Indebtedness of the Borrower and its Subsidiaries (other than the Captive Insurance Subsidiary).</w:t>
      </w:r>
    </w:p>
    <w:p>
      <w:pPr>
        <w:spacing w:after="0" w:line="185"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84" w:lineRule="exact"/>
        <w:rPr>
          <w:sz w:val="20"/>
          <w:szCs w:val="20"/>
          <w:color w:val="auto"/>
        </w:rPr>
      </w:pPr>
    </w:p>
    <w:p>
      <w:pPr>
        <w:ind w:left="4"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with reference to any period, the net income (or loss) of the Borrower and its Subsidiaries calculated in accordance with GAAP on a consolidated basis (without duplication)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calculating Consolidated Net Income of</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90" w:name="page191"/>
    <w:bookmarkEnd w:id="19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 (3) 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8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Tangible Assets</w:t>
      </w:r>
      <w:r>
        <w:rPr>
          <w:rFonts w:ascii="Arial" w:cs="Arial" w:eastAsia="Arial" w:hAnsi="Arial"/>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Subsidiaries that would be consolidated with the Borrower in accordance with GAAP.</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1" w:name="page192"/>
    <w:bookmarkEnd w:id="191"/>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included in Consolidated Total Indebtedness, any Indebtedness (x) in respect of drawings under the items in such clauses</w:t>
      </w:r>
    </w:p>
    <w:p>
      <w:pPr>
        <w:spacing w:after="0" w:line="46" w:lineRule="exact"/>
        <w:rPr>
          <w:sz w:val="20"/>
          <w:szCs w:val="20"/>
          <w:color w:val="auto"/>
        </w:rPr>
      </w:pPr>
    </w:p>
    <w:p>
      <w:pPr>
        <w:ind w:left="4" w:hanging="4"/>
        <w:spacing w:after="0" w:line="286" w:lineRule="auto"/>
        <w:tabs>
          <w:tab w:leader="none" w:pos="25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and (i) to the extent not reimbursed within two Business Days after the date of such drawing and (y) in respect of any Swap Agreement entered into for speculative purposes))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69"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with respect to any Person, the power, directly or indirectly, to direct or cause the direction of the management and policies of such Person, whether by contract or otherwise.</w:t>
      </w:r>
    </w:p>
    <w:p>
      <w:pPr>
        <w:spacing w:after="0" w:line="17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w:t>
      </w:r>
      <w:r>
        <w:rPr>
          <w:rFonts w:ascii="Arial" w:cs="Arial" w:eastAsia="Arial" w:hAnsi="Arial"/>
          <w:sz w:val="18"/>
          <w:szCs w:val="18"/>
          <w:color w:val="auto"/>
        </w:rPr>
        <w:t>”, “</w:t>
      </w:r>
      <w:r>
        <w:rPr>
          <w:rFonts w:ascii="Arial" w:cs="Arial" w:eastAsia="Arial" w:hAnsi="Arial"/>
          <w:sz w:val="18"/>
          <w:szCs w:val="18"/>
          <w:u w:val="single" w:color="auto"/>
          <w:color w:val="auto"/>
        </w:rPr>
        <w:t>Converted</w:t>
      </w:r>
      <w:r>
        <w:rPr>
          <w:rFonts w:ascii="Arial" w:cs="Arial" w:eastAsia="Arial" w:hAnsi="Arial"/>
          <w:sz w:val="18"/>
          <w:szCs w:val="18"/>
          <w:color w:val="auto"/>
        </w:rPr>
        <w:t>” or “</w:t>
      </w:r>
      <w:r>
        <w:rPr>
          <w:rFonts w:ascii="Arial" w:cs="Arial" w:eastAsia="Arial" w:hAnsi="Arial"/>
          <w:sz w:val="18"/>
          <w:szCs w:val="18"/>
          <w:u w:val="single" w:color="auto"/>
          <w:color w:val="auto"/>
        </w:rPr>
        <w:t>Conversion</w:t>
      </w:r>
      <w:r>
        <w:rPr>
          <w:rFonts w:ascii="Arial" w:cs="Arial" w:eastAsia="Arial" w:hAnsi="Arial"/>
          <w:sz w:val="18"/>
          <w:szCs w:val="18"/>
          <w:color w:val="auto"/>
        </w:rPr>
        <w:t>” each means a conversion of TIBOR Rate Loans into Alternative TIBOR Rate Loans, or of Alternative TIBOR Rate Loans into TIBOR Rate Loans, as applicable, in each case pursuant to Section 2.07 or Section 2.13.</w:t>
      </w:r>
    </w:p>
    <w:p>
      <w:pPr>
        <w:spacing w:after="0" w:line="17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4"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has the meaning set forth in Section 2.12(c).</w:t>
      </w:r>
    </w:p>
    <w:p>
      <w:pPr>
        <w:spacing w:after="0" w:line="225"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means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Business Days of the date when due, (b) has notified the Borrower or the Administrative Agent in writing that it does not intend to comply with its funding obligations hereunder or generally under other agreements in which it has committed to extend credit, or has made a public statement to that effect (unless such writing or</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92" w:name="page193"/>
    <w:bookmarkEnd w:id="192"/>
    <w:p>
      <w:pPr>
        <w:ind w:left="4"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w:t>
      </w:r>
    </w:p>
    <w:p>
      <w:pPr>
        <w:spacing w:after="0" w:line="4" w:lineRule="exact"/>
        <w:rPr>
          <w:sz w:val="20"/>
          <w:szCs w:val="20"/>
          <w:color w:val="auto"/>
        </w:rPr>
      </w:pPr>
    </w:p>
    <w:p>
      <w:pPr>
        <w:ind w:left="4" w:hanging="4"/>
        <w:spacing w:after="0" w:line="286" w:lineRule="auto"/>
        <w:tabs>
          <w:tab w:leader="none" w:pos="26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2.20(b)) upon delivery of written notice of such determination to the Borrower and each Lender.</w:t>
      </w:r>
    </w:p>
    <w:p>
      <w:pPr>
        <w:spacing w:after="0" w:line="172"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with the SEC or furnished by the Borrower to the SEC pursuant to the Securities Exchange Act, in each case, filed or furnished before the Closing Date and which are available to the Lenders before the Closing Date and (b) on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187"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Equity Interests</w:t>
      </w:r>
      <w:r>
        <w:rPr>
          <w:rFonts w:ascii="Arial" w:cs="Arial" w:eastAsia="Arial" w:hAnsi="Arial"/>
          <w:sz w:val="17"/>
          <w:szCs w:val="17"/>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Term Loan and all other Obligations that are accrued and payable),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Maturity Date.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93" w:name="page194"/>
    <w:bookmarkEnd w:id="1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money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Copy</w:t>
      </w:r>
      <w:r>
        <w:rPr>
          <w:rFonts w:ascii="Arial" w:cs="Arial" w:eastAsia="Arial" w:hAnsi="Arial"/>
          <w:sz w:val="18"/>
          <w:szCs w:val="18"/>
          <w:color w:val="auto"/>
        </w:rPr>
        <w:t>” has the meaning assigned in Section 9.16(b).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Record</w:t>
      </w:r>
      <w:r>
        <w:rPr>
          <w:rFonts w:ascii="Arial" w:cs="Arial" w:eastAsia="Arial" w:hAnsi="Arial"/>
          <w:sz w:val="18"/>
          <w:szCs w:val="18"/>
          <w:color w:val="auto"/>
        </w:rPr>
        <w:t>” has the meaning assigned to such term by 15 USC §7006, as it may be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has the meaning assigned to such term by 15 USC §7006, as it may be amended from time to time.</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means any Person that meets the requirements to be an assignee under Section 9.04(b)(iii), (v) and (vi) (subject to such consents, if any, as may be required under Section 9.04(b)(iii)).</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94" w:name="page195"/>
    <w:bookmarkEnd w:id="194"/>
    <w:p>
      <w:pPr>
        <w:jc w:val="both"/>
        <w:ind w:left="4"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65" w:lineRule="exact"/>
        <w:rPr>
          <w:sz w:val="20"/>
          <w:szCs w:val="20"/>
          <w:color w:val="auto"/>
        </w:rPr>
      </w:pPr>
    </w:p>
    <w:p>
      <w:pPr>
        <w:jc w:val="both"/>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EU/UK Listed Person</w:t>
      </w:r>
      <w:r>
        <w:rPr>
          <w:rFonts w:ascii="Arial" w:cs="Arial" w:eastAsia="Arial" w:hAnsi="Arial"/>
          <w:sz w:val="18"/>
          <w:szCs w:val="18"/>
          <w:color w:val="auto"/>
        </w:rPr>
        <w:t>” has the meaning assigned in Section 3.15(a).</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Finco</w:t>
      </w:r>
      <w:r>
        <w:rPr>
          <w:rFonts w:ascii="Arial" w:cs="Arial" w:eastAsia="Arial" w:hAnsi="Arial"/>
          <w:sz w:val="16"/>
          <w:szCs w:val="16"/>
          <w:color w:val="auto"/>
        </w:rPr>
        <w:t>” means Finco, so long as (i) it holds (directly, and together with its Subsidiaries), not more than de minimis assets (other than</w:t>
      </w:r>
    </w:p>
    <w:p>
      <w:pPr>
        <w:spacing w:after="0" w:line="46" w:lineRule="exact"/>
        <w:rPr>
          <w:sz w:val="20"/>
          <w:szCs w:val="20"/>
          <w:color w:val="auto"/>
        </w:rPr>
      </w:pPr>
    </w:p>
    <w:p>
      <w:pPr>
        <w:ind w:left="4" w:right="20" w:hanging="4"/>
        <w:spacing w:after="0" w:line="253" w:lineRule="auto"/>
        <w:tabs>
          <w:tab w:leader="none" w:pos="2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95" w:name="page196"/>
    <w:bookmarkEnd w:id="195"/>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8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Delayed Draw Term Loan Credit Agreement, dated as of June 16, 2020, by and among the Borrower (formerly known as Upjohn Inc.), the lenders from time to time party thereto, the guarantors from time to time party thereto and MUFG Bank, Ltd., as administrative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at any time, (a) on or prior to the Closing Date or the date of funding of the Term Loan, the aggregate Term Commitments at such time and (b) thereafter, the aggregate principal amount of the Loans of all Lenders outstanding at such time.</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76"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 or the relevant Loan Party,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Finco</w:t>
      </w:r>
      <w:r>
        <w:rPr>
          <w:rFonts w:ascii="Arial" w:cs="Arial" w:eastAsia="Arial" w:hAnsi="Arial"/>
          <w:sz w:val="18"/>
          <w:szCs w:val="18"/>
          <w:color w:val="auto"/>
        </w:rPr>
        <w:t>” means Upjohn Finance B.V., a wholly owned financing subsidiary of the Borrower.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96" w:name="page197"/>
    <w:bookmarkEnd w:id="19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Finco Designated Indebtedness</w:t>
      </w:r>
      <w:r>
        <w:rPr>
          <w:rFonts w:ascii="Arial" w:cs="Arial" w:eastAsia="Arial" w:hAnsi="Arial"/>
          <w:sz w:val="18"/>
          <w:szCs w:val="18"/>
          <w:color w:val="auto"/>
        </w:rPr>
        <w:t>” means Indebtedness of Finco issued after the Effective Date (as defined in the Existing Credit Agreement) and on or prior to the closing date of the Combination Transactions, the proceeds of which are used to fund, in full or in part, the Borrower Cash Distribution (as defined in the Existing Credit Agreement) and related transaction fees and expenses.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any successor to its rating agency business.</w:t>
      </w:r>
    </w:p>
    <w:p>
      <w:pPr>
        <w:spacing w:after="0" w:line="225"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Jurisdiction Deposit</w:t>
      </w:r>
      <w:r>
        <w:rPr>
          <w:rFonts w:ascii="Arial" w:cs="Arial" w:eastAsia="Arial" w:hAnsi="Arial"/>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resident or organized under the laws of a jurisdiction other than that in which the Borrower is resident for tax purposes.</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resident or organized under the laws of a jurisdiction other than that in which the Borrower is resident, incorporated or organized.</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endorsements for collection or deposit in the ordinary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97" w:name="page198"/>
    <w:bookmarkEnd w:id="197"/>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course of business.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61"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set forth in Article X or other form of guarantee agreement reasonably acceptable to the Administrative Agent and the Borrower.</w:t>
      </w:r>
    </w:p>
    <w:p>
      <w:pPr>
        <w:spacing w:after="0" w:line="170"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Affiliate or Subsidiary of the Borrower (including each Mylan Guarantor), if any, that provides a guarantee of the Obligations pursuant to Section 5.09 or otherwise.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 Joinder Agreement</w:t>
      </w:r>
      <w:r>
        <w:rPr>
          <w:rFonts w:ascii="Arial" w:cs="Arial" w:eastAsia="Arial" w:hAnsi="Arial"/>
          <w:sz w:val="18"/>
          <w:szCs w:val="18"/>
          <w:color w:val="auto"/>
        </w:rPr>
        <w:t>” has the meaning assigned in Section 5.09.</w:t>
      </w:r>
    </w:p>
    <w:p>
      <w:pPr>
        <w:spacing w:after="0" w:line="225"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Illegality Event</w:t>
      </w:r>
      <w:r>
        <w:rPr>
          <w:rFonts w:ascii="Arial" w:cs="Arial" w:eastAsia="Arial" w:hAnsi="Arial"/>
          <w:sz w:val="18"/>
          <w:szCs w:val="18"/>
          <w:color w:val="auto"/>
        </w:rPr>
        <w:t>” shall have the meaning assigned to such term in Section 2.07(a)(i).</w:t>
      </w:r>
    </w:p>
    <w:p>
      <w:pPr>
        <w:spacing w:after="0" w:line="225"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w:t>
      </w:r>
    </w:p>
    <w:p>
      <w:pPr>
        <w:spacing w:after="0" w:line="4" w:lineRule="exact"/>
        <w:rPr>
          <w:sz w:val="20"/>
          <w:szCs w:val="20"/>
          <w:color w:val="auto"/>
        </w:rPr>
      </w:pPr>
    </w:p>
    <w:p>
      <w:pPr>
        <w:ind w:left="4" w:right="160" w:hanging="4"/>
        <w:spacing w:after="0" w:line="281" w:lineRule="auto"/>
        <w:tabs>
          <w:tab w:leader="none" w:pos="24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Indebtedness of others secured by (or for which the holder of such Indebtedness has an existing right, contingent or otherwise, to be secured by) any Lien on Property owned or acquired by such Person, whether or not the Indebtedness secured thereby has been assumed, but limited to the fair market value of such Property (except to the extent otherwise provided in this definition), (f) all Guarantees by such Person of Indebtedness of others,</w:t>
      </w:r>
    </w:p>
    <w:p>
      <w:pPr>
        <w:spacing w:after="0" w:line="1" w:lineRule="exact"/>
        <w:rPr>
          <w:rFonts w:ascii="Arial" w:cs="Arial" w:eastAsia="Arial" w:hAnsi="Arial"/>
          <w:sz w:val="16"/>
          <w:szCs w:val="16"/>
          <w:color w:val="auto"/>
        </w:rPr>
      </w:pPr>
    </w:p>
    <w:p>
      <w:pPr>
        <w:ind w:left="4" w:right="80" w:hanging="4"/>
        <w:spacing w:after="0" w:line="271" w:lineRule="auto"/>
        <w:tabs>
          <w:tab w:leader="none" w:pos="25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98" w:name="page199"/>
    <w:bookmarkEnd w:id="198"/>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85"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specified in Section 9.12.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Borrowing in accordance with Section 2.03.</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with respect to the Loans, the last day of the Interest Period applicable thereto and, in the case of a Loan with an Interest Period of more than three months’ duration, each day prior to the last day of such Interest Period that occurs at intervals of three months’ duration after the first day of such Interest Period.</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Borrowing, the period commencing on the date of such Borrowing and ending on the numerically corresponding day in the calendar month that is three or six months thereafter (subject to availability), or such other period that is requested by the Borrower and that is consented to by all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Borrowing initially shall be the date on which such Borrowing is made and thereafter shall be the effective date of the most recent Conversion or continuation of such Borrowing.</w:t>
      </w:r>
    </w:p>
    <w:p>
      <w:pPr>
        <w:spacing w:after="0" w:line="18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or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9" w:name="page200"/>
    <w:bookmarkEnd w:id="19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Arial" w:cs="Arial" w:eastAsia="Arial" w:hAnsi="Arial"/>
          <w:sz w:val="16"/>
          <w:szCs w:val="16"/>
          <w:u w:val="single" w:color="auto"/>
          <w:color w:val="auto"/>
        </w:rPr>
        <w:t>Initial Investing Person</w:t>
      </w:r>
      <w:r>
        <w:rPr>
          <w:rFonts w:ascii="Arial" w:cs="Arial" w:eastAsia="Arial" w:hAnsi="Arial"/>
          <w:sz w:val="16"/>
          <w:szCs w:val="16"/>
          <w:color w:val="auto"/>
        </w:rPr>
        <w:t>”) transfers an amount of cash or other Property (the “</w:t>
      </w:r>
      <w:r>
        <w:rPr>
          <w:rFonts w:ascii="Arial" w:cs="Arial" w:eastAsia="Arial" w:hAnsi="Arial"/>
          <w:sz w:val="16"/>
          <w:szCs w:val="16"/>
          <w:u w:val="single" w:color="auto"/>
          <w:color w:val="auto"/>
        </w:rPr>
        <w:t>Invested Amount</w:t>
      </w:r>
      <w:r>
        <w:rPr>
          <w:rFonts w:ascii="Arial" w:cs="Arial" w:eastAsia="Arial" w:hAnsi="Arial"/>
          <w:sz w:val="16"/>
          <w:szCs w:val="16"/>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Arial" w:cs="Arial" w:eastAsia="Arial" w:hAnsi="Arial"/>
          <w:sz w:val="16"/>
          <w:szCs w:val="16"/>
          <w:u w:val="single" w:color="auto"/>
          <w:color w:val="auto"/>
        </w:rPr>
        <w:t>Subject Person</w:t>
      </w:r>
      <w:r>
        <w:rPr>
          <w:rFonts w:ascii="Arial" w:cs="Arial" w:eastAsia="Arial" w:hAnsi="Arial"/>
          <w:sz w:val="16"/>
          <w:szCs w:val="16"/>
          <w:color w:val="auto"/>
        </w:rPr>
        <w:t>”) through a series of substantially concurrent intermediate transfers of the Invested Amount to the Borrower or one or more other Subsidiaries other than the Subject Person (each an “</w:t>
      </w:r>
      <w:r>
        <w:rPr>
          <w:rFonts w:ascii="Arial" w:cs="Arial" w:eastAsia="Arial" w:hAnsi="Arial"/>
          <w:sz w:val="16"/>
          <w:szCs w:val="16"/>
          <w:u w:val="single" w:color="auto"/>
          <w:color w:val="auto"/>
        </w:rPr>
        <w:t>Intermediate Investing Person</w:t>
      </w:r>
      <w:r>
        <w:rPr>
          <w:rFonts w:ascii="Arial" w:cs="Arial" w:eastAsia="Arial" w:hAnsi="Arial"/>
          <w:sz w:val="16"/>
          <w:szCs w:val="16"/>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collectively, all international, foreign, Federal, state and local laws, statutes, treaties, rules, guidelines, regulations, ordinances, codes and administrative or judicial precedents or authorities.</w:t>
      </w:r>
    </w:p>
    <w:p>
      <w:pPr>
        <w:spacing w:after="0" w:line="170"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means the Persons listed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and any other Person that shall have become a Lender hereunder pursuant to an Assignment and Assumption, other than any such Person that ceases to be a party hereto pursuant to an Assignment and Assumption.</w:t>
      </w:r>
    </w:p>
    <w:p>
      <w:pPr>
        <w:spacing w:after="0" w:line="14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xml:space="preserve">” means, collectively, the Administrative Agent, the Lenders and each co-agent or sub-agent appointed by the Administrative Agent from time to time pursuant to clause (e)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00" w:name="page201"/>
    <w:bookmarkEnd w:id="200"/>
    <w:p>
      <w:pPr>
        <w:ind w:right="3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any Guarantee Agreement, any Guarantor Joinder Agreement, any promissory notes executed and delivered pursuant to Section 2.09(e) and any amendments, waivers, supplements or other modifications to any of the foregoing.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the Guarantors from time to time party hereto, if 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 comprising the Term Loan.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of any one or more of the Loan Parties and their Subsidiaries in an aggregate principal amount exceeding $250,000,000.</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any Guarantor or any Subsidiary (or group of Subsidiaries as to which a specified condition applies) that would be a “significant subsidiary” under Rule 1-02(w) of Regulation S-X.</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the date that is five years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day is not a Business Day, the Maturity Date shall be the Business Day immediately preceding such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Mizuho Bank</w:t>
      </w:r>
      <w:r>
        <w:rPr>
          <w:rFonts w:ascii="Arial" w:cs="Arial" w:eastAsia="Arial" w:hAnsi="Arial"/>
          <w:sz w:val="18"/>
          <w:szCs w:val="18"/>
          <w:color w:val="auto"/>
        </w:rPr>
        <w:t>” means Mizuho Bank, Ltd. and its permitted successors and assigns.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Guarantors</w:t>
      </w:r>
      <w:r>
        <w:rPr>
          <w:rFonts w:ascii="Arial" w:cs="Arial" w:eastAsia="Arial" w:hAnsi="Arial"/>
          <w:sz w:val="18"/>
          <w:szCs w:val="18"/>
          <w:color w:val="auto"/>
        </w:rPr>
        <w:t>” means each Affiliate or Subsidiary of the Borrower, including Mylan Inc., that is an issuer or guarantor of any Mylan Notes or is otherwise required to provide a guarantee of the Obligations pursuant to Section 5.09.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Mylan Indentures</w:t>
      </w:r>
      <w:r>
        <w:rPr>
          <w:rFonts w:ascii="Arial" w:cs="Arial" w:eastAsia="Arial" w:hAnsi="Arial"/>
          <w:sz w:val="18"/>
          <w:szCs w:val="18"/>
          <w:color w:val="auto"/>
        </w:rPr>
        <w:t>” means the following:</w:t>
      </w:r>
    </w:p>
    <w:p>
      <w:pPr>
        <w:spacing w:after="0" w:line="225" w:lineRule="exact"/>
        <w:rPr>
          <w:sz w:val="20"/>
          <w:szCs w:val="20"/>
          <w:color w:val="auto"/>
        </w:rPr>
      </w:pPr>
    </w:p>
    <w:p>
      <w:pPr>
        <w:ind w:left="1360" w:hanging="373"/>
        <w:spacing w:after="0"/>
        <w:tabs>
          <w:tab w:leader="none" w:pos="13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Indenture dated as of December 21, 2012, among Mylan Inc., as issuer, the subsidiaries party thereto,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firstLine="987"/>
        <w:spacing w:after="0" w:line="277" w:lineRule="auto"/>
        <w:tabs>
          <w:tab w:leader="none" w:pos="138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01" w:name="page202"/>
    <w:bookmarkEnd w:id="201"/>
    <w:p>
      <w:pPr>
        <w:ind w:right="260" w:firstLine="987"/>
        <w:spacing w:after="0" w:line="277" w:lineRule="auto"/>
        <w:tabs>
          <w:tab w:leader="none" w:pos="1371"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Second supplemental indenture dated as of March 12, 2015, among Mylan Inc., as issuer, Mylan N.V., as parent, and The Bank of New York Mellon, as trustee, to the indenture dated as of December 21, 2012;</w:t>
      </w:r>
    </w:p>
    <w:p>
      <w:pPr>
        <w:spacing w:after="0" w:line="170" w:lineRule="exact"/>
        <w:rPr>
          <w:rFonts w:ascii="Arial" w:cs="Arial" w:eastAsia="Arial" w:hAnsi="Arial"/>
          <w:sz w:val="18"/>
          <w:szCs w:val="18"/>
          <w:color w:val="auto"/>
        </w:rPr>
      </w:pPr>
    </w:p>
    <w:p>
      <w:pPr>
        <w:ind w:right="180" w:firstLine="987"/>
        <w:spacing w:after="0" w:line="277" w:lineRule="auto"/>
        <w:tabs>
          <w:tab w:leader="none" w:pos="137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Third supplemental indenture dated as of November 16, 2020, by and among Mylan Inc., the Borrower, Utah Acquisition Sub Inc., Mylan II B.V. and the Bank of New York Mellon, as trustee, to the indenture dated as of December 21, 2012;</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Indenture dated as of November 29, 2013, by and between Mylan Inc., as issuer, and The Bank of New York Mellon, as trustee;</w:t>
      </w:r>
    </w:p>
    <w:p>
      <w:pPr>
        <w:spacing w:after="0" w:line="236" w:lineRule="exact"/>
        <w:rPr>
          <w:rFonts w:ascii="Arial" w:cs="Arial" w:eastAsia="Arial" w:hAnsi="Arial"/>
          <w:sz w:val="17"/>
          <w:szCs w:val="17"/>
          <w:color w:val="auto"/>
        </w:rPr>
      </w:pPr>
    </w:p>
    <w:p>
      <w:pPr>
        <w:ind w:right="440" w:firstLine="987"/>
        <w:spacing w:after="0" w:line="277" w:lineRule="auto"/>
        <w:tabs>
          <w:tab w:leader="none" w:pos="135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29, 2013, by and between Mylan Inc., as issuer,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40" w:firstLine="987"/>
        <w:spacing w:after="0" w:line="277" w:lineRule="auto"/>
        <w:tabs>
          <w:tab w:leader="none" w:pos="138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170" w:lineRule="exact"/>
        <w:rPr>
          <w:rFonts w:ascii="Arial" w:cs="Arial" w:eastAsia="Arial" w:hAnsi="Arial"/>
          <w:sz w:val="18"/>
          <w:szCs w:val="18"/>
          <w:color w:val="auto"/>
        </w:rPr>
      </w:pPr>
    </w:p>
    <w:p>
      <w:pPr>
        <w:ind w:firstLine="987"/>
        <w:spacing w:after="0" w:line="277" w:lineRule="auto"/>
        <w:tabs>
          <w:tab w:leader="none" w:pos="137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Third supplemental indenture dated as of March 12, 2015, among Mylan Inc., as issuer, Mylan N.V., as parent, and The Bank of New York Mellon, as trustee, to the indenture dated as of November 29, 2013;</w:t>
      </w:r>
    </w:p>
    <w:p>
      <w:pPr>
        <w:spacing w:after="0" w:line="170" w:lineRule="exact"/>
        <w:rPr>
          <w:rFonts w:ascii="Arial" w:cs="Arial" w:eastAsia="Arial" w:hAnsi="Arial"/>
          <w:sz w:val="18"/>
          <w:szCs w:val="18"/>
          <w:color w:val="auto"/>
        </w:rPr>
      </w:pPr>
    </w:p>
    <w:p>
      <w:pPr>
        <w:ind w:right="100" w:firstLine="987"/>
        <w:spacing w:after="0" w:line="277" w:lineRule="auto"/>
        <w:tabs>
          <w:tab w:leader="none" w:pos="134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Fourth supplemental indenture dated as of November 16, 2020, by and among Mylan, Inc., the Borrower, Utah Acquisition Sub Inc., Mylan II B.V. and the Bank of New York Mellon, as trustee, to the indenture dated as of November 29, 2013;</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Indenture dated as of June 9, 2016, among Mylan N.V., as issuer, Mylan Inc., as guarantor, and The Bank of New York Mellon,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right="200" w:firstLine="987"/>
        <w:spacing w:after="0" w:line="277" w:lineRule="auto"/>
        <w:tabs>
          <w:tab w:leader="none" w:pos="138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the Bank of New York Mellon, as trustee, to the indenture dated as of June 9, 2016;</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Indenture dated as of November 22, 2016, among Mylan N.V., as issuer, Mylan Inc., as guarantor, and Citibank, N.A., London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Branch, as trustee;</w:t>
      </w:r>
    </w:p>
    <w:p>
      <w:pPr>
        <w:spacing w:after="0" w:line="210" w:lineRule="exact"/>
        <w:rPr>
          <w:rFonts w:ascii="Arial" w:cs="Arial" w:eastAsia="Arial" w:hAnsi="Arial"/>
          <w:sz w:val="17"/>
          <w:szCs w:val="17"/>
          <w:color w:val="auto"/>
        </w:rPr>
      </w:pPr>
    </w:p>
    <w:p>
      <w:pPr>
        <w:ind w:right="160" w:firstLine="987"/>
        <w:spacing w:after="0" w:line="277" w:lineRule="auto"/>
        <w:tabs>
          <w:tab w:leader="none" w:pos="143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Citibank, N.A., London Branch, as trustee, to the indenture dated as of November 22, 2016;</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Indenture dated as of April 9, 2018, by and between Mylan Inc., as issuer, Mylan N.V., as guarantor, and The Bank of New York</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Mellon, as trustee;</w:t>
      </w:r>
    </w:p>
    <w:p>
      <w:pPr>
        <w:spacing w:after="0" w:line="210" w:lineRule="exact"/>
        <w:rPr>
          <w:rFonts w:ascii="Arial" w:cs="Arial" w:eastAsia="Arial" w:hAnsi="Arial"/>
          <w:sz w:val="16"/>
          <w:szCs w:val="16"/>
          <w:color w:val="auto"/>
        </w:rPr>
      </w:pPr>
    </w:p>
    <w:p>
      <w:pPr>
        <w:ind w:right="200" w:firstLine="987"/>
        <w:spacing w:after="0" w:line="277" w:lineRule="auto"/>
        <w:tabs>
          <w:tab w:leader="none" w:pos="138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the Bank of New York Mellon, as trustee, to the indenture dated as of April 9, 2018;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02" w:name="page203"/>
    <w:bookmarkEnd w:id="202"/>
    <w:p>
      <w:pPr>
        <w:ind w:right="320" w:firstLine="987"/>
        <w:spacing w:after="0" w:line="277" w:lineRule="auto"/>
        <w:tabs>
          <w:tab w:leader="none" w:pos="1381"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May 23, 2018, by and between Mylan Inc., as issuer, Mylan N.V., as guarantor, and Citibank, N.A., London Branch, as trustee; and</w:t>
      </w:r>
    </w:p>
    <w:p>
      <w:pPr>
        <w:spacing w:after="0" w:line="170" w:lineRule="exact"/>
        <w:rPr>
          <w:rFonts w:ascii="Arial" w:cs="Arial" w:eastAsia="Arial" w:hAnsi="Arial"/>
          <w:sz w:val="18"/>
          <w:szCs w:val="18"/>
          <w:color w:val="auto"/>
        </w:rPr>
      </w:pPr>
    </w:p>
    <w:p>
      <w:pPr>
        <w:ind w:right="240" w:firstLine="987"/>
        <w:spacing w:after="0" w:line="277" w:lineRule="auto"/>
        <w:tabs>
          <w:tab w:leader="none" w:pos="1381"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First supplemental indenture dated as of November 16, 2020, by and among Mylan, Inc., the Borrower, Utah Acquisition Sub Inc., Mylan II B.V. and Citibank, N.A., London Branch, as trustee, to the indenture dated as of May 23, 2018.</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Mylan Notes</w:t>
      </w:r>
      <w:r>
        <w:rPr>
          <w:rFonts w:ascii="Arial" w:cs="Arial" w:eastAsia="Arial" w:hAnsi="Arial"/>
          <w:sz w:val="16"/>
          <w:szCs w:val="16"/>
          <w:color w:val="auto"/>
        </w:rPr>
        <w:t>” means any senior notes issued by Mylan N.V. and Mylan Inc., as applicable, under the Mylan Indentures that are outstanding .</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has the meaning assigned to such term in Section 9.04(b), (d) or (f) as the context may require.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promissory note made by the Borrower in favor of a Lender evidencing Loans made by such Lender to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their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Countries</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Listed Person</w:t>
      </w:r>
      <w:r>
        <w:rPr>
          <w:rFonts w:ascii="Arial" w:cs="Arial" w:eastAsia="Arial" w:hAnsi="Arial"/>
          <w:sz w:val="18"/>
          <w:szCs w:val="18"/>
          <w:color w:val="auto"/>
        </w:rPr>
        <w:t>” has the meaning assigned in Section 3.15.</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203" w:name="page204"/>
    <w:bookmarkEnd w:id="203"/>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Overnight Rate</w:t>
      </w:r>
      <w:r>
        <w:rPr>
          <w:rFonts w:ascii="Arial" w:cs="Arial" w:eastAsia="Arial" w:hAnsi="Arial"/>
          <w:sz w:val="18"/>
          <w:szCs w:val="18"/>
          <w:color w:val="auto"/>
        </w:rPr>
        <w:t xml:space="preserve">” means, for any day, the rate of interest per annum as determined by the Administrative Agent at which overnight or weekend deposits in Yen, in an amount approximately equal to the amount with respect to which such rate is being determined, would be offered for such day or weekend by a branch or Affiliate of the Administrative Agent in the Tokyo interbank market for Yen to major banks in such interbank market, plus any taxes, levies, imposts, duties, deductions, charges or withholdings imposed upon, or charged to, the Administrative Agent by any relevant correspondent bank in respect of such amount in Yen;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less than zero, the Overnight Rate shall be deemed to be zero for purposes of this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set forth in Section 9.04(d).</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Bond Hedge Transaction</w:t>
      </w:r>
      <w:r>
        <w:rPr>
          <w:rFonts w:ascii="Arial" w:cs="Arial" w:eastAsia="Arial" w:hAnsi="Arial"/>
          <w:sz w:val="17"/>
          <w:szCs w:val="17"/>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sum of (i) the purchase price for any Permitted Bond Hedge Transaction occurring after the Closing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purchase price for any Permitted Bond Hedge Transaction it is refinancing or replacing,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Indebtedness</w:t>
      </w:r>
      <w:r>
        <w:rPr>
          <w:rFonts w:ascii="Arial" w:cs="Arial" w:eastAsia="Arial" w:hAnsi="Arial"/>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1240" w:hanging="381"/>
        <w:spacing w:after="0"/>
        <w:tabs>
          <w:tab w:leader="none" w:pos="12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Liens imposed by law for taxes, assessments or other governmental charges that are not overdue for a period of more than thirty</w:t>
      </w:r>
    </w:p>
    <w:p>
      <w:pPr>
        <w:spacing w:after="0" w:line="34" w:lineRule="exact"/>
        <w:rPr>
          <w:rFonts w:ascii="Arial" w:cs="Arial" w:eastAsia="Arial" w:hAnsi="Arial"/>
          <w:sz w:val="17"/>
          <w:szCs w:val="17"/>
          <w:color w:val="auto"/>
        </w:rPr>
      </w:pPr>
    </w:p>
    <w:p>
      <w:pPr>
        <w:ind w:left="780" w:hanging="344"/>
        <w:spacing w:after="0"/>
        <w:tabs>
          <w:tab w:leader="none" w:pos="7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days or are being contested in compliance with Section 5.04;</w:t>
      </w:r>
    </w:p>
    <w:p>
      <w:pPr>
        <w:spacing w:after="0" w:line="102" w:lineRule="exact"/>
        <w:rPr>
          <w:rFonts w:ascii="Arial" w:cs="Arial" w:eastAsia="Arial" w:hAnsi="Arial"/>
          <w:sz w:val="18"/>
          <w:szCs w:val="18"/>
          <w:color w:val="auto"/>
        </w:rPr>
      </w:pPr>
    </w:p>
    <w:p>
      <w:pPr>
        <w:ind w:left="440" w:right="20" w:firstLine="419"/>
        <w:spacing w:after="0" w:line="263" w:lineRule="auto"/>
        <w:tabs>
          <w:tab w:leader="none" w:pos="125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04" w:name="page205"/>
    <w:bookmarkEnd w:id="204"/>
    <w:p>
      <w:pPr>
        <w:ind w:left="440" w:right="20" w:firstLine="419"/>
        <w:spacing w:after="0" w:line="257" w:lineRule="auto"/>
        <w:tabs>
          <w:tab w:leader="none" w:pos="1243"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79" w:lineRule="exact"/>
        <w:rPr>
          <w:rFonts w:ascii="Arial" w:cs="Arial" w:eastAsia="Arial" w:hAnsi="Arial"/>
          <w:sz w:val="18"/>
          <w:szCs w:val="18"/>
          <w:color w:val="auto"/>
        </w:rPr>
      </w:pPr>
    </w:p>
    <w:p>
      <w:pPr>
        <w:jc w:val="both"/>
        <w:ind w:left="440" w:right="120" w:firstLine="419"/>
        <w:spacing w:after="0" w:line="263" w:lineRule="auto"/>
        <w:tabs>
          <w:tab w:leader="none" w:pos="125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Liens in respect of judgments, decrees, attachments or awards that do not constitute an Event of Default under clause (k) of Article VII;</w:t>
      </w:r>
    </w:p>
    <w:p>
      <w:pPr>
        <w:spacing w:after="0" w:line="140" w:lineRule="exact"/>
        <w:rPr>
          <w:rFonts w:ascii="Arial" w:cs="Arial" w:eastAsia="Arial" w:hAnsi="Arial"/>
          <w:sz w:val="16"/>
          <w:szCs w:val="16"/>
          <w:color w:val="auto"/>
        </w:rPr>
      </w:pPr>
    </w:p>
    <w:p>
      <w:pPr>
        <w:ind w:left="440" w:right="220" w:firstLine="419"/>
        <w:spacing w:after="0" w:line="311" w:lineRule="auto"/>
        <w:tabs>
          <w:tab w:leader="none" w:pos="1223"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25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w:t>
      </w:r>
    </w:p>
    <w:p>
      <w:pPr>
        <w:spacing w:after="0" w:line="225"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w:t>
      </w:r>
      <w:r>
        <w:rPr>
          <w:rFonts w:ascii="Arial" w:cs="Arial" w:eastAsia="Arial" w:hAnsi="Arial"/>
          <w:sz w:val="16"/>
          <w:szCs w:val="16"/>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 Assets from the Borrower and/or the respective Receivables Sellers, in each case as more fully set forth in the Permitted Receivables Facility Documents.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05" w:name="page206"/>
    <w:bookmarkEnd w:id="205"/>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Permitted Receivables Facility Assets</w:t>
      </w:r>
      <w:r>
        <w:rPr>
          <w:rFonts w:ascii="Arial" w:cs="Arial" w:eastAsia="Arial" w:hAnsi="Arial"/>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Facility Documents</w:t>
      </w:r>
      <w:r>
        <w:rPr>
          <w:rFonts w:ascii="Arial" w:cs="Arial" w:eastAsia="Arial" w:hAnsi="Arial"/>
          <w:sz w:val="16"/>
          <w:szCs w:val="16"/>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6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Related Assets</w:t>
      </w:r>
      <w:r>
        <w:rPr>
          <w:rFonts w:ascii="Arial" w:cs="Arial" w:eastAsia="Arial" w:hAnsi="Arial"/>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84"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with respect to any Person, any amendment, modification, refinancing, refunding, renewal, replacement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06" w:name="page207"/>
    <w:bookmarkEnd w:id="20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refunding, renewal, replacement or extension has a final maturity date equal to or later than the earlier of (x) the final maturity date of the Indebtedness so modified, refinanced, refunded, renewed, replaced or extended and (y) the date which is 91 days after the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Maturity Date and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6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Warrant Transaction</w:t>
      </w:r>
      <w:r>
        <w:rPr>
          <w:rFonts w:ascii="Arial" w:cs="Arial" w:eastAsia="Arial" w:hAnsi="Arial"/>
          <w:sz w:val="16"/>
          <w:szCs w:val="16"/>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2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Period</w:t>
      </w:r>
      <w:r>
        <w:rPr>
          <w:rFonts w:ascii="Arial" w:cs="Arial" w:eastAsia="Arial" w:hAnsi="Arial"/>
          <w:sz w:val="18"/>
          <w:szCs w:val="18"/>
          <w:color w:val="auto"/>
        </w:rPr>
        <w:t>” means, with respect to (a) the Combination Transactions, the period beginning on the closing date of the Combination Transactions and ending on the two year anniversary thereof and (b) any other acquisition, the period beginning on the date such acquisition is consummated and ending on the one-year anniversary of the date on which such acquisition is consummated.</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Adjustment</w:t>
      </w:r>
      <w:r>
        <w:rPr>
          <w:rFonts w:ascii="Arial" w:cs="Arial" w:eastAsia="Arial" w:hAnsi="Arial"/>
          <w:sz w:val="17"/>
          <w:szCs w:val="17"/>
          <w:color w:val="auto"/>
        </w:rPr>
        <w:t>”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07" w:name="page208"/>
    <w:bookmarkEnd w:id="20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continuing impact on the consolidated financial results of the Borrower, calculated assuming that such actions had been taken on, or such costs had been incurred since,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6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w:t>
      </w:r>
      <w:r>
        <w:rPr>
          <w:rFonts w:ascii="Arial" w:cs="Arial" w:eastAsia="Arial" w:hAnsi="Arial"/>
          <w:sz w:val="18"/>
          <w:szCs w:val="18"/>
          <w:color w:val="auto"/>
        </w:rPr>
        <w:t>” has the meaning assigned in Section 10.01.</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Equity Interests.</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in Section 5.01.</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Acquisition</w:t>
      </w:r>
      <w:r>
        <w:rPr>
          <w:rFonts w:ascii="Arial" w:cs="Arial" w:eastAsia="Arial" w:hAnsi="Arial"/>
          <w:sz w:val="17"/>
          <w:szCs w:val="17"/>
          <w:color w:val="auto"/>
        </w:rPr>
        <w:t>”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provided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70"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Entity</w:t>
      </w:r>
      <w:r>
        <w:rPr>
          <w:rFonts w:ascii="Arial" w:cs="Arial" w:eastAsia="Arial" w:hAnsi="Arial"/>
          <w:sz w:val="17"/>
          <w:szCs w:val="17"/>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71"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Sellers</w:t>
      </w:r>
      <w:r>
        <w:rPr>
          <w:rFonts w:ascii="Arial" w:cs="Arial" w:eastAsia="Arial" w:hAnsi="Arial"/>
          <w:sz w:val="18"/>
          <w:szCs w:val="18"/>
          <w:color w:val="auto"/>
        </w:rPr>
        <w:t>” means the Borrower and those Subsidiaries (other than Receivables Entities) that are from time to time party to the Permitted Receivables Facility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and any Lender, as applicable.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S-X</w:t>
      </w:r>
      <w:r>
        <w:rPr>
          <w:rFonts w:ascii="Arial" w:cs="Arial" w:eastAsia="Arial" w:hAnsi="Arial"/>
          <w:sz w:val="18"/>
          <w:szCs w:val="18"/>
          <w:color w:val="auto"/>
        </w:rPr>
        <w:t>” means Regulation S-X under the Securities Act of 1933, as amended.</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administrators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xml:space="preserve">” has the meaning set forth in clause (f)(ii)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with Term Commitment or Loans, as the case may be, aggregating more than 50% of the aggregate principal amount of all Term Commitments or Loans, as the case may be, outstanding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Commitment or Loans, as the case may be, of any Defaulting Lender shall be excluded for purposes of making a determination of Required Lenders.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Rescindable Amount</w:t>
      </w:r>
      <w:r>
        <w:rPr>
          <w:rFonts w:ascii="Arial" w:cs="Arial" w:eastAsia="Arial" w:hAnsi="Arial"/>
          <w:sz w:val="18"/>
          <w:szCs w:val="18"/>
          <w:color w:val="auto"/>
        </w:rPr>
        <w:t>” has the meaning as defined in Section 2.17(d).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has the meaning set forth in clause (f)(i) of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09" w:name="page210"/>
    <w:bookmarkEnd w:id="209"/>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8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means, for any Person, any amount of cash of such Person that is contractually required to be set aside, segregated or otherwise reserved.</w:t>
      </w:r>
    </w:p>
    <w:p>
      <w:pPr>
        <w:spacing w:after="0" w:line="170" w:lineRule="exact"/>
        <w:rPr>
          <w:sz w:val="20"/>
          <w:szCs w:val="20"/>
          <w:color w:val="auto"/>
        </w:rPr>
      </w:pPr>
    </w:p>
    <w:p>
      <w:pPr>
        <w:ind w:right="4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5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means that certain Revolving Credit Agreement dated as of the date hereof, among the Borrower, certain Affiliates and Subsidiaries of the Borrower from time to time party thereto, each lender from time to time party thereto, each issuing bank from time to time party thereto and Bank of America, N.A., as administrative agent thereunder.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and any successor thereto.</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same day or other funds as may be reasonably determined by the Administrative Agent to be customary in the place of disbursement or payment for the settlement of international banking transactions in Yen.</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any successor thereto and any analogous Governmental Authority succeeding to any of its principal functions.</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currency</w:t>
      </w:r>
      <w:r>
        <w:rPr>
          <w:rFonts w:ascii="Arial" w:cs="Arial" w:eastAsia="Arial" w:hAnsi="Arial"/>
          <w:sz w:val="18"/>
          <w:szCs w:val="18"/>
          <w:color w:val="auto"/>
        </w:rPr>
        <w:t>” has the meaning assigned in Section 2.19.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10" w:name="page211"/>
    <w:bookmarkEnd w:id="210"/>
    <w:p>
      <w:pPr>
        <w:ind w:right="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borrowings and repayments of Indebtedness in the ordinary course of business under revolving credit facilities except to the extent there is a reduction in the related revolving credit commitment) and (iv) any Restricted Payment involving consideration paid by the Borrower or any Subsidiary in excess of $50,000,000.</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w:t>
      </w:r>
      <w:r>
        <w:rPr>
          <w:rFonts w:ascii="Arial" w:cs="Arial" w:eastAsia="Arial" w:hAnsi="Arial"/>
          <w:sz w:val="17"/>
          <w:szCs w:val="17"/>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76"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with respect to each Lender, the commitment, if any, of such Lender on or prior to the Closing Date to make the Term Loan to the Borrower hereunder in an aggregate principal amount equal to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as such commitment may be reduced or increased from time to time pursuant to assignments by or to such Lender pursuant to Section 9.04 of this Agreement. The initial amount of each Lender’s Term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to which such Lender becomes a party hereto, as applicable. The aggregate amount of the Lenders’ Term Commitments on the Closing Date is ¥40,000,000,000.</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has the meaning set forth in Section 2.01.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period of four fiscal quarters of the Borrower ending on a specified date.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11" w:name="page212"/>
    <w:bookmarkEnd w:id="211"/>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TIBOR Rate</w:t>
      </w:r>
      <w:r>
        <w:rPr>
          <w:rFonts w:ascii="Arial" w:cs="Arial" w:eastAsia="Arial" w:hAnsi="Arial"/>
          <w:sz w:val="18"/>
          <w:szCs w:val="18"/>
          <w:color w:val="auto"/>
        </w:rPr>
        <w:t xml:space="preserve">” means, for any Interest Period, the interest rate per annum appearing on Reuters screen page 17097 (or, in the event that such rate does not appear on such screen page, on any successor or substitute page on such screen that displays such rate) as the Tokyo interbank offered rate in Yen published by Ippan Shadan Hojin JBA TIBOR Administration (or in the event that such rate does not appear on any such screen page, on the appropriate page of a comparable commercially available source which publishes that rate from time to time, as selected by the Administrative Agent in its reasonable discretion (provided, that the Administrative Agent shall have generally selected such page for similarly situated borrowers)) at approximately 11:00 A.M. (Tokyo time) two Tokyo Business Days prior to the first day of such Interest Period in the approximate amount of the applicable Loan and having a maturity equal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rate is less than zero, the TIBOR Rate shall be deemed to be zero for the purposes of this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TIBOR Rate Loan</w:t>
      </w:r>
      <w:r>
        <w:rPr>
          <w:rFonts w:ascii="Arial" w:cs="Arial" w:eastAsia="Arial" w:hAnsi="Arial"/>
          <w:sz w:val="18"/>
          <w:szCs w:val="18"/>
          <w:color w:val="auto"/>
        </w:rPr>
        <w:t>” means a Loan that bears interest based on the TIBOR Rate.</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Tokyo 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Tokyo, Japan.</w:t>
      </w:r>
    </w:p>
    <w:p>
      <w:pPr>
        <w:spacing w:after="0" w:line="170"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execution, delivery and performance by the Loan Parties of this Agreement and the other Loan Documents, the borrowing of the Term Loan hereunder, the use of the proceeds thereof and the payment of fees and expenses hereunder.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Indebtedness</w:t>
      </w:r>
      <w:r>
        <w:rPr>
          <w:rFonts w:ascii="Arial" w:cs="Arial" w:eastAsia="Arial" w:hAnsi="Arial"/>
          <w:sz w:val="18"/>
          <w:szCs w:val="18"/>
          <w:color w:val="auto"/>
        </w:rPr>
        <w:t>” has the meaning assigned in Section 5.09.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w:t>
      </w:r>
      <w:r>
        <w:rPr>
          <w:rFonts w:ascii="Arial" w:cs="Arial" w:eastAsia="Arial" w:hAnsi="Arial"/>
          <w:sz w:val="18"/>
          <w:szCs w:val="18"/>
          <w:color w:val="auto"/>
        </w:rPr>
        <w:t>” and “</w:t>
      </w:r>
      <w:r>
        <w:rPr>
          <w:rFonts w:ascii="Arial" w:cs="Arial" w:eastAsia="Arial" w:hAnsi="Arial"/>
          <w:sz w:val="18"/>
          <w:szCs w:val="18"/>
          <w:u w:val="single" w:color="auto"/>
          <w:color w:val="auto"/>
        </w:rPr>
        <w:t>United Kingdom</w:t>
      </w:r>
      <w:r>
        <w:rPr>
          <w:rFonts w:ascii="Arial" w:cs="Arial" w:eastAsia="Arial" w:hAnsi="Arial"/>
          <w:sz w:val="18"/>
          <w:szCs w:val="18"/>
          <w:color w:val="auto"/>
        </w:rPr>
        <w:t>” each mean the United Kingdom of Great Britain and Northern Ireland.</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set forth in Section 2.16(e).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cash other than Restricted Cash.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212" w:name="page213"/>
    <w:bookmarkEnd w:id="21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payment of principal including payment at final maturity, in respect thereof, by (ii) the number of years (calculated to the nearest one-twelfth) which will elapse between such date and the making of such payment.</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4"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money of Japan.</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Currency Translation</w:t>
      </w:r>
      <w:r>
        <w:rPr>
          <w:rFonts w:ascii="Arial" w:cs="Arial" w:eastAsia="Arial" w:hAnsi="Arial"/>
          <w:sz w:val="18"/>
          <w:szCs w:val="18"/>
          <w:color w:val="auto"/>
        </w:rPr>
        <w:t>. For purposes of any determination under Article VI (other than Section 6.07) or Article VII and the definitions employed therein, all amounts incurred, outstanding or proposed to be incurred or outstanding in currencies other than Dollars shall be translated into Dollars at currency exchange rates in effect on the date of such determination (as reasonably determined by the Borrower). For purposes of Section 6.07, amounts in currencies other than Dollars shall be translated into Dollars at the currency exchange rates used in preparing the Borrower’s most recent annual and quarterly financial statements.</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13" w:name="page214"/>
    <w:bookmarkEnd w:id="213"/>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69" w:lineRule="auto"/>
        <w:tabs>
          <w:tab w:leader="none" w:pos="1371"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5" w:lineRule="exact"/>
        <w:rPr>
          <w:rFonts w:ascii="Arial" w:cs="Arial" w:eastAsia="Arial" w:hAnsi="Arial"/>
          <w:sz w:val="17"/>
          <w:szCs w:val="17"/>
          <w:color w:val="auto"/>
        </w:rPr>
      </w:pPr>
    </w:p>
    <w:p>
      <w:pPr>
        <w:ind w:firstLine="987"/>
        <w:spacing w:after="0" w:line="263" w:lineRule="auto"/>
        <w:tabs>
          <w:tab w:leader="none" w:pos="138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Payments on Business Days</w:t>
      </w:r>
      <w:r>
        <w:rPr>
          <w:rFonts w:ascii="Arial" w:cs="Arial" w:eastAsia="Arial" w:hAnsi="Arial"/>
          <w:sz w:val="17"/>
          <w:szCs w:val="17"/>
          <w:color w:val="auto"/>
        </w:rPr>
        <w:t>.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provided that, with respect to any payment of interest on or principal of the Loans, if such extension would cause any such payment to be made in the next succeeding calendar month, such payment shall be made on the immediately preceding Business Day.</w:t>
      </w:r>
    </w:p>
    <w:p>
      <w:pPr>
        <w:spacing w:after="0" w:line="176"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9" w:lineRule="exact"/>
        <w:rPr>
          <w:sz w:val="20"/>
          <w:szCs w:val="20"/>
          <w:color w:val="auto"/>
        </w:rPr>
      </w:pPr>
    </w:p>
    <w:p>
      <w:pPr>
        <w:jc w:val="both"/>
        <w:ind w:right="10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4" w:name="page215"/>
    <w:bookmarkEnd w:id="214"/>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1"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Interest Rates</w:t>
      </w:r>
      <w:r>
        <w:rPr>
          <w:rFonts w:ascii="Arial" w:cs="Arial" w:eastAsia="Arial" w:hAnsi="Arial"/>
          <w:sz w:val="17"/>
          <w:szCs w:val="17"/>
          <w:color w:val="auto"/>
        </w:rPr>
        <w:t>. The Administrative Agent does not warrant, nor accept responsibility, nor shall the Administrative Agent have any liability with respect to the administration, submission or any other matter related to the rates in the definition of “TIBOR Rate” or with respect to any rate (including, for the avoidance of doubt, the selection of such rate and any related spread or other adjustment) that is an alternative or replacement for or successor to any of such rate (including, without limitation, the Alternative TIBOR Rate) or the effect of any of the foregoing.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33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Term Commitments</w:t>
      </w:r>
      <w:r>
        <w:rPr>
          <w:rFonts w:ascii="Arial" w:cs="Arial" w:eastAsia="Arial" w:hAnsi="Arial"/>
          <w:sz w:val="16"/>
          <w:szCs w:val="16"/>
          <w:color w:val="auto"/>
        </w:rPr>
        <w:t>.</w:t>
      </w:r>
    </w:p>
    <w:p>
      <w:pPr>
        <w:spacing w:after="0" w:line="11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Subject to the terms and conditions set forth herein, each Lender severally agrees to make a single loan to the Borrower on the Closing Date or the Business Day immediately thereafter (as specified by the Borrower in the Borrowing Request) in Yen in an amount not to exceed such Lender’s Term Commitment (collectively, the “</w:t>
      </w:r>
      <w:r>
        <w:rPr>
          <w:rFonts w:ascii="Arial" w:cs="Arial" w:eastAsia="Arial" w:hAnsi="Arial"/>
          <w:sz w:val="17"/>
          <w:szCs w:val="17"/>
          <w:u w:val="single" w:color="auto"/>
          <w:color w:val="auto"/>
        </w:rPr>
        <w:t>Term Loan</w:t>
      </w:r>
      <w:r>
        <w:rPr>
          <w:rFonts w:ascii="Arial" w:cs="Arial" w:eastAsia="Arial" w:hAnsi="Arial"/>
          <w:sz w:val="17"/>
          <w:szCs w:val="17"/>
          <w:color w:val="auto"/>
        </w:rPr>
        <w:t>”). The borrowing on the Closing Date or the Business Day immediately thereafter (as specified by the Borrower in the Borrowing Request) shall consist of Loans made simultaneously by the Lenders in accordance with their respective Term Commitments. Amounts borrowed under this Section 2.01 and repaid or prepaid may not be reborrowed.</w:t>
      </w:r>
    </w:p>
    <w:p>
      <w:pPr>
        <w:spacing w:after="0" w:line="17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 and Borrowings</w:t>
      </w:r>
      <w:r>
        <w:rPr>
          <w:rFonts w:ascii="Arial" w:cs="Arial" w:eastAsia="Arial" w:hAnsi="Arial"/>
          <w:sz w:val="16"/>
          <w:szCs w:val="16"/>
          <w:color w:val="auto"/>
        </w:rPr>
        <w:t>.</w:t>
      </w:r>
    </w:p>
    <w:p>
      <w:pPr>
        <w:spacing w:after="0" w:line="117" w:lineRule="exact"/>
        <w:rPr>
          <w:sz w:val="20"/>
          <w:szCs w:val="20"/>
          <w:color w:val="auto"/>
        </w:rPr>
      </w:pPr>
    </w:p>
    <w:p>
      <w:pPr>
        <w:jc w:val="both"/>
        <w:ind w:right="180" w:firstLine="987"/>
        <w:spacing w:after="0" w:line="263" w:lineRule="auto"/>
        <w:tabs>
          <w:tab w:leader="none" w:pos="136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funding of the Term Loan on the Closing Date or the Business Day immediately thereafter (as specified by the Borrower in the Borrowing Request) shall be made as part of a Borrowing consisting of Loans funded by the Lenders ratably in accordance with their respective Term Commitments. The failure of any Lender to make the portion of the Term Loan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15" w:name="page216"/>
    <w:bookmarkEnd w:id="2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Commitments of the Lenders are several and no Lender shall be responsible for any other Lender’s failure to fund the Term Loan as required.</w:t>
      </w:r>
    </w:p>
    <w:p>
      <w:pPr>
        <w:spacing w:after="0" w:line="170" w:lineRule="exact"/>
        <w:rPr>
          <w:sz w:val="20"/>
          <w:szCs w:val="20"/>
          <w:color w:val="auto"/>
        </w:rPr>
      </w:pPr>
    </w:p>
    <w:p>
      <w:pPr>
        <w:jc w:val="both"/>
        <w:ind w:right="40" w:firstLine="987"/>
        <w:spacing w:after="0" w:line="286" w:lineRule="auto"/>
        <w:tabs>
          <w:tab w:leader="none" w:pos="138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Subject to Section 2.07 or Section 2.13, each Borrowing shall be comprised entirely of TIBOR Rate Loans. Each Lender at its option may make any TIBOR Rate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w:t>
      </w:r>
    </w:p>
    <w:p>
      <w:pPr>
        <w:spacing w:after="0" w:line="165" w:lineRule="exact"/>
        <w:rPr>
          <w:rFonts w:ascii="Arial" w:cs="Arial" w:eastAsia="Arial" w:hAnsi="Arial"/>
          <w:sz w:val="17"/>
          <w:szCs w:val="17"/>
          <w:color w:val="auto"/>
        </w:rPr>
      </w:pPr>
    </w:p>
    <w:p>
      <w:pPr>
        <w:jc w:val="both"/>
        <w:ind w:right="140" w:firstLine="987"/>
        <w:spacing w:after="0" w:line="286" w:lineRule="auto"/>
        <w:tabs>
          <w:tab w:leader="none" w:pos="137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Each Borrowing of, or continuation of, Loans shall be in an aggregate amount that is an integral multiple of the Borrowing Multiple (or, if not an integral multiple, the entire available amount) and not less than the Borrowing Minimum. One or more Borrowings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four (4) Borrowings outstanding.</w:t>
      </w:r>
    </w:p>
    <w:p>
      <w:pPr>
        <w:spacing w:after="0" w:line="165" w:lineRule="exact"/>
        <w:rPr>
          <w:rFonts w:ascii="Arial" w:cs="Arial" w:eastAsia="Arial" w:hAnsi="Arial"/>
          <w:sz w:val="17"/>
          <w:szCs w:val="17"/>
          <w:color w:val="auto"/>
        </w:rPr>
      </w:pPr>
    </w:p>
    <w:p>
      <w:pPr>
        <w:ind w:right="560" w:firstLine="987"/>
        <w:spacing w:after="0" w:line="277" w:lineRule="auto"/>
        <w:tabs>
          <w:tab w:leader="none" w:pos="138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Borrower shall not be entitled to request, or to elect to Convert or continue, any Borrowing if the Interest Period requested would end after the Maturity Date.</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To request a Borrowing of the Term Loan on the Closing Date or the Business Day immediately thereafter (as specified by the Borrower in the Borrowing Request), a Conversion of Loans or a continuation of Loans, the Borrower shall irrevocably notify the Administrative Agent of such request by a written Borrowing Request in a form attached hereto as Exhibit C or such other form as may be approved by the Administrative Agent (including any form on an electronic platform or electronic transmission system as shall be approved by the Administrative Agent), appropriately completed and signed by a Responsible Officer of the Borrower. Each such Borrowing Request must be received by the Administrative Agent not later than noon (x) three Business Days prior to the requested date of the Borrowing of Loans or (y) four Business Days prior to the requested date of the Conversion of or continuation of Loans;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Borrower wishes to request Loans having an Interest Period other than three or six months in duration as provided in the definition of “Interest Period,” the applicable notice must be received by the Administrative Agent not later than noon four Business Days prior to the requested date of such Borrowing, Conversion or continuation of Loans, whereupon the Administrative Agent shall give prompt notice to the applicable Lenders of such request and determine whether the requested Interest Period is acceptable to all of them. Not later than 11:00 a.m., one Business Day before the requested date of such Borrowing, Conversion or continuation of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174" w:lineRule="exact"/>
        <w:rPr>
          <w:sz w:val="20"/>
          <w:szCs w:val="20"/>
          <w:color w:val="auto"/>
        </w:rPr>
      </w:pPr>
    </w:p>
    <w:p>
      <w:pPr>
        <w:ind w:left="1780" w:hanging="352"/>
        <w:spacing w:after="0"/>
        <w:tabs>
          <w:tab w:leader="none" w:pos="1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aggregate amount of the requested Borrowing, Conversion or continuation;</w:t>
      </w:r>
    </w:p>
    <w:p>
      <w:pPr>
        <w:spacing w:after="0" w:line="225" w:lineRule="exact"/>
        <w:rPr>
          <w:rFonts w:ascii="Arial" w:cs="Arial" w:eastAsia="Arial" w:hAnsi="Arial"/>
          <w:sz w:val="18"/>
          <w:szCs w:val="18"/>
          <w:color w:val="auto"/>
        </w:rPr>
      </w:pPr>
    </w:p>
    <w:p>
      <w:pPr>
        <w:ind w:left="5420" w:right="2820" w:hanging="3992"/>
        <w:spacing w:after="0" w:line="449" w:lineRule="auto"/>
        <w:tabs>
          <w:tab w:leader="none" w:pos="183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date of such Borrowing, Conversion or continuation, which shall be a Business Day; 33</w:t>
      </w:r>
    </w:p>
    <w:p>
      <w:pPr>
        <w:sectPr>
          <w:pgSz w:w="11900" w:h="16838" w:orient="portrait"/>
          <w:cols w:equalWidth="0" w:num="1">
            <w:col w:w="11000"/>
          </w:cols>
          <w:pgMar w:left="440" w:top="274" w:right="459" w:bottom="1440" w:gutter="0" w:footer="0" w:header="0"/>
        </w:sectPr>
      </w:pPr>
    </w:p>
    <w:bookmarkStart w:id="216" w:name="page217"/>
    <w:bookmarkEnd w:id="216"/>
    <w:p>
      <w:pPr>
        <w:ind w:left="4" w:right="40" w:firstLine="1428"/>
        <w:spacing w:after="0" w:line="277" w:lineRule="auto"/>
        <w:tabs>
          <w:tab w:leader="none" w:pos="1886"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Conversion, whether it is a Conversion from a TIBOR Rate Loan to an Alternative TIBOR Rate Loan or from an Alternative TIBOR Rate Loan to a TIBOR Rate Loan;</w:t>
      </w:r>
    </w:p>
    <w:p>
      <w:pPr>
        <w:spacing w:after="0" w:line="170" w:lineRule="exact"/>
        <w:rPr>
          <w:rFonts w:ascii="Arial" w:cs="Arial" w:eastAsia="Arial" w:hAnsi="Arial"/>
          <w:sz w:val="18"/>
          <w:szCs w:val="18"/>
          <w:color w:val="auto"/>
        </w:rPr>
      </w:pPr>
    </w:p>
    <w:p>
      <w:pPr>
        <w:ind w:left="1864" w:hanging="432"/>
        <w:spacing w:after="0"/>
        <w:tabs>
          <w:tab w:leader="none" w:pos="186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Interest Period to be applicable thereto, which shall be a period contemplated by the definition of the term “Interest</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auto"/>
        </w:rPr>
      </w:pPr>
    </w:p>
    <w:p>
      <w:pPr>
        <w:ind w:left="4" w:right="60" w:firstLine="1428"/>
        <w:spacing w:after="0" w:line="263" w:lineRule="auto"/>
        <w:tabs>
          <w:tab w:leader="none" w:pos="182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 respect to the borrowing of the Term Loan on the Closing Date or the Business Day immediately thereafter (as specified by the Borrower in the Borrowing Request), the location and number of the Borrower’s account to which funds are to be disbursed, which shall comply with the requirements of Section 2.06; and</w:t>
      </w:r>
    </w:p>
    <w:p>
      <w:pPr>
        <w:spacing w:after="0" w:line="183" w:lineRule="exact"/>
        <w:rPr>
          <w:rFonts w:ascii="Arial" w:cs="Arial" w:eastAsia="Arial" w:hAnsi="Arial"/>
          <w:sz w:val="18"/>
          <w:szCs w:val="18"/>
          <w:color w:val="auto"/>
        </w:rPr>
      </w:pPr>
    </w:p>
    <w:p>
      <w:pPr>
        <w:ind w:left="1864" w:hanging="432"/>
        <w:spacing w:after="0"/>
        <w:tabs>
          <w:tab w:leader="none" w:pos="186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whether the Borrower is requesting the borrowing of the Term Loan, a Conversion of Loans, or a continuation of Loans.</w:t>
      </w:r>
    </w:p>
    <w:p>
      <w:pPr>
        <w:spacing w:after="0" w:line="237"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In the case of a failure to timely request a continuation of Loans, such Loans shall be continued as Loans with an Interest Period of three months’ duration. If no Interest Period is specified with respect to any requested Borrowing or Conversion or continuation of Loans, then the Borrower shall be deemed to have selected an Interest Period of three month’s duration. Promptly following receipt of a Borrowing Request in accordance with this Section, the Administrative Agent shall advise each Lender of the details thereof and of the amount of such Lender’s Loan to be made as part of the requested Borrowing. Except as otherwise provided herein, a Loan may be continued or Converted only on the last day of an Interest Period for such Loan.</w:t>
      </w:r>
    </w:p>
    <w:p>
      <w:pPr>
        <w:spacing w:after="0" w:line="192"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73" w:lineRule="auto"/>
        <w:tabs>
          <w:tab w:leader="none" w:pos="1375" w:val="left"/>
        </w:tabs>
        <w:numPr>
          <w:ilvl w:val="1"/>
          <w:numId w:val="221"/>
        </w:numPr>
        <w:rPr>
          <w:rFonts w:ascii="Arial" w:cs="Arial" w:eastAsia="Arial" w:hAnsi="Arial"/>
          <w:sz w:val="17"/>
          <w:szCs w:val="17"/>
          <w:color w:val="auto"/>
        </w:rPr>
      </w:pPr>
      <w:r>
        <w:rPr>
          <w:rFonts w:ascii="Arial" w:cs="Arial" w:eastAsia="Arial" w:hAnsi="Arial"/>
          <w:sz w:val="17"/>
          <w:szCs w:val="17"/>
          <w:color w:val="auto"/>
        </w:rPr>
        <w:t>Each Lender shall make the portion of the Term Loan to be made by it hereunder on the Closing Date or the Business Day immediately thereafter (as specified by the Borrower in the Borrowing Request) by wire transfer in Same Day Funds by 2:00 p.m., New York City time, to the account of the Administrative Agent designated by it for such purpose by notice to the Lenders in an amount equal to such Lender’s Applicable Percentage or other percentage provided for herein. The Administrative Agent will make the Term Loan available to the Borrower on the Closing Date or the Business Day immediately thereafter (as specified by the Borrower in the Borrowing Request) by promptly crediting the amounts so received, in like funds, to an account designated by the Borrower in the Borrowing Request.</w:t>
      </w:r>
    </w:p>
    <w:p>
      <w:pPr>
        <w:spacing w:after="0" w:line="177" w:lineRule="exact"/>
        <w:rPr>
          <w:rFonts w:ascii="Arial" w:cs="Arial" w:eastAsia="Arial" w:hAnsi="Arial"/>
          <w:sz w:val="17"/>
          <w:szCs w:val="17"/>
          <w:color w:val="auto"/>
        </w:rPr>
      </w:pPr>
    </w:p>
    <w:p>
      <w:pPr>
        <w:ind w:left="1384" w:hanging="393"/>
        <w:spacing w:after="0"/>
        <w:tabs>
          <w:tab w:leader="none" w:pos="1384" w:val="left"/>
        </w:tabs>
        <w:numPr>
          <w:ilvl w:val="1"/>
          <w:numId w:val="221"/>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time of the Borrowing in paragraph</w:t>
      </w:r>
    </w:p>
    <w:p>
      <w:pPr>
        <w:spacing w:after="0" w:line="46" w:lineRule="exact"/>
        <w:rPr>
          <w:rFonts w:ascii="Arial" w:cs="Arial" w:eastAsia="Arial" w:hAnsi="Arial"/>
          <w:sz w:val="16"/>
          <w:szCs w:val="16"/>
          <w:color w:val="auto"/>
        </w:rPr>
      </w:pPr>
    </w:p>
    <w:p>
      <w:pPr>
        <w:ind w:left="4" w:right="200" w:hanging="4"/>
        <w:spacing w:after="0" w:line="253" w:lineRule="auto"/>
        <w:tabs>
          <w:tab w:leader="none" w:pos="24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of this Section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Borrowing on the Closing Date or the Business Day immediately thereafter (as specified by the Borrower in the Borrowing Request) available to the Administrative Agent, then</w:t>
      </w:r>
    </w:p>
    <w:p>
      <w:pPr>
        <w:spacing w:after="0" w:line="12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4"/>
          </w:cols>
          <w:pgMar w:left="436" w:top="274" w:right="499" w:bottom="1440" w:gutter="0" w:footer="0" w:header="0"/>
        </w:sectPr>
      </w:pPr>
    </w:p>
    <w:bookmarkStart w:id="217" w:name="page218"/>
    <w:bookmarkEnd w:id="217"/>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the Loans comprising such Borrowing.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273"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7"/>
          <w:szCs w:val="17"/>
          <w:u w:val="single" w:color="auto"/>
          <w:color w:val="auto"/>
        </w:rPr>
        <w:t>Illegality</w:t>
      </w:r>
      <w:r>
        <w:rPr>
          <w:rFonts w:ascii="Arial" w:cs="Arial" w:eastAsia="Arial" w:hAnsi="Arial"/>
          <w:sz w:val="17"/>
          <w:szCs w:val="17"/>
          <w:color w:val="auto"/>
        </w:rPr>
        <w:t>.</w:t>
      </w:r>
    </w:p>
    <w:p>
      <w:pPr>
        <w:spacing w:after="0" w:line="117" w:lineRule="exact"/>
        <w:rPr>
          <w:sz w:val="20"/>
          <w:szCs w:val="20"/>
          <w:color w:val="auto"/>
        </w:rPr>
      </w:pPr>
    </w:p>
    <w:p>
      <w:pPr>
        <w:ind w:left="1364" w:hanging="373"/>
        <w:spacing w:after="0"/>
        <w:tabs>
          <w:tab w:leader="none" w:pos="136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w:t>
      </w:r>
    </w:p>
    <w:p>
      <w:pPr>
        <w:spacing w:after="0" w:line="225" w:lineRule="exact"/>
        <w:rPr>
          <w:rFonts w:ascii="Arial" w:cs="Arial" w:eastAsia="Arial" w:hAnsi="Arial"/>
          <w:sz w:val="18"/>
          <w:szCs w:val="18"/>
          <w:color w:val="auto"/>
        </w:rPr>
      </w:pPr>
    </w:p>
    <w:p>
      <w:pPr>
        <w:ind w:left="4" w:right="40" w:firstLine="1428"/>
        <w:spacing w:after="0" w:line="255" w:lineRule="auto"/>
        <w:tabs>
          <w:tab w:leader="none" w:pos="1786" w:val="left"/>
        </w:tabs>
        <w:numPr>
          <w:ilvl w:val="2"/>
          <w:numId w:val="223"/>
        </w:numPr>
        <w:rPr>
          <w:rFonts w:ascii="Arial" w:cs="Arial" w:eastAsia="Arial" w:hAnsi="Arial"/>
          <w:sz w:val="18"/>
          <w:szCs w:val="18"/>
          <w:color w:val="auto"/>
        </w:rPr>
      </w:pPr>
      <w:r>
        <w:rPr>
          <w:rFonts w:ascii="Arial" w:cs="Arial" w:eastAsia="Arial" w:hAnsi="Arial"/>
          <w:sz w:val="18"/>
          <w:szCs w:val="18"/>
          <w:color w:val="auto"/>
        </w:rPr>
        <w:t>if any Lender shall notify the Administrative Agent that the introduction of or any change in or in the interpretation of any Law or regulation makes it unlawful, or any central bank or other Governmental Authority asserts that it is unlawful, for such Lender or its Lending Office to perform its obligations hereunder to maintain TIBOR Rate Loans hereunder or to determine or change interest rates based upon the TIBOR Rate (an “</w:t>
      </w:r>
      <w:r>
        <w:rPr>
          <w:rFonts w:ascii="Arial" w:cs="Arial" w:eastAsia="Arial" w:hAnsi="Arial"/>
          <w:sz w:val="18"/>
          <w:szCs w:val="18"/>
          <w:u w:val="single" w:color="auto"/>
          <w:color w:val="auto"/>
        </w:rPr>
        <w:t>Illegality Event</w:t>
      </w:r>
      <w:r>
        <w:rPr>
          <w:rFonts w:ascii="Arial" w:cs="Arial" w:eastAsia="Arial" w:hAnsi="Arial"/>
          <w:sz w:val="18"/>
          <w:szCs w:val="18"/>
          <w:color w:val="auto"/>
        </w:rPr>
        <w:t>”), then the Administrative Agent shall forthwith so notify the Borrower, and the obligation of such Lender to continue TIBOR Rate Loans shall be suspended until the Administrative Agent shall notify the Borrower and such Lender that the circumstances causing such suspension no longer exist; or</w:t>
      </w:r>
    </w:p>
    <w:p>
      <w:pPr>
        <w:spacing w:after="0" w:line="192" w:lineRule="exact"/>
        <w:rPr>
          <w:rFonts w:ascii="Arial" w:cs="Arial" w:eastAsia="Arial" w:hAnsi="Arial"/>
          <w:sz w:val="18"/>
          <w:szCs w:val="18"/>
          <w:color w:val="auto"/>
        </w:rPr>
      </w:pPr>
    </w:p>
    <w:p>
      <w:pPr>
        <w:ind w:left="4" w:right="160" w:firstLine="1428"/>
        <w:spacing w:after="0" w:line="259" w:lineRule="auto"/>
        <w:tabs>
          <w:tab w:leader="none" w:pos="1836" w:val="left"/>
        </w:tabs>
        <w:numPr>
          <w:ilvl w:val="2"/>
          <w:numId w:val="223"/>
        </w:numPr>
        <w:rPr>
          <w:rFonts w:ascii="Arial" w:cs="Arial" w:eastAsia="Arial" w:hAnsi="Arial"/>
          <w:sz w:val="18"/>
          <w:szCs w:val="18"/>
          <w:color w:val="auto"/>
        </w:rPr>
      </w:pPr>
      <w:r>
        <w:rPr>
          <w:rFonts w:ascii="Arial" w:cs="Arial" w:eastAsia="Arial" w:hAnsi="Arial"/>
          <w:sz w:val="18"/>
          <w:szCs w:val="18"/>
          <w:color w:val="auto"/>
        </w:rPr>
        <w:t>if Lenders constituting the Required Lenders shall notify the Administrative Agent of an Illegality Event with respect to such Required Lenders, then the Administrative Agent shall promptly so notify the Borrower, and the obligation of each Lender to continue TIBOR Rate Loans as TIBOR Rate Loans shall be suspended until the Administrative Agent shall notify the Borrower and each Lender that the circumstances causing such suspension no longer exist.</w:t>
      </w:r>
    </w:p>
    <w:p>
      <w:pPr>
        <w:spacing w:after="0" w:line="186" w:lineRule="exact"/>
        <w:rPr>
          <w:rFonts w:ascii="Arial" w:cs="Arial" w:eastAsia="Arial" w:hAnsi="Arial"/>
          <w:sz w:val="18"/>
          <w:szCs w:val="18"/>
          <w:color w:val="auto"/>
        </w:rPr>
      </w:pPr>
    </w:p>
    <w:p>
      <w:pPr>
        <w:ind w:left="1384" w:hanging="393"/>
        <w:spacing w:after="0"/>
        <w:tabs>
          <w:tab w:leader="none" w:pos="138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Upon receipt of any notice of an Illegality Event from the Administrative Agent, the Borrower shall, at its election, either</w:t>
      </w:r>
    </w:p>
    <w:p>
      <w:pPr>
        <w:spacing w:after="0" w:line="23" w:lineRule="exact"/>
        <w:rPr>
          <w:rFonts w:ascii="Arial" w:cs="Arial" w:eastAsia="Arial" w:hAnsi="Arial"/>
          <w:sz w:val="18"/>
          <w:szCs w:val="18"/>
          <w:color w:val="auto"/>
        </w:rPr>
      </w:pPr>
    </w:p>
    <w:p>
      <w:pPr>
        <w:ind w:left="4" w:hanging="4"/>
        <w:spacing w:after="0" w:line="251" w:lineRule="auto"/>
        <w:tabs>
          <w:tab w:leader="none" w:pos="29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Convert all TIBOR Rate Loans into Alternative TIBOR Rate Loans (by delivering to the Administrative Agent a Borrowing Request in accordance with Section 2.03 with respect to such Conversion) at the end of the applicable Interest Period (unless such Lender or such Required Lenders, as applicable, may not lawfully maintain its or their TIBOR Rate Loans until such date, in which case, upon receipt of such notice from the Administrative Agent that such Lender or such Required Lenders, as applicable, may not lawfully maintain its or their TIBOR Rate Loans, such TIBOR Rate Loan shall automatically (and without any further action by the Borrower) be Converted into an Alternative TIBOR Rate Loan), or (B) prepay in full all TIBOR Rate Loans at the end of the applicable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election is made by the Borrower by the last day of the current Interest Period for such TIBOR Rate Loan, the Borrower shall be deemed to have elected clause (A) above with an Interest Period of three months’ duration. Upon such Conversion or prepayment, the Borrower shall also pay accrued interest to the date of such Conversion or prepayment on the amount so prepaid or Converted.</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218" w:name="page219"/>
    <w:bookmarkEnd w:id="218"/>
    <w:p>
      <w:pPr>
        <w:ind w:right="280" w:firstLine="987"/>
        <w:spacing w:after="0" w:line="279" w:lineRule="auto"/>
        <w:tabs>
          <w:tab w:leader="none" w:pos="1371"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at any time receives a notice from the Administrative Agent that the relevant Illegality Event no longer exists, the Borrower may, at its election, Convert any applicable Alternative TIBOR Rate Loans (that were Converted from TIBOR Rate Loans pursuant to paragraph (b) of this Section 2.07 as a result of such Illegality Event) at the end of the applicable Interest Period back to TIBOR Rate Loans by delivering to the Administrative Agent a Borrowing Request in accordance with Section 2.03 with respect to such Conversion.</w:t>
      </w:r>
    </w:p>
    <w:p>
      <w:pPr>
        <w:spacing w:after="0" w:line="17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Reduction of Commitments</w:t>
      </w:r>
      <w:r>
        <w:rPr>
          <w:rFonts w:ascii="Arial" w:cs="Arial" w:eastAsia="Arial" w:hAnsi="Arial"/>
          <w:sz w:val="18"/>
          <w:szCs w:val="18"/>
          <w:color w:val="auto"/>
        </w:rPr>
        <w:t>. Unless previously terminated, the aggregate Term Commitments shall be automatically, permanently and irrevocably reduced to zero at 5:00 p.m., New York City time, on the Business Day immediately following the Closing Date, such that no additional Term Loan or other extension of credit in respect thereof will be made after such date.</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17" w:lineRule="exact"/>
        <w:rPr>
          <w:sz w:val="20"/>
          <w:szCs w:val="20"/>
          <w:color w:val="auto"/>
        </w:rPr>
      </w:pPr>
    </w:p>
    <w:p>
      <w:pPr>
        <w:ind w:right="400" w:firstLine="987"/>
        <w:spacing w:after="0" w:line="263" w:lineRule="auto"/>
        <w:tabs>
          <w:tab w:leader="none" w:pos="136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in Yen to the Administrative Agent for the account of each Lender on the Maturity Date (or such earlier date on which the Loans become due and payable pursuant to Article VII) an amount equal to the then remaining aggregate principal amount of the Term Loan outstanding on such date in full.</w:t>
      </w:r>
    </w:p>
    <w:p>
      <w:pPr>
        <w:spacing w:after="0" w:line="183" w:lineRule="exact"/>
        <w:rPr>
          <w:rFonts w:ascii="Arial" w:cs="Arial" w:eastAsia="Arial" w:hAnsi="Arial"/>
          <w:sz w:val="18"/>
          <w:szCs w:val="18"/>
          <w:color w:val="auto"/>
        </w:rPr>
      </w:pPr>
    </w:p>
    <w:p>
      <w:pPr>
        <w:ind w:right="20" w:firstLine="987"/>
        <w:spacing w:after="0" w:line="263" w:lineRule="auto"/>
        <w:tabs>
          <w:tab w:leader="none" w:pos="138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firstLine="987"/>
        <w:spacing w:after="0" w:line="259" w:lineRule="auto"/>
        <w:tabs>
          <w:tab w:leader="none" w:pos="136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interest rate applicable thereto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ind w:right="140" w:firstLine="987"/>
        <w:spacing w:after="0" w:line="259" w:lineRule="auto"/>
        <w:tabs>
          <w:tab w:leader="none" w:pos="137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86" w:lineRule="exact"/>
        <w:rPr>
          <w:rFonts w:ascii="Arial" w:cs="Arial" w:eastAsia="Arial" w:hAnsi="Arial"/>
          <w:sz w:val="18"/>
          <w:szCs w:val="18"/>
          <w:color w:val="auto"/>
        </w:rPr>
      </w:pPr>
    </w:p>
    <w:p>
      <w:pPr>
        <w:ind w:right="40" w:firstLine="987"/>
        <w:spacing w:after="0" w:line="301" w:lineRule="auto"/>
        <w:tabs>
          <w:tab w:leader="none" w:pos="136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219" w:name="page220"/>
    <w:bookmarkEnd w:id="219"/>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2.10</w:t>
      </w:r>
      <w:r>
        <w:rPr>
          <w:sz w:val="20"/>
          <w:szCs w:val="20"/>
          <w:color w:val="auto"/>
        </w:rPr>
        <w:tab/>
      </w:r>
      <w:r>
        <w:rPr>
          <w:rFonts w:ascii="Arial" w:cs="Arial" w:eastAsia="Arial" w:hAnsi="Arial"/>
          <w:sz w:val="16"/>
          <w:szCs w:val="16"/>
          <w:u w:val="single" w:color="auto"/>
          <w:color w:val="auto"/>
        </w:rPr>
        <w:t>Optional Prepayment of Loans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3" w:lineRule="auto"/>
        <w:tabs>
          <w:tab w:leader="none" w:pos="136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in whole or in part, without premium or penalty, subject to prior notice given in accordance with paragraph (b) of this Section, or otherwise in form and substance reasonably acceptable to the Administrative Agent.</w:t>
      </w:r>
    </w:p>
    <w:p>
      <w:pPr>
        <w:spacing w:after="0" w:line="183" w:lineRule="exact"/>
        <w:rPr>
          <w:rFonts w:ascii="Arial" w:cs="Arial" w:eastAsia="Arial" w:hAnsi="Arial"/>
          <w:sz w:val="18"/>
          <w:szCs w:val="18"/>
          <w:color w:val="auto"/>
        </w:rPr>
      </w:pPr>
    </w:p>
    <w:p>
      <w:pPr>
        <w:ind w:firstLine="987"/>
        <w:spacing w:after="0" w:line="269" w:lineRule="auto"/>
        <w:tabs>
          <w:tab w:leader="none" w:pos="137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in writing (including transmission by electronic communication in accordance with Section 9.01(b)) of any prepayment hereunder not later than 2:00 p.m., New York City time, four (4) Business Days before the date of prepayment. Each such notice shall be irrevocable and shall specify the prepayment date and the principal amount of each Borrowing or portion thereof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prepayment of the then outstanding principal amount of the Loans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aggregate amount that is an integral multiple of the Borrowing Multiple and not less than the Borrowing Minimum . Each prepayment of a Borrowing shall be applied ratably to the Loans included in the notice of prepayment. Prepayments pursuant to this Section 2.10 shall be accompanied by accrued interest to the extent required by Section 2.12 and shall be subject to Section 2.15.</w:t>
      </w:r>
    </w:p>
    <w:p>
      <w:pPr>
        <w:spacing w:after="0" w:line="290"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17" w:lineRule="exact"/>
        <w:rPr>
          <w:sz w:val="20"/>
          <w:szCs w:val="20"/>
          <w:color w:val="auto"/>
        </w:rPr>
      </w:pPr>
    </w:p>
    <w:p>
      <w:pPr>
        <w:ind w:right="60" w:firstLine="987"/>
        <w:spacing w:after="0" w:line="277" w:lineRule="auto"/>
        <w:tabs>
          <w:tab w:leader="none" w:pos="136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70" w:lineRule="exact"/>
        <w:rPr>
          <w:rFonts w:ascii="Arial" w:cs="Arial" w:eastAsia="Arial" w:hAnsi="Arial"/>
          <w:sz w:val="18"/>
          <w:szCs w:val="18"/>
          <w:color w:val="auto"/>
        </w:rPr>
      </w:pPr>
    </w:p>
    <w:p>
      <w:pPr>
        <w:ind w:firstLine="987"/>
        <w:spacing w:after="0" w:line="263" w:lineRule="auto"/>
        <w:tabs>
          <w:tab w:leader="none" w:pos="137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or such other currency in which the applicable fees are expressed to be payable and in Same Day Funds, to the Administrative Agent for its own account or for distribution, as applicable. Fees paid shall not be refundable under any circumstances.</w:t>
      </w:r>
    </w:p>
    <w:p>
      <w:pPr>
        <w:spacing w:after="0" w:line="29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17" w:lineRule="exact"/>
        <w:rPr>
          <w:sz w:val="20"/>
          <w:szCs w:val="20"/>
          <w:color w:val="auto"/>
        </w:rPr>
      </w:pPr>
    </w:p>
    <w:p>
      <w:pPr>
        <w:ind w:right="300" w:firstLine="987"/>
        <w:spacing w:after="0" w:line="277" w:lineRule="auto"/>
        <w:tabs>
          <w:tab w:leader="none" w:pos="13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Each TIBOR Rate Loan shall bear interest at the TIBOR Rate for the Interest Period in effect for such Loan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180" w:firstLine="987"/>
        <w:spacing w:after="0" w:line="277" w:lineRule="auto"/>
        <w:tabs>
          <w:tab w:leader="none" w:pos="138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Each Alternative TIBOR Rate Loan shall bear interest at the Alternative TIBOR Rate for the Interest Period in effect for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right="200" w:firstLine="987"/>
        <w:spacing w:after="0" w:line="259" w:lineRule="auto"/>
        <w:tabs>
          <w:tab w:leader="none" w:pos="13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Notwithstanding the foregoing, at any time (x) an Event of Default has occurred and is continuing under clauses (h), (i) or (j) of Article VII or (y) if any principal of or interest on the Term Loan or any fee or other amount payable by the Borrower hereunder is not paid when due, whether at stated maturity, upon acceleration or otherwise, then such overdue amount shall bear interest, after as well as before judgment, at a rate per annum equal to (i)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220" w:name="page221"/>
    <w:bookmarkEnd w:id="220"/>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case of overdue principal of the Term Loan,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otherwise applicable to the Term Loan as provided in the preceding paragraphs of this Section or (ii) in the case of any other amount, upon the request of the Required Lenders, 2% plus the rate applicable to TIBOR Rate Loans having an Interest Period of three months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84" w:lineRule="exact"/>
        <w:rPr>
          <w:sz w:val="20"/>
          <w:szCs w:val="20"/>
          <w:color w:val="auto"/>
        </w:rPr>
      </w:pPr>
    </w:p>
    <w:p>
      <w:pPr>
        <w:ind w:firstLine="987"/>
        <w:spacing w:after="0" w:line="296" w:lineRule="auto"/>
        <w:tabs>
          <w:tab w:leader="none" w:pos="137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Accrued interest on each Loan shall be payable in arrears on each Interest Payment Date for such Loan and on the Maturity Date (or such earlier date on which the Loans become due and payable pursuant to Article VII);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paragraph (c) of this Section shall be payable on demand, (ii) in the event of any repayment or prepayment of the Loans, accrued interest on the principal amount repaid or prepaid shall be payable on the date of such repayment or prepayment and (iii) in the event of any Conversion of any Loan prior to the end of the current Interest Period therefor, accrued interest on such Loan shall be payable on the effective date of such Conversion.</w:t>
      </w:r>
    </w:p>
    <w:p>
      <w:pPr>
        <w:spacing w:after="0" w:line="161" w:lineRule="exact"/>
        <w:rPr>
          <w:rFonts w:ascii="Arial" w:cs="Arial" w:eastAsia="Arial" w:hAnsi="Arial"/>
          <w:sz w:val="16"/>
          <w:szCs w:val="16"/>
          <w:color w:val="auto"/>
        </w:rPr>
      </w:pPr>
    </w:p>
    <w:p>
      <w:pPr>
        <w:jc w:val="both"/>
        <w:ind w:right="140" w:firstLine="987"/>
        <w:spacing w:after="0" w:line="259" w:lineRule="auto"/>
        <w:tabs>
          <w:tab w:leader="none" w:pos="136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365 days (or 366 days in a leap year) and, in each case, shall be payable for the actual number of days elapsed (including the first day but excluding the last day). The applicable TIBOR Rate or Alternative TIBOR Rate shall be determined by the Administrative Agent in accordance with the provisions of this Agreement, and such determination shall be conclusive absent manifest error.</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Inability to Determine Rate of Interest</w:t>
      </w:r>
      <w:r>
        <w:rPr>
          <w:rFonts w:ascii="Arial" w:cs="Arial" w:eastAsia="Arial" w:hAnsi="Arial"/>
          <w:sz w:val="16"/>
          <w:szCs w:val="16"/>
          <w:color w:val="auto"/>
        </w:rPr>
        <w:t>.</w:t>
      </w:r>
    </w:p>
    <w:p>
      <w:pPr>
        <w:spacing w:after="0" w:line="117" w:lineRule="exact"/>
        <w:rPr>
          <w:sz w:val="20"/>
          <w:szCs w:val="20"/>
          <w:color w:val="auto"/>
        </w:rPr>
      </w:pPr>
    </w:p>
    <w:p>
      <w:pPr>
        <w:ind w:left="1360" w:hanging="373"/>
        <w:spacing w:after="0"/>
        <w:tabs>
          <w:tab w:leader="none" w:pos="13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 with respect to any TIBOR Rate Loans:</w:t>
      </w:r>
    </w:p>
    <w:p>
      <w:pPr>
        <w:spacing w:after="0" w:line="225" w:lineRule="exact"/>
        <w:rPr>
          <w:rFonts w:ascii="Arial" w:cs="Arial" w:eastAsia="Arial" w:hAnsi="Arial"/>
          <w:sz w:val="18"/>
          <w:szCs w:val="18"/>
          <w:color w:val="auto"/>
        </w:rPr>
      </w:pPr>
    </w:p>
    <w:p>
      <w:pPr>
        <w:ind w:right="380" w:firstLine="1428"/>
        <w:spacing w:after="0" w:line="279" w:lineRule="auto"/>
        <w:tabs>
          <w:tab w:leader="none" w:pos="1782"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the Administrative Agent determines (which determination shall be conclusive absent manifest error) that adequate and reasonable means do not exist for ascertaining the TIBOR Rate because the three-month or six-month tenor or the tenor of any other Interest Period determined in accordance with the definition of the term “Interest Period” of the TIBOR Rate (including any forward-looking term rate thereof) is available or published on a current basis, and such circumstances are unlikely to be temporary; or</w:t>
      </w:r>
    </w:p>
    <w:p>
      <w:pPr>
        <w:spacing w:after="0" w:line="171" w:lineRule="exact"/>
        <w:rPr>
          <w:rFonts w:ascii="Arial" w:cs="Arial" w:eastAsia="Arial" w:hAnsi="Arial"/>
          <w:sz w:val="17"/>
          <w:szCs w:val="17"/>
          <w:color w:val="auto"/>
        </w:rPr>
      </w:pPr>
    </w:p>
    <w:p>
      <w:pPr>
        <w:jc w:val="both"/>
        <w:ind w:right="180" w:firstLine="1428"/>
        <w:spacing w:after="0" w:line="342" w:lineRule="auto"/>
        <w:tabs>
          <w:tab w:leader="none" w:pos="183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Administrative Agent is advised by the Required Lenders that the TIBOR Rate for the applicable TIBOR Rate Loan will not adequately and fairly reflect the cost to such Lenders of maintaining their TIBOR Rate Loans included in such Borrowing for such Interest Period,</w:t>
      </w:r>
    </w:p>
    <w:p>
      <w:pPr>
        <w:spacing w:after="0" w:line="12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then the Administrative Agent shall give notice thereof to the Borrower and the Lenders by telephone or telecopy or transmission by electronic communication in accordance with Section 9.01 as promptly as practicable thereafter. Thereafter, the obligation of the Lenders to continue TIBOR Rate Loans shall be suspended, until the Administrative Agent (or, in the case of a determination by the Required Lenders described in clause (a)(ii) of this Section 2.13, until the Administrative Agent upon instruction of the Required Lenders) revokes such notice. Upon receipt of such notice, the Borrower shall, at its election, either (A) Convert all TIBOR Rate Loans into Alternative TIBOR Rate Loans (by delivering to the Administrative Agent a Borrowing Request in accordance with Section 2.03 with respect to such Conversion) at the end of the applicable Interest Period, or (B) prepay in full all TIBOR Rate Loans at the end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Borrower by the last day of the current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221" w:name="page222"/>
    <w:bookmarkEnd w:id="221"/>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Period for such TIBOR Rate Loan, the Borrower shall be deemed to have elected clause (A) above with an Interest Period of three months’ duration. Upon such Conversion or prepayment, the Borrower shall also pay accrued interest to the date of such Conversion or prepayment on the amount so prepaid or Converted.</w:t>
      </w:r>
    </w:p>
    <w:p>
      <w:pPr>
        <w:spacing w:after="0" w:line="184" w:lineRule="exact"/>
        <w:rPr>
          <w:sz w:val="20"/>
          <w:szCs w:val="20"/>
          <w:color w:val="auto"/>
        </w:rPr>
      </w:pPr>
    </w:p>
    <w:p>
      <w:pPr>
        <w:ind w:firstLine="987"/>
        <w:spacing w:after="0" w:line="259" w:lineRule="auto"/>
        <w:tabs>
          <w:tab w:leader="none" w:pos="138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the Borrower at any time receives a notice from the Administrative Agent that the notice provided pursuant to Section 2.13(a) is revoked, the Borrower may, at its election, Convert any applicable Alternative TIBOR Rate Loans (that were Converted from TIBOR Rate Loans pursuant to paragraph (a) of this Section 2.13) at the end of the applicable Interest Period back to TIBOR Rate Loans by delivering to the Administrative Agent a Borrowing Request in accordance with Section 2.03 with respect to such Conversion.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117" w:lineRule="exact"/>
        <w:rPr>
          <w:sz w:val="20"/>
          <w:szCs w:val="20"/>
          <w:color w:val="auto"/>
        </w:rPr>
      </w:pPr>
    </w:p>
    <w:p>
      <w:pPr>
        <w:ind w:left="1360" w:hanging="373"/>
        <w:spacing w:after="0"/>
        <w:tabs>
          <w:tab w:leader="none" w:pos="13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right="380" w:firstLine="1428"/>
        <w:spacing w:after="0" w:line="277" w:lineRule="auto"/>
        <w:tabs>
          <w:tab w:leader="none" w:pos="178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w:t>
      </w:r>
    </w:p>
    <w:p>
      <w:pPr>
        <w:spacing w:after="0" w:line="170" w:lineRule="exact"/>
        <w:rPr>
          <w:rFonts w:ascii="Arial" w:cs="Arial" w:eastAsia="Arial" w:hAnsi="Arial"/>
          <w:sz w:val="18"/>
          <w:szCs w:val="18"/>
          <w:color w:val="auto"/>
        </w:rPr>
      </w:pPr>
    </w:p>
    <w:p>
      <w:pPr>
        <w:ind w:right="320" w:firstLine="1428"/>
        <w:spacing w:after="0" w:line="308" w:lineRule="auto"/>
        <w:tabs>
          <w:tab w:leader="none" w:pos="183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46" w:lineRule="exact"/>
        <w:rPr>
          <w:rFonts w:ascii="Arial" w:cs="Arial" w:eastAsia="Arial" w:hAnsi="Arial"/>
          <w:sz w:val="17"/>
          <w:szCs w:val="17"/>
          <w:color w:val="auto"/>
        </w:rPr>
      </w:pPr>
    </w:p>
    <w:p>
      <w:pPr>
        <w:ind w:left="1880" w:hanging="452"/>
        <w:spacing w:after="0"/>
        <w:tabs>
          <w:tab w:leader="none" w:pos="1880"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impose on any Lender or the Tokyo interbank market any other condition affecting this Agreement or Loans made by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under this Agreement or of maintaining its obligation to make any such Loan or to reduce the amount of any sum received or receivable by such Lender hereunder, whether of principal, interest or otherwise, in each case by an amount deemed by such Lender to be material in the context of its making of, and participation in, extensions of credit under this Agreement, then, upon the request of such Lender, the Borrower will pay to such Lender, such additional amount or amounts as will compensate such Lender, for such additional costs incurred or reduction suffered.</w:t>
      </w:r>
    </w:p>
    <w:p>
      <w:pPr>
        <w:spacing w:after="0" w:line="176" w:lineRule="exact"/>
        <w:rPr>
          <w:sz w:val="20"/>
          <w:szCs w:val="20"/>
          <w:color w:val="auto"/>
        </w:rPr>
      </w:pPr>
    </w:p>
    <w:p>
      <w:pPr>
        <w:ind w:right="140" w:firstLine="987"/>
        <w:spacing w:after="0" w:line="273" w:lineRule="auto"/>
        <w:tabs>
          <w:tab w:leader="none" w:pos="138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If any Lender determines in good faith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the request of such Lender, the Borrower will pay to such Lender, such additional amount or amounts as will compensate such Lender or such Lender’s holding company for any such reduction suffered.</w:t>
      </w:r>
    </w:p>
    <w:p>
      <w:pPr>
        <w:spacing w:after="0" w:line="177" w:lineRule="exact"/>
        <w:rPr>
          <w:rFonts w:ascii="Arial" w:cs="Arial" w:eastAsia="Arial" w:hAnsi="Arial"/>
          <w:sz w:val="17"/>
          <w:szCs w:val="17"/>
          <w:color w:val="auto"/>
        </w:rPr>
      </w:pPr>
    </w:p>
    <w:p>
      <w:pPr>
        <w:ind w:right="40" w:firstLine="987"/>
        <w:spacing w:after="0" w:line="277" w:lineRule="auto"/>
        <w:tabs>
          <w:tab w:leader="none" w:pos="136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certificate of a Lender setting forth in reasonable detail the amount or amounts necessary to compensate such Lender or its holding company, as the case may be,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4" w:right="479" w:bottom="1440" w:gutter="0" w:footer="0" w:header="0"/>
        </w:sectPr>
      </w:pPr>
    </w:p>
    <w:bookmarkStart w:id="222" w:name="page223"/>
    <w:bookmarkEnd w:id="22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specified in paragraph (a) or (b) of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184" w:lineRule="exact"/>
        <w:rPr>
          <w:sz w:val="20"/>
          <w:szCs w:val="20"/>
          <w:color w:val="auto"/>
        </w:rPr>
      </w:pPr>
    </w:p>
    <w:p>
      <w:pPr>
        <w:ind w:firstLine="987"/>
        <w:spacing w:after="0" w:line="255" w:lineRule="auto"/>
        <w:tabs>
          <w:tab w:leader="none" w:pos="13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135 days prior to the date that such Lender notifies the Borrower of the Change in Law giving rise to such increased costs or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92" w:lineRule="exact"/>
        <w:rPr>
          <w:rFonts w:ascii="Arial" w:cs="Arial" w:eastAsia="Arial" w:hAnsi="Arial"/>
          <w:sz w:val="18"/>
          <w:szCs w:val="18"/>
          <w:color w:val="auto"/>
        </w:rPr>
      </w:pPr>
    </w:p>
    <w:p>
      <w:pPr>
        <w:ind w:right="180" w:firstLine="987"/>
        <w:spacing w:after="0" w:line="277" w:lineRule="auto"/>
        <w:tabs>
          <w:tab w:leader="none" w:pos="136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Lender’s claim for additional amounts pursuant to this Section 2.14 shall be generally consistent with such Lender’s treatment of customers of such Lender that such Lender considers, in its reasonable discretion, to be similarly situated as the Borrower.</w:t>
      </w:r>
    </w:p>
    <w:p>
      <w:pPr>
        <w:spacing w:after="0" w:line="170"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Loan other than on the last day of an Interest Period applicable thereto (including as a result of an Event of Default or as a result of any prepayment pursuant to Section 2.10), (b) the Conversion of any Loan other than on the last day of the Interest Period applicable thereto, (c) the failure to borrow, Convert, continue or prepay any Loan on the date specified in any notice delivered pursuant hereto (regardless of whether such notice may be revoked under Section 2.10 and is revoked in accordance therewith) or (d) the assignment of any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TIBOR Rate or Alternative TIBOR Rate, as applicable,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Tokyo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right="380" w:firstLine="987"/>
        <w:spacing w:after="0" w:line="277" w:lineRule="auto"/>
        <w:tabs>
          <w:tab w:leader="none" w:pos="1371"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 Any and all payments by or on account of any obligation of any Loan Party under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23" w:name="page224"/>
    <w:bookmarkEnd w:id="223"/>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Section 2.16) the applicable Recipient receives an amount equal to the sum it would have received had no such withholding or deduction been made.</w:t>
      </w:r>
    </w:p>
    <w:p>
      <w:pPr>
        <w:spacing w:after="0" w:line="165" w:lineRule="exact"/>
        <w:rPr>
          <w:sz w:val="20"/>
          <w:szCs w:val="20"/>
          <w:color w:val="auto"/>
        </w:rPr>
      </w:pPr>
    </w:p>
    <w:p>
      <w:pPr>
        <w:ind w:left="4" w:right="20" w:firstLine="987"/>
        <w:spacing w:after="0" w:line="263" w:lineRule="auto"/>
        <w:tabs>
          <w:tab w:leader="none" w:pos="1385"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291" w:lineRule="exact"/>
        <w:rPr>
          <w:rFonts w:ascii="Arial" w:cs="Arial" w:eastAsia="Arial" w:hAnsi="Arial"/>
          <w:sz w:val="18"/>
          <w:szCs w:val="18"/>
          <w:color w:val="auto"/>
        </w:rPr>
      </w:pPr>
    </w:p>
    <w:p>
      <w:pPr>
        <w:ind w:left="1364" w:hanging="373"/>
        <w:spacing w:after="0"/>
        <w:tabs>
          <w:tab w:leader="none" w:pos="1364" w:val="left"/>
        </w:tabs>
        <w:numPr>
          <w:ilvl w:val="1"/>
          <w:numId w:val="237"/>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54" w:lineRule="auto"/>
        <w:tabs>
          <w:tab w:leader="none" w:pos="1786" w:val="left"/>
        </w:tabs>
        <w:numPr>
          <w:ilvl w:val="2"/>
          <w:numId w:val="237"/>
        </w:numPr>
        <w:rPr>
          <w:rFonts w:ascii="Arial" w:cs="Arial" w:eastAsia="Arial" w:hAnsi="Arial"/>
          <w:sz w:val="18"/>
          <w:szCs w:val="18"/>
          <w:color w:val="auto"/>
        </w:rPr>
      </w:pPr>
      <w:r>
        <w:rPr>
          <w:rFonts w:ascii="Arial" w:cs="Arial" w:eastAsia="Arial" w:hAnsi="Arial"/>
          <w:sz w:val="18"/>
          <w:szCs w:val="18"/>
          <w:color w:val="auto"/>
        </w:rPr>
        <w:t>Each of the Loan Parties shall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4" w:lineRule="exact"/>
        <w:rPr>
          <w:rFonts w:ascii="Arial" w:cs="Arial" w:eastAsia="Arial" w:hAnsi="Arial"/>
          <w:sz w:val="18"/>
          <w:szCs w:val="18"/>
          <w:color w:val="auto"/>
        </w:rPr>
      </w:pPr>
    </w:p>
    <w:p>
      <w:pPr>
        <w:ind w:left="4" w:right="100" w:firstLine="1428"/>
        <w:spacing w:after="0" w:line="287" w:lineRule="auto"/>
        <w:tabs>
          <w:tab w:leader="none" w:pos="1836" w:val="left"/>
        </w:tabs>
        <w:numPr>
          <w:ilvl w:val="2"/>
          <w:numId w:val="237"/>
        </w:numPr>
        <w:rPr>
          <w:rFonts w:ascii="Arial" w:cs="Arial" w:eastAsia="Arial" w:hAnsi="Arial"/>
          <w:sz w:val="16"/>
          <w:szCs w:val="16"/>
          <w:color w:val="auto"/>
        </w:rPr>
      </w:pPr>
      <w:r>
        <w:rPr>
          <w:rFonts w:ascii="Arial" w:cs="Arial" w:eastAsia="Arial" w:hAnsi="Arial"/>
          <w:sz w:val="16"/>
          <w:szCs w:val="16"/>
          <w:color w:val="auto"/>
        </w:rPr>
        <w:t>Each Lender shall, and does hereby, severally indemnify, and shall make payment in respect thereof within 10 days after written demand therefor, (x) the Administrative Agent against any Indemnified Taxes attributable to such Lender (but only to the extent that any Loan Party has not already indemnified the Administrative Agent for such Indemnified Taxes and without limiting the obligation of the Loan Party to do so),</w:t>
      </w:r>
    </w:p>
    <w:p>
      <w:pPr>
        <w:spacing w:after="0" w:line="2" w:lineRule="exact"/>
        <w:rPr>
          <w:rFonts w:ascii="Arial" w:cs="Arial" w:eastAsia="Arial" w:hAnsi="Arial"/>
          <w:sz w:val="16"/>
          <w:szCs w:val="16"/>
          <w:color w:val="auto"/>
        </w:rPr>
      </w:pPr>
    </w:p>
    <w:p>
      <w:pPr>
        <w:ind w:left="4" w:right="80" w:hanging="4"/>
        <w:spacing w:after="0" w:line="269" w:lineRule="auto"/>
        <w:tabs>
          <w:tab w:leader="none" w:pos="259"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hereby authorizes the Administrative Agent or any Loan Party, as applicable, to set off and apply any and all amounts at</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4"/>
          </w:cols>
          <w:pgMar w:left="436" w:top="274" w:right="479" w:bottom="1440" w:gutter="0" w:footer="0" w:header="0"/>
        </w:sectPr>
      </w:pPr>
    </w:p>
    <w:bookmarkStart w:id="224" w:name="page225"/>
    <w:bookmarkEnd w:id="22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time owing to such Lender, as the case may be, under this Agreement or any other Loan Document against any amount due to the Administrative Agent or any Loan Party, as applicable, under this clause (ii).</w:t>
      </w:r>
    </w:p>
    <w:p>
      <w:pPr>
        <w:spacing w:after="0" w:line="170" w:lineRule="exact"/>
        <w:rPr>
          <w:sz w:val="20"/>
          <w:szCs w:val="20"/>
          <w:color w:val="auto"/>
        </w:rPr>
      </w:pPr>
    </w:p>
    <w:p>
      <w:pPr>
        <w:ind w:firstLine="987"/>
        <w:spacing w:after="0" w:line="255" w:lineRule="auto"/>
        <w:tabs>
          <w:tab w:leader="none" w:pos="138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 evidencing such payment, a copy of any return required by applicable Laws to report such payment or other evidence of such payment reasonably satisfactory to the Borrower or the Administrative Agent, as the case may be.</w:t>
      </w:r>
    </w:p>
    <w:p>
      <w:pPr>
        <w:spacing w:after="0" w:line="300" w:lineRule="exact"/>
        <w:rPr>
          <w:rFonts w:ascii="Arial" w:cs="Arial" w:eastAsia="Arial" w:hAnsi="Arial"/>
          <w:sz w:val="18"/>
          <w:szCs w:val="18"/>
          <w:color w:val="auto"/>
        </w:rPr>
      </w:pPr>
    </w:p>
    <w:p>
      <w:pPr>
        <w:ind w:left="1360" w:hanging="373"/>
        <w:spacing w:after="0"/>
        <w:tabs>
          <w:tab w:leader="none" w:pos="13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1428"/>
        <w:spacing w:after="0" w:line="269" w:lineRule="auto"/>
        <w:tabs>
          <w:tab w:leader="none" w:pos="1772"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Laws or the taxing authorities of a jurisdiction pursuant to such applicable Laws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1820" w:hanging="392"/>
        <w:spacing w:after="0"/>
        <w:tabs>
          <w:tab w:leader="none" w:pos="18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20" w:firstLine="910"/>
        <w:spacing w:after="0" w:line="259" w:lineRule="auto"/>
        <w:tabs>
          <w:tab w:leader="none" w:pos="231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78" w:lineRule="exact"/>
        <w:rPr>
          <w:rFonts w:ascii="Arial" w:cs="Arial" w:eastAsia="Arial" w:hAnsi="Arial"/>
          <w:sz w:val="18"/>
          <w:szCs w:val="18"/>
          <w:color w:val="auto"/>
        </w:rPr>
      </w:pPr>
    </w:p>
    <w:p>
      <w:pPr>
        <w:ind w:left="980" w:right="240" w:firstLine="910"/>
        <w:spacing w:after="0" w:line="263" w:lineRule="auto"/>
        <w:tabs>
          <w:tab w:leader="none" w:pos="230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thereafter upon the reasonable request of the Borrower or the Administrative Agent), whichever of the following is applicable:</w:t>
      </w:r>
    </w:p>
    <w:p>
      <w:pPr>
        <w:spacing w:after="0" w:line="131" w:lineRule="exact"/>
        <w:rPr>
          <w:sz w:val="20"/>
          <w:szCs w:val="20"/>
          <w:color w:val="auto"/>
        </w:rPr>
      </w:pPr>
    </w:p>
    <w:p>
      <w:pPr>
        <w:ind w:left="1860" w:hanging="428"/>
        <w:spacing w:after="0"/>
        <w:tabs>
          <w:tab w:leader="none" w:pos="186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1860" w:right="80"/>
        <w:spacing w:after="0" w:line="252" w:lineRule="auto"/>
        <w:rPr>
          <w:rFonts w:ascii="Arial" w:cs="Arial" w:eastAsia="Arial" w:hAnsi="Arial"/>
          <w:sz w:val="16"/>
          <w:szCs w:val="16"/>
          <w:color w:val="auto"/>
        </w:rPr>
      </w:pPr>
      <w:r>
        <w:rPr>
          <w:rFonts w:ascii="Arial" w:cs="Arial" w:eastAsia="Arial" w:hAnsi="Arial"/>
          <w:sz w:val="18"/>
          <w:szCs w:val="18"/>
          <w:color w:val="auto"/>
        </w:rPr>
        <w:t>(x)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 applicable payments under any Loan Document, IRS Form W-8BEN or W-8BEN-E (or successor form) establishing an exemption from, or reduction of, U.S. federal withholding Tax pursuant to the “business profits” or “other income” article of such tax treaty;</w:t>
      </w:r>
    </w:p>
    <w:p>
      <w:pPr>
        <w:spacing w:after="0" w:line="99" w:lineRule="exact"/>
        <w:rPr>
          <w:rFonts w:ascii="Arial" w:cs="Arial" w:eastAsia="Arial" w:hAnsi="Arial"/>
          <w:sz w:val="16"/>
          <w:szCs w:val="16"/>
          <w:color w:val="auto"/>
        </w:rPr>
      </w:pPr>
    </w:p>
    <w:p>
      <w:pPr>
        <w:ind w:left="1860" w:hanging="428"/>
        <w:spacing w:after="0"/>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30" w:lineRule="exact"/>
        <w:rPr>
          <w:rFonts w:ascii="Arial" w:cs="Arial" w:eastAsia="Arial" w:hAnsi="Arial"/>
          <w:sz w:val="18"/>
          <w:szCs w:val="18"/>
          <w:color w:val="auto"/>
        </w:rPr>
      </w:pPr>
    </w:p>
    <w:p>
      <w:pPr>
        <w:ind w:left="1860" w:hanging="428"/>
        <w:spacing w:after="0" w:line="273" w:lineRule="auto"/>
        <w:tabs>
          <w:tab w:leader="none" w:pos="1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83" w:lineRule="exact"/>
        <w:rPr>
          <w:rFonts w:ascii="Arial" w:cs="Arial" w:eastAsia="Arial" w:hAnsi="Arial"/>
          <w:sz w:val="17"/>
          <w:szCs w:val="17"/>
          <w:color w:val="auto"/>
        </w:rPr>
      </w:pPr>
    </w:p>
    <w:p>
      <w:pPr>
        <w:ind w:left="1860" w:right="20" w:hanging="428"/>
        <w:spacing w:after="0" w:line="272" w:lineRule="auto"/>
        <w:tabs>
          <w:tab w:leader="none" w:pos="18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11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020"/>
          </w:cols>
          <w:pgMar w:left="1420" w:top="274" w:right="459" w:bottom="1440" w:gutter="0" w:footer="0" w:header="0"/>
        </w:sectPr>
      </w:pPr>
    </w:p>
    <w:bookmarkStart w:id="226" w:name="page227"/>
    <w:bookmarkEnd w:id="226"/>
    <w:p>
      <w:pPr>
        <w:ind w:left="960" w:right="20" w:firstLine="910"/>
        <w:spacing w:after="0" w:line="293" w:lineRule="auto"/>
        <w:tabs>
          <w:tab w:leader="none" w:pos="2282" w:val="left"/>
        </w:tabs>
        <w:numPr>
          <w:ilvl w:val="2"/>
          <w:numId w:val="2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56" w:lineRule="exact"/>
        <w:rPr>
          <w:rFonts w:ascii="Arial" w:cs="Arial" w:eastAsia="Arial" w:hAnsi="Arial"/>
          <w:sz w:val="16"/>
          <w:szCs w:val="16"/>
          <w:color w:val="auto"/>
        </w:rPr>
      </w:pPr>
    </w:p>
    <w:p>
      <w:pPr>
        <w:ind w:left="960" w:firstLine="910"/>
        <w:spacing w:after="0" w:line="270" w:lineRule="auto"/>
        <w:tabs>
          <w:tab w:leader="none" w:pos="2292" w:val="left"/>
        </w:tabs>
        <w:numPr>
          <w:ilvl w:val="2"/>
          <w:numId w:val="241"/>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rFonts w:ascii="Arial" w:cs="Arial" w:eastAsia="Arial" w:hAnsi="Arial"/>
          <w:sz w:val="17"/>
          <w:szCs w:val="17"/>
          <w:color w:val="auto"/>
        </w:rPr>
      </w:pPr>
    </w:p>
    <w:p>
      <w:pPr>
        <w:ind w:left="-20" w:right="20" w:firstLine="1428"/>
        <w:spacing w:after="0" w:line="263" w:lineRule="auto"/>
        <w:tabs>
          <w:tab w:leader="none" w:pos="186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83" w:lineRule="exact"/>
        <w:rPr>
          <w:rFonts w:ascii="Arial" w:cs="Arial" w:eastAsia="Arial" w:hAnsi="Arial"/>
          <w:sz w:val="18"/>
          <w:szCs w:val="18"/>
          <w:color w:val="auto"/>
        </w:rPr>
      </w:pPr>
    </w:p>
    <w:p>
      <w:pPr>
        <w:ind w:left="-20" w:right="120" w:firstLine="987"/>
        <w:spacing w:after="0" w:line="290" w:lineRule="auto"/>
        <w:tabs>
          <w:tab w:leader="none" w:pos="1331"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Loan Party, upon the request of the Recipient, agrees to repay the amount paid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60" w:top="274" w:right="459" w:bottom="1440" w:gutter="0" w:footer="0" w:header="0"/>
        </w:sectPr>
      </w:pPr>
    </w:p>
    <w:bookmarkStart w:id="227" w:name="page228"/>
    <w:bookmarkEnd w:id="22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 not be construed to require any Recipient to make available its tax returns (or any other information relating to its taxes that it deems confidential) to any Loan Party or any other Person.</w:t>
      </w:r>
    </w:p>
    <w:p>
      <w:pPr>
        <w:spacing w:after="0" w:line="181" w:lineRule="exact"/>
        <w:rPr>
          <w:sz w:val="20"/>
          <w:szCs w:val="20"/>
          <w:color w:val="auto"/>
        </w:rPr>
      </w:pPr>
    </w:p>
    <w:p>
      <w:pPr>
        <w:ind w:left="1380" w:hanging="393"/>
        <w:spacing w:after="0"/>
        <w:tabs>
          <w:tab w:leader="none" w:pos="13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For purposes of this Section 2.16, the term “applicable Laws” includes FATCA.</w:t>
      </w:r>
    </w:p>
    <w:p>
      <w:pPr>
        <w:spacing w:after="0" w:line="225" w:lineRule="exact"/>
        <w:rPr>
          <w:rFonts w:ascii="Arial" w:cs="Arial" w:eastAsia="Arial" w:hAnsi="Arial"/>
          <w:sz w:val="18"/>
          <w:szCs w:val="18"/>
          <w:color w:val="auto"/>
        </w:rPr>
      </w:pPr>
    </w:p>
    <w:p>
      <w:pPr>
        <w:ind w:right="20" w:firstLine="987"/>
        <w:spacing w:after="0" w:line="263" w:lineRule="auto"/>
        <w:tabs>
          <w:tab w:leader="none" w:pos="138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2.16 shall survive the resignation or replacement of the Administrative Agent or any assignment of rights by, or the replacement of, a Lender, the termination of the Commitments and the repayment, satisfaction or discharge of all other Obligations.</w:t>
      </w:r>
    </w:p>
    <w:p>
      <w:pPr>
        <w:spacing w:after="0" w:line="292" w:lineRule="exact"/>
        <w:rPr>
          <w:sz w:val="20"/>
          <w:szCs w:val="20"/>
          <w:color w:val="auto"/>
        </w:rPr>
      </w:pPr>
    </w:p>
    <w:p>
      <w:pPr>
        <w:ind w:left="980"/>
        <w:spacing w:after="0"/>
        <w:tabs>
          <w:tab w:leader="none" w:pos="226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70" w:lineRule="auto"/>
        <w:tabs>
          <w:tab w:leader="none" w:pos="136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hereunder (whether of principal, interest, or fees, or of amounts payable under Section 2.14, 2.15 or 2.16, or otherwise) without condition or deduction for any counterclaim, defense, recoupment or setoff prior to 2:00 p.m., New York City time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in Yen to the Administrative Agent at the Administrative Agent’s Office, except that payments pursuant to Sections 2.14, 2.15, 2.16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0" w:lineRule="exact"/>
        <w:rPr>
          <w:rFonts w:ascii="Arial" w:cs="Arial" w:eastAsia="Arial" w:hAnsi="Arial"/>
          <w:sz w:val="17"/>
          <w:szCs w:val="17"/>
          <w:color w:val="auto"/>
        </w:rPr>
      </w:pPr>
    </w:p>
    <w:p>
      <w:pPr>
        <w:ind w:right="140" w:firstLine="987"/>
        <w:spacing w:after="0" w:line="257" w:lineRule="auto"/>
        <w:tabs>
          <w:tab w:leader="none" w:pos="138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based on the amount thereof among the parties entitled thereto in accordance with the amounts of interest and fees then due to such parties, and (ii) second, towards payment of principal then due hereunder, ratably based on the amount thereof among the parties entitled thereto in accordance with the amounts of principal then due to such parties.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228" w:name="page229"/>
    <w:bookmarkEnd w:id="228"/>
    <w:p>
      <w:pPr>
        <w:ind w:left="-20" w:right="40" w:firstLine="987"/>
        <w:spacing w:after="0" w:line="269" w:lineRule="auto"/>
        <w:tabs>
          <w:tab w:leader="none" w:pos="1351" w:val="left"/>
        </w:tabs>
        <w:numPr>
          <w:ilvl w:val="0"/>
          <w:numId w:val="2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8" w:lineRule="exact"/>
        <w:rPr>
          <w:rFonts w:ascii="Arial" w:cs="Arial" w:eastAsia="Arial" w:hAnsi="Arial"/>
          <w:sz w:val="17"/>
          <w:szCs w:val="17"/>
          <w:color w:val="auto"/>
        </w:rPr>
      </w:pPr>
    </w:p>
    <w:p>
      <w:pPr>
        <w:ind w:left="-20" w:firstLine="987"/>
        <w:spacing w:after="0" w:line="269" w:lineRule="auto"/>
        <w:tabs>
          <w:tab w:leader="none" w:pos="136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and (ii)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Arial" w:cs="Arial" w:eastAsia="Arial" w:hAnsi="Arial"/>
          <w:sz w:val="17"/>
          <w:szCs w:val="17"/>
          <w:u w:val="single" w:color="auto"/>
          <w:color w:val="auto"/>
        </w:rPr>
        <w:t>Rescindable Amount</w:t>
      </w:r>
      <w:r>
        <w:rPr>
          <w:rFonts w:ascii="Arial" w:cs="Arial" w:eastAsia="Arial" w:hAnsi="Arial"/>
          <w:sz w:val="17"/>
          <w:szCs w:val="17"/>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Overnight Rate and a rate determined by the Administrative Agent in accordance with banking industry rules on interbank compensation. A notice of the Administrative Agent to any Lender or the Borrower with respect to any amount owing under this subsection (d) shall be conclusive, absent manifest error.</w:t>
      </w:r>
    </w:p>
    <w:p>
      <w:pPr>
        <w:spacing w:after="0" w:line="178" w:lineRule="exact"/>
        <w:rPr>
          <w:rFonts w:ascii="Arial" w:cs="Arial" w:eastAsia="Arial" w:hAnsi="Arial"/>
          <w:sz w:val="17"/>
          <w:szCs w:val="17"/>
          <w:color w:val="auto"/>
        </w:rPr>
      </w:pPr>
    </w:p>
    <w:p>
      <w:pPr>
        <w:ind w:left="-20" w:firstLine="987"/>
        <w:spacing w:after="0" w:line="273" w:lineRule="auto"/>
        <w:tabs>
          <w:tab w:leader="none" w:pos="135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and to make payments are several and not joint. The failure of any Lender to make any Loan or to make any payment on any date required hereunder shall not relieve any other Lender of its corresponding obligation to do so on such date, and no Lender shall be responsible for the failure of any other Lender to so make its Loan or to make its payments.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60" w:top="274" w:right="459" w:bottom="1440" w:gutter="0" w:footer="0" w:header="0"/>
        </w:sectPr>
      </w:pPr>
    </w:p>
    <w:bookmarkStart w:id="229" w:name="page230"/>
    <w:bookmarkEnd w:id="229"/>
    <w:p>
      <w:pPr>
        <w:ind w:left="440"/>
        <w:spacing w:after="0"/>
        <w:tabs>
          <w:tab w:leader="none" w:pos="1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2.18</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90" w:lineRule="auto"/>
        <w:tabs>
          <w:tab w:leader="none" w:pos="1371"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65" w:lineRule="exact"/>
        <w:rPr>
          <w:rFonts w:ascii="Arial" w:cs="Arial" w:eastAsia="Arial" w:hAnsi="Arial"/>
          <w:sz w:val="16"/>
          <w:szCs w:val="16"/>
          <w:color w:val="auto"/>
        </w:rPr>
      </w:pPr>
    </w:p>
    <w:p>
      <w:pPr>
        <w:ind w:right="40" w:firstLine="987"/>
        <w:spacing w:after="0" w:line="270" w:lineRule="auto"/>
        <w:tabs>
          <w:tab w:leader="none" w:pos="1381"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If (1) any Lender requests compensation under Section 2.14, (2) the Borrower is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or (5)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80" w:lineRule="exact"/>
        <w:rPr>
          <w:rFonts w:ascii="Arial" w:cs="Arial" w:eastAsia="Arial" w:hAnsi="Arial"/>
          <w:sz w:val="17"/>
          <w:szCs w:val="17"/>
          <w:color w:val="auto"/>
        </w:rPr>
      </w:pPr>
    </w:p>
    <w:p>
      <w:pPr>
        <w:ind w:right="80" w:firstLine="1428"/>
        <w:spacing w:after="0" w:line="277" w:lineRule="auto"/>
        <w:tabs>
          <w:tab w:leader="none" w:pos="178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9.04 (unless otherwise agreed by the Administrative Agent);</w:t>
      </w:r>
    </w:p>
    <w:p>
      <w:pPr>
        <w:spacing w:after="0" w:line="170" w:lineRule="exact"/>
        <w:rPr>
          <w:rFonts w:ascii="Arial" w:cs="Arial" w:eastAsia="Arial" w:hAnsi="Arial"/>
          <w:sz w:val="18"/>
          <w:szCs w:val="18"/>
          <w:color w:val="auto"/>
        </w:rPr>
      </w:pPr>
    </w:p>
    <w:p>
      <w:pPr>
        <w:ind w:right="20" w:firstLine="1428"/>
        <w:spacing w:after="0" w:line="311" w:lineRule="auto"/>
        <w:tabs>
          <w:tab w:leader="none" w:pos="1832" w:val="left"/>
        </w:tabs>
        <w:numPr>
          <w:ilvl w:val="1"/>
          <w:numId w:val="247"/>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148" w:lineRule="exact"/>
        <w:rPr>
          <w:rFonts w:ascii="Arial" w:cs="Arial" w:eastAsia="Arial" w:hAnsi="Arial"/>
          <w:sz w:val="16"/>
          <w:szCs w:val="16"/>
          <w:color w:val="auto"/>
        </w:rPr>
      </w:pPr>
    </w:p>
    <w:p>
      <w:pPr>
        <w:ind w:right="340" w:firstLine="1428"/>
        <w:spacing w:after="0" w:line="308" w:lineRule="auto"/>
        <w:tabs>
          <w:tab w:leader="none" w:pos="1882" w:val="left"/>
        </w:tabs>
        <w:numPr>
          <w:ilvl w:val="1"/>
          <w:numId w:val="247"/>
        </w:numPr>
        <w:rPr>
          <w:rFonts w:ascii="Arial" w:cs="Arial" w:eastAsia="Arial" w:hAnsi="Arial"/>
          <w:sz w:val="17"/>
          <w:szCs w:val="17"/>
          <w:color w:val="auto"/>
        </w:rPr>
      </w:pPr>
      <w:r>
        <w:rPr>
          <w:rFonts w:ascii="Arial" w:cs="Arial" w:eastAsia="Arial" w:hAnsi="Arial"/>
          <w:sz w:val="17"/>
          <w:szCs w:val="17"/>
          <w:color w:val="auto"/>
        </w:rPr>
        <w:t>in the case of any such assignment resulting from a claim for compensation under Section 2.14 or payments required to be made pursuant to Section 2.16, such assignment will result in a reduction in such compensation or payments thereafter;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230" w:name="page231"/>
    <w:bookmarkEnd w:id="230"/>
    <w:p>
      <w:pPr>
        <w:ind w:firstLine="1428"/>
        <w:spacing w:after="0" w:line="263" w:lineRule="auto"/>
        <w:tabs>
          <w:tab w:leader="none" w:pos="1872"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83" w:lineRule="exact"/>
        <w:rPr>
          <w:rFonts w:ascii="Arial" w:cs="Arial" w:eastAsia="Arial" w:hAnsi="Arial"/>
          <w:sz w:val="18"/>
          <w:szCs w:val="18"/>
          <w:color w:val="auto"/>
        </w:rPr>
      </w:pPr>
    </w:p>
    <w:p>
      <w:pPr>
        <w:ind w:right="40" w:firstLine="1428"/>
        <w:spacing w:after="0" w:line="259" w:lineRule="auto"/>
        <w:tabs>
          <w:tab w:leader="none" w:pos="182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an assignment resulting from a circumstance described in clause (5) above, (A) the applicable assignee shall be permitted under Law and licensed to make and maintain the Term Loan to the Borrower in accordance with the terms of this Agreement and (B) after giving effect to such assignment (and to any other assignments made in connection therewith), each Lender shall be permitted under applicable Law and licensed to make and maintain the Term Loan under this Agreement; and</w:t>
      </w:r>
    </w:p>
    <w:p>
      <w:pPr>
        <w:spacing w:after="0" w:line="186" w:lineRule="exact"/>
        <w:rPr>
          <w:rFonts w:ascii="Arial" w:cs="Arial" w:eastAsia="Arial" w:hAnsi="Arial"/>
          <w:sz w:val="18"/>
          <w:szCs w:val="18"/>
          <w:color w:val="auto"/>
        </w:rPr>
      </w:pPr>
    </w:p>
    <w:p>
      <w:pPr>
        <w:ind w:left="1860" w:hanging="432"/>
        <w:spacing w:after="0"/>
        <w:tabs>
          <w:tab w:leader="none" w:pos="18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Judgment Currency</w:t>
      </w:r>
      <w:r>
        <w:rPr>
          <w:rFonts w:ascii="Arial" w:cs="Arial" w:eastAsia="Arial" w:hAnsi="Arial"/>
          <w:sz w:val="16"/>
          <w:szCs w:val="16"/>
          <w:color w:val="auto"/>
        </w:rPr>
        <w:t>. If for the purposes of obtaining judgment in any court it is necessary to convert a sum due from the Borrower hereunder in the currency expressed to be payable herein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the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279"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17" w:lineRule="exact"/>
        <w:rPr>
          <w:sz w:val="20"/>
          <w:szCs w:val="20"/>
          <w:color w:val="auto"/>
        </w:rPr>
      </w:pPr>
    </w:p>
    <w:p>
      <w:pPr>
        <w:ind w:right="360" w:firstLine="987"/>
        <w:spacing w:after="0" w:line="342" w:lineRule="auto"/>
        <w:tabs>
          <w:tab w:leader="none" w:pos="1371"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Defaulting Lender Adjustments</w:t>
      </w:r>
      <w:r>
        <w:rPr>
          <w:rFonts w:ascii="Arial" w:cs="Arial" w:eastAsia="Arial" w:hAnsi="Arial"/>
          <w:sz w:val="16"/>
          <w:szCs w:val="16"/>
          <w:color w:val="auto"/>
        </w:rPr>
        <w:t>. Notwithstanding anything to the contrary contained in this Agreement, if any Lender becomes a Defaulting Lender, then, until such time as such Lender is no longer a Defaulting Lender, to the extent permitted by applicable law, 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231" w:name="page232"/>
    <w:bookmarkEnd w:id="231"/>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fifth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5" w:lineRule="exact"/>
        <w:rPr>
          <w:sz w:val="20"/>
          <w:szCs w:val="20"/>
          <w:color w:val="auto"/>
        </w:rPr>
      </w:pPr>
    </w:p>
    <w:p>
      <w:pPr>
        <w:ind w:left="4" w:hanging="4"/>
        <w:spacing w:after="0" w:line="270" w:lineRule="auto"/>
        <w:tabs>
          <w:tab w:leader="none" w:pos="25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such payment is a payment of the principal amount of any Loans in respect of which such Defaulting Lender has not fully funded its appropriate share, and (y) such Loans were made at a time when the conditions set forth in Section 4.01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pursuant to this Section 2.20(a) shall be deemed paid to and redirected by such Defaulting Lender, and each Lender irrevocably consents hereto.</w:t>
      </w:r>
    </w:p>
    <w:p>
      <w:pPr>
        <w:spacing w:after="0" w:line="178" w:lineRule="exact"/>
        <w:rPr>
          <w:rFonts w:ascii="Arial" w:cs="Arial" w:eastAsia="Arial" w:hAnsi="Arial"/>
          <w:sz w:val="17"/>
          <w:szCs w:val="17"/>
          <w:color w:val="auto"/>
        </w:rPr>
      </w:pPr>
    </w:p>
    <w:p>
      <w:pPr>
        <w:ind w:left="4" w:right="40" w:firstLine="987"/>
        <w:spacing w:after="0" w:line="271" w:lineRule="auto"/>
        <w:tabs>
          <w:tab w:leader="none" w:pos="1385"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the Loans to be held pro rata by the Lenders in accordance with the Commitments,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74" w:right="459" w:bottom="1440" w:gutter="0" w:footer="0" w:header="0"/>
        </w:sectPr>
      </w:pPr>
    </w:p>
    <w:bookmarkStart w:id="232" w:name="page233"/>
    <w:bookmarkEnd w:id="23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The Borrower represents and warrants to the Administrative Agent and the Lenders as of the Closing Date and the date of the making of the Term Loan, that:</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 Subsidiaries</w:t>
      </w:r>
      <w:r>
        <w:rPr>
          <w:rFonts w:ascii="Arial" w:cs="Arial" w:eastAsia="Arial" w:hAnsi="Arial"/>
          <w:sz w:val="16"/>
          <w:szCs w:val="16"/>
          <w:color w:val="auto"/>
        </w:rPr>
        <w:t xml:space="preserve"> .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 class of capital stock or other equity interests of any Material Subsidiary, except as disclosed on Schedule 3.01.</w:t>
      </w:r>
    </w:p>
    <w:p>
      <w:pPr>
        <w:spacing w:after="0" w:line="168" w:lineRule="exact"/>
        <w:rPr>
          <w:sz w:val="20"/>
          <w:szCs w:val="20"/>
          <w:color w:val="auto"/>
        </w:rPr>
      </w:pPr>
    </w:p>
    <w:p>
      <w:pPr>
        <w:ind w:left="4" w:right="20" w:firstLine="440"/>
        <w:spacing w:after="0" w:line="296"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61"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w:t>
      </w:r>
    </w:p>
    <w:p>
      <w:pPr>
        <w:spacing w:after="0" w:line="1" w:lineRule="exact"/>
        <w:rPr>
          <w:sz w:val="20"/>
          <w:szCs w:val="20"/>
          <w:color w:val="auto"/>
        </w:rPr>
      </w:pPr>
    </w:p>
    <w:p>
      <w:pPr>
        <w:ind w:left="5424" w:right="2220" w:hanging="5424"/>
        <w:spacing w:after="0" w:line="433" w:lineRule="auto"/>
        <w:tabs>
          <w:tab w:leader="none" w:pos="2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above, to the extent that such violation or default would not reasonably be expected to have a Material Adverse Effect. 50</w:t>
      </w:r>
    </w:p>
    <w:p>
      <w:pPr>
        <w:sectPr>
          <w:pgSz w:w="11900" w:h="16838" w:orient="portrait"/>
          <w:cols w:equalWidth="0" w:num="1">
            <w:col w:w="11004"/>
          </w:cols>
          <w:pgMar w:left="436" w:top="274" w:right="459" w:bottom="1440" w:gutter="0" w:footer="0" w:header="0"/>
        </w:sectPr>
      </w:pPr>
    </w:p>
    <w:bookmarkStart w:id="233" w:name="page234"/>
    <w:bookmarkEnd w:id="233"/>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3.04</w:t>
      </w:r>
      <w:r>
        <w:rPr>
          <w:sz w:val="20"/>
          <w:szCs w:val="20"/>
          <w:color w:val="auto"/>
        </w:rPr>
        <w:tab/>
      </w:r>
      <w:r>
        <w:rPr>
          <w:rFonts w:ascii="Arial" w:cs="Arial" w:eastAsia="Arial" w:hAnsi="Arial"/>
          <w:sz w:val="16"/>
          <w:szCs w:val="16"/>
          <w:u w:val="single" w:color="auto"/>
          <w:color w:val="auto"/>
        </w:rPr>
        <w:t>Financial Statements; Financial Condition; No Material Adverse Change</w:t>
      </w:r>
      <w:r>
        <w:rPr>
          <w:rFonts w:ascii="Arial" w:cs="Arial" w:eastAsia="Arial" w:hAnsi="Arial"/>
          <w:sz w:val="16"/>
          <w:szCs w:val="16"/>
          <w:color w:val="auto"/>
        </w:rPr>
        <w:t>.</w:t>
      </w:r>
    </w:p>
    <w:p>
      <w:pPr>
        <w:spacing w:after="0" w:line="117" w:lineRule="exact"/>
        <w:rPr>
          <w:sz w:val="20"/>
          <w:szCs w:val="20"/>
          <w:color w:val="auto"/>
        </w:rPr>
      </w:pPr>
    </w:p>
    <w:p>
      <w:pPr>
        <w:ind w:left="4" w:right="120" w:firstLine="987"/>
        <w:spacing w:after="0" w:line="275" w:lineRule="auto"/>
        <w:tabs>
          <w:tab w:leader="none" w:pos="137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Borrower has heretofore furnished to the Lenders the Borrower’s consolidated balance sheet and statements of earnings, stockholders equity and cash flows, (x) for each of the three fiscal years ended December 31, 2020, December 31, 2019 and December 31, 2018 reported on by Deloitte &amp; Touche LLP, independent public accountants, and (y) as of, and for the fiscal quarter ended, March 31, 2020, certified by its chief financial officer which financial statements present fairly, in all material respects, the consolidated financial position and results of operations and cash flows of the Borrower as of such dates and for such periods in accordance with GAAP.</w:t>
      </w:r>
    </w:p>
    <w:p>
      <w:pPr>
        <w:spacing w:after="0" w:line="176" w:lineRule="exact"/>
        <w:rPr>
          <w:rFonts w:ascii="Arial" w:cs="Arial" w:eastAsia="Arial" w:hAnsi="Arial"/>
          <w:sz w:val="17"/>
          <w:szCs w:val="17"/>
          <w:color w:val="auto"/>
        </w:rPr>
      </w:pPr>
    </w:p>
    <w:p>
      <w:pPr>
        <w:ind w:left="4" w:right="100" w:firstLine="987"/>
        <w:spacing w:after="0" w:line="277" w:lineRule="auto"/>
        <w:tabs>
          <w:tab w:leader="none" w:pos="138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3.04(b)</w:t>
      </w:r>
      <w:r>
        <w:rPr>
          <w:rFonts w:ascii="Arial" w:cs="Arial" w:eastAsia="Arial" w:hAnsi="Arial"/>
          <w:sz w:val="18"/>
          <w:szCs w:val="18"/>
          <w:color w:val="auto"/>
        </w:rPr>
        <w:t>, since December 31, 2020, there has been no material adverse change in the business, assets, properties or financial condition of the Borrower and its Subsidiaries, taken as a whole.</w:t>
      </w:r>
    </w:p>
    <w:p>
      <w:pPr>
        <w:spacing w:after="0" w:line="278"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59" w:lineRule="auto"/>
        <w:tabs>
          <w:tab w:leader="none" w:pos="137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 or to utilize such properties for their intended purposes and except where the failure to have such title or interest would not reasonably be expected to have a Material Adverse Effect.</w:t>
      </w:r>
    </w:p>
    <w:p>
      <w:pPr>
        <w:spacing w:after="0" w:line="186" w:lineRule="exact"/>
        <w:rPr>
          <w:rFonts w:ascii="Arial" w:cs="Arial" w:eastAsia="Arial" w:hAnsi="Arial"/>
          <w:sz w:val="18"/>
          <w:szCs w:val="18"/>
          <w:color w:val="auto"/>
        </w:rPr>
      </w:pPr>
    </w:p>
    <w:p>
      <w:pPr>
        <w:ind w:left="4" w:right="20" w:firstLine="987"/>
        <w:spacing w:after="0" w:line="279" w:lineRule="auto"/>
        <w:tabs>
          <w:tab w:leader="none" w:pos="138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Borrower and its Subsidiaries own, or are licensed or possess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279"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75" w:lineRule="auto"/>
        <w:tabs>
          <w:tab w:leader="none" w:pos="1372"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76" w:lineRule="exact"/>
        <w:rPr>
          <w:rFonts w:ascii="Arial" w:cs="Arial" w:eastAsia="Arial" w:hAnsi="Arial"/>
          <w:sz w:val="17"/>
          <w:szCs w:val="17"/>
          <w:color w:val="auto"/>
        </w:rPr>
      </w:pPr>
    </w:p>
    <w:p>
      <w:pPr>
        <w:ind w:left="4" w:right="460" w:firstLine="987"/>
        <w:spacing w:after="0" w:line="287" w:lineRule="auto"/>
        <w:tabs>
          <w:tab w:leader="none" w:pos="1385"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w:t>
      </w:r>
    </w:p>
    <w:p>
      <w:pPr>
        <w:spacing w:after="0" w:line="2" w:lineRule="exact"/>
        <w:rPr>
          <w:rFonts w:ascii="Arial" w:cs="Arial" w:eastAsia="Arial" w:hAnsi="Arial"/>
          <w:sz w:val="16"/>
          <w:szCs w:val="16"/>
          <w:color w:val="auto"/>
        </w:rPr>
      </w:pPr>
    </w:p>
    <w:p>
      <w:pPr>
        <w:ind w:left="4" w:right="500" w:hanging="4"/>
        <w:spacing w:after="0" w:line="260" w:lineRule="auto"/>
        <w:tabs>
          <w:tab w:leader="none" w:pos="26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has become subject to any pending or known Environmental Liability, (iii) has received notice of any claim with respect to any Environmental Liability or (iv) knows of any basis for any Environmental Liability.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4"/>
          </w:cols>
          <w:pgMar w:left="436" w:top="274" w:right="439" w:bottom="1440" w:gutter="0" w:footer="0" w:header="0"/>
        </w:sectPr>
      </w:pPr>
    </w:p>
    <w:bookmarkStart w:id="234" w:name="page235"/>
    <w:bookmarkEnd w:id="234"/>
    <w:p>
      <w:pPr>
        <w:ind w:left="4"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Except as set forth on Schedule 3.07,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8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other Loan Party is required to register as an “investment company” as defined in the Investment Company Act of 1940.</w:t>
      </w:r>
    </w:p>
    <w:p>
      <w:pPr>
        <w:spacing w:after="0" w:line="170"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left="4" w:right="200" w:hanging="4"/>
        <w:spacing w:after="0" w:line="255" w:lineRule="auto"/>
        <w:tabs>
          <w:tab w:leader="none" w:pos="24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9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Solvency</w:t>
      </w:r>
      <w:r>
        <w:rPr>
          <w:rFonts w:ascii="Arial" w:cs="Arial" w:eastAsia="Arial" w:hAnsi="Arial"/>
          <w:sz w:val="18"/>
          <w:szCs w:val="18"/>
          <w:color w:val="auto"/>
        </w:rPr>
        <w:t>. On the Closing Date and the date of funding of the Term Loan, after giving effect to the Transactions, the Borrower and its Subsidiaries, on a consolidated basis, are Solvent.</w:t>
      </w:r>
    </w:p>
    <w:p>
      <w:pPr>
        <w:spacing w:after="0" w:line="170" w:lineRule="exact"/>
        <w:rPr>
          <w:sz w:val="20"/>
          <w:szCs w:val="20"/>
          <w:color w:val="auto"/>
        </w:rPr>
      </w:pPr>
    </w:p>
    <w:p>
      <w:pPr>
        <w:ind w:left="444"/>
        <w:spacing w:after="0"/>
        <w:tabs>
          <w:tab w:leader="none" w:pos="1704"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94" w:lineRule="exact"/>
        <w:rPr>
          <w:sz w:val="20"/>
          <w:szCs w:val="20"/>
          <w:color w:val="auto"/>
        </w:rPr>
      </w:pPr>
    </w:p>
    <w:p>
      <w:pPr>
        <w:ind w:left="4" w:right="400" w:firstLine="440"/>
        <w:spacing w:after="0" w:line="308"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No part of the proceeds of the Term Loan have been used or will be used, whether directly or indirectly, for any purpose that entails a violation of any of the Regulations of the Board, including Regulations T, U and X.</w:t>
      </w:r>
    </w:p>
    <w:p>
      <w:pPr>
        <w:spacing w:after="0" w:line="146"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PATRIOT Act</w:t>
      </w:r>
      <w:r>
        <w:rPr>
          <w:rFonts w:ascii="Arial" w:cs="Arial" w:eastAsia="Arial" w:hAnsi="Arial"/>
          <w:sz w:val="18"/>
          <w:szCs w:val="18"/>
          <w:color w:val="auto"/>
        </w:rPr>
        <w:t>. Each of the Loan Parties and each of their respective Subsidiaries are in compliance, in all material respects, with the Act. No part of the proceeds of</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4" w:right="459" w:bottom="1440" w:gutter="0" w:footer="0" w:header="0"/>
        </w:sectPr>
      </w:pPr>
    </w:p>
    <w:bookmarkStart w:id="235" w:name="page236"/>
    <w:bookmarkEnd w:id="235"/>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Loan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OFAC</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272" w:lineRule="auto"/>
        <w:tabs>
          <w:tab w:leader="none" w:pos="137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Neither the Borrower, nor any Subsidiary is (i) a Person whose name appears on the list of Specially Designated Nationals and Blocked Persons published by OFAC (an “</w:t>
      </w:r>
      <w:r>
        <w:rPr>
          <w:rFonts w:ascii="Arial" w:cs="Arial" w:eastAsia="Arial" w:hAnsi="Arial"/>
          <w:sz w:val="17"/>
          <w:szCs w:val="17"/>
          <w:u w:val="single" w:color="auto"/>
          <w:color w:val="auto"/>
        </w:rPr>
        <w:t>OFAC Listed Person</w:t>
      </w:r>
      <w:r>
        <w:rPr>
          <w:rFonts w:ascii="Arial" w:cs="Arial" w:eastAsia="Arial" w:hAnsi="Arial"/>
          <w:sz w:val="17"/>
          <w:szCs w:val="17"/>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Her Majesty’s Treasury (an “</w:t>
      </w:r>
      <w:r>
        <w:rPr>
          <w:rFonts w:ascii="Arial" w:cs="Arial" w:eastAsia="Arial" w:hAnsi="Arial"/>
          <w:sz w:val="17"/>
          <w:szCs w:val="17"/>
          <w:u w:val="single" w:color="auto"/>
          <w:color w:val="auto"/>
        </w:rPr>
        <w:t>EU/UK Listed Person</w:t>
      </w:r>
      <w:r>
        <w:rPr>
          <w:rFonts w:ascii="Arial" w:cs="Arial" w:eastAsia="Arial" w:hAnsi="Arial"/>
          <w:sz w:val="17"/>
          <w:szCs w:val="17"/>
          <w:color w:val="auto"/>
        </w:rPr>
        <w:t>”) or a Person that is the target of European Union or United Kingdom economic sanctions; or (ii) a department, agency or instrumentality of, or is otherwise controlled by or acting on behalf of, directly or indirectly, (x) any OFAC Listed Person or any EU/UK Listed Person, or (y) the government of a country the subject of comprehensive U.S. economic sanctions administered by OFAC (collectively, “</w:t>
      </w:r>
      <w:r>
        <w:rPr>
          <w:rFonts w:ascii="Arial" w:cs="Arial" w:eastAsia="Arial" w:hAnsi="Arial"/>
          <w:sz w:val="17"/>
          <w:szCs w:val="17"/>
          <w:u w:val="single" w:color="auto"/>
          <w:color w:val="auto"/>
        </w:rPr>
        <w:t>OFAC Countries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40" w:firstLine="987"/>
        <w:spacing w:after="0" w:line="254" w:lineRule="auto"/>
        <w:tabs>
          <w:tab w:leader="none" w:pos="137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Borrower represents and covenants that neither the Term Loan, nor the proceeds from the Term Loan, has been or will be used, directly or, to the knowledge of the Borrower, indirectly, to lend, contribute, provide or has otherwise been made or will otherwise be made available for the purpose of funding any activity or business in any OFAC Countries or for the 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95"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The information included in the Beneficial Ownership Certification, if applicable, is true and correct in all respects, as of the Closing Date and each other date on which such Beneficial Ownership Certification is delivered.</w:t>
      </w:r>
    </w:p>
    <w:p>
      <w:pPr>
        <w:spacing w:after="0" w:line="146"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Representations as to Foreign Obligors</w:t>
      </w:r>
      <w:r>
        <w:rPr>
          <w:rFonts w:ascii="Arial" w:cs="Arial" w:eastAsia="Arial" w:hAnsi="Arial"/>
          <w:sz w:val="16"/>
          <w:szCs w:val="16"/>
          <w:color w:val="auto"/>
        </w:rPr>
        <w:t>. Each Foreign Obligor represents and warrants to the Administrative Agent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firstLine="987"/>
        <w:spacing w:after="0" w:line="273" w:lineRule="auto"/>
        <w:tabs>
          <w:tab w:leader="none" w:pos="137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236" w:name="page237"/>
    <w:bookmarkEnd w:id="23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attachment in aid of execution, execution or otherwise) under the laws of the jurisdiction in which such Foreign Obligor is organized and existing in respect of its obligations under the Applicable Foreign Obligor Documents.</w:t>
      </w:r>
    </w:p>
    <w:p>
      <w:pPr>
        <w:spacing w:after="0" w:line="170" w:lineRule="exact"/>
        <w:rPr>
          <w:sz w:val="20"/>
          <w:szCs w:val="20"/>
          <w:color w:val="auto"/>
        </w:rPr>
      </w:pPr>
    </w:p>
    <w:p>
      <w:pPr>
        <w:ind w:firstLine="987"/>
        <w:spacing w:after="0" w:line="253" w:lineRule="auto"/>
        <w:tabs>
          <w:tab w:leader="none" w:pos="137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6" w:lineRule="exact"/>
        <w:rPr>
          <w:rFonts w:ascii="Arial" w:cs="Arial" w:eastAsia="Arial" w:hAnsi="Arial"/>
          <w:sz w:val="18"/>
          <w:szCs w:val="18"/>
          <w:color w:val="auto"/>
        </w:rPr>
      </w:pPr>
    </w:p>
    <w:p>
      <w:pPr>
        <w:ind w:firstLine="987"/>
        <w:spacing w:after="0" w:line="279" w:lineRule="auto"/>
        <w:tabs>
          <w:tab w:leader="none" w:pos="136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Precedent to Closing Date Borrowing</w:t>
      </w:r>
      <w:r>
        <w:rPr>
          <w:rFonts w:ascii="Arial" w:cs="Arial" w:eastAsia="Arial" w:hAnsi="Arial"/>
          <w:sz w:val="18"/>
          <w:szCs w:val="18"/>
          <w:color w:val="auto"/>
        </w:rPr>
        <w:t>. This Agreement shall become effective on and as of the first date on which the following conditions precedent have been satisfied, and the obligation of each Lender to make the Term Loan on or prior to the Business Day immediately following such date shall be subject to the satisfaction of such conditions precedent:</w:t>
      </w:r>
    </w:p>
    <w:p>
      <w:pPr>
        <w:spacing w:after="0" w:line="184" w:lineRule="exact"/>
        <w:rPr>
          <w:sz w:val="20"/>
          <w:szCs w:val="20"/>
          <w:color w:val="auto"/>
        </w:rPr>
      </w:pPr>
    </w:p>
    <w:p>
      <w:pPr>
        <w:ind w:right="180" w:firstLine="987"/>
        <w:spacing w:after="0" w:line="311" w:lineRule="auto"/>
        <w:tabs>
          <w:tab w:leader="none" w:pos="1368"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from (i) each party hereto either (A) a counterpart of this Agreement duly executed and delivered by or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148" w:lineRule="exact"/>
        <w:rPr>
          <w:rFonts w:ascii="Arial" w:cs="Arial" w:eastAsia="Arial" w:hAnsi="Arial"/>
          <w:sz w:val="16"/>
          <w:szCs w:val="16"/>
          <w:color w:val="auto"/>
        </w:rPr>
      </w:pPr>
    </w:p>
    <w:p>
      <w:pPr>
        <w:jc w:val="both"/>
        <w:ind w:right="160" w:firstLine="987"/>
        <w:spacing w:after="0" w:line="259" w:lineRule="auto"/>
        <w:tabs>
          <w:tab w:leader="none" w:pos="137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Administrative Agent shall have received the executed legal opinions of (i) Cravath, Swaine &amp; Moore LLP, special New York counsel to the Borrower and the Loan Parties, (ii) Morgan, Lewis &amp; Bockius LLP, special Pennsylvania counsel to the Borrower and the Loan Parties, and (iii) NautaDutilh N.V., special Dutch counsel to the Borrower and the Loan Parties, in each case in a form reasonably satisfactory to the Administrative Agent. The Borrower hereby requests such counsel to deliver such opinions;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40" w:top="274" w:right="499" w:bottom="1440" w:gutter="0" w:footer="0" w:header="0"/>
        </w:sectPr>
      </w:pPr>
    </w:p>
    <w:bookmarkStart w:id="237" w:name="page238"/>
    <w:bookmarkEnd w:id="237"/>
    <w:p>
      <w:pPr>
        <w:ind w:right="140" w:firstLine="987"/>
        <w:spacing w:after="0" w:line="301" w:lineRule="auto"/>
        <w:tabs>
          <w:tab w:leader="none" w:pos="1368" w:val="left"/>
        </w:tabs>
        <w:numPr>
          <w:ilvl w:val="0"/>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have received such customary closing documents and certificates as the Administrative Agent or its counsel may reasonably request relating to the organization, existence and good standing (to the extent such concept is applicable in the relevant jurisdiction) of the Borrower and the Loan Parties, the authorization of the Transactions and any other legal matters relating to the Borrower and the Loan Parties, the Loan Documents or the Transactions, all in form and substance reasonably satisfactory to the Administrative Agent and its counsel;</w:t>
      </w:r>
    </w:p>
    <w:p>
      <w:pPr>
        <w:spacing w:after="0" w:line="157" w:lineRule="exact"/>
        <w:rPr>
          <w:rFonts w:ascii="Arial" w:cs="Arial" w:eastAsia="Arial" w:hAnsi="Arial"/>
          <w:sz w:val="16"/>
          <w:szCs w:val="16"/>
          <w:color w:val="auto"/>
        </w:rPr>
      </w:pPr>
    </w:p>
    <w:p>
      <w:pPr>
        <w:ind w:right="40" w:firstLine="987"/>
        <w:spacing w:after="0" w:line="263" w:lineRule="auto"/>
        <w:tabs>
          <w:tab w:leader="none" w:pos="137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reasonably satisfactory to it that prior to or substantially concurrently with the making of the Term Loan hereunder, all Indebtedness under the Existing Credit Agreement and all other amounts payable thereunder have been paid in full and all commitments to extend credit thereunder shall have terminated;</w:t>
      </w:r>
    </w:p>
    <w:p>
      <w:pPr>
        <w:spacing w:after="0" w:line="183" w:lineRule="exact"/>
        <w:rPr>
          <w:rFonts w:ascii="Arial" w:cs="Arial" w:eastAsia="Arial" w:hAnsi="Arial"/>
          <w:sz w:val="18"/>
          <w:szCs w:val="18"/>
          <w:color w:val="auto"/>
        </w:rPr>
      </w:pPr>
    </w:p>
    <w:p>
      <w:pPr>
        <w:ind w:right="160" w:firstLine="987"/>
        <w:spacing w:after="0" w:line="263" w:lineRule="auto"/>
        <w:tabs>
          <w:tab w:leader="none" w:pos="13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attesting to the Solvency of the Borrower and its Subsidiaries (taken as a whole) on the Closing Date and the date of funding of the Term Loan after giving effect to the Transactions in or substantially in the form attached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from a Financial Officer of the Borrower;</w:t>
      </w:r>
    </w:p>
    <w:p>
      <w:pPr>
        <w:spacing w:after="0" w:line="183" w:lineRule="exact"/>
        <w:rPr>
          <w:rFonts w:ascii="Arial" w:cs="Arial" w:eastAsia="Arial" w:hAnsi="Arial"/>
          <w:sz w:val="18"/>
          <w:szCs w:val="18"/>
          <w:color w:val="auto"/>
        </w:rPr>
      </w:pPr>
    </w:p>
    <w:p>
      <w:pPr>
        <w:ind w:right="40" w:firstLine="987"/>
        <w:spacing w:after="0" w:line="296" w:lineRule="auto"/>
        <w:tabs>
          <w:tab w:leader="none" w:pos="135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 Upon the reasonable request of the Administrative Agent or any Lender made at least ten days prior to the Closing Date, the Borrower shall have provided to the Administrative Agent or such Lender the documentation and other information so requested in connection with applicable “know your customer” and anti-money-laundering rules and regulations, including the Act, in each case at least five days prior to the Closing Date and (ii) at least five days prior to the Closing Date, if the Borrower qualifies as a “legal entity customer” under the Beneficial Ownership Regulation, the Borrower shall deliver to the Administrative Agent and the Lenders a Beneficial Ownership Certification in relation to the Borrower;</w:t>
      </w:r>
    </w:p>
    <w:p>
      <w:pPr>
        <w:spacing w:after="0" w:line="161" w:lineRule="exact"/>
        <w:rPr>
          <w:rFonts w:ascii="Arial" w:cs="Arial" w:eastAsia="Arial" w:hAnsi="Arial"/>
          <w:sz w:val="16"/>
          <w:szCs w:val="16"/>
          <w:color w:val="auto"/>
        </w:rPr>
      </w:pPr>
    </w:p>
    <w:p>
      <w:pPr>
        <w:ind w:right="80" w:firstLine="987"/>
        <w:spacing w:after="0" w:line="311" w:lineRule="auto"/>
        <w:tabs>
          <w:tab w:leader="none" w:pos="137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All costs, fees, expenses (including legal fees and expenses) to the extent invoiced at least two Business Days prior to the Closing Date and the fees contemplated by the 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48" w:lineRule="exact"/>
        <w:rPr>
          <w:rFonts w:ascii="Arial" w:cs="Arial" w:eastAsia="Arial" w:hAnsi="Arial"/>
          <w:sz w:val="16"/>
          <w:szCs w:val="16"/>
          <w:color w:val="auto"/>
        </w:rPr>
      </w:pPr>
    </w:p>
    <w:p>
      <w:pPr>
        <w:ind w:firstLine="987"/>
        <w:spacing w:after="0" w:line="277" w:lineRule="auto"/>
        <w:tabs>
          <w:tab w:leader="none" w:pos="137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Administrative Agent shall have received Notes executed by the Borrower in favor of each Lender requesting Notes at least three Business Days prior to the Closing Date;</w:t>
      </w:r>
    </w:p>
    <w:p>
      <w:pPr>
        <w:spacing w:after="0" w:line="170" w:lineRule="exact"/>
        <w:rPr>
          <w:rFonts w:ascii="Arial" w:cs="Arial" w:eastAsia="Arial" w:hAnsi="Arial"/>
          <w:sz w:val="18"/>
          <w:szCs w:val="18"/>
          <w:color w:val="auto"/>
        </w:rPr>
      </w:pPr>
    </w:p>
    <w:p>
      <w:pPr>
        <w:ind w:right="40" w:firstLine="987"/>
        <w:spacing w:after="0" w:line="273" w:lineRule="auto"/>
        <w:tabs>
          <w:tab w:leader="none" w:pos="133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signed by a Responsible Officer of the Borrower certifying (A) that 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Closing Date and the date of funding of the Term Loan, except where any representation and warranty is expressly made as of a specific earlier date, such representation and warranty shall be true in all material respects as of any such earlier date, (B) that at the time of and immediately after giving effect to the Borrowing of the Term Loan, no Default shall have occurred and be continuing and (C) that, except as set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238" w:name="page239"/>
    <w:bookmarkEnd w:id="23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forth on </w:t>
      </w:r>
      <w:r>
        <w:rPr>
          <w:rFonts w:ascii="Arial" w:cs="Arial" w:eastAsia="Arial" w:hAnsi="Arial"/>
          <w:sz w:val="18"/>
          <w:szCs w:val="18"/>
          <w:u w:val="single" w:color="auto"/>
          <w:color w:val="auto"/>
        </w:rPr>
        <w:t>Schedule 3.04(b)</w:t>
      </w:r>
      <w:r>
        <w:rPr>
          <w:rFonts w:ascii="Arial" w:cs="Arial" w:eastAsia="Arial" w:hAnsi="Arial"/>
          <w:sz w:val="18"/>
          <w:szCs w:val="18"/>
          <w:color w:val="auto"/>
        </w:rPr>
        <w:t>, there has been no event or circumstance since the date of the audited financial statements that has had or could be reasonably expected to have, either individually or in the aggregate, a Material Adverse Effect; and</w:t>
      </w:r>
    </w:p>
    <w:p>
      <w:pPr>
        <w:spacing w:after="0" w:line="17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The Administrative Agent shall have received a Borrowing Request, duly completed and executed by the Borrower.</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Until the Commitment has expired or been terminated and the principal of and interest on the Term Loan and all fees payable hereunder shall have been paid in full, the Borrower covenants and agrees with the Administrative Agent and the Lenders that: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The Borrower will furnish to the Administrative Agent (who shall promptly furnish a copy to each Lender):</w:t>
      </w:r>
    </w:p>
    <w:p>
      <w:pPr>
        <w:spacing w:after="0" w:line="170" w:lineRule="exact"/>
        <w:rPr>
          <w:sz w:val="20"/>
          <w:szCs w:val="20"/>
          <w:color w:val="auto"/>
        </w:rPr>
      </w:pPr>
    </w:p>
    <w:p>
      <w:pPr>
        <w:ind w:right="60" w:firstLine="987"/>
        <w:spacing w:after="0" w:line="293" w:lineRule="auto"/>
        <w:tabs>
          <w:tab w:leader="none" w:pos="137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64" w:lineRule="exact"/>
        <w:rPr>
          <w:rFonts w:ascii="Arial" w:cs="Arial" w:eastAsia="Arial" w:hAnsi="Arial"/>
          <w:sz w:val="16"/>
          <w:szCs w:val="16"/>
          <w:color w:val="auto"/>
        </w:rPr>
      </w:pPr>
    </w:p>
    <w:p>
      <w:pPr>
        <w:ind w:firstLine="987"/>
        <w:spacing w:after="0" w:line="293" w:lineRule="auto"/>
        <w:tabs>
          <w:tab w:leader="none" w:pos="138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239" w:name="page240"/>
    <w:bookmarkEnd w:id="239"/>
    <w:p>
      <w:pPr>
        <w:ind w:right="120" w:firstLine="987"/>
        <w:spacing w:after="0" w:line="259" w:lineRule="auto"/>
        <w:tabs>
          <w:tab w:leader="none" w:pos="1371"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concurrently with any delivery of financial statements under clause (a) or (b) above, a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180" w:firstLine="987"/>
        <w:spacing w:after="0" w:line="308" w:lineRule="auto"/>
        <w:tabs>
          <w:tab w:leader="none" w:pos="137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46" w:lineRule="exact"/>
        <w:rPr>
          <w:rFonts w:ascii="Arial" w:cs="Arial" w:eastAsia="Arial" w:hAnsi="Arial"/>
          <w:sz w:val="17"/>
          <w:szCs w:val="17"/>
          <w:color w:val="auto"/>
        </w:rPr>
      </w:pPr>
    </w:p>
    <w:p>
      <w:pPr>
        <w:ind w:firstLine="987"/>
        <w:spacing w:after="0" w:line="263" w:lineRule="auto"/>
        <w:tabs>
          <w:tab w:leader="none" w:pos="13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this Agreement, as the Administrative Agent or any Lender (through the Administrative Agent) may reasonably request.</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4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Borrower acknowledges that (a) the Administrative Agent and/or the Arrangers may, but shall not be obligated to, make available to the Lenders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such information on DebtDomain, IntraLinks, Syndtrak, ClearPar, or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may be “public side” Lenders (</w:t>
      </w:r>
      <w:r>
        <w:rPr>
          <w:rFonts w:ascii="Arial" w:cs="Arial" w:eastAsia="Arial" w:hAnsi="Arial"/>
          <w:sz w:val="18"/>
          <w:szCs w:val="18"/>
          <w:u w:val="single" w:color="auto"/>
          <w:color w:val="auto"/>
        </w:rPr>
        <w:t>i.e.</w:t>
      </w:r>
      <w:r>
        <w:rPr>
          <w:rFonts w:ascii="Arial" w:cs="Arial" w:eastAsia="Arial" w:hAnsi="Arial"/>
          <w:sz w:val="18"/>
          <w:szCs w:val="18"/>
          <w:color w:val="auto"/>
        </w:rPr>
        <w:t>, Lenders that do not wish to receive material non-public information with respect to the Borrower, its Subsidiaries or their securities)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(for prompt notification to each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prompt (but in any event within five (5) Business Days) written notice after any Financial Officer obtains knowledge of the following:</w:t>
      </w:r>
    </w:p>
    <w:p>
      <w:pPr>
        <w:spacing w:after="0" w:line="211" w:lineRule="exact"/>
        <w:rPr>
          <w:sz w:val="20"/>
          <w:szCs w:val="20"/>
          <w:color w:val="auto"/>
        </w:rPr>
      </w:pPr>
    </w:p>
    <w:p>
      <w:pPr>
        <w:ind w:left="1360" w:hanging="373"/>
        <w:spacing w:after="0"/>
        <w:tabs>
          <w:tab w:leader="none" w:pos="13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occurrence of any continuing Default;</w:t>
      </w:r>
    </w:p>
    <w:p>
      <w:pPr>
        <w:spacing w:after="0" w:line="225"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240" w:name="page241"/>
    <w:bookmarkEnd w:id="240"/>
    <w:p>
      <w:pPr>
        <w:ind w:right="280" w:firstLine="987"/>
        <w:spacing w:after="0" w:line="277" w:lineRule="auto"/>
        <w:tabs>
          <w:tab w:leader="none" w:pos="1371"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occurrence of any ERISA Event that, alone or together with any other ERISA Events that have occurred, would reasonably be expected to result in a Material Adverse Effect; and</w:t>
      </w:r>
    </w:p>
    <w:p>
      <w:pPr>
        <w:spacing w:after="0" w:line="170" w:lineRule="exact"/>
        <w:rPr>
          <w:rFonts w:ascii="Arial" w:cs="Arial" w:eastAsia="Arial" w:hAnsi="Arial"/>
          <w:sz w:val="18"/>
          <w:szCs w:val="18"/>
          <w:color w:val="auto"/>
        </w:rPr>
      </w:pPr>
    </w:p>
    <w:p>
      <w:pPr>
        <w:ind w:right="720" w:firstLine="987"/>
        <w:spacing w:after="0" w:line="277" w:lineRule="auto"/>
        <w:tabs>
          <w:tab w:leader="none" w:pos="138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 to have a Material Adverse Effect; provided that the foregoing shall not prohibit any transaction that is not otherwise prohibited under Section 6.03.</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8" w:lineRule="exact"/>
        <w:rPr>
          <w:sz w:val="20"/>
          <w:szCs w:val="20"/>
          <w:color w:val="auto"/>
        </w:rPr>
      </w:pPr>
    </w:p>
    <w:p>
      <w:pPr>
        <w:ind w:right="380" w:firstLine="440"/>
        <w:spacing w:after="0" w:line="275"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7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 Rights</w:t>
      </w:r>
      <w:r>
        <w:rPr>
          <w:rFonts w:ascii="Arial" w:cs="Arial" w:eastAsia="Arial" w:hAnsi="Arial"/>
          <w:sz w:val="17"/>
          <w:szCs w:val="17"/>
          <w:color w:val="auto"/>
        </w:rPr>
        <w:t>.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 provided that (i) the Lenders will conduct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241" w:name="page242"/>
    <w:bookmarkEnd w:id="241"/>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Term Loans will be used for general lawful corporate purposes of the Borrower and its Subsidiaries (including to refinance any indebtedness (including accrued and unpaid interest) of the Borrower). No part of the proceeds of the Term Loan will be used, whether directly or indirectly, for any purpose that entails a violation of any of the Regulations of the Board, including Regulations T, U and X.</w:t>
      </w:r>
    </w:p>
    <w:p>
      <w:pPr>
        <w:spacing w:after="0" w:line="187"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Guarantees</w:t>
      </w:r>
      <w:r>
        <w:rPr>
          <w:rFonts w:ascii="Arial" w:cs="Arial" w:eastAsia="Arial" w:hAnsi="Arial"/>
          <w:sz w:val="16"/>
          <w:szCs w:val="16"/>
          <w:color w:val="auto"/>
        </w:rPr>
        <w:t>. (i) In the event that any Subsidiary of the Borrower (other than an Excluded Finco or a Receivables Entity) incurs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guarantees (x) any Indebtedness of the Borrower, owed to a Person other than any Subsidiary, in excess of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$500,000,000 for all such Indebtedness of such Subsidiary with respect to the Borrower (such Indebtedness of such Subsidiary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w:t>
      </w:r>
      <w:r>
        <w:rPr>
          <w:rFonts w:ascii="Arial" w:cs="Arial" w:eastAsia="Arial" w:hAnsi="Arial"/>
          <w:sz w:val="16"/>
          <w:szCs w:val="16"/>
          <w:u w:val="single" w:color="auto"/>
          <w:color w:val="auto"/>
        </w:rPr>
        <w:t>Triggering Indebtedness</w:t>
      </w:r>
      <w:r>
        <w:rPr>
          <w:rFonts w:ascii="Arial" w:cs="Arial" w:eastAsia="Arial" w:hAnsi="Arial"/>
          <w:sz w:val="16"/>
          <w:szCs w:val="16"/>
          <w:color w:val="auto"/>
        </w:rPr>
        <w:t>”) or (y) Mylan Notes in excess of an aggregate principal amount of $500,000,000 and (ii) if Finco ceases to be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Excluded Finco and would otherwise satisfy clause (i) above, then, in each case, the Borrower shall cause each such Subsidiary to Guarantee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Obligations in favor of the Administrative Agent for the benefit of the Administrative Agent and the Lenders and shall cause each such Subsidiary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deliver to the Administrative Agent (A) a joinder to this Agreement in or substantially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(each such joinder, a “</w:t>
      </w:r>
      <w:r>
        <w:rPr>
          <w:rFonts w:ascii="Arial" w:cs="Arial" w:eastAsia="Arial" w:hAnsi="Arial"/>
          <w:sz w:val="16"/>
          <w:szCs w:val="16"/>
          <w:u w:val="single" w:color="auto"/>
          <w:color w:val="auto"/>
        </w:rPr>
        <w:t>Guarantor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Joinder Agreement</w:t>
      </w:r>
      <w:r>
        <w:rPr>
          <w:rFonts w:ascii="Arial" w:cs="Arial" w:eastAsia="Arial" w:hAnsi="Arial"/>
          <w:sz w:val="16"/>
          <w:szCs w:val="16"/>
          <w:color w:val="auto"/>
        </w:rPr>
        <w:t>”) duly executed and delivered by such Subsidiary, (B) all documents and other information reasonably requested by the Lenders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allow the Lenders to comply with the Act and the Beneficial Ownership Regulation, (C) customary legal opinions substantially similar to those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delivered pursuant to Section 4.01(b) (with such changes as may be appropriate to reflect local law concerns), (D) customary closing documents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similar to those delivered pursuant to Section 4.01(c) and (E) other documentation required under applicable Laws (it being understood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guarantee of Indebtedness by such Subsidiary shall be subject to the provisions of Section 6.01 of this Agreement). In the event that (1)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receives evidence reasonably satisfactory to it that any Guarantor has been or will concurrently be released from, or otherwise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an issuer or guarantor in respect of, (i) Triggering Indebtedness of such Guarantor and (ii) Mylan Notes in excess of an aggregate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$500,000,000, or (2) Finco becomes an Excluded Finco, then, in each case, at the request of the Borrower, such Guarantor shall be released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 Agreement (and, for the avoidance of doubt, such release shall not require the approval of the Lenders) so long as at the time of and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such release and all such concurrent releases, all of such Guarantor’s then outstanding Indebtedness would then be permitted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at such time under Section 6.01 (treating, for this purpose, all Indebtedness of such Guarantor as being incurred at the time of such release).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Until the Commitment has expired or terminated and the principal of and interest on the Term Loan and all fees payable hereunder have been paid in full, the Borrower covenants and agrees with the Administrative Agent and the Lenders that:</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will not permit any Subsidiary that is not a Loan Party to create, incur, assume or permit to exist any Indebtedness, except:</w:t>
      </w:r>
    </w:p>
    <w:p>
      <w:pPr>
        <w:spacing w:after="0" w:line="170" w:lineRule="exact"/>
        <w:rPr>
          <w:sz w:val="20"/>
          <w:szCs w:val="20"/>
          <w:color w:val="auto"/>
        </w:rPr>
      </w:pPr>
    </w:p>
    <w:p>
      <w:pPr>
        <w:ind w:left="1360" w:hanging="373"/>
        <w:spacing w:after="0"/>
        <w:tabs>
          <w:tab w:leader="none" w:pos="13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Indebtedness created under the Loan Documents;</w:t>
      </w:r>
    </w:p>
    <w:p>
      <w:pPr>
        <w:spacing w:after="0" w:line="225" w:lineRule="exact"/>
        <w:rPr>
          <w:rFonts w:ascii="Arial" w:cs="Arial" w:eastAsia="Arial" w:hAnsi="Arial"/>
          <w:sz w:val="18"/>
          <w:szCs w:val="18"/>
          <w:color w:val="auto"/>
        </w:rPr>
      </w:pPr>
    </w:p>
    <w:p>
      <w:pPr>
        <w:ind w:right="260" w:firstLine="987"/>
        <w:spacing w:after="0" w:line="263" w:lineRule="auto"/>
        <w:tabs>
          <w:tab w:leader="none" w:pos="138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that could be incurred on the Closing Date pursuant to commitments set forth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or as contemplated in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Permitted Refinancing Indebtedness in respect of Indebtedness permitted by this clause (b);</w:t>
      </w:r>
    </w:p>
    <w:p>
      <w:pPr>
        <w:spacing w:after="0" w:line="183" w:lineRule="exact"/>
        <w:rPr>
          <w:rFonts w:ascii="Arial" w:cs="Arial" w:eastAsia="Arial" w:hAnsi="Arial"/>
          <w:sz w:val="18"/>
          <w:szCs w:val="18"/>
          <w:color w:val="auto"/>
        </w:rPr>
      </w:pPr>
    </w:p>
    <w:p>
      <w:pPr>
        <w:ind w:right="80" w:firstLine="987"/>
        <w:spacing w:after="0" w:line="263" w:lineRule="auto"/>
        <w:tabs>
          <w:tab w:leader="none" w:pos="13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83" w:lineRule="exact"/>
        <w:rPr>
          <w:rFonts w:ascii="Arial" w:cs="Arial" w:eastAsia="Arial" w:hAnsi="Arial"/>
          <w:sz w:val="18"/>
          <w:szCs w:val="18"/>
          <w:color w:val="auto"/>
        </w:rPr>
      </w:pPr>
    </w:p>
    <w:p>
      <w:pPr>
        <w:ind w:firstLine="987"/>
        <w:spacing w:after="0" w:line="284" w:lineRule="auto"/>
        <w:tabs>
          <w:tab w:leader="none" w:pos="138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5.01(a) or (b) and (ii) any Permitted Refinancing Indebtedness in respect of Indebtedness permitted by clause (i) of this clause (d);</w:t>
      </w:r>
    </w:p>
    <w:p>
      <w:pPr>
        <w:spacing w:after="0" w:line="210" w:lineRule="exact"/>
        <w:rPr>
          <w:rFonts w:ascii="Arial" w:cs="Arial" w:eastAsia="Arial" w:hAnsi="Arial"/>
          <w:sz w:val="16"/>
          <w:szCs w:val="16"/>
          <w:color w:val="auto"/>
        </w:rPr>
      </w:pPr>
    </w:p>
    <w:p>
      <w:pPr>
        <w:ind w:right="20" w:firstLine="987"/>
        <w:spacing w:after="0" w:line="257" w:lineRule="auto"/>
        <w:tabs>
          <w:tab w:leader="none" w:pos="13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7" w:lineRule="exact"/>
        <w:rPr>
          <w:rFonts w:ascii="Arial" w:cs="Arial" w:eastAsia="Arial" w:hAnsi="Arial"/>
          <w:sz w:val="18"/>
          <w:szCs w:val="18"/>
          <w:color w:val="auto"/>
        </w:rPr>
      </w:pPr>
    </w:p>
    <w:p>
      <w:pPr>
        <w:ind w:right="220" w:firstLine="987"/>
        <w:spacing w:after="0" w:line="263" w:lineRule="auto"/>
        <w:tabs>
          <w:tab w:leader="none" w:pos="135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243" w:name="page244"/>
    <w:bookmarkEnd w:id="243"/>
    <w:p>
      <w:pPr>
        <w:ind w:left="1384" w:hanging="393"/>
        <w:spacing w:after="0"/>
        <w:tabs>
          <w:tab w:leader="none" w:pos="1384" w:val="left"/>
        </w:tabs>
        <w:numPr>
          <w:ilvl w:val="1"/>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under Swap Agreements entered into in the ordinary course of business and not for speculative purposes;</w:t>
      </w:r>
    </w:p>
    <w:p>
      <w:pPr>
        <w:spacing w:after="0" w:line="225" w:lineRule="exact"/>
        <w:rPr>
          <w:rFonts w:ascii="Arial" w:cs="Arial" w:eastAsia="Arial" w:hAnsi="Arial"/>
          <w:sz w:val="18"/>
          <w:szCs w:val="18"/>
          <w:color w:val="auto"/>
        </w:rPr>
      </w:pPr>
    </w:p>
    <w:p>
      <w:pPr>
        <w:ind w:left="4" w:right="400" w:firstLine="987"/>
        <w:spacing w:after="0" w:line="259" w:lineRule="auto"/>
        <w:tabs>
          <w:tab w:leader="none" w:pos="138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Indebtedness in respect of judgments, decrees, attachments or awards that do not constitute an Event of Default under clause (k)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Article VII;</w:t>
      </w:r>
    </w:p>
    <w:p>
      <w:pPr>
        <w:spacing w:after="0" w:line="210" w:lineRule="exact"/>
        <w:rPr>
          <w:rFonts w:ascii="Arial" w:cs="Arial" w:eastAsia="Arial" w:hAnsi="Arial"/>
          <w:sz w:val="16"/>
          <w:szCs w:val="16"/>
          <w:color w:val="auto"/>
        </w:rPr>
      </w:pPr>
    </w:p>
    <w:p>
      <w:pPr>
        <w:ind w:left="4" w:right="60" w:firstLine="987"/>
        <w:spacing w:after="0" w:line="342" w:lineRule="auto"/>
        <w:tabs>
          <w:tab w:leader="none" w:pos="134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23" w:lineRule="exact"/>
        <w:rPr>
          <w:rFonts w:ascii="Arial" w:cs="Arial" w:eastAsia="Arial" w:hAnsi="Arial"/>
          <w:sz w:val="16"/>
          <w:szCs w:val="16"/>
          <w:color w:val="auto"/>
        </w:rPr>
      </w:pPr>
    </w:p>
    <w:p>
      <w:pPr>
        <w:ind w:left="4" w:right="140" w:firstLine="987"/>
        <w:spacing w:after="0" w:line="287" w:lineRule="auto"/>
        <w:tabs>
          <w:tab w:leader="none" w:pos="1385" w:val="left"/>
        </w:tabs>
        <w:numPr>
          <w:ilvl w:val="1"/>
          <w:numId w:val="267"/>
        </w:numPr>
        <w:rPr>
          <w:rFonts w:ascii="Arial" w:cs="Arial" w:eastAsia="Arial" w:hAnsi="Arial"/>
          <w:sz w:val="16"/>
          <w:szCs w:val="16"/>
          <w:color w:val="auto"/>
        </w:rPr>
      </w:pPr>
      <w:r>
        <w:rPr>
          <w:rFonts w:ascii="Arial" w:cs="Arial" w:eastAsia="Arial" w:hAnsi="Arial"/>
          <w:sz w:val="16"/>
          <w:szCs w:val="16"/>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Section 5.01(a) or (b);</w:t>
      </w:r>
    </w:p>
    <w:p>
      <w:pPr>
        <w:spacing w:after="0" w:line="210" w:lineRule="exact"/>
        <w:rPr>
          <w:rFonts w:ascii="Arial" w:cs="Arial" w:eastAsia="Arial" w:hAnsi="Arial"/>
          <w:sz w:val="16"/>
          <w:szCs w:val="16"/>
          <w:color w:val="auto"/>
        </w:rPr>
      </w:pPr>
    </w:p>
    <w:p>
      <w:pPr>
        <w:ind w:left="4" w:right="780" w:firstLine="987"/>
        <w:spacing w:after="0" w:line="277" w:lineRule="auto"/>
        <w:tabs>
          <w:tab w:leader="none" w:pos="134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Indebtedness in respect of card obligations, netting services, overdraft protections and similar arrangements in each case in connection with deposit accounts;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67"/>
        </w:numPr>
        <w:rPr>
          <w:rFonts w:ascii="Arial" w:cs="Arial" w:eastAsia="Arial" w:hAnsi="Arial"/>
          <w:sz w:val="17"/>
          <w:szCs w:val="17"/>
          <w:color w:val="auto"/>
        </w:rPr>
      </w:pPr>
      <w:r>
        <w:rPr>
          <w:rFonts w:ascii="Arial" w:cs="Arial" w:eastAsia="Arial" w:hAnsi="Arial"/>
          <w:sz w:val="17"/>
          <w:szCs w:val="17"/>
          <w:color w:val="auto"/>
        </w:rPr>
        <w:t>Indebtedness consisting of (x) the financing of insurance premiums with the providers of such insurance or their affiliates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take-or-pay obligations contained in supply arrangements, in each case, in the ordinary course of business;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Foreign Jurisdiction Deposits;</w:t>
      </w:r>
    </w:p>
    <w:p>
      <w:pPr>
        <w:spacing w:after="0" w:line="225" w:lineRule="exact"/>
        <w:rPr>
          <w:rFonts w:ascii="Arial" w:cs="Arial" w:eastAsia="Arial" w:hAnsi="Arial"/>
          <w:sz w:val="18"/>
          <w:szCs w:val="18"/>
          <w:color w:val="auto"/>
        </w:rPr>
      </w:pPr>
    </w:p>
    <w:p>
      <w:pPr>
        <w:ind w:left="4" w:firstLine="987"/>
        <w:spacing w:after="0" w:line="273" w:lineRule="auto"/>
        <w:tabs>
          <w:tab w:leader="none" w:pos="1385" w:val="left"/>
        </w:tabs>
        <w:numPr>
          <w:ilvl w:val="1"/>
          <w:numId w:val="268"/>
        </w:numPr>
        <w:rPr>
          <w:rFonts w:ascii="Arial" w:cs="Arial" w:eastAsia="Arial" w:hAnsi="Arial"/>
          <w:sz w:val="17"/>
          <w:szCs w:val="17"/>
          <w:color w:val="auto"/>
        </w:rPr>
      </w:pPr>
      <w:r>
        <w:rPr>
          <w:rFonts w:ascii="Arial" w:cs="Arial" w:eastAsia="Arial" w:hAnsi="Arial"/>
          <w:sz w:val="17"/>
          <w:szCs w:val="17"/>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$2,750,000,000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77" w:lineRule="exact"/>
        <w:rPr>
          <w:rFonts w:ascii="Arial" w:cs="Arial" w:eastAsia="Arial" w:hAnsi="Arial"/>
          <w:sz w:val="17"/>
          <w:szCs w:val="17"/>
          <w:color w:val="auto"/>
        </w:rPr>
      </w:pPr>
    </w:p>
    <w:p>
      <w:pPr>
        <w:ind w:left="4" w:right="60" w:firstLine="987"/>
        <w:spacing w:after="0" w:line="287" w:lineRule="auto"/>
        <w:tabs>
          <w:tab w:leader="none" w:pos="1385" w:val="left"/>
        </w:tabs>
        <w:numPr>
          <w:ilvl w:val="1"/>
          <w:numId w:val="268"/>
        </w:numPr>
        <w:rPr>
          <w:rFonts w:ascii="Arial" w:cs="Arial" w:eastAsia="Arial" w:hAnsi="Arial"/>
          <w:sz w:val="16"/>
          <w:szCs w:val="16"/>
          <w:color w:val="auto"/>
        </w:rPr>
      </w:pPr>
      <w:r>
        <w:rPr>
          <w:rFonts w:ascii="Arial" w:cs="Arial" w:eastAsia="Arial" w:hAnsi="Arial"/>
          <w:sz w:val="16"/>
          <w:szCs w:val="16"/>
          <w:color w:val="auto"/>
        </w:rPr>
        <w:t xml:space="preserve">(i) Indebtedness of a Person existing at the time such Person becomes a Subsidiary and not created in contemplation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Permitted Refinancing Indebtedness in respect of Indebtedness permitted by this clause (p);</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4"/>
          </w:cols>
          <w:pgMar w:left="436" w:top="274" w:right="499" w:bottom="1440" w:gutter="0" w:footer="0" w:header="0"/>
        </w:sectPr>
      </w:pPr>
    </w:p>
    <w:bookmarkStart w:id="244" w:name="page245"/>
    <w:bookmarkEnd w:id="244"/>
    <w:p>
      <w:pPr>
        <w:ind w:right="400" w:firstLine="987"/>
        <w:spacing w:after="0" w:line="277" w:lineRule="auto"/>
        <w:tabs>
          <w:tab w:leader="none" w:pos="1381"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supported by a letter of credit under the Revolving Credit Agreement, in a principal amount not to exceed the face amount of such letter of credit;</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Indebtedness in respect of Investments permitted by Section 6.05(q);</w:t>
      </w:r>
    </w:p>
    <w:p>
      <w:pPr>
        <w:spacing w:after="0" w:line="225" w:lineRule="exact"/>
        <w:rPr>
          <w:rFonts w:ascii="Arial" w:cs="Arial" w:eastAsia="Arial" w:hAnsi="Arial"/>
          <w:sz w:val="18"/>
          <w:szCs w:val="18"/>
          <w:color w:val="auto"/>
        </w:rPr>
      </w:pPr>
    </w:p>
    <w:p>
      <w:pPr>
        <w:ind w:right="480" w:firstLine="987"/>
        <w:spacing w:after="0" w:line="277" w:lineRule="auto"/>
        <w:tabs>
          <w:tab w:leader="none" w:pos="136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(a) through (r) above; and</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Indebtedness of the Excluded Finco.</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 The Borrower will not, and will not permit any Subsidiary to, create, incur, assume or permit to exist any Lien on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now owned or hereafter acquired by it, except:</w:t>
      </w:r>
    </w:p>
    <w:p>
      <w:pPr>
        <w:spacing w:after="0" w:line="211" w:lineRule="exact"/>
        <w:rPr>
          <w:sz w:val="20"/>
          <w:szCs w:val="20"/>
          <w:color w:val="auto"/>
        </w:rPr>
      </w:pPr>
    </w:p>
    <w:p>
      <w:pPr>
        <w:ind w:left="1360" w:hanging="373"/>
        <w:spacing w:after="0"/>
        <w:tabs>
          <w:tab w:leader="none" w:pos="13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right="300" w:firstLine="987"/>
        <w:spacing w:after="0" w:line="275" w:lineRule="auto"/>
        <w:tabs>
          <w:tab w:leader="none" w:pos="138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any Lien on any Property of the Borrower or any Subsidiary existing on the Closing Date and set forth in </w:t>
      </w:r>
      <w:r>
        <w:rPr>
          <w:rFonts w:ascii="Arial" w:cs="Arial" w:eastAsia="Arial" w:hAnsi="Arial"/>
          <w:sz w:val="17"/>
          <w:szCs w:val="17"/>
          <w:u w:val="single" w:color="auto"/>
          <w:color w:val="auto"/>
        </w:rPr>
        <w:t>Schedule 6.02</w:t>
      </w:r>
      <w:r>
        <w:rPr>
          <w:rFonts w:ascii="Arial" w:cs="Arial" w:eastAsia="Arial" w:hAnsi="Arial"/>
          <w:sz w:val="17"/>
          <w:szCs w:val="17"/>
          <w:color w:val="auto"/>
        </w:rPr>
        <w:t xml:space="preserve"> and any modifications, replacements, renewals or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76" w:lineRule="exact"/>
        <w:rPr>
          <w:rFonts w:ascii="Arial" w:cs="Arial" w:eastAsia="Arial" w:hAnsi="Arial"/>
          <w:sz w:val="17"/>
          <w:szCs w:val="17"/>
          <w:color w:val="auto"/>
        </w:rPr>
      </w:pPr>
    </w:p>
    <w:p>
      <w:pPr>
        <w:ind w:right="20" w:firstLine="987"/>
        <w:spacing w:after="0" w:line="272" w:lineRule="auto"/>
        <w:tabs>
          <w:tab w:leader="none" w:pos="137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77" w:lineRule="exact"/>
        <w:rPr>
          <w:rFonts w:ascii="Arial" w:cs="Arial" w:eastAsia="Arial" w:hAnsi="Arial"/>
          <w:sz w:val="17"/>
          <w:szCs w:val="17"/>
          <w:color w:val="auto"/>
        </w:rPr>
      </w:pPr>
    </w:p>
    <w:p>
      <w:pPr>
        <w:ind w:firstLine="987"/>
        <w:spacing w:after="0" w:line="254" w:lineRule="auto"/>
        <w:tabs>
          <w:tab w:leader="none" w:pos="138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(i) Liens on fixed or capital assets acquired, constructed, repaired, replaced or improved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245" w:name="page246"/>
    <w:bookmarkEnd w:id="245"/>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Property of the Borrower or any Subsidiary, except for accessions to such fixed or capital assets covered by such Lien, Property financed by such Indebtedness and the proceeds and products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individual financings of fixed or capital assets provided by one lender may be cross-collateralized to other financings of fixed or capital assets provided by such lender;</w:t>
      </w:r>
    </w:p>
    <w:p>
      <w:pPr>
        <w:spacing w:after="0" w:line="184" w:lineRule="exact"/>
        <w:rPr>
          <w:sz w:val="20"/>
          <w:szCs w:val="20"/>
          <w:color w:val="auto"/>
        </w:rPr>
      </w:pPr>
    </w:p>
    <w:p>
      <w:pPr>
        <w:ind w:left="4" w:right="60" w:firstLine="987"/>
        <w:spacing w:after="0" w:line="259" w:lineRule="auto"/>
        <w:tabs>
          <w:tab w:leader="none" w:pos="1375" w:val="left"/>
        </w:tabs>
        <w:numPr>
          <w:ilvl w:val="1"/>
          <w:numId w:val="272"/>
        </w:numPr>
        <w:rPr>
          <w:rFonts w:ascii="Arial" w:cs="Arial" w:eastAsia="Arial" w:hAnsi="Arial"/>
          <w:sz w:val="18"/>
          <w:szCs w:val="18"/>
          <w:color w:val="auto"/>
        </w:rPr>
      </w:pPr>
      <w:r>
        <w:rPr>
          <w:rFonts w:ascii="Arial" w:cs="Arial" w:eastAsia="Arial" w:hAnsi="Arial"/>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86" w:lineRule="exact"/>
        <w:rPr>
          <w:rFonts w:ascii="Arial" w:cs="Arial" w:eastAsia="Arial" w:hAnsi="Arial"/>
          <w:sz w:val="18"/>
          <w:szCs w:val="18"/>
          <w:color w:val="auto"/>
        </w:rPr>
      </w:pPr>
    </w:p>
    <w:p>
      <w:pPr>
        <w:ind w:left="4" w:firstLine="987"/>
        <w:spacing w:after="0" w:line="279" w:lineRule="auto"/>
        <w:tabs>
          <w:tab w:leader="none" w:pos="1355"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Liens on Receivables and Permitted Receivables Facility Assets securing Indebtedness arising under Permitted Receivables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272"/>
        </w:numPr>
        <w:rPr>
          <w:rFonts w:ascii="Arial" w:cs="Arial" w:eastAsia="Arial" w:hAnsi="Arial"/>
          <w:sz w:val="16"/>
          <w:szCs w:val="16"/>
          <w:color w:val="auto"/>
        </w:rPr>
      </w:pPr>
      <w:r>
        <w:rPr>
          <w:rFonts w:ascii="Arial" w:cs="Arial" w:eastAsia="Arial" w:hAnsi="Arial"/>
          <w:sz w:val="16"/>
          <w:szCs w:val="16"/>
          <w:color w:val="auto"/>
        </w:rPr>
        <w:t>Liens (i) on “earnest money” or similar deposits or other cash advances in connection with acquisitions permitted by Section 6.05 or</w:t>
      </w:r>
    </w:p>
    <w:p>
      <w:pPr>
        <w:spacing w:after="0" w:line="46" w:lineRule="exact"/>
        <w:rPr>
          <w:rFonts w:ascii="Arial" w:cs="Arial" w:eastAsia="Arial" w:hAnsi="Arial"/>
          <w:sz w:val="16"/>
          <w:szCs w:val="16"/>
          <w:color w:val="auto"/>
        </w:rPr>
      </w:pPr>
    </w:p>
    <w:p>
      <w:pPr>
        <w:ind w:left="4" w:right="260" w:hanging="4"/>
        <w:spacing w:after="0" w:line="260" w:lineRule="auto"/>
        <w:tabs>
          <w:tab w:leader="none" w:pos="26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consisting of an agreement to dispose of any Property in a disposition permitted under this Agreement including customary rights and restrictions contained in such agreements;</w:t>
      </w:r>
    </w:p>
    <w:p>
      <w:pPr>
        <w:spacing w:after="0" w:line="185" w:lineRule="exact"/>
        <w:rPr>
          <w:rFonts w:ascii="Arial" w:cs="Arial" w:eastAsia="Arial" w:hAnsi="Arial"/>
          <w:sz w:val="18"/>
          <w:szCs w:val="18"/>
          <w:color w:val="auto"/>
        </w:rPr>
      </w:pPr>
    </w:p>
    <w:p>
      <w:pPr>
        <w:ind w:left="1384" w:hanging="393"/>
        <w:spacing w:after="0"/>
        <w:tabs>
          <w:tab w:leader="none" w:pos="138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Liens on cash, cash equivalents or other assets securing Indebtedness permitted by Section 6.01(g);</w:t>
      </w:r>
    </w:p>
    <w:p>
      <w:pPr>
        <w:spacing w:after="0" w:line="225"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70" w:lineRule="exact"/>
        <w:rPr>
          <w:rFonts w:ascii="Arial" w:cs="Arial" w:eastAsia="Arial" w:hAnsi="Arial"/>
          <w:sz w:val="18"/>
          <w:szCs w:val="18"/>
          <w:color w:val="auto"/>
        </w:rPr>
      </w:pPr>
    </w:p>
    <w:p>
      <w:pPr>
        <w:ind w:left="4" w:right="200" w:firstLine="987"/>
        <w:spacing w:after="0" w:line="277" w:lineRule="auto"/>
        <w:tabs>
          <w:tab w:leader="none" w:pos="134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73"/>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4-210 of the Uniform Commercial Code on items in the course of collection and</w:t>
      </w:r>
    </w:p>
    <w:p>
      <w:pPr>
        <w:spacing w:after="0" w:line="46"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attaching to commodity trading accounts or other commodities brokerage accounts incurred in the ordinary course of business, including Liens encumbering reasonable customary initial deposits and margin deposits;</w:t>
      </w:r>
    </w:p>
    <w:p>
      <w:pPr>
        <w:spacing w:after="0" w:line="185" w:lineRule="exact"/>
        <w:rPr>
          <w:rFonts w:ascii="Arial" w:cs="Arial" w:eastAsia="Arial" w:hAnsi="Arial"/>
          <w:sz w:val="18"/>
          <w:szCs w:val="18"/>
          <w:color w:val="auto"/>
        </w:rPr>
      </w:pPr>
    </w:p>
    <w:p>
      <w:pPr>
        <w:ind w:left="4" w:right="340" w:firstLine="987"/>
        <w:spacing w:after="0" w:line="277" w:lineRule="auto"/>
        <w:tabs>
          <w:tab w:leader="none" w:pos="134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a Loan Party or any Subsidiary in the ordinary course of business;</w:t>
      </w:r>
    </w:p>
    <w:p>
      <w:pPr>
        <w:spacing w:after="0" w:line="170" w:lineRule="exact"/>
        <w:rPr>
          <w:rFonts w:ascii="Arial" w:cs="Arial" w:eastAsia="Arial" w:hAnsi="Arial"/>
          <w:sz w:val="18"/>
          <w:szCs w:val="18"/>
          <w:color w:val="auto"/>
        </w:rPr>
      </w:pPr>
    </w:p>
    <w:p>
      <w:pPr>
        <w:ind w:left="1424" w:hanging="433"/>
        <w:spacing w:after="0"/>
        <w:tabs>
          <w:tab w:leader="none" w:pos="142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permitted under Section 6.05;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4"/>
          </w:cols>
          <w:pgMar w:left="436" w:top="274" w:right="459" w:bottom="1440" w:gutter="0" w:footer="0" w:header="0"/>
        </w:sectPr>
      </w:pPr>
    </w:p>
    <w:bookmarkStart w:id="246" w:name="page247"/>
    <w:bookmarkEnd w:id="246"/>
    <w:p>
      <w:pPr>
        <w:ind w:left="4" w:right="20" w:firstLine="987"/>
        <w:spacing w:after="0" w:line="277" w:lineRule="auto"/>
        <w:tabs>
          <w:tab w:leader="none" w:pos="1385" w:val="left"/>
        </w:tabs>
        <w:numPr>
          <w:ilvl w:val="1"/>
          <w:numId w:val="2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of setoff relating to purchase orders and other agreements entered into with customers of the Borrower or any Subsidiary in the ordinary course of business;</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8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23" w:lineRule="exact"/>
        <w:rPr>
          <w:rFonts w:ascii="Arial" w:cs="Arial" w:eastAsia="Arial" w:hAnsi="Arial"/>
          <w:sz w:val="16"/>
          <w:szCs w:val="16"/>
          <w:color w:val="auto"/>
        </w:rPr>
      </w:pPr>
    </w:p>
    <w:p>
      <w:pPr>
        <w:ind w:left="4" w:right="180" w:firstLine="987"/>
        <w:spacing w:after="0" w:line="277" w:lineRule="auto"/>
        <w:tabs>
          <w:tab w:leader="none" w:pos="1385" w:val="left"/>
        </w:tabs>
        <w:numPr>
          <w:ilvl w:val="1"/>
          <w:numId w:val="275"/>
        </w:numPr>
        <w:rPr>
          <w:rFonts w:ascii="Arial" w:cs="Arial" w:eastAsia="Arial" w:hAnsi="Arial"/>
          <w:sz w:val="18"/>
          <w:szCs w:val="18"/>
          <w:color w:val="auto"/>
        </w:rPr>
      </w:pPr>
      <w:r>
        <w:rPr>
          <w:rFonts w:ascii="Arial" w:cs="Arial" w:eastAsia="Arial" w:hAnsi="Arial"/>
          <w:sz w:val="18"/>
          <w:szCs w:val="18"/>
          <w:color w:val="auto"/>
        </w:rPr>
        <w:t>Liens on equipment owned by the Borrower or any Subsidiary and located on the premises of any supplier and used in the ordinary course of business and not securing Indebtedness;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restriction or encumbrance with respect to the pledge or transfer of the Equity Interests of a joint venture;</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75"/>
        </w:numPr>
        <w:rPr>
          <w:rFonts w:ascii="Arial" w:cs="Arial" w:eastAsia="Arial" w:hAnsi="Arial"/>
          <w:sz w:val="17"/>
          <w:szCs w:val="17"/>
          <w:color w:val="auto"/>
        </w:rPr>
      </w:pPr>
      <w:r>
        <w:rPr>
          <w:rFonts w:ascii="Arial" w:cs="Arial" w:eastAsia="Arial" w:hAnsi="Arial"/>
          <w:sz w:val="17"/>
          <w:szCs w:val="17"/>
          <w:color w:val="auto"/>
        </w:rPr>
        <w:t xml:space="preserve">Liens not otherwise permitted by this Section 6.02,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Lien shall be permitted to be incurred pursuant to this clause</w:t>
      </w:r>
    </w:p>
    <w:p>
      <w:pPr>
        <w:spacing w:after="0" w:line="34" w:lineRule="exact"/>
        <w:rPr>
          <w:rFonts w:ascii="Arial" w:cs="Arial" w:eastAsia="Arial" w:hAnsi="Arial"/>
          <w:sz w:val="17"/>
          <w:szCs w:val="17"/>
          <w:color w:val="auto"/>
        </w:rPr>
      </w:pPr>
    </w:p>
    <w:p>
      <w:pPr>
        <w:ind w:left="4" w:hanging="4"/>
        <w:spacing w:after="0" w:line="271" w:lineRule="auto"/>
        <w:tabs>
          <w:tab w:leader="none" w:pos="229" w:val="left"/>
        </w:tabs>
        <w:numPr>
          <w:ilvl w:val="0"/>
          <w:numId w:val="276"/>
        </w:numPr>
        <w:rPr>
          <w:rFonts w:ascii="Arial" w:cs="Arial" w:eastAsia="Arial" w:hAnsi="Arial"/>
          <w:sz w:val="17"/>
          <w:szCs w:val="17"/>
          <w:color w:val="auto"/>
        </w:rPr>
      </w:pPr>
      <w:r>
        <w:rPr>
          <w:rFonts w:ascii="Arial" w:cs="Arial" w:eastAsia="Arial" w:hAnsi="Arial"/>
          <w:sz w:val="17"/>
          <w:szCs w:val="17"/>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$2,750,000,000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78" w:lineRule="exact"/>
        <w:rPr>
          <w:rFonts w:ascii="Arial" w:cs="Arial" w:eastAsia="Arial" w:hAnsi="Arial"/>
          <w:sz w:val="17"/>
          <w:szCs w:val="17"/>
          <w:color w:val="auto"/>
        </w:rPr>
      </w:pPr>
    </w:p>
    <w:p>
      <w:pPr>
        <w:ind w:left="1364" w:hanging="373"/>
        <w:spacing w:after="0"/>
        <w:tabs>
          <w:tab w:leader="none" w:pos="13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Liens on any Property of the Borrower or any Subsidiary in favor of the Borrower or any other Subsidiary;</w:t>
      </w:r>
    </w:p>
    <w:p>
      <w:pPr>
        <w:spacing w:after="0" w:line="225" w:lineRule="exact"/>
        <w:rPr>
          <w:rFonts w:ascii="Arial" w:cs="Arial" w:eastAsia="Arial" w:hAnsi="Arial"/>
          <w:sz w:val="18"/>
          <w:szCs w:val="18"/>
          <w:color w:val="auto"/>
        </w:rPr>
      </w:pPr>
    </w:p>
    <w:p>
      <w:pPr>
        <w:ind w:left="4" w:right="240" w:firstLine="987"/>
        <w:spacing w:after="0" w:line="342" w:lineRule="auto"/>
        <w:tabs>
          <w:tab w:leader="none" w:pos="134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4" w:right="20" w:firstLine="987"/>
        <w:spacing w:after="0" w:line="277" w:lineRule="auto"/>
        <w:tabs>
          <w:tab w:leader="none" w:pos="138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Liens, pledges or deposits made in the ordinary course of business to secure liability to insurance carriers;</w:t>
      </w:r>
    </w:p>
    <w:p>
      <w:pPr>
        <w:spacing w:after="0" w:line="225" w:lineRule="exact"/>
        <w:rPr>
          <w:rFonts w:ascii="Arial" w:cs="Arial" w:eastAsia="Arial" w:hAnsi="Arial"/>
          <w:sz w:val="18"/>
          <w:szCs w:val="18"/>
          <w:color w:val="auto"/>
        </w:rPr>
      </w:pPr>
    </w:p>
    <w:p>
      <w:pPr>
        <w:ind w:left="4" w:right="100" w:firstLine="987"/>
        <w:spacing w:after="0" w:line="277" w:lineRule="auto"/>
        <w:tabs>
          <w:tab w:leader="none" w:pos="142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limited to the applicable unpaid insurance premiums under the insurance policy related to such insurance premium financing arrangement;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Liens on Cash Equivalents deposited as cash collateral on letters of credit as contemplated by the Revolving Credit Agreement;</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247" w:name="page248"/>
    <w:bookmarkEnd w:id="247"/>
    <w:p>
      <w:pPr>
        <w:ind w:left="4" w:right="20" w:firstLine="987"/>
        <w:spacing w:after="0" w:line="277" w:lineRule="auto"/>
        <w:tabs>
          <w:tab w:leader="none" w:pos="1385"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any Property of any Subsidiary that is not a Loan Party securing Indebtedness of such Subsidiary that is otherwise permitted under Section 6.01; and</w:t>
      </w:r>
    </w:p>
    <w:p>
      <w:pPr>
        <w:spacing w:after="0" w:line="170" w:lineRule="exact"/>
        <w:rPr>
          <w:rFonts w:ascii="Arial" w:cs="Arial" w:eastAsia="Arial" w:hAnsi="Arial"/>
          <w:sz w:val="18"/>
          <w:szCs w:val="18"/>
          <w:color w:val="auto"/>
        </w:rPr>
      </w:pPr>
    </w:p>
    <w:p>
      <w:pPr>
        <w:jc w:val="both"/>
        <w:ind w:left="4" w:right="260" w:firstLine="987"/>
        <w:spacing w:after="0" w:line="311" w:lineRule="auto"/>
        <w:tabs>
          <w:tab w:leader="none" w:pos="137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49"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provided that any Investment in connection therewith is otherwise permitted by Section 6.05; and provided further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1"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w:t>
      </w:r>
    </w:p>
    <w:p>
      <w:pPr>
        <w:spacing w:after="0" w:line="2" w:lineRule="exact"/>
        <w:rPr>
          <w:sz w:val="20"/>
          <w:szCs w:val="20"/>
          <w:color w:val="auto"/>
        </w:rPr>
      </w:pPr>
    </w:p>
    <w:p>
      <w:pPr>
        <w:ind w:left="4" w:hanging="4"/>
        <w:spacing w:after="0" w:line="281" w:lineRule="auto"/>
        <w:tabs>
          <w:tab w:leader="none" w:pos="25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 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 (g) payments made to exercise, settle or terminate any Permitted Warrant Transaction (A) by delivery of the Borrower’s common stock,</w:t>
      </w:r>
    </w:p>
    <w:p>
      <w:pPr>
        <w:spacing w:after="0" w:line="4" w:lineRule="exact"/>
        <w:rPr>
          <w:rFonts w:ascii="Arial" w:cs="Arial" w:eastAsia="Arial" w:hAnsi="Arial"/>
          <w:sz w:val="16"/>
          <w:szCs w:val="16"/>
          <w:color w:val="auto"/>
        </w:rPr>
      </w:pPr>
    </w:p>
    <w:p>
      <w:pPr>
        <w:ind w:left="4" w:right="100"/>
        <w:spacing w:after="0" w:line="273" w:lineRule="auto"/>
        <w:rPr>
          <w:rFonts w:ascii="Arial" w:cs="Arial" w:eastAsia="Arial" w:hAnsi="Arial"/>
          <w:sz w:val="16"/>
          <w:szCs w:val="16"/>
          <w:color w:val="auto"/>
        </w:rPr>
      </w:pPr>
      <w:r>
        <w:rPr>
          <w:rFonts w:ascii="Arial" w:cs="Arial" w:eastAsia="Arial" w:hAnsi="Arial"/>
          <w:sz w:val="17"/>
          <w:szCs w:val="17"/>
          <w:color w:val="auto"/>
        </w:rPr>
        <w:t>(B)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248" w:name="page249"/>
    <w:bookmarkEnd w:id="248"/>
    <w:p>
      <w:pPr>
        <w:ind w:left="400"/>
        <w:spacing w:after="0"/>
        <w:tabs>
          <w:tab w:leader="none" w:pos="1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6.05</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The Borrower will not, and will not allow any of its Subsidiaries to make or hold any Investments, except:</w:t>
      </w:r>
    </w:p>
    <w:p>
      <w:pPr>
        <w:spacing w:after="0" w:line="225" w:lineRule="exact"/>
        <w:rPr>
          <w:sz w:val="20"/>
          <w:szCs w:val="20"/>
          <w:color w:val="auto"/>
        </w:rPr>
      </w:pPr>
    </w:p>
    <w:p>
      <w:pPr>
        <w:ind w:left="1320" w:hanging="373"/>
        <w:spacing w:after="0"/>
        <w:tabs>
          <w:tab w:leader="none" w:pos="13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Investments by the Borrower or a Subsidiary in cash and Cash Equivalents;</w:t>
      </w:r>
    </w:p>
    <w:p>
      <w:pPr>
        <w:spacing w:after="0" w:line="225" w:lineRule="exact"/>
        <w:rPr>
          <w:rFonts w:ascii="Arial" w:cs="Arial" w:eastAsia="Arial" w:hAnsi="Arial"/>
          <w:sz w:val="18"/>
          <w:szCs w:val="18"/>
          <w:color w:val="auto"/>
        </w:rPr>
      </w:pPr>
    </w:p>
    <w:p>
      <w:pPr>
        <w:ind w:left="-40" w:firstLine="987"/>
        <w:spacing w:after="0" w:line="301" w:lineRule="auto"/>
        <w:tabs>
          <w:tab w:leader="none" w:pos="134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shall be contributed to the Borrower in cash as common equity, and (iii) for purposes not described in the foregoing subclauses (i) and (ii), in an aggregate principal amount outstanding not to exceed $10,000,000;</w:t>
      </w:r>
    </w:p>
    <w:p>
      <w:pPr>
        <w:spacing w:after="0" w:line="157" w:lineRule="exact"/>
        <w:rPr>
          <w:rFonts w:ascii="Arial" w:cs="Arial" w:eastAsia="Arial" w:hAnsi="Arial"/>
          <w:sz w:val="16"/>
          <w:szCs w:val="16"/>
          <w:color w:val="auto"/>
        </w:rPr>
      </w:pPr>
    </w:p>
    <w:p>
      <w:pPr>
        <w:ind w:left="1320" w:hanging="373"/>
        <w:spacing w:after="0"/>
        <w:tabs>
          <w:tab w:leader="none" w:pos="13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Investments by the Borrower or any Subsidiary in the Borrower or any Subsidiary;</w:t>
      </w:r>
    </w:p>
    <w:p>
      <w:pPr>
        <w:spacing w:after="0" w:line="225" w:lineRule="exact"/>
        <w:rPr>
          <w:rFonts w:ascii="Arial" w:cs="Arial" w:eastAsia="Arial" w:hAnsi="Arial"/>
          <w:sz w:val="18"/>
          <w:szCs w:val="18"/>
          <w:color w:val="auto"/>
        </w:rPr>
      </w:pPr>
    </w:p>
    <w:p>
      <w:pPr>
        <w:ind w:left="-40" w:right="100" w:firstLine="987"/>
        <w:spacing w:after="0" w:line="255" w:lineRule="auto"/>
        <w:tabs>
          <w:tab w:leader="none" w:pos="13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92" w:lineRule="exact"/>
        <w:rPr>
          <w:rFonts w:ascii="Arial" w:cs="Arial" w:eastAsia="Arial" w:hAnsi="Arial"/>
          <w:sz w:val="18"/>
          <w:szCs w:val="18"/>
          <w:color w:val="auto"/>
        </w:rPr>
      </w:pPr>
    </w:p>
    <w:p>
      <w:pPr>
        <w:ind w:left="-40" w:right="80" w:firstLine="987"/>
        <w:spacing w:after="0" w:line="259" w:lineRule="auto"/>
        <w:tabs>
          <w:tab w:leader="none" w:pos="133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(i) Investments existing or contemplated on the Closing Date and set forth on </w:t>
      </w:r>
      <w:r>
        <w:rPr>
          <w:rFonts w:ascii="Arial" w:cs="Arial" w:eastAsia="Arial" w:hAnsi="Arial"/>
          <w:sz w:val="18"/>
          <w:szCs w:val="18"/>
          <w:u w:val="single" w:color="auto"/>
          <w:color w:val="auto"/>
        </w:rPr>
        <w:t>Schedule 6.05(e)</w:t>
      </w:r>
      <w:r>
        <w:rPr>
          <w:rFonts w:ascii="Arial" w:cs="Arial" w:eastAsia="Arial" w:hAnsi="Arial"/>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the original Investment is not increased except by the terms of such Investment or as otherwise permitted by this Section 6.05;</w:t>
      </w:r>
    </w:p>
    <w:p>
      <w:pPr>
        <w:spacing w:after="0" w:line="186" w:lineRule="exact"/>
        <w:rPr>
          <w:rFonts w:ascii="Arial" w:cs="Arial" w:eastAsia="Arial" w:hAnsi="Arial"/>
          <w:sz w:val="18"/>
          <w:szCs w:val="18"/>
          <w:color w:val="auto"/>
        </w:rPr>
      </w:pPr>
    </w:p>
    <w:p>
      <w:pPr>
        <w:ind w:left="1300" w:hanging="353"/>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Investments in Swap Agreements in the ordinary course of business;</w:t>
      </w:r>
    </w:p>
    <w:p>
      <w:pPr>
        <w:spacing w:after="0" w:line="225" w:lineRule="exact"/>
        <w:rPr>
          <w:rFonts w:ascii="Arial" w:cs="Arial" w:eastAsia="Arial" w:hAnsi="Arial"/>
          <w:sz w:val="18"/>
          <w:szCs w:val="18"/>
          <w:color w:val="auto"/>
        </w:rPr>
      </w:pPr>
    </w:p>
    <w:p>
      <w:pPr>
        <w:ind w:left="-40" w:right="160" w:firstLine="987"/>
        <w:spacing w:after="0" w:line="277" w:lineRule="auto"/>
        <w:tabs>
          <w:tab w:leader="none" w:pos="13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70" w:lineRule="exact"/>
        <w:rPr>
          <w:rFonts w:ascii="Arial" w:cs="Arial" w:eastAsia="Arial" w:hAnsi="Arial"/>
          <w:sz w:val="18"/>
          <w:szCs w:val="18"/>
          <w:color w:val="auto"/>
        </w:rPr>
      </w:pPr>
    </w:p>
    <w:p>
      <w:pPr>
        <w:ind w:left="1340" w:hanging="393"/>
        <w:spacing w:after="0"/>
        <w:tabs>
          <w:tab w:leader="none" w:pos="1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w:t>
      </w:r>
    </w:p>
    <w:p>
      <w:pPr>
        <w:spacing w:after="0" w:line="225" w:lineRule="exact"/>
        <w:rPr>
          <w:rFonts w:ascii="Arial" w:cs="Arial" w:eastAsia="Arial" w:hAnsi="Arial"/>
          <w:sz w:val="18"/>
          <w:szCs w:val="18"/>
          <w:color w:val="auto"/>
        </w:rPr>
      </w:pPr>
    </w:p>
    <w:p>
      <w:pPr>
        <w:ind w:left="-40" w:right="700" w:firstLine="987"/>
        <w:spacing w:after="0" w:line="342" w:lineRule="auto"/>
        <w:tabs>
          <w:tab w:leader="none" w:pos="130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23" w:lineRule="exact"/>
        <w:rPr>
          <w:rFonts w:ascii="Arial" w:cs="Arial" w:eastAsia="Arial" w:hAnsi="Arial"/>
          <w:sz w:val="16"/>
          <w:szCs w:val="16"/>
          <w:color w:val="auto"/>
        </w:rPr>
      </w:pPr>
    </w:p>
    <w:p>
      <w:pPr>
        <w:ind w:left="1300" w:hanging="353"/>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any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has occurred and is continuing at the time such Investment is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0"/>
          </w:cols>
          <w:pgMar w:left="480" w:top="274" w:right="499" w:bottom="1440" w:gutter="0" w:footer="0" w:header="0"/>
        </w:sectPr>
      </w:pPr>
    </w:p>
    <w:bookmarkStart w:id="249" w:name="page250"/>
    <w:bookmarkEnd w:id="249"/>
    <w:p>
      <w:pPr>
        <w:ind w:left="1380" w:hanging="393"/>
        <w:spacing w:after="0"/>
        <w:tabs>
          <w:tab w:leader="none" w:pos="1380" w:val="left"/>
        </w:tabs>
        <w:numPr>
          <w:ilvl w:val="0"/>
          <w:numId w:val="2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advances of payroll payments, fees or other compensation to officers, directors, consultants or employees,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left="1340" w:hanging="353"/>
        <w:spacing w:after="0"/>
        <w:tabs>
          <w:tab w:leader="none" w:pos="13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Investments to the extent that payment for such Investments is made solely with Qualified Equity Interests of the Borrower;</w:t>
      </w:r>
    </w:p>
    <w:p>
      <w:pPr>
        <w:spacing w:after="0" w:line="236" w:lineRule="exact"/>
        <w:rPr>
          <w:rFonts w:ascii="Arial" w:cs="Arial" w:eastAsia="Arial" w:hAnsi="Arial"/>
          <w:sz w:val="17"/>
          <w:szCs w:val="17"/>
          <w:color w:val="auto"/>
        </w:rPr>
      </w:pPr>
    </w:p>
    <w:p>
      <w:pPr>
        <w:ind w:left="1420" w:hanging="433"/>
        <w:spacing w:after="0"/>
        <w:tabs>
          <w:tab w:leader="none" w:pos="142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Permitted Bond Hedge Transactions which constitute Investments;</w:t>
      </w:r>
    </w:p>
    <w:p>
      <w:pPr>
        <w:spacing w:after="0" w:line="225" w:lineRule="exact"/>
        <w:rPr>
          <w:rFonts w:ascii="Arial" w:cs="Arial" w:eastAsia="Arial" w:hAnsi="Arial"/>
          <w:sz w:val="18"/>
          <w:szCs w:val="18"/>
          <w:color w:val="auto"/>
        </w:rPr>
      </w:pPr>
    </w:p>
    <w:p>
      <w:pPr>
        <w:ind w:right="20" w:firstLine="987"/>
        <w:spacing w:after="0" w:line="254" w:lineRule="auto"/>
        <w:tabs>
          <w:tab w:leader="none" w:pos="138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94" w:lineRule="exact"/>
        <w:rPr>
          <w:rFonts w:ascii="Arial" w:cs="Arial" w:eastAsia="Arial" w:hAnsi="Arial"/>
          <w:sz w:val="18"/>
          <w:szCs w:val="18"/>
          <w:color w:val="auto"/>
        </w:rPr>
      </w:pPr>
    </w:p>
    <w:p>
      <w:pPr>
        <w:ind w:right="80" w:firstLine="987"/>
        <w:spacing w:after="0" w:line="263"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84" w:lineRule="exact"/>
        <w:rPr>
          <w:sz w:val="20"/>
          <w:szCs w:val="20"/>
          <w:color w:val="auto"/>
        </w:rPr>
      </w:pPr>
    </w:p>
    <w:p>
      <w:pPr>
        <w:ind w:firstLine="440"/>
        <w:spacing w:after="0" w:line="283"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 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Schedule</w:t>
      </w:r>
    </w:p>
    <w:p>
      <w:pPr>
        <w:spacing w:after="0" w:line="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6.06, in each case, with officers, directors, consultants and employees of the Borrower or its Subsidiaries, (g) the transactions pursuant to the agreements set forth in Schedule 6.06 or any amendment thereto to the extent such an amendment, taken as a whole, is not adverse to the Lenders in any material respect (as determined in good faith by the Borrower), (h) the payment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250" w:name="page251"/>
    <w:bookmarkEnd w:id="25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Schedule 6.06,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171" w:lineRule="exact"/>
        <w:rPr>
          <w:sz w:val="20"/>
          <w:szCs w:val="20"/>
          <w:color w:val="auto"/>
        </w:rPr>
      </w:pPr>
    </w:p>
    <w:p>
      <w:pPr>
        <w:jc w:val="both"/>
        <w:ind w:right="80" w:firstLine="440"/>
        <w:spacing w:after="0" w:line="255"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Financial Covenant</w:t>
      </w:r>
      <w:r>
        <w:rPr>
          <w:rFonts w:ascii="Arial" w:cs="Arial" w:eastAsia="Arial" w:hAnsi="Arial"/>
          <w:sz w:val="18"/>
          <w:szCs w:val="18"/>
          <w:color w:val="auto"/>
        </w:rPr>
        <w:t xml:space="preserve">. The Borrower will not permit the Consolidated Leverage Ratio as of the last day of (x) each fiscal quarter ending after the Closing Date through and including the fiscal quarter ending June 30, 2022, to exceed 4.25 to 1.00, (y) each fiscal quarter ending after June 30, 2022 through and including the fiscal quarter ending December 31, 2022, to exceed 4.00 to 1.00 and (z) any fiscal quarter thereafter, to exceed 3.75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lieu of the ratio set forth in this clause (z),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92"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Lines of Business</w:t>
      </w:r>
      <w:r>
        <w:rPr>
          <w:rFonts w:ascii="Arial" w:cs="Arial" w:eastAsia="Arial" w:hAnsi="Arial"/>
          <w:sz w:val="17"/>
          <w:szCs w:val="17"/>
          <w:color w:val="auto"/>
        </w:rPr>
        <w:t>.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 and be continuing at any time on and from the Closing Date:</w:t>
      </w:r>
    </w:p>
    <w:p>
      <w:pPr>
        <w:spacing w:after="0" w:line="225" w:lineRule="exact"/>
        <w:rPr>
          <w:sz w:val="20"/>
          <w:szCs w:val="20"/>
          <w:color w:val="auto"/>
        </w:rPr>
      </w:pPr>
    </w:p>
    <w:p>
      <w:pPr>
        <w:ind w:firstLine="987"/>
        <w:spacing w:after="0" w:line="277" w:lineRule="auto"/>
        <w:tabs>
          <w:tab w:leader="none" w:pos="137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shall fail to pay any principal of the Term Loan when and as the same shall become due and payable, whether at the due date thereof or at a date fixed for prepayment thereof or otherwise;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251" w:name="page252"/>
    <w:bookmarkEnd w:id="251"/>
    <w:p>
      <w:pPr>
        <w:ind w:right="420" w:firstLine="987"/>
        <w:spacing w:after="0" w:line="263" w:lineRule="auto"/>
        <w:tabs>
          <w:tab w:leader="none" w:pos="1381"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fail to pay any interest on the Term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83" w:lineRule="exact"/>
        <w:rPr>
          <w:rFonts w:ascii="Arial" w:cs="Arial" w:eastAsia="Arial" w:hAnsi="Arial"/>
          <w:sz w:val="18"/>
          <w:szCs w:val="18"/>
          <w:color w:val="auto"/>
        </w:rPr>
      </w:pPr>
    </w:p>
    <w:p>
      <w:pPr>
        <w:ind w:firstLine="987"/>
        <w:spacing w:after="0" w:line="279" w:lineRule="auto"/>
        <w:tabs>
          <w:tab w:leader="none" w:pos="137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17"/>
          <w:szCs w:val="17"/>
          <w:color w:val="auto"/>
        </w:rPr>
      </w:pPr>
    </w:p>
    <w:p>
      <w:pPr>
        <w:ind w:right="20" w:firstLine="987"/>
        <w:spacing w:after="0" w:line="277" w:lineRule="auto"/>
        <w:tabs>
          <w:tab w:leader="none" w:pos="138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5.03(i) (as to the Borrower’s existence) or Article VI;</w:t>
      </w:r>
    </w:p>
    <w:p>
      <w:pPr>
        <w:spacing w:after="0" w:line="170" w:lineRule="exact"/>
        <w:rPr>
          <w:rFonts w:ascii="Arial" w:cs="Arial" w:eastAsia="Arial" w:hAnsi="Arial"/>
          <w:sz w:val="18"/>
          <w:szCs w:val="18"/>
          <w:color w:val="auto"/>
        </w:rPr>
      </w:pPr>
    </w:p>
    <w:p>
      <w:pPr>
        <w:ind w:right="140" w:firstLine="987"/>
        <w:spacing w:after="0" w:line="263" w:lineRule="auto"/>
        <w:tabs>
          <w:tab w:leader="none" w:pos="137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83" w:lineRule="exact"/>
        <w:rPr>
          <w:rFonts w:ascii="Arial" w:cs="Arial" w:eastAsia="Arial" w:hAnsi="Arial"/>
          <w:sz w:val="18"/>
          <w:szCs w:val="18"/>
          <w:color w:val="auto"/>
        </w:rPr>
      </w:pPr>
    </w:p>
    <w:p>
      <w:pPr>
        <w:ind w:right="20" w:firstLine="987"/>
        <w:spacing w:after="0" w:line="271" w:lineRule="auto"/>
        <w:tabs>
          <w:tab w:leader="none" w:pos="135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78" w:lineRule="exact"/>
        <w:rPr>
          <w:rFonts w:ascii="Arial" w:cs="Arial" w:eastAsia="Arial" w:hAnsi="Arial"/>
          <w:sz w:val="17"/>
          <w:szCs w:val="17"/>
          <w:color w:val="auto"/>
        </w:rPr>
      </w:pPr>
    </w:p>
    <w:p>
      <w:pPr>
        <w:ind w:right="80" w:firstLine="987"/>
        <w:spacing w:after="0" w:line="293" w:lineRule="auto"/>
        <w:tabs>
          <w:tab w:leader="none" w:pos="138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 (with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(g) shall not apply to (i) secured Indebtedness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252" w:name="page253"/>
    <w:bookmarkEnd w:id="25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becomes due as a result of the voluntary sale or transfer of the property or assets securing such Indebtedness or as a result of a casualty event affecting such property or assets; or (ii) 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87" w:lineRule="exact"/>
        <w:rPr>
          <w:sz w:val="20"/>
          <w:szCs w:val="20"/>
          <w:color w:val="auto"/>
        </w:rPr>
      </w:pPr>
    </w:p>
    <w:p>
      <w:pPr>
        <w:ind w:right="240" w:firstLine="987"/>
        <w:spacing w:after="0" w:line="293" w:lineRule="auto"/>
        <w:tabs>
          <w:tab w:leader="none" w:pos="138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Arial" w:cs="Arial" w:eastAsia="Arial" w:hAnsi="Arial"/>
          <w:sz w:val="16"/>
          <w:szCs w:val="16"/>
          <w:i w:val="1"/>
          <w:iCs w:val="1"/>
          <w:color w:val="auto"/>
        </w:rPr>
        <w:t>bewindvoerder</w:t>
      </w:r>
      <w:r>
        <w:rPr>
          <w:rFonts w:ascii="Arial" w:cs="Arial" w:eastAsia="Arial" w:hAnsi="Arial"/>
          <w:sz w:val="16"/>
          <w:szCs w:val="16"/>
          <w:color w:val="auto"/>
        </w:rPr>
        <w:t>), trustee in bankruptcy (</w:t>
      </w:r>
      <w:r>
        <w:rPr>
          <w:rFonts w:ascii="Arial" w:cs="Arial" w:eastAsia="Arial" w:hAnsi="Arial"/>
          <w:sz w:val="16"/>
          <w:szCs w:val="16"/>
          <w:i w:val="1"/>
          <w:iCs w:val="1"/>
          <w:color w:val="auto"/>
        </w:rPr>
        <w:t>curator</w:t>
      </w:r>
      <w:r>
        <w:rPr>
          <w:rFonts w:ascii="Arial" w:cs="Arial" w:eastAsia="Arial" w:hAnsi="Arial"/>
          <w:sz w:val="16"/>
          <w:szCs w:val="16"/>
          <w:color w:val="auto"/>
        </w:rPr>
        <w:t>) or similar official for any Loan Party or any Material Subsidiary or for a substantial part of its assets, and, in any such case, such proceeding or petition shall continue undismissed or unstayed for sixty (60) days or an order or decree approving or ordering any of the foregoing shall be entered;</w:t>
      </w:r>
    </w:p>
    <w:p>
      <w:pPr>
        <w:spacing w:after="0" w:line="164" w:lineRule="exact"/>
        <w:rPr>
          <w:rFonts w:ascii="Arial" w:cs="Arial" w:eastAsia="Arial" w:hAnsi="Arial"/>
          <w:sz w:val="16"/>
          <w:szCs w:val="16"/>
          <w:color w:val="auto"/>
        </w:rPr>
      </w:pPr>
    </w:p>
    <w:p>
      <w:pPr>
        <w:ind w:firstLine="987"/>
        <w:spacing w:after="0" w:line="254" w:lineRule="auto"/>
        <w:tabs>
          <w:tab w:leader="none" w:pos="134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Arial" w:cs="Arial" w:eastAsia="Arial" w:hAnsi="Arial"/>
          <w:sz w:val="18"/>
          <w:szCs w:val="18"/>
          <w:i w:val="1"/>
          <w:iCs w:val="1"/>
          <w:color w:val="auto"/>
        </w:rPr>
        <w:t>bewindvoerder</w:t>
      </w:r>
      <w:r>
        <w:rPr>
          <w:rFonts w:ascii="Arial" w:cs="Arial" w:eastAsia="Arial" w:hAnsi="Arial"/>
          <w:sz w:val="18"/>
          <w:szCs w:val="18"/>
          <w:color w:val="auto"/>
        </w:rPr>
        <w:t>), trustee in bankruptcy (</w:t>
      </w:r>
      <w:r>
        <w:rPr>
          <w:rFonts w:ascii="Arial" w:cs="Arial" w:eastAsia="Arial" w:hAnsi="Arial"/>
          <w:sz w:val="18"/>
          <w:szCs w:val="18"/>
          <w:i w:val="1"/>
          <w:iCs w:val="1"/>
          <w:color w:val="auto"/>
        </w:rPr>
        <w:t>curator</w:t>
      </w:r>
      <w:r>
        <w:rPr>
          <w:rFonts w:ascii="Arial" w:cs="Arial" w:eastAsia="Arial" w:hAnsi="Arial"/>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94" w:lineRule="exact"/>
        <w:rPr>
          <w:rFonts w:ascii="Arial" w:cs="Arial" w:eastAsia="Arial" w:hAnsi="Arial"/>
          <w:sz w:val="18"/>
          <w:szCs w:val="18"/>
          <w:color w:val="auto"/>
        </w:rPr>
      </w:pPr>
    </w:p>
    <w:p>
      <w:pPr>
        <w:ind w:right="180" w:firstLine="987"/>
        <w:spacing w:after="0" w:line="277" w:lineRule="auto"/>
        <w:tabs>
          <w:tab w:leader="none" w:pos="134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Loan Party or any Material Subsidiary shall become generally unable, admit in writing its inability generally or fail generally to pay its debts as they become due;</w:t>
      </w:r>
    </w:p>
    <w:p>
      <w:pPr>
        <w:spacing w:after="0" w:line="170" w:lineRule="exact"/>
        <w:rPr>
          <w:rFonts w:ascii="Arial" w:cs="Arial" w:eastAsia="Arial" w:hAnsi="Arial"/>
          <w:sz w:val="18"/>
          <w:szCs w:val="18"/>
          <w:color w:val="auto"/>
        </w:rPr>
      </w:pPr>
    </w:p>
    <w:p>
      <w:pPr>
        <w:ind w:right="20" w:firstLine="987"/>
        <w:spacing w:after="0" w:line="259" w:lineRule="auto"/>
        <w:tabs>
          <w:tab w:leader="none" w:pos="138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86" w:lineRule="exact"/>
        <w:rPr>
          <w:rFonts w:ascii="Arial" w:cs="Arial" w:eastAsia="Arial" w:hAnsi="Arial"/>
          <w:sz w:val="18"/>
          <w:szCs w:val="18"/>
          <w:color w:val="auto"/>
        </w:rPr>
      </w:pPr>
    </w:p>
    <w:p>
      <w:pPr>
        <w:ind w:right="120" w:firstLine="987"/>
        <w:spacing w:after="0" w:line="277" w:lineRule="auto"/>
        <w:tabs>
          <w:tab w:leader="none" w:pos="134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would reasonably be expected to result in a Material Adverse Effect;</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225" w:lineRule="exact"/>
        <w:rPr>
          <w:rFonts w:ascii="Arial" w:cs="Arial" w:eastAsia="Arial" w:hAnsi="Arial"/>
          <w:sz w:val="18"/>
          <w:szCs w:val="18"/>
          <w:color w:val="auto"/>
        </w:rPr>
      </w:pPr>
    </w:p>
    <w:p>
      <w:pPr>
        <w:ind w:right="100" w:firstLine="987"/>
        <w:spacing w:after="0" w:line="263" w:lineRule="auto"/>
        <w:tabs>
          <w:tab w:leader="none" w:pos="138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253" w:name="page254"/>
    <w:bookmarkEnd w:id="25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 or purports in writing to revoke or rescind any Guarantee Agreement, in each case with respect to a material provision of any such Guarantee Agreement,</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declare the Term Loan then outstanding to be due and payable in whole (or in part, in which case any principal not so declared to be due and payable may thereafter be declared to be due and payable), and thereupon the principal of the Term Loan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principal of the Term Loan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20" w:firstLine="987"/>
        <w:spacing w:after="0" w:line="271" w:lineRule="auto"/>
        <w:tabs>
          <w:tab w:leader="none" w:pos="137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Each of the Lenders hereby irrevocably appoints Mizuho Bank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and the Lenders,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rFonts w:ascii="Arial" w:cs="Arial" w:eastAsia="Arial" w:hAnsi="Arial"/>
          <w:sz w:val="17"/>
          <w:szCs w:val="17"/>
          <w:color w:val="auto"/>
        </w:rPr>
      </w:pPr>
    </w:p>
    <w:p>
      <w:pPr>
        <w:ind w:right="40" w:firstLine="987"/>
        <w:spacing w:after="0" w:line="275" w:lineRule="auto"/>
        <w:tabs>
          <w:tab w:leader="none" w:pos="137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254" w:name="page255"/>
    <w:bookmarkEnd w:id="254"/>
    <w:p>
      <w:pPr>
        <w:ind w:left="4"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24" w:lineRule="exact"/>
        <w:rPr>
          <w:sz w:val="20"/>
          <w:szCs w:val="20"/>
          <w:color w:val="auto"/>
        </w:rPr>
      </w:pPr>
    </w:p>
    <w:p>
      <w:pPr>
        <w:ind w:left="4" w:firstLine="987"/>
        <w:spacing w:after="0" w:line="282" w:lineRule="auto"/>
        <w:tabs>
          <w:tab w:leader="none" w:pos="137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or a Lender; and (e) shall not be responsible for or have any duty or obligation to any Lender, any Participant or any other Person to ascertain or inquire into</w:t>
      </w:r>
    </w:p>
    <w:p>
      <w:pPr>
        <w:spacing w:after="0" w:line="10" w:lineRule="exact"/>
        <w:rPr>
          <w:rFonts w:ascii="Arial" w:cs="Arial" w:eastAsia="Arial" w:hAnsi="Arial"/>
          <w:sz w:val="16"/>
          <w:szCs w:val="16"/>
          <w:color w:val="auto"/>
        </w:rPr>
      </w:pPr>
    </w:p>
    <w:p>
      <w:pPr>
        <w:ind w:left="4" w:right="20" w:hanging="4"/>
        <w:spacing w:after="0" w:line="252" w:lineRule="auto"/>
        <w:tabs>
          <w:tab w:leader="none" w:pos="21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93" w:lineRule="exact"/>
        <w:rPr>
          <w:rFonts w:ascii="Arial" w:cs="Arial" w:eastAsia="Arial" w:hAnsi="Arial"/>
          <w:sz w:val="18"/>
          <w:szCs w:val="18"/>
          <w:color w:val="auto"/>
        </w:rPr>
      </w:pPr>
    </w:p>
    <w:p>
      <w:pPr>
        <w:ind w:left="4" w:right="620" w:firstLine="987"/>
        <w:spacing w:after="0" w:line="277" w:lineRule="auto"/>
        <w:tabs>
          <w:tab w:leader="none" w:pos="138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4"/>
          </w:cols>
          <w:pgMar w:left="436" w:top="274" w:right="439" w:bottom="1440" w:gutter="0" w:footer="0" w:header="0"/>
        </w:sectPr>
      </w:pPr>
    </w:p>
    <w:bookmarkStart w:id="255" w:name="page256"/>
    <w:bookmarkEnd w:id="255"/>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the Term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Term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right="20" w:firstLine="987"/>
        <w:spacing w:after="0" w:line="271" w:lineRule="auto"/>
        <w:tabs>
          <w:tab w:leader="none" w:pos="1368"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(including any such syndication that occurs after the Closing Date)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w:t>
      </w:r>
    </w:p>
    <w:p>
      <w:pPr>
        <w:spacing w:after="0" w:line="225" w:lineRule="exact"/>
        <w:rPr>
          <w:sz w:val="20"/>
          <w:szCs w:val="20"/>
          <w:color w:val="auto"/>
        </w:rPr>
      </w:pPr>
    </w:p>
    <w:p>
      <w:pPr>
        <w:ind w:firstLine="1428"/>
        <w:spacing w:after="0" w:line="270" w:lineRule="auto"/>
        <w:tabs>
          <w:tab w:leader="none" w:pos="1779"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80" w:lineRule="exact"/>
        <w:rPr>
          <w:rFonts w:ascii="Arial" w:cs="Arial" w:eastAsia="Arial" w:hAnsi="Arial"/>
          <w:sz w:val="17"/>
          <w:szCs w:val="17"/>
          <w:color w:val="auto"/>
        </w:rPr>
      </w:pPr>
    </w:p>
    <w:p>
      <w:pPr>
        <w:ind w:right="540" w:firstLine="1428"/>
        <w:spacing w:after="0" w:line="263" w:lineRule="auto"/>
        <w:tabs>
          <w:tab w:leader="none" w:pos="183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the Borrower in consultation with the Lenders shall, unless an Event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256" w:name="page257"/>
    <w:bookmarkEnd w:id="2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Default shall have occurred and be continuing, in which case the Required Lenders in consultation with the Borrower shall, appoint a successor, which shall be a bank with an office in the United States, or an Affiliate of any such bank with an office in the United States;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Section 1.1441-1(b)(2)(iv)(A). If no such successor shall have been so appointed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0" w:lineRule="exact"/>
        <w:rPr>
          <w:sz w:val="20"/>
          <w:szCs w:val="20"/>
          <w:color w:val="auto"/>
        </w:rPr>
      </w:pPr>
    </w:p>
    <w:p>
      <w:pPr>
        <w:ind w:right="60" w:firstLine="1428"/>
        <w:spacing w:after="0" w:line="285" w:lineRule="auto"/>
        <w:tabs>
          <w:tab w:leader="none" w:pos="1879" w:val="left"/>
        </w:tabs>
        <w:numPr>
          <w:ilvl w:val="1"/>
          <w:numId w:val="290"/>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76" w:lineRule="exact"/>
        <w:rPr>
          <w:rFonts w:ascii="Arial" w:cs="Arial" w:eastAsia="Arial" w:hAnsi="Arial"/>
          <w:sz w:val="16"/>
          <w:szCs w:val="16"/>
          <w:color w:val="auto"/>
        </w:rPr>
      </w:pPr>
    </w:p>
    <w:p>
      <w:pPr>
        <w:ind w:right="20" w:firstLine="987"/>
        <w:spacing w:after="0" w:line="272" w:lineRule="auto"/>
        <w:tabs>
          <w:tab w:leader="none" w:pos="138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Each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as to any matter, including whether the Administrative Agent or any Arranger have disclosed material information in their (or their Related Parties’) possession. Each Lender represents to the Administrative Agent and the Arrangers that it has, independently and without reliance upon the Administrative Agent, the Arrangers, any other Lender or any of their respective Related Parties and based on such documents and information as it has deemed appropriate, made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257" w:name="page258"/>
    <w:bookmarkEnd w:id="25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Arrangers,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party hereto, each Lender represents and warrants that (i) it is the intention of such Lender that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0" w:lineRule="exact"/>
        <w:rPr>
          <w:sz w:val="20"/>
          <w:szCs w:val="20"/>
          <w:color w:val="auto"/>
        </w:rPr>
      </w:pPr>
    </w:p>
    <w:p>
      <w:pPr>
        <w:ind w:left="1380" w:hanging="393"/>
        <w:spacing w:after="0"/>
        <w:tabs>
          <w:tab w:leader="none" w:pos="13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60" w:firstLine="987"/>
        <w:spacing w:after="0" w:line="254" w:lineRule="auto"/>
        <w:tabs>
          <w:tab w:leader="none" w:pos="133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Lenders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91" w:lineRule="exact"/>
        <w:rPr>
          <w:rFonts w:ascii="Arial" w:cs="Arial" w:eastAsia="Arial" w:hAnsi="Arial"/>
          <w:sz w:val="18"/>
          <w:szCs w:val="18"/>
          <w:color w:val="auto"/>
        </w:rPr>
      </w:pPr>
    </w:p>
    <w:p>
      <w:pPr>
        <w:ind w:right="120" w:firstLine="987"/>
        <w:spacing w:after="0" w:line="263" w:lineRule="auto"/>
        <w:tabs>
          <w:tab w:leader="none" w:pos="133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or a Lender hereunder.</w:t>
      </w:r>
    </w:p>
    <w:p>
      <w:pPr>
        <w:spacing w:after="0" w:line="183" w:lineRule="exact"/>
        <w:rPr>
          <w:rFonts w:ascii="Arial" w:cs="Arial" w:eastAsia="Arial" w:hAnsi="Arial"/>
          <w:sz w:val="18"/>
          <w:szCs w:val="18"/>
          <w:color w:val="auto"/>
        </w:rPr>
      </w:pPr>
    </w:p>
    <w:p>
      <w:pPr>
        <w:ind w:right="620" w:firstLine="987"/>
        <w:spacing w:after="0" w:line="277" w:lineRule="auto"/>
        <w:tabs>
          <w:tab w:leader="none" w:pos="137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Administrative Agent and each Arranger hereby informs the Lenders that each such Person is not undertaking to provide impartial investment advice, or to give advice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258" w:name="page259"/>
    <w:bookmarkEnd w:id="258"/>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 fiduciary capacity, in connection with the transactions contemplated hereby, and that such Person has a financial interest in the transactions contemplated hereby in that such Person or an Affiliate thereof (x) may receive interest or other payments with respect to the Term Loan, the Commitment and this Agreement, (y) may recognize a gain if it extended the Term Loan or the Commitment for an amount less than the amount being paid for an interest in the Term Loan or the Commitment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8" w:lineRule="exact"/>
        <w:rPr>
          <w:sz w:val="20"/>
          <w:szCs w:val="20"/>
          <w:color w:val="auto"/>
        </w:rPr>
      </w:pPr>
    </w:p>
    <w:p>
      <w:pPr>
        <w:ind w:firstLine="987"/>
        <w:spacing w:after="0" w:line="269" w:lineRule="auto"/>
        <w:tabs>
          <w:tab w:leader="none" w:pos="1341"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Recovery of Erroneous Payments</w:t>
      </w:r>
      <w:r>
        <w:rPr>
          <w:rFonts w:ascii="Arial" w:cs="Arial" w:eastAsia="Arial" w:hAnsi="Arial"/>
          <w:sz w:val="17"/>
          <w:szCs w:val="17"/>
          <w:color w:val="auto"/>
        </w:rPr>
        <w:t>. Without limitation of any other provision in this Agreement, if at any time the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Overnight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7" w:lineRule="auto"/>
        <w:tabs>
          <w:tab w:leader="none" w:pos="1371"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(including the Borrowing Request and any notice given under Section 2.10(b))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7" w:lineRule="exact"/>
        <w:rPr>
          <w:rFonts w:ascii="Arial" w:cs="Arial" w:eastAsia="Arial" w:hAnsi="Arial"/>
          <w:sz w:val="18"/>
          <w:szCs w:val="18"/>
          <w:color w:val="auto"/>
        </w:rPr>
      </w:pPr>
    </w:p>
    <w:p>
      <w:pPr>
        <w:ind w:right="560" w:firstLine="1428"/>
        <w:spacing w:after="0" w:line="277" w:lineRule="auto"/>
        <w:tabs>
          <w:tab w:leader="none" w:pos="178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if to any Loan Party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9.01</w:t>
      </w:r>
      <w:r>
        <w:rPr>
          <w:rFonts w:ascii="Arial" w:cs="Arial" w:eastAsia="Arial" w:hAnsi="Arial"/>
          <w:sz w:val="18"/>
          <w:szCs w:val="18"/>
          <w:color w:val="auto"/>
        </w:rPr>
        <w:t>;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259" w:name="page260"/>
    <w:bookmarkEnd w:id="259"/>
    <w:p>
      <w:pPr>
        <w:ind w:left="4" w:right="760" w:firstLine="1428"/>
        <w:spacing w:after="0" w:line="277" w:lineRule="auto"/>
        <w:tabs>
          <w:tab w:leader="none" w:pos="1836"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any other Lender, to the address, telecopier number, electronic mail address or telephone number specified in its Administrative Questionnaire.</w:t>
      </w:r>
    </w:p>
    <w:p>
      <w:pPr>
        <w:spacing w:after="0" w:line="170"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left="4" w:firstLine="987"/>
        <w:spacing w:after="0" w:line="273" w:lineRule="auto"/>
        <w:tabs>
          <w:tab w:leader="none" w:pos="1385"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8"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1" w:lineRule="exact"/>
        <w:rPr>
          <w:sz w:val="20"/>
          <w:szCs w:val="20"/>
          <w:color w:val="auto"/>
        </w:rPr>
      </w:pPr>
    </w:p>
    <w:p>
      <w:pPr>
        <w:ind w:left="4" w:right="20" w:hanging="4"/>
        <w:spacing w:after="0" w:line="255" w:lineRule="auto"/>
        <w:tabs>
          <w:tab w:leader="none" w:pos="26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Arial" w:cs="Arial" w:eastAsia="Arial" w:hAnsi="Arial"/>
          <w:sz w:val="18"/>
          <w:szCs w:val="18"/>
          <w:color w:val="auto"/>
        </w:rPr>
      </w:pPr>
    </w:p>
    <w:p>
      <w:pPr>
        <w:ind w:left="4" w:right="100" w:firstLine="987"/>
        <w:spacing w:after="0" w:line="253" w:lineRule="auto"/>
        <w:tabs>
          <w:tab w:leader="none" w:pos="1375"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4"/>
          </w:cols>
          <w:pgMar w:left="436" w:top="274" w:right="459" w:bottom="1440" w:gutter="0" w:footer="0" w:header="0"/>
        </w:sectPr>
      </w:pPr>
    </w:p>
    <w:bookmarkStart w:id="260" w:name="page261"/>
    <w:bookmarkEnd w:id="260"/>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Agent Party have any liability to any Loan Party, any Lender or any other Person for indirect, special, incidental, consequential or punitive damages (as opposed to direct or actual damages).</w:t>
      </w:r>
    </w:p>
    <w:p>
      <w:pPr>
        <w:spacing w:after="0" w:line="149" w:lineRule="exact"/>
        <w:rPr>
          <w:sz w:val="20"/>
          <w:szCs w:val="20"/>
          <w:color w:val="auto"/>
        </w:rPr>
      </w:pPr>
    </w:p>
    <w:p>
      <w:pPr>
        <w:ind w:firstLine="987"/>
        <w:spacing w:after="0" w:line="269" w:lineRule="auto"/>
        <w:tabs>
          <w:tab w:leader="none" w:pos="1381"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of the Borrower (with respect to the notice address for the Loan Parties),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any of their securities for purposes of United States Federal or state securities laws.</w:t>
      </w:r>
    </w:p>
    <w:p>
      <w:pPr>
        <w:spacing w:after="0" w:line="181" w:lineRule="exact"/>
        <w:rPr>
          <w:rFonts w:ascii="Arial" w:cs="Arial" w:eastAsia="Arial" w:hAnsi="Arial"/>
          <w:sz w:val="17"/>
          <w:szCs w:val="17"/>
          <w:color w:val="auto"/>
        </w:rPr>
      </w:pPr>
    </w:p>
    <w:p>
      <w:pPr>
        <w:ind w:right="20" w:firstLine="987"/>
        <w:spacing w:after="0" w:line="290" w:lineRule="auto"/>
        <w:tabs>
          <w:tab w:leader="none" w:pos="1371"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The Administrative Agent and the Lenders shall be entitled to rely and act upon any notices (including telephonic or electronic notices and Borrowing Request)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Lender and the Related Parties of each of them from all losses, costs, expenses and liabilities resulting from the reliance by such Person on each notice purportedly given by or on behalf of such Loan Party unless due to such Person’s gross negligence or willful misconduct as determined by a court of competent jurisdiction by final and non-appealable judgment. All telephonic notices to and other telephonic communications with the Administrative Agent may be recorded by the Administrative Agent, and each of the parties hereto hereby consents to such recording.</w:t>
      </w:r>
    </w:p>
    <w:p>
      <w:pPr>
        <w:spacing w:after="0" w:line="273"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57" w:lineRule="auto"/>
        <w:tabs>
          <w:tab w:leader="none" w:pos="137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261" w:name="page262"/>
    <w:bookmarkEnd w:id="261"/>
    <w:p>
      <w:pPr>
        <w:ind w:left="4"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the Term Loan shall not be construed as a waiver of any Default, regardless of whether the Administrative Agent or any Lender may have had notice or knowledge of such Default at the time.</w:t>
      </w:r>
    </w:p>
    <w:p>
      <w:pPr>
        <w:spacing w:after="0" w:line="171" w:lineRule="exact"/>
        <w:rPr>
          <w:sz w:val="20"/>
          <w:szCs w:val="20"/>
          <w:color w:val="auto"/>
        </w:rPr>
      </w:pPr>
    </w:p>
    <w:p>
      <w:pPr>
        <w:ind w:left="4" w:firstLine="987"/>
        <w:spacing w:after="0" w:line="283" w:lineRule="auto"/>
        <w:tabs>
          <w:tab w:leader="none" w:pos="138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shall not constitute an increase of any Commitment of any Lender, (ii) reduce the principal amount of the Term Loan or reduce the rate of interest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amend Section 2.12(c) or to waive any obligation of the Borrower to pay interest at the rate set forth therein, (iii) postpone the scheduled date of payment of the principal amount of the Term Loan, or any interest thereon, or any fees payable hereunder, or reduce the amount of, waive or excuse any such payment, or postpone the scheduled date of expiration of any Commitment, without the written consent of each Lender directly affected thereby, (iv) change Section 2.17(b) or (c) in a manner that would alter the pro rata sharing of payments required thereby, without the written consent of each Lender directly affected thereby, (v) change any of the provisions of this Section, the definition of “Required Lenders” or any other provision hereof specifying the number or percentage of Lenders required to waive, amend or modify any rights hereunder or make any determination or grant any consent hereunder without the written consent of each Lender, (vi) release all or substantially all of</w:t>
      </w:r>
    </w:p>
    <w:p>
      <w:pPr>
        <w:ind w:left="4" w:right="40" w:hanging="4"/>
        <w:spacing w:after="0" w:line="268" w:lineRule="auto"/>
        <w:tabs>
          <w:tab w:leader="none" w:pos="299"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the Guarantors from their obligations under any Guarantee Agreement (other than pursuant to the proviso set forth in Section 5.09) or (B) the value of the Guarantees of the Obligations, without the consent of each Lender or (vii) subordinate the Obligations hereunder to any other Indebtedness or other obligation, without the consent of each Lender;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(1) no such agreement shall amend, modify or otherwise affect the rights or duties of the Administrative Agent hereunder without the prior written consent of the Administrative Agent,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Loans held or deemed held by any Defaulting Lender shall be excluded for a vote of the Lenders hereunder requiring any consent of less than all affected Lenders).</w:t>
      </w:r>
    </w:p>
    <w:p>
      <w:pPr>
        <w:spacing w:after="0" w:line="11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44"/>
          </w:cols>
          <w:pgMar w:left="436" w:top="274" w:right="519" w:bottom="1440" w:gutter="0" w:footer="0" w:header="0"/>
        </w:sectPr>
      </w:pPr>
    </w:p>
    <w:bookmarkStart w:id="262" w:name="page263"/>
    <w:bookmarkEnd w:id="262"/>
    <w:p>
      <w:pPr>
        <w:ind w:left="444"/>
        <w:spacing w:after="0"/>
        <w:tabs>
          <w:tab w:leader="none" w:pos="1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69" w:lineRule="auto"/>
        <w:tabs>
          <w:tab w:leader="none" w:pos="1372"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 each applicable jurisdiction and regulatory counsel), in connection with the syndication of the credit facilities provided for herein (including any such syndication that occurs after the Closing Date), the preparation and administration of this Agreement and the other Loan Documents or any amendments, modifications or waivers of the provisions hereof or thereof (whether or not the transactions contemplated hereby or thereby shall be consummated), and (ii) all reasonable and documented out-of-pocket expenses incurred by the Administrative Agent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Term Loan made hereunder, including all such reasonable and documented out-of-pocket expenses incurred during any workout, restructuring or negotiations in respect of such Term Loan.</w:t>
      </w:r>
    </w:p>
    <w:p>
      <w:pPr>
        <w:spacing w:after="0" w:line="181" w:lineRule="exact"/>
        <w:rPr>
          <w:rFonts w:ascii="Arial" w:cs="Arial" w:eastAsia="Arial" w:hAnsi="Arial"/>
          <w:sz w:val="17"/>
          <w:szCs w:val="17"/>
          <w:color w:val="auto"/>
        </w:rPr>
      </w:pPr>
    </w:p>
    <w:p>
      <w:pPr>
        <w:ind w:left="4" w:right="40" w:firstLine="987"/>
        <w:spacing w:after="0" w:line="285" w:lineRule="auto"/>
        <w:tabs>
          <w:tab w:leader="none" w:pos="1382" w:val="left"/>
        </w:tabs>
        <w:numPr>
          <w:ilvl w:val="1"/>
          <w:numId w:val="302"/>
        </w:numPr>
        <w:rPr>
          <w:rFonts w:ascii="Arial" w:cs="Arial" w:eastAsia="Arial" w:hAnsi="Arial"/>
          <w:sz w:val="16"/>
          <w:szCs w:val="16"/>
          <w:color w:val="auto"/>
        </w:rPr>
      </w:pPr>
      <w:r>
        <w:rPr>
          <w:rFonts w:ascii="Arial" w:cs="Arial" w:eastAsia="Arial" w:hAnsi="Arial"/>
          <w:sz w:val="16"/>
          <w:szCs w:val="16"/>
          <w:color w:val="auto"/>
        </w:rPr>
        <w:t>The Borrower shall indemnify the Administrative Agent, the Arrangers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w:t>
      </w:r>
    </w:p>
    <w:p>
      <w:pPr>
        <w:spacing w:after="0" w:line="1" w:lineRule="exact"/>
        <w:rPr>
          <w:rFonts w:ascii="Arial" w:cs="Arial" w:eastAsia="Arial" w:hAnsi="Arial"/>
          <w:sz w:val="16"/>
          <w:szCs w:val="16"/>
          <w:color w:val="auto"/>
        </w:rPr>
      </w:pPr>
    </w:p>
    <w:p>
      <w:pPr>
        <w:ind w:left="4" w:right="20" w:hanging="4"/>
        <w:spacing w:after="0" w:line="267" w:lineRule="auto"/>
        <w:tabs>
          <w:tab w:leader="none" w:pos="21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the execution or delivery of this Agreement or any agreement or instrument contemplated hereby (including, without limitation, any Indemnitee’s reliance on any Communication executed using an Electronic Signature, or in the form of an Electronic Record), the performance by the parties hereto of their respective obligations hereunder or the consummation of the Transactions or any other transactions contemplated hereby, (ii) the Term Loan or the use of the proceeds therefrom,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Arial" w:cs="Arial" w:eastAsia="Arial" w:hAnsi="Arial"/>
          <w:sz w:val="17"/>
          <w:szCs w:val="17"/>
          <w:u w:val="single" w:color="auto"/>
          <w:color w:val="auto"/>
        </w:rPr>
        <w:t>Related Indemnitee Parties</w:t>
      </w:r>
      <w:r>
        <w:rPr>
          <w:rFonts w:ascii="Arial" w:cs="Arial" w:eastAsia="Arial" w:hAnsi="Arial"/>
          <w:sz w:val="17"/>
          <w:szCs w:val="17"/>
          <w:color w:val="auto"/>
        </w:rPr>
        <w:t>”), (B) the material breach of this Agreement or any other Loan Document by such Indemnitee or any of its Related Indemnitee Parties or (C) any dispute solely among Indemnitees (other than any dispute involving claims against the Administrative Agent and any Arranger,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4"/>
          </w:cols>
          <w:pgMar w:left="436" w:top="274" w:right="499" w:bottom="1440" w:gutter="0" w:footer="0" w:header="0"/>
        </w:sectPr>
      </w:pPr>
    </w:p>
    <w:bookmarkStart w:id="263" w:name="page264"/>
    <w:bookmarkEnd w:id="263"/>
    <w:p>
      <w:pPr>
        <w:ind w:left="1364" w:hanging="373"/>
        <w:spacing w:after="0"/>
        <w:tabs>
          <w:tab w:leader="none" w:pos="1364" w:val="left"/>
        </w:tabs>
        <w:numPr>
          <w:ilvl w:val="1"/>
          <w:numId w:val="3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Borrower fails to pay any amount required to be paid by it to the Administrative Agent under paragraph (a) or</w:t>
      </w:r>
    </w:p>
    <w:p>
      <w:pPr>
        <w:spacing w:after="0" w:line="46" w:lineRule="exact"/>
        <w:rPr>
          <w:rFonts w:ascii="Arial" w:cs="Arial" w:eastAsia="Arial" w:hAnsi="Arial"/>
          <w:sz w:val="16"/>
          <w:szCs w:val="16"/>
          <w:color w:val="auto"/>
        </w:rPr>
      </w:pPr>
    </w:p>
    <w:p>
      <w:pPr>
        <w:ind w:left="4" w:right="40" w:hanging="4"/>
        <w:spacing w:after="0" w:line="302" w:lineRule="auto"/>
        <w:tabs>
          <w:tab w:leader="none" w:pos="259"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of this Section, each Lender severally agrees to pay to the Administrative Agent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in its capacity as such.</w:t>
      </w:r>
    </w:p>
    <w:p>
      <w:pPr>
        <w:spacing w:after="0" w:line="155" w:lineRule="exact"/>
        <w:rPr>
          <w:rFonts w:ascii="Arial" w:cs="Arial" w:eastAsia="Arial" w:hAnsi="Arial"/>
          <w:sz w:val="16"/>
          <w:szCs w:val="16"/>
          <w:color w:val="auto"/>
        </w:rPr>
      </w:pPr>
    </w:p>
    <w:p>
      <w:pPr>
        <w:ind w:left="4" w:right="60" w:firstLine="987"/>
        <w:spacing w:after="0" w:line="270" w:lineRule="auto"/>
        <w:tabs>
          <w:tab w:leader="none" w:pos="1382" w:val="left"/>
        </w:tabs>
        <w:numPr>
          <w:ilvl w:val="1"/>
          <w:numId w:val="30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the Term Loan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0" w:lineRule="exact"/>
        <w:rPr>
          <w:rFonts w:ascii="Arial" w:cs="Arial" w:eastAsia="Arial" w:hAnsi="Arial"/>
          <w:sz w:val="17"/>
          <w:szCs w:val="17"/>
          <w:color w:val="auto"/>
        </w:rPr>
      </w:pPr>
    </w:p>
    <w:p>
      <w:pPr>
        <w:ind w:left="4" w:firstLine="987"/>
        <w:spacing w:after="0" w:line="311" w:lineRule="auto"/>
        <w:tabs>
          <w:tab w:leader="none" w:pos="1365"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All amounts due under this Section shall be payable not later than fifteen (15) days after written demand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257" w:lineRule="exact"/>
        <w:rPr>
          <w:sz w:val="20"/>
          <w:szCs w:val="20"/>
          <w:color w:val="auto"/>
        </w:rPr>
      </w:pPr>
    </w:p>
    <w:p>
      <w:pPr>
        <w:ind w:left="444"/>
        <w:spacing w:after="0"/>
        <w:tabs>
          <w:tab w:leader="none" w:pos="1724"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left="4" w:firstLine="987"/>
        <w:spacing w:after="0" w:line="269" w:lineRule="auto"/>
        <w:tabs>
          <w:tab w:leader="none" w:pos="1375"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4"/>
          </w:cols>
          <w:pgMar w:left="436" w:top="274" w:right="499" w:bottom="1440" w:gutter="0" w:footer="0" w:header="0"/>
        </w:sectPr>
      </w:pPr>
    </w:p>
    <w:bookmarkStart w:id="264" w:name="page265"/>
    <w:bookmarkEnd w:id="264"/>
    <w:p>
      <w:pPr>
        <w:jc w:val="both"/>
        <w:ind w:left="-40" w:right="20" w:firstLine="987"/>
        <w:spacing w:after="0" w:line="259" w:lineRule="auto"/>
        <w:tabs>
          <w:tab w:leader="none" w:pos="1341"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Assignments by Lenders</w:t>
      </w:r>
      <w:r>
        <w:rPr>
          <w:rFonts w:ascii="Arial" w:cs="Arial" w:eastAsia="Arial" w:hAnsi="Arial"/>
          <w:sz w:val="18"/>
          <w:szCs w:val="18"/>
          <w:color w:val="auto"/>
        </w:rPr>
        <w:t>. Any Lender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may at any time assign to one or more assignees all or a portion of its rights and obligations under this Agreement (including all or a portion of (x) the unfunded Term Commitment held by it at any time prior to the Closing Date or (y) the Term Loan at the time owing to it) (each such assignee being a “</w:t>
      </w: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86" w:lineRule="exact"/>
        <w:rPr>
          <w:rFonts w:ascii="Arial" w:cs="Arial" w:eastAsia="Arial" w:hAnsi="Arial"/>
          <w:sz w:val="18"/>
          <w:szCs w:val="18"/>
          <w:color w:val="auto"/>
        </w:rPr>
      </w:pPr>
    </w:p>
    <w:p>
      <w:pPr>
        <w:ind w:left="1740" w:hanging="352"/>
        <w:spacing w:after="0"/>
        <w:tabs>
          <w:tab w:leader="none" w:pos="1740"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firstLine="910"/>
        <w:spacing w:after="0" w:line="263" w:lineRule="auto"/>
        <w:tabs>
          <w:tab w:leader="none" w:pos="227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in the case of an assignment of the assigning Lender’s entire unfunded Term Commitment or in the case of an assignment of the entire remaining amount of the assigning Lender’s Term Loan at the time owing to it or in the case of an assignment to a Lender, an Affiliate of a Lender or an Approved Fund, no minimum amount need be assigned; and</w:t>
      </w:r>
    </w:p>
    <w:p>
      <w:pPr>
        <w:spacing w:after="0" w:line="75" w:lineRule="exact"/>
        <w:rPr>
          <w:rFonts w:ascii="Arial" w:cs="Arial" w:eastAsia="Arial" w:hAnsi="Arial"/>
          <w:sz w:val="18"/>
          <w:szCs w:val="18"/>
          <w:color w:val="auto"/>
        </w:rPr>
      </w:pPr>
    </w:p>
    <w:p>
      <w:pPr>
        <w:ind w:left="940" w:firstLine="910"/>
        <w:spacing w:after="0" w:line="288" w:lineRule="auto"/>
        <w:tabs>
          <w:tab w:leader="none" w:pos="2262" w:val="left"/>
        </w:tabs>
        <w:numPr>
          <w:ilvl w:val="2"/>
          <w:numId w:val="307"/>
        </w:numPr>
        <w:rPr>
          <w:rFonts w:ascii="Arial" w:cs="Arial" w:eastAsia="Arial" w:hAnsi="Arial"/>
          <w:sz w:val="16"/>
          <w:szCs w:val="16"/>
          <w:color w:val="auto"/>
        </w:rPr>
      </w:pPr>
      <w:r>
        <w:rPr>
          <w:rFonts w:ascii="Arial" w:cs="Arial" w:eastAsia="Arial" w:hAnsi="Arial"/>
          <w:sz w:val="16"/>
          <w:szCs w:val="16"/>
          <w:color w:val="auto"/>
        </w:rPr>
        <w:t xml:space="preserve">in any case not described in subsection (b)(i)(A) of this Section, the aggregate amount of (x) the unfunded Term Commitment of the assigning Lender subject to each such assignment and (y) the principal outstanding balance of the Term Loan of the assigning Lender subject to each such assignment, in each case determined as of the date the Assignment and Assumption with respect to such assignment is delivered to the Administrative Agent or, if “Trade Date” is specified in the Assignment and Assumption, as of the Trade Date, shall not be less than ¥500,000,000 or an integral multiple of ¥100,000,000 in excess thereof, unless each of the Administrative Agent and, so long as no Event of Default has occurred and is continuing, the Borrower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168" w:lineRule="exact"/>
        <w:rPr>
          <w:rFonts w:ascii="Arial" w:cs="Arial" w:eastAsia="Arial" w:hAnsi="Arial"/>
          <w:sz w:val="16"/>
          <w:szCs w:val="16"/>
          <w:color w:val="auto"/>
        </w:rPr>
      </w:pPr>
    </w:p>
    <w:p>
      <w:pPr>
        <w:jc w:val="both"/>
        <w:ind w:left="-40" w:right="240" w:firstLine="1428"/>
        <w:spacing w:after="0" w:line="263" w:lineRule="auto"/>
        <w:tabs>
          <w:tab w:leader="none" w:pos="1792"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portion of the unfunded Term Commitment or the Term Loan, as applicable, being assigned.</w:t>
      </w:r>
    </w:p>
    <w:p>
      <w:pPr>
        <w:spacing w:after="0" w:line="183" w:lineRule="exact"/>
        <w:rPr>
          <w:rFonts w:ascii="Arial" w:cs="Arial" w:eastAsia="Arial" w:hAnsi="Arial"/>
          <w:sz w:val="18"/>
          <w:szCs w:val="18"/>
          <w:color w:val="auto"/>
        </w:rPr>
      </w:pPr>
    </w:p>
    <w:p>
      <w:pPr>
        <w:ind w:left="-40" w:right="200" w:firstLine="1428"/>
        <w:spacing w:after="0" w:line="277" w:lineRule="auto"/>
        <w:tabs>
          <w:tab w:leader="none" w:pos="1842"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940" w:right="20" w:firstLine="910"/>
        <w:spacing w:after="0" w:line="263" w:lineRule="auto"/>
        <w:tabs>
          <w:tab w:leader="none" w:pos="2272" w:val="left"/>
        </w:tabs>
        <w:numPr>
          <w:ilvl w:val="2"/>
          <w:numId w:val="307"/>
        </w:numPr>
        <w:rPr>
          <w:rFonts w:ascii="Arial" w:cs="Arial" w:eastAsia="Arial" w:hAnsi="Arial"/>
          <w:sz w:val="18"/>
          <w:szCs w:val="18"/>
          <w:color w:val="auto"/>
        </w:rPr>
      </w:pPr>
      <w:r>
        <w:rPr>
          <w:rFonts w:ascii="Arial" w:cs="Arial" w:eastAsia="Arial" w:hAnsi="Arial"/>
          <w:sz w:val="18"/>
          <w:szCs w:val="18"/>
          <w:color w:val="auto"/>
        </w:rPr>
        <w:t>(x) in the case of an assignment of any unfunded Term Commitment, the consent of the Borrower in its sole discretion shall be required and (y) in the case of an assignment of any Term Loan, the consent of the Borrower (such consent not to be unreasonably withheld or delayed) shall be required unless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40"/>
          </w:cols>
          <w:pgMar w:left="480" w:top="274" w:right="479" w:bottom="1440" w:gutter="0" w:footer="0" w:header="0"/>
        </w:sectPr>
      </w:pPr>
    </w:p>
    <w:bookmarkStart w:id="265" w:name="page266"/>
    <w:bookmarkEnd w:id="265"/>
    <w:p>
      <w:pPr>
        <w:ind w:left="98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Event of Default pursuant to clause (a), (b), (h), (i) or (j) of Article VII has occurred and is continuing at the time of such assignment of any Term Loan or the assignment of any Term Loan is made to a Lender, to a Lender’s Affiliate or to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of any Term Loan unless it shall object thereto by written notice to the Administrative Agent within ten (10) Business Days after having received notice thereof; and</w:t>
      </w:r>
    </w:p>
    <w:p>
      <w:pPr>
        <w:spacing w:after="0" w:line="63" w:lineRule="exact"/>
        <w:rPr>
          <w:sz w:val="20"/>
          <w:szCs w:val="20"/>
          <w:color w:val="auto"/>
        </w:rPr>
      </w:pPr>
    </w:p>
    <w:p>
      <w:pPr>
        <w:ind w:left="980" w:right="60" w:firstLine="910"/>
        <w:spacing w:after="0" w:line="263" w:lineRule="auto"/>
        <w:tabs>
          <w:tab w:leader="none" w:pos="230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any unfunded Term Commitments or any Term Loan, as applicable, unless the assignment is to a Lender or its Affiliate.</w:t>
      </w:r>
    </w:p>
    <w:p>
      <w:pPr>
        <w:spacing w:after="0" w:line="183" w:lineRule="exact"/>
        <w:rPr>
          <w:rFonts w:ascii="Arial" w:cs="Arial" w:eastAsia="Arial" w:hAnsi="Arial"/>
          <w:sz w:val="18"/>
          <w:szCs w:val="18"/>
          <w:color w:val="auto"/>
        </w:rPr>
      </w:pPr>
    </w:p>
    <w:p>
      <w:pPr>
        <w:ind w:right="40" w:firstLine="1428"/>
        <w:spacing w:after="0" w:line="254" w:lineRule="auto"/>
        <w:tabs>
          <w:tab w:leader="none" w:pos="1872"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of any Term Commitment or any Term Loan, as applicable, shall execute and deliver to the Administrative Agent an Assignment and Assumption, together with a processing and recordation fee in the amount of ¥400,000; (x)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processing and recordation fee shall not be payable in the case of any assignment that becomes effective in accordance with the provisions hereof during the primary syndication of the Term Loan as determined by the Administrative Agent and (y)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194" w:lineRule="exact"/>
        <w:rPr>
          <w:rFonts w:ascii="Arial" w:cs="Arial" w:eastAsia="Arial" w:hAnsi="Arial"/>
          <w:sz w:val="18"/>
          <w:szCs w:val="18"/>
          <w:color w:val="auto"/>
        </w:rPr>
      </w:pPr>
    </w:p>
    <w:p>
      <w:pPr>
        <w:ind w:left="1820" w:hanging="392"/>
        <w:spacing w:after="0"/>
        <w:tabs>
          <w:tab w:leader="none" w:pos="182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No Assignment to Loan Parties</w:t>
      </w:r>
      <w:r>
        <w:rPr>
          <w:rFonts w:ascii="Arial" w:cs="Arial" w:eastAsia="Arial" w:hAnsi="Arial"/>
          <w:sz w:val="17"/>
          <w:szCs w:val="17"/>
          <w:color w:val="auto"/>
        </w:rPr>
        <w:t>. No such assignment shall be made to any Loan Party or any Loan Party’s Affiliates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860" w:hanging="432"/>
        <w:spacing w:after="0"/>
        <w:tabs>
          <w:tab w:leader="none" w:pos="186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225" w:lineRule="exact"/>
        <w:rPr>
          <w:rFonts w:ascii="Arial" w:cs="Arial" w:eastAsia="Arial" w:hAnsi="Arial"/>
          <w:sz w:val="18"/>
          <w:szCs w:val="18"/>
          <w:color w:val="auto"/>
        </w:rPr>
      </w:pPr>
    </w:p>
    <w:p>
      <w:pPr>
        <w:ind w:firstLine="1428"/>
        <w:spacing w:after="0" w:line="289" w:lineRule="auto"/>
        <w:tabs>
          <w:tab w:leader="none" w:pos="1922"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the Term Loan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6" w:lineRule="exact"/>
        <w:rPr>
          <w:rFonts w:ascii="Arial" w:cs="Arial" w:eastAsia="Arial" w:hAnsi="Arial"/>
          <w:sz w:val="16"/>
          <w:szCs w:val="16"/>
          <w:color w:val="auto"/>
        </w:rPr>
      </w:pPr>
    </w:p>
    <w:p>
      <w:pPr>
        <w:ind w:right="60" w:firstLine="1428"/>
        <w:spacing w:after="0" w:line="277" w:lineRule="auto"/>
        <w:tabs>
          <w:tab w:leader="none" w:pos="197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Subject to acceptance and recording thereof by the Administrative Agent pursuant to subsection (c) of this Section, from and after the effective date specified in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266" w:name="page267"/>
    <w:bookmarkEnd w:id="266"/>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5" w:lineRule="exact"/>
        <w:rPr>
          <w:sz w:val="20"/>
          <w:szCs w:val="20"/>
          <w:color w:val="auto"/>
        </w:rPr>
      </w:pPr>
    </w:p>
    <w:p>
      <w:pPr>
        <w:ind w:left="4" w:right="60" w:firstLine="987"/>
        <w:spacing w:after="0" w:line="291" w:lineRule="auto"/>
        <w:tabs>
          <w:tab w:leader="none" w:pos="1375"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Term Loan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6" w:lineRule="exact"/>
        <w:rPr>
          <w:rFonts w:ascii="Arial" w:cs="Arial" w:eastAsia="Arial" w:hAnsi="Arial"/>
          <w:sz w:val="16"/>
          <w:szCs w:val="16"/>
          <w:color w:val="auto"/>
        </w:rPr>
      </w:pPr>
    </w:p>
    <w:p>
      <w:pPr>
        <w:ind w:left="4" w:right="120" w:firstLine="987"/>
        <w:spacing w:after="0" w:line="286" w:lineRule="auto"/>
        <w:tabs>
          <w:tab w:leader="none" w:pos="1385" w:val="left"/>
        </w:tabs>
        <w:numPr>
          <w:ilvl w:val="1"/>
          <w:numId w:val="310"/>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or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in all or a portion of such Lender’s rights and/or obligations under this Agreement (including all or a portion of the Term Loan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w:t>
      </w:r>
    </w:p>
    <w:p>
      <w:pPr>
        <w:spacing w:after="0" w:line="1" w:lineRule="exact"/>
        <w:rPr>
          <w:rFonts w:ascii="Arial" w:cs="Arial" w:eastAsia="Arial" w:hAnsi="Arial"/>
          <w:sz w:val="16"/>
          <w:szCs w:val="16"/>
          <w:color w:val="auto"/>
        </w:rPr>
      </w:pPr>
    </w:p>
    <w:p>
      <w:pPr>
        <w:ind w:left="4" w:right="140" w:hanging="4"/>
        <w:spacing w:after="0" w:line="253" w:lineRule="auto"/>
        <w:tabs>
          <w:tab w:leader="none" w:pos="26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93" w:lineRule="exact"/>
        <w:rPr>
          <w:sz w:val="20"/>
          <w:szCs w:val="20"/>
          <w:color w:val="auto"/>
        </w:rPr>
      </w:pPr>
    </w:p>
    <w:p>
      <w:pPr>
        <w:ind w:left="4" w:right="300" w:firstLine="440"/>
        <w:spacing w:after="0" w:line="301"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267" w:name="page268"/>
    <w:bookmarkEnd w:id="26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Participant shall be entitled to the benefits of Sections 2.14, 2.15 and 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Sections 2.17 and 2.18 as though it were a Lender. Each Lender that sells a participation shall, acting solely for this purpose as a non-fiduciary agent of the Borrower, maintain a register on which it enters the name and address of each Participant and the principal amounts and interest thereon of each participant’s interest in the Term Loan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94" w:lineRule="exact"/>
        <w:rPr>
          <w:sz w:val="20"/>
          <w:szCs w:val="20"/>
          <w:color w:val="auto"/>
        </w:rPr>
      </w:pPr>
    </w:p>
    <w:p>
      <w:pPr>
        <w:ind w:left="1360" w:hanging="373"/>
        <w:spacing w:after="0"/>
        <w:tabs>
          <w:tab w:leader="none" w:pos="136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Limitations upon New Lender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Subject to Section 9.04(e)(ii) below, if:</w:t>
      </w:r>
    </w:p>
    <w:p>
      <w:pPr>
        <w:spacing w:after="0" w:line="117" w:lineRule="exact"/>
        <w:rPr>
          <w:rFonts w:ascii="Arial" w:cs="Arial" w:eastAsia="Arial" w:hAnsi="Arial"/>
          <w:sz w:val="18"/>
          <w:szCs w:val="18"/>
          <w:color w:val="auto"/>
        </w:rPr>
      </w:pPr>
    </w:p>
    <w:p>
      <w:pPr>
        <w:ind w:left="980" w:right="480" w:firstLine="910"/>
        <w:spacing w:after="0" w:line="277" w:lineRule="auto"/>
        <w:tabs>
          <w:tab w:leader="none" w:pos="2312" w:val="left"/>
        </w:tabs>
        <w:numPr>
          <w:ilvl w:val="2"/>
          <w:numId w:val="312"/>
        </w:numPr>
        <w:rPr>
          <w:rFonts w:ascii="Arial" w:cs="Arial" w:eastAsia="Arial" w:hAnsi="Arial"/>
          <w:sz w:val="18"/>
          <w:szCs w:val="18"/>
          <w:color w:val="auto"/>
        </w:rPr>
      </w:pPr>
      <w:r>
        <w:rPr>
          <w:rFonts w:ascii="Arial" w:cs="Arial" w:eastAsia="Arial" w:hAnsi="Arial"/>
          <w:sz w:val="18"/>
          <w:szCs w:val="18"/>
          <w:color w:val="auto"/>
        </w:rPr>
        <w:t>a Lender assigns, transfers, sells, pledges or assigns a security interest in any of its rights or obligations under this Agreement or changes its Lending Office; and</w:t>
      </w:r>
    </w:p>
    <w:p>
      <w:pPr>
        <w:spacing w:after="0" w:line="62" w:lineRule="exact"/>
        <w:rPr>
          <w:rFonts w:ascii="Arial" w:cs="Arial" w:eastAsia="Arial" w:hAnsi="Arial"/>
          <w:sz w:val="18"/>
          <w:szCs w:val="18"/>
          <w:color w:val="auto"/>
        </w:rPr>
      </w:pPr>
    </w:p>
    <w:p>
      <w:pPr>
        <w:ind w:left="980" w:right="60" w:firstLine="910"/>
        <w:spacing w:after="0" w:line="263" w:lineRule="auto"/>
        <w:tabs>
          <w:tab w:leader="none" w:pos="2302" w:val="left"/>
        </w:tabs>
        <w:numPr>
          <w:ilvl w:val="2"/>
          <w:numId w:val="312"/>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7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84" w:lineRule="exact"/>
        <w:rPr>
          <w:sz w:val="20"/>
          <w:szCs w:val="20"/>
          <w:color w:val="auto"/>
        </w:rPr>
      </w:pPr>
    </w:p>
    <w:p>
      <w:pPr>
        <w:ind w:right="260" w:firstLine="1428"/>
        <w:spacing w:after="0" w:line="296" w:lineRule="auto"/>
        <w:tabs>
          <w:tab w:leader="none" w:pos="182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74" w:right="479" w:bottom="1440" w:gutter="0" w:footer="0" w:header="0"/>
        </w:sectPr>
      </w:pPr>
    </w:p>
    <w:bookmarkStart w:id="268" w:name="page269"/>
    <w:bookmarkEnd w:id="268"/>
    <w:p>
      <w:pPr>
        <w:ind w:left="4" w:right="100" w:firstLine="987"/>
        <w:spacing w:after="0" w:line="301" w:lineRule="auto"/>
        <w:tabs>
          <w:tab w:leader="none" w:pos="1355"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Pledges</w:t>
      </w:r>
      <w:r>
        <w:rPr>
          <w:rFonts w:ascii="Arial" w:cs="Arial" w:eastAsia="Arial" w:hAnsi="Arial"/>
          <w:sz w:val="16"/>
          <w:szCs w:val="16"/>
          <w:color w:val="auto"/>
        </w:rPr>
        <w:t>. Any Lender (the “</w:t>
      </w:r>
      <w:r>
        <w:rPr>
          <w:rFonts w:ascii="Arial" w:cs="Arial" w:eastAsia="Arial" w:hAnsi="Arial"/>
          <w:sz w:val="16"/>
          <w:szCs w:val="16"/>
          <w:u w:val="single" w:color="auto"/>
          <w:color w:val="auto"/>
        </w:rPr>
        <w:t>Existing Lender</w:t>
      </w:r>
      <w:r>
        <w:rPr>
          <w:rFonts w:ascii="Arial" w:cs="Arial" w:eastAsia="Arial" w:hAnsi="Arial"/>
          <w:sz w:val="16"/>
          <w:szCs w:val="16"/>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Arial" w:cs="Arial" w:eastAsia="Arial" w:hAnsi="Arial"/>
          <w:sz w:val="16"/>
          <w:szCs w:val="16"/>
          <w:u w:val="single" w:color="auto"/>
          <w:color w:val="auto"/>
        </w:rPr>
        <w:t>New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57" w:lineRule="exact"/>
        <w:rPr>
          <w:rFonts w:ascii="Arial" w:cs="Arial" w:eastAsia="Arial" w:hAnsi="Arial"/>
          <w:sz w:val="16"/>
          <w:szCs w:val="16"/>
          <w:color w:val="auto"/>
        </w:rPr>
      </w:pPr>
    </w:p>
    <w:p>
      <w:pPr>
        <w:ind w:left="4" w:right="20" w:firstLine="987"/>
        <w:spacing w:after="0" w:line="287" w:lineRule="auto"/>
        <w:tabs>
          <w:tab w:leader="none" w:pos="1385" w:val="left"/>
        </w:tabs>
        <w:numPr>
          <w:ilvl w:val="1"/>
          <w:numId w:val="31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hanging="4"/>
        <w:spacing w:after="0" w:line="284" w:lineRule="auto"/>
        <w:tabs>
          <w:tab w:leader="none" w:pos="21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 (y) disclose on a confidential basis any non-public information relating to its funding of Loans to any rating agency, commercial paper dealer or provider of any surety or Guarantee or credit or liquidity enhancement to such SPC.</w:t>
      </w:r>
    </w:p>
    <w:p>
      <w:pPr>
        <w:spacing w:after="0" w:line="176"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the Borrowing of the Term Loan on the Closing Date or the Business Day immediately thereafter (as specified by the Borrower in the Borrowing Request), and shall continue in full force and effect as long as the Term Loan or any other Obligation hereunder shall remain unpaid or unsatisfied. The provisions of Sections 2.14, 2.15,</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269" w:name="page270"/>
    <w:bookmarkEnd w:id="269"/>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2.16 and 9.03 and Article VIII shall survive and remain in full force and effect regardless of the consummation of the transactions contemplated hereby, the repayment of the Term Loan, the expiration or termination of the Commitments or the termination of this Agreement or any other Loan Document or any provision hereof or thereof.</w:t>
      </w:r>
    </w:p>
    <w:p>
      <w:pPr>
        <w:spacing w:after="0" w:line="184"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8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9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117" w:lineRule="exact"/>
        <w:rPr>
          <w:sz w:val="20"/>
          <w:szCs w:val="20"/>
          <w:color w:val="auto"/>
        </w:rPr>
      </w:pPr>
    </w:p>
    <w:p>
      <w:pPr>
        <w:ind w:right="80" w:firstLine="987"/>
        <w:spacing w:after="0" w:line="254" w:lineRule="auto"/>
        <w:tabs>
          <w:tab w:leader="none" w:pos="1371"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 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94" w:lineRule="exact"/>
        <w:rPr>
          <w:rFonts w:ascii="Arial" w:cs="Arial" w:eastAsia="Arial" w:hAnsi="Arial"/>
          <w:sz w:val="18"/>
          <w:szCs w:val="18"/>
          <w:color w:val="auto"/>
        </w:rPr>
      </w:pPr>
    </w:p>
    <w:p>
      <w:pPr>
        <w:ind w:right="40" w:firstLine="987"/>
        <w:spacing w:after="0" w:line="273" w:lineRule="auto"/>
        <w:tabs>
          <w:tab w:leader="none" w:pos="137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To the extent that any payment by or on behalf of the Borrower or any other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270" w:name="page271"/>
    <w:bookmarkEnd w:id="270"/>
    <w:p>
      <w:pPr>
        <w:ind w:right="2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under clause (b) of the preceding sentence shall survive the payment in full of the Obligations and the termination of this Agreement.</w:t>
      </w:r>
    </w:p>
    <w:p>
      <w:pPr>
        <w:spacing w:after="0" w:line="265"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17" w:lineRule="exact"/>
        <w:rPr>
          <w:sz w:val="20"/>
          <w:szCs w:val="20"/>
          <w:color w:val="auto"/>
        </w:rPr>
      </w:pPr>
    </w:p>
    <w:p>
      <w:pPr>
        <w:ind w:right="460" w:firstLine="987"/>
        <w:spacing w:after="0" w:line="308" w:lineRule="auto"/>
        <w:tabs>
          <w:tab w:leader="none" w:pos="136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46" w:lineRule="exact"/>
        <w:rPr>
          <w:rFonts w:ascii="Arial" w:cs="Arial" w:eastAsia="Arial" w:hAnsi="Arial"/>
          <w:sz w:val="17"/>
          <w:szCs w:val="17"/>
          <w:color w:val="auto"/>
        </w:rPr>
      </w:pPr>
    </w:p>
    <w:p>
      <w:pPr>
        <w:ind w:firstLine="987"/>
        <w:spacing w:after="0" w:line="268" w:lineRule="auto"/>
        <w:tabs>
          <w:tab w:leader="none" w:pos="137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86" w:lineRule="exact"/>
        <w:rPr>
          <w:rFonts w:ascii="Arial" w:cs="Arial" w:eastAsia="Arial" w:hAnsi="Arial"/>
          <w:sz w:val="17"/>
          <w:szCs w:val="17"/>
          <w:color w:val="auto"/>
        </w:rPr>
      </w:pPr>
    </w:p>
    <w:p>
      <w:pPr>
        <w:ind w:right="120" w:firstLine="987"/>
        <w:spacing w:after="0" w:line="301" w:lineRule="auto"/>
        <w:tabs>
          <w:tab w:leader="none" w:pos="1371" w:val="left"/>
        </w:tabs>
        <w:numPr>
          <w:ilvl w:val="0"/>
          <w:numId w:val="317"/>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ind w:right="120" w:firstLine="987"/>
        <w:spacing w:after="0" w:line="259" w:lineRule="auto"/>
        <w:tabs>
          <w:tab w:leader="none" w:pos="138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271" w:name="page272"/>
    <w:bookmarkEnd w:id="271"/>
    <w:p>
      <w:pPr>
        <w:ind w:left="4"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left="4" w:right="80" w:hanging="4"/>
        <w:spacing w:after="0" w:line="253" w:lineRule="auto"/>
        <w:tabs>
          <w:tab w:leader="none" w:pos="29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and the Lenders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w:t>
      </w:r>
    </w:p>
    <w:p>
      <w:pPr>
        <w:spacing w:after="0" w:line="2" w:lineRule="exact"/>
        <w:rPr>
          <w:sz w:val="20"/>
          <w:szCs w:val="20"/>
          <w:color w:val="auto"/>
        </w:rPr>
      </w:pPr>
    </w:p>
    <w:p>
      <w:pPr>
        <w:ind w:left="4" w:hanging="4"/>
        <w:spacing w:after="0" w:line="285" w:lineRule="auto"/>
        <w:tabs>
          <w:tab w:leader="none" w:pos="249"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to the extent required by applicable laws or regulations or by any subpoena or similar legal process (provided, that (other than in the case of any disclosure to a regulator or examiner during a routine examination) to the extent practicable and permitted by law, the Borrower has been notified prior to such disclosure so 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or other transaction under which payments are to be made by reference to a Loan Party and its obligations, this Agreement or payments hereunder or (iii) any insurers and/or risk protection providers relating to the transactions contemplated under this Agreement, (g) with the consent of any Loan Party, (h) to the extent such Information (x) becomes publicly available other than as a result of a breach of this Section or (y) becomes available to the Administrative Agent, any Lender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any such disclosure, such rating agency shall undertake in writing to preserve the confidentiality of any</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272" w:name="page273"/>
    <w:bookmarkEnd w:id="272"/>
    <w:p>
      <w:pPr>
        <w:ind w:left="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w:t>
      </w:r>
    </w:p>
    <w:p>
      <w:pPr>
        <w:ind w:left="4" w:right="80" w:hanging="4"/>
        <w:spacing w:after="0" w:line="268" w:lineRule="auto"/>
        <w:tabs>
          <w:tab w:leader="none" w:pos="21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provider of any Platform or other electronic delivery service used by the Administrative Agent to deliver Borrower Materials or notices to the Lenders or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and the Lenders in connection with the administration of this Agreement, the other Loan Documents and the Borrowing hereunder. For purposes of this Section, “Information”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78"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SECTION 9.14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4"/>
          </w:cols>
          <w:pgMar w:left="436" w:top="274" w:right="479" w:bottom="1440" w:gutter="0" w:footer="0" w:header="0"/>
        </w:sectPr>
      </w:pPr>
    </w:p>
    <w:bookmarkStart w:id="273" w:name="page274"/>
    <w:bookmarkEnd w:id="27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cumulated and the interest and Charges payable to such Lender in respect of other Loans or periods shall be increased (but not above the Maximum Rate therefor) until such cumulated amount, together with interest thereon at the Overnight Rate to the date of repayment, shall have been received by such Lender.</w:t>
      </w:r>
    </w:p>
    <w:p>
      <w:pPr>
        <w:spacing w:after="0" w:line="184"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No Fiduciary Duty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 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82" w:lineRule="exact"/>
        <w:rPr>
          <w:sz w:val="20"/>
          <w:szCs w:val="20"/>
          <w:color w:val="auto"/>
        </w:rPr>
      </w:pPr>
    </w:p>
    <w:p>
      <w:pPr>
        <w:ind w:left="440"/>
        <w:spacing w:after="0"/>
        <w:tabs>
          <w:tab w:leader="none" w:pos="17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Electronic Execution of this Agreement and Other Documents</w:t>
      </w:r>
      <w:r>
        <w:rPr>
          <w:rFonts w:ascii="Arial" w:cs="Arial" w:eastAsia="Arial" w:hAnsi="Arial"/>
          <w:sz w:val="16"/>
          <w:szCs w:val="16"/>
          <w:color w:val="auto"/>
        </w:rPr>
        <w:t>.</w:t>
      </w:r>
    </w:p>
    <w:p>
      <w:pPr>
        <w:spacing w:after="0" w:line="117" w:lineRule="exact"/>
        <w:rPr>
          <w:sz w:val="20"/>
          <w:szCs w:val="20"/>
          <w:color w:val="auto"/>
        </w:rPr>
      </w:pPr>
    </w:p>
    <w:p>
      <w:pPr>
        <w:ind w:right="160" w:firstLine="987"/>
        <w:spacing w:after="0" w:line="271" w:lineRule="auto"/>
        <w:tabs>
          <w:tab w:leader="none" w:pos="136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274" w:name="page275"/>
    <w:bookmarkEnd w:id="274"/>
    <w:p>
      <w:pPr>
        <w:ind w:firstLine="987"/>
        <w:spacing w:after="0" w:line="267" w:lineRule="auto"/>
        <w:tabs>
          <w:tab w:leader="none" w:pos="1378" w:val="left"/>
        </w:tabs>
        <w:numPr>
          <w:ilvl w:val="0"/>
          <w:numId w:val="3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any Loan Document and any other Communication,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may, at its option, create one or more copies of any Communication in the form of an imaged Electronic Record (“</w:t>
      </w:r>
      <w:r>
        <w:rPr>
          <w:rFonts w:ascii="Arial" w:cs="Arial" w:eastAsia="Arial" w:hAnsi="Arial"/>
          <w:sz w:val="17"/>
          <w:szCs w:val="17"/>
          <w:u w:val="single" w:color="auto"/>
          <w:color w:val="auto"/>
        </w:rPr>
        <w:t>Electronic Copy</w:t>
      </w:r>
      <w:r>
        <w:rPr>
          <w:rFonts w:ascii="Arial" w:cs="Arial" w:eastAsia="Arial" w:hAnsi="Arial"/>
          <w:sz w:val="17"/>
          <w:szCs w:val="17"/>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that, without limiting the foregoing, (i) to the extent the Administrative Agent has agreed to accept such Electronic Signature, the Loan Parties, the Administrative Agent and each of the Lenders shall be entitled to rely on any such Electronic Signature purportedly given by or on behalf of any party hereto without further verification and regardless of the appearance or form of such Electronic Signature, and (ii) upon the request of the Administrative Agent or any Lender, any Communication executed using an Electronic Signature shall be promptly followed by a manually executed counterpart.</w:t>
      </w:r>
    </w:p>
    <w:p>
      <w:pPr>
        <w:spacing w:after="0" w:line="188" w:lineRule="exact"/>
        <w:rPr>
          <w:rFonts w:ascii="Arial" w:cs="Arial" w:eastAsia="Arial" w:hAnsi="Arial"/>
          <w:sz w:val="17"/>
          <w:szCs w:val="17"/>
          <w:color w:val="auto"/>
        </w:rPr>
      </w:pPr>
    </w:p>
    <w:p>
      <w:pPr>
        <w:ind w:right="80" w:firstLine="987"/>
        <w:spacing w:after="0" w:line="293" w:lineRule="auto"/>
        <w:tabs>
          <w:tab w:leader="none" w:pos="136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64" w:lineRule="exact"/>
        <w:rPr>
          <w:rFonts w:ascii="Arial" w:cs="Arial" w:eastAsia="Arial" w:hAnsi="Arial"/>
          <w:sz w:val="16"/>
          <w:szCs w:val="16"/>
          <w:color w:val="auto"/>
        </w:rPr>
      </w:pPr>
    </w:p>
    <w:p>
      <w:pPr>
        <w:ind w:firstLine="987"/>
        <w:spacing w:after="0" w:line="255" w:lineRule="auto"/>
        <w:tabs>
          <w:tab w:leader="none" w:pos="138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Each of the Loan Parties, the Administrative Agent and each Lender hereby waive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Lender and each of its respective Related Party for any liabilities arising solely from the Administrative Agent’s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275" w:name="page276"/>
    <w:bookmarkEnd w:id="275"/>
    <w:p>
      <w:pPr>
        <w:ind w:firstLine="987"/>
        <w:spacing w:after="0" w:line="342" w:lineRule="auto"/>
        <w:tabs>
          <w:tab w:leader="none" w:pos="1371" w:val="left"/>
        </w:tabs>
        <w:numPr>
          <w:ilvl w:val="0"/>
          <w:numId w:val="3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Joint and Several</w:t>
      </w:r>
      <w:r>
        <w:rPr>
          <w:rFonts w:ascii="Arial" w:cs="Arial" w:eastAsia="Arial" w:hAnsi="Arial"/>
          <w:sz w:val="17"/>
          <w:szCs w:val="17"/>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the Borrower or any other Loan Party due to any payment or performance made under this Agreement, in each case until all Obligations shall have been fully satisfied.</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Enforcement</w:t>
      </w:r>
      <w:r>
        <w:rPr>
          <w:rFonts w:ascii="Arial" w:cs="Arial" w:eastAsia="Arial" w:hAnsi="Arial"/>
          <w:sz w:val="16"/>
          <w:szCs w:val="16"/>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Section 9.08 (subject to the terms of Section 2.17(c)), or (c)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and (c) of the preceding proviso and subject to Section 2.17(c), any Lender may, with the consent of the Required Lenders, enforce any rights and remedies available to it and as authorized by the Required Lenders.</w:t>
      </w:r>
    </w:p>
    <w:p>
      <w:pPr>
        <w:spacing w:after="0" w:line="172"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Netherlands Loan Party Representation</w:t>
      </w:r>
      <w:r>
        <w:rPr>
          <w:rFonts w:ascii="Arial" w:cs="Arial" w:eastAsia="Arial" w:hAnsi="Arial"/>
          <w:sz w:val="17"/>
          <w:szCs w:val="17"/>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7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276" w:name="page277"/>
    <w:bookmarkEnd w:id="276"/>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ind w:right="420" w:firstLine="987"/>
        <w:spacing w:after="0" w:line="277" w:lineRule="auto"/>
        <w:tabs>
          <w:tab w:leader="none" w:pos="137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780" w:hanging="352"/>
        <w:spacing w:after="0"/>
        <w:tabs>
          <w:tab w:leader="none" w:pos="17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right="440" w:firstLine="1428"/>
        <w:spacing w:after="0" w:line="311" w:lineRule="auto"/>
        <w:tabs>
          <w:tab w:leader="none" w:pos="1832"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Arial" w:cs="Arial" w:eastAsia="Arial" w:hAnsi="Arial"/>
          <w:sz w:val="16"/>
          <w:szCs w:val="16"/>
          <w:color w:val="auto"/>
        </w:rPr>
      </w:pPr>
    </w:p>
    <w:p>
      <w:pPr>
        <w:ind w:right="360" w:firstLine="1428"/>
        <w:spacing w:after="0" w:line="277" w:lineRule="auto"/>
        <w:tabs>
          <w:tab w:leader="none" w:pos="1882"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Agreement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7" w:lineRule="exact"/>
        <w:rPr>
          <w:sz w:val="20"/>
          <w:szCs w:val="20"/>
          <w:color w:val="auto"/>
        </w:rPr>
      </w:pPr>
    </w:p>
    <w:p>
      <w:pPr>
        <w:ind w:right="40" w:firstLine="987"/>
        <w:spacing w:after="0" w:line="254" w:lineRule="auto"/>
        <w:tabs>
          <w:tab w:leader="none" w:pos="137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277" w:name="page278"/>
    <w:bookmarkEnd w:id="277"/>
    <w:p>
      <w:pPr>
        <w:ind w:left="4"/>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As used in this Section 9.21, the following terms have the following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w:t>
      </w:r>
    </w:p>
    <w:p>
      <w:pPr>
        <w:spacing w:after="0" w:line="35" w:lineRule="exact"/>
        <w:rPr>
          <w:sz w:val="20"/>
          <w:szCs w:val="20"/>
          <w:color w:val="auto"/>
        </w:rPr>
      </w:pPr>
    </w:p>
    <w:p>
      <w:pPr>
        <w:ind w:left="4" w:right="40" w:hanging="4"/>
        <w:spacing w:after="0" w:line="260" w:lineRule="auto"/>
        <w:tabs>
          <w:tab w:leader="none" w:pos="13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pacing w:after="0" w:line="2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left="4" w:right="120" w:firstLine="440"/>
        <w:spacing w:after="0" w:line="26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Guarantee</w:t>
      </w:r>
      <w:r>
        <w:rPr>
          <w:rFonts w:ascii="Arial" w:cs="Arial" w:eastAsia="Arial" w:hAnsi="Arial"/>
          <w:sz w:val="17"/>
          <w:szCs w:val="17"/>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4"/>
          </w:cols>
          <w:pgMar w:left="436" w:top="274" w:right="459" w:bottom="1440" w:gutter="0" w:footer="0" w:header="0"/>
        </w:sectPr>
      </w:pPr>
    </w:p>
    <w:bookmarkStart w:id="278" w:name="page279"/>
    <w:bookmarkEnd w:id="278"/>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 any other applicable financial assistance rules under any relevant jurisdiction (the “</w:t>
      </w:r>
      <w:r>
        <w:rPr>
          <w:rFonts w:ascii="Arial" w:cs="Arial" w:eastAsia="Arial" w:hAnsi="Arial"/>
          <w:sz w:val="17"/>
          <w:szCs w:val="17"/>
          <w:u w:val="single" w:color="auto"/>
          <w:color w:val="auto"/>
        </w:rPr>
        <w:t>Prohibition</w:t>
      </w:r>
      <w:r>
        <w:rPr>
          <w:rFonts w:ascii="Arial" w:cs="Arial" w:eastAsia="Arial" w:hAnsi="Arial"/>
          <w:sz w:val="17"/>
          <w:szCs w:val="17"/>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Right of Contribution</w:t>
      </w:r>
      <w:r>
        <w:rPr>
          <w:rFonts w:ascii="Arial" w:cs="Arial" w:eastAsia="Arial" w:hAnsi="Arial"/>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9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No Subrogation</w:t>
      </w:r>
      <w:r>
        <w:rPr>
          <w:rFonts w:ascii="Arial" w:cs="Arial" w:eastAsia="Arial" w:hAnsi="Arial"/>
          <w:sz w:val="16"/>
          <w:szCs w:val="16"/>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7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Amendments, etc., with Respect to the Obligations</w:t>
      </w:r>
      <w:r>
        <w:rPr>
          <w:rFonts w:ascii="Arial" w:cs="Arial" w:eastAsia="Arial" w:hAnsi="Arial"/>
          <w:sz w:val="18"/>
          <w:szCs w:val="18"/>
          <w:color w:val="auto"/>
        </w:rPr>
        <w:t>. To the fullest extent permitted by applicable law, each Guarantor shall remain obligated 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279" w:name="page280"/>
    <w:bookmarkEnd w:id="27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 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8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280" w:name="page281"/>
    <w:bookmarkEnd w:id="280"/>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Reinstatement</w:t>
      </w:r>
      <w:r>
        <w:rPr>
          <w:rFonts w:ascii="Arial" w:cs="Arial" w:eastAsia="Arial" w:hAnsi="Arial"/>
          <w:sz w:val="17"/>
          <w:szCs w:val="17"/>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Notwithstanding the foregoing, this Guarantee Agreement shall continue in full force and effect or be revived, as 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8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Obligations Independent</w:t>
      </w:r>
      <w:r>
        <w:rPr>
          <w:rFonts w:ascii="Arial" w:cs="Arial" w:eastAsia="Arial" w:hAnsi="Arial"/>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Payments</w:t>
      </w:r>
      <w:r>
        <w:rPr>
          <w:rFonts w:ascii="Arial" w:cs="Arial" w:eastAsia="Arial" w:hAnsi="Arial"/>
          <w:sz w:val="17"/>
          <w:szCs w:val="17"/>
          <w:color w:val="auto"/>
        </w:rPr>
        <w:t>. All payments by each Guarantor under this Guarantee Agreement shall be made in the manner, at the place and in the currency for payment required by this Agreement and the other Loan Documents.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76"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Subordination</w:t>
      </w:r>
      <w:r>
        <w:rPr>
          <w:rFonts w:ascii="Arial" w:cs="Arial" w:eastAsia="Arial" w:hAnsi="Arial"/>
          <w:sz w:val="17"/>
          <w:szCs w:val="17"/>
          <w:color w:val="auto"/>
        </w:rPr>
        <w:t>.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provided, however, that the foregoing subordination shall not be given effect until such time as the Lender Parties shall have made a request to the Borrower pursuant to the second sentence of this Section 10.09.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 the Obligations, but without reducing or affecting in any manner the liability of such under this Guarantee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281" w:name="page282"/>
    <w:bookmarkEnd w:id="281"/>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Stay of Acceleration</w:t>
      </w:r>
      <w:r>
        <w:rPr>
          <w:rFonts w:ascii="Arial" w:cs="Arial" w:eastAsia="Arial" w:hAnsi="Arial"/>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Condition of Borrower</w:t>
      </w:r>
      <w:r>
        <w:rPr>
          <w:rFonts w:ascii="Arial" w:cs="Arial" w:eastAsia="Arial" w:hAnsi="Arial"/>
          <w:sz w:val="18"/>
          <w:szCs w:val="18"/>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Releases</w:t>
      </w:r>
      <w:r>
        <w:rPr>
          <w:rFonts w:ascii="Arial" w:cs="Arial" w:eastAsia="Arial" w:hAnsi="Arial"/>
          <w:sz w:val="18"/>
          <w:szCs w:val="18"/>
          <w:color w:val="auto"/>
        </w:rPr>
        <w:t>. At such time as the Term Loan and the other Obligations (other than contingent indemnification and contingent expense reimbursement obligations) shall have been paid in full,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ERISA Matters</w:t>
      </w:r>
    </w:p>
    <w:p>
      <w:pPr>
        <w:spacing w:after="0" w:line="225" w:lineRule="exact"/>
        <w:rPr>
          <w:sz w:val="20"/>
          <w:szCs w:val="20"/>
          <w:color w:val="auto"/>
        </w:rPr>
      </w:pPr>
    </w:p>
    <w:p>
      <w:pPr>
        <w:ind w:left="44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59" w:lineRule="auto"/>
        <w:tabs>
          <w:tab w:leader="none" w:pos="137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86" w:lineRule="exact"/>
        <w:rPr>
          <w:rFonts w:ascii="Arial" w:cs="Arial" w:eastAsia="Arial" w:hAnsi="Arial"/>
          <w:sz w:val="18"/>
          <w:szCs w:val="18"/>
          <w:color w:val="auto"/>
        </w:rPr>
      </w:pPr>
    </w:p>
    <w:p>
      <w:pPr>
        <w:ind w:right="340" w:firstLine="1428"/>
        <w:spacing w:after="0" w:line="263" w:lineRule="auto"/>
        <w:tabs>
          <w:tab w:leader="none" w:pos="178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Term Loan, the Commitment or this Agreement;</w:t>
      </w:r>
    </w:p>
    <w:p>
      <w:pPr>
        <w:spacing w:after="0" w:line="183" w:lineRule="exact"/>
        <w:rPr>
          <w:rFonts w:ascii="Arial" w:cs="Arial" w:eastAsia="Arial" w:hAnsi="Arial"/>
          <w:sz w:val="18"/>
          <w:szCs w:val="18"/>
          <w:color w:val="auto"/>
        </w:rPr>
      </w:pPr>
    </w:p>
    <w:p>
      <w:pPr>
        <w:ind w:right="120" w:firstLine="1428"/>
        <w:spacing w:after="0" w:line="263" w:lineRule="auto"/>
        <w:tabs>
          <w:tab w:leader="none" w:pos="18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282" w:name="page283"/>
    <w:bookmarkEnd w:id="282"/>
    <w:p>
      <w:pPr>
        <w:jc w:val="both"/>
        <w:ind w:left="4" w:right="3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 the Commitment and this Agreement,</w:t>
      </w:r>
    </w:p>
    <w:p>
      <w:pPr>
        <w:spacing w:after="0" w:line="149" w:lineRule="exact"/>
        <w:rPr>
          <w:sz w:val="20"/>
          <w:szCs w:val="20"/>
          <w:color w:val="auto"/>
        </w:rPr>
      </w:pPr>
    </w:p>
    <w:p>
      <w:pPr>
        <w:ind w:left="4" w:right="100" w:firstLine="1428"/>
        <w:spacing w:after="0" w:line="273" w:lineRule="auto"/>
        <w:tabs>
          <w:tab w:leader="none" w:pos="1886" w:val="left"/>
        </w:tabs>
        <w:numPr>
          <w:ilvl w:val="2"/>
          <w:numId w:val="32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 the Commitment and this Agreement, (C) the entrance into, participation in, administration of and performance of the Term Loan, the Commitment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Term Loan, the Commitment and this Agreement, or</w:t>
      </w:r>
    </w:p>
    <w:p>
      <w:pPr>
        <w:spacing w:after="0" w:line="177" w:lineRule="exact"/>
        <w:rPr>
          <w:rFonts w:ascii="Arial" w:cs="Arial" w:eastAsia="Arial" w:hAnsi="Arial"/>
          <w:sz w:val="17"/>
          <w:szCs w:val="17"/>
          <w:color w:val="auto"/>
        </w:rPr>
      </w:pPr>
    </w:p>
    <w:p>
      <w:pPr>
        <w:ind w:left="4" w:right="260" w:firstLine="1428"/>
        <w:spacing w:after="0" w:line="277" w:lineRule="auto"/>
        <w:tabs>
          <w:tab w:leader="none" w:pos="1876" w:val="left"/>
        </w:tabs>
        <w:numPr>
          <w:ilvl w:val="2"/>
          <w:numId w:val="328"/>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ind w:left="4" w:firstLine="987"/>
        <w:spacing w:after="0" w:line="291" w:lineRule="auto"/>
        <w:tabs>
          <w:tab w:leader="none" w:pos="1385" w:val="left"/>
        </w:tabs>
        <w:numPr>
          <w:ilvl w:val="1"/>
          <w:numId w:val="329"/>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70" w:lineRule="auto"/>
        <w:tabs>
          <w:tab w:leader="none" w:pos="25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Term Loan, the Commitment and this Agreement (including in connection with the reservation or exercise of any rights by the Administrative Agent under this Agreement, any Loan Document or any documents related hereto or thereto).</w:t>
      </w:r>
    </w:p>
    <w:p>
      <w:pPr>
        <w:spacing w:after="0" w:line="1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4"/>
          </w:cols>
          <w:pgMar w:left="436" w:top="274" w:right="459" w:bottom="1440" w:gutter="0" w:footer="0" w:header="0"/>
        </w:sectPr>
      </w:pPr>
    </w:p>
    <w:bookmarkStart w:id="283" w:name="page284"/>
    <w:bookmarkEnd w:id="28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VIATRIS INC., </w:t>
      </w:r>
      <w:r>
        <w:rPr>
          <w:rFonts w:ascii="Arial" w:cs="Arial" w:eastAsia="Arial" w:hAnsi="Arial"/>
          <w:sz w:val="18"/>
          <w:szCs w:val="18"/>
          <w:color w:val="auto"/>
        </w:rPr>
        <w:t>as the Borrower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John Miraglia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Treasurer</w:t>
      </w:r>
    </w:p>
    <w:p>
      <w:pPr>
        <w:spacing w:after="0" w:line="14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 Loan Credit Agreement</w:t>
      </w:r>
      <w:r>
        <w:rPr>
          <w:rFonts w:ascii="Arial" w:cs="Arial" w:eastAsia="Arial" w:hAnsi="Arial"/>
          <w:sz w:val="18"/>
          <w:szCs w:val="18"/>
          <w:color w:val="auto"/>
        </w:rPr>
        <w:t>]</w:t>
      </w:r>
    </w:p>
    <w:p>
      <w:pPr>
        <w:sectPr>
          <w:pgSz w:w="11900" w:h="16838" w:orient="portrait"/>
          <w:cols w:equalWidth="0" w:num="1">
            <w:col w:w="10920"/>
          </w:cols>
          <w:pgMar w:left="440" w:top="274" w:right="539" w:bottom="1440" w:gutter="0" w:footer="0" w:header="0"/>
        </w:sectPr>
      </w:pPr>
    </w:p>
    <w:bookmarkStart w:id="284" w:name="page285"/>
    <w:bookmarkEnd w:id="284"/>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MIZUHO BANK, LTD., </w:t>
      </w:r>
      <w:r>
        <w:rPr>
          <w:rFonts w:ascii="Arial" w:cs="Arial" w:eastAsia="Arial" w:hAnsi="Arial"/>
          <w:sz w:val="17"/>
          <w:szCs w:val="17"/>
          <w:color w:val="auto"/>
        </w:rPr>
        <w:t>as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Sacks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 Loan Credit Agreement</w:t>
      </w:r>
      <w:r>
        <w:rPr>
          <w:rFonts w:ascii="Arial" w:cs="Arial" w:eastAsia="Arial" w:hAnsi="Arial"/>
          <w:sz w:val="18"/>
          <w:szCs w:val="18"/>
          <w:color w:val="auto"/>
        </w:rPr>
        <w:t>]</w:t>
      </w:r>
    </w:p>
    <w:p>
      <w:pPr>
        <w:sectPr>
          <w:pgSz w:w="11900" w:h="16838" w:orient="portrait"/>
          <w:cols w:equalWidth="0" w:num="1">
            <w:col w:w="9280"/>
          </w:cols>
          <w:pgMar w:left="1440" w:top="270" w:right="1179" w:bottom="1440" w:gutter="0" w:footer="0" w:header="0"/>
        </w:sectPr>
      </w:pPr>
    </w:p>
    <w:bookmarkStart w:id="285" w:name="page286"/>
    <w:bookmarkEnd w:id="285"/>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Edward Sacks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 Loan Credit Agreement</w:t>
      </w:r>
      <w:r>
        <w:rPr>
          <w:rFonts w:ascii="Arial" w:cs="Arial" w:eastAsia="Arial" w:hAnsi="Arial"/>
          <w:sz w:val="18"/>
          <w:szCs w:val="18"/>
          <w:color w:val="auto"/>
        </w:rPr>
        <w:t>]</w:t>
      </w:r>
    </w:p>
    <w:p>
      <w:pPr>
        <w:sectPr>
          <w:pgSz w:w="11900" w:h="16838" w:orient="portrait"/>
          <w:cols w:equalWidth="0" w:num="1">
            <w:col w:w="9019"/>
          </w:cols>
          <w:pgMar w:left="1440" w:top="274" w:right="1440" w:bottom="1440" w:gutter="0" w:footer="0" w:header="0"/>
        </w:sectPr>
      </w:pPr>
    </w:p>
    <w:bookmarkStart w:id="286" w:name="page287"/>
    <w:bookmarkEnd w:id="28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Jack Lonker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Term Loan Credit Agreement</w:t>
      </w:r>
      <w:r>
        <w:rPr>
          <w:rFonts w:ascii="Arial" w:cs="Arial" w:eastAsia="Arial" w:hAnsi="Arial"/>
          <w:sz w:val="18"/>
          <w:szCs w:val="18"/>
          <w:color w:val="auto"/>
        </w:rPr>
        <w: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1)"/>
      <w:numFmt w:val="lowerLetter"/>
      <w:start w:val="4"/>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1)"/>
      <w:numFmt w:val="lowerLetter"/>
      <w:start w:val="1"/>
    </w:lvl>
  </w:abstractNum>
  <w:abstractNum w:abstractNumId="4">
    <w:nsid w:val="3F7F5DD9"/>
    <w:multiLevelType w:val="hybridMultilevel"/>
    <w:lvl w:ilvl="0">
      <w:lvlJc w:val="left"/>
      <w:lvlText w:val="(%1)"/>
      <w:numFmt w:val="lowerLetter"/>
      <w:start w:val="1"/>
    </w:lvl>
  </w:abstractNum>
  <w:abstractNum w:abstractNumId="5">
    <w:nsid w:val="2AE05A34"/>
    <w:multiLevelType w:val="hybridMultilevel"/>
    <w:lvl w:ilvl="0">
      <w:lvlJc w:val="left"/>
      <w:lvlText w:val="(%1)"/>
      <w:numFmt w:val="decimal"/>
      <w:start w:val="1"/>
    </w:lvl>
    <w:lvl w:ilvl="1">
      <w:lvlJc w:val="left"/>
      <w:lvlText w:val="(%2)"/>
      <w:numFmt w:val="lowerLetter"/>
      <w:start w:val="1"/>
    </w:lvl>
  </w:abstractNum>
  <w:abstractNum w:abstractNumId="6">
    <w:nsid w:val="32794FF7"/>
    <w:multiLevelType w:val="hybridMultilevel"/>
    <w:lvl w:ilvl="0">
      <w:lvlJc w:val="left"/>
      <w:lvlText w:val="(%1)"/>
      <w:numFmt w:val="decimal"/>
      <w:start w:val="2"/>
    </w:lvl>
  </w:abstractNum>
  <w:abstractNum w:abstractNumId="7">
    <w:nsid w:val="5454945E"/>
    <w:multiLevelType w:val="hybridMultilevel"/>
    <w:lvl w:ilvl="0">
      <w:lvlJc w:val="left"/>
      <w:lvlText w:val="(%1)"/>
      <w:numFmt w:val="lowerLetter"/>
      <w:start w:val="1"/>
    </w:lvl>
  </w:abstractNum>
  <w:abstractNum w:abstractNumId="8">
    <w:nsid w:val="4DEFDFA0"/>
    <w:multiLevelType w:val="hybridMultilevel"/>
    <w:lvl w:ilvl="0">
      <w:lvlJc w:val="left"/>
      <w:lvlText w:val="(%1)"/>
      <w:numFmt w:val="decimal"/>
      <w:start w:val="1"/>
    </w:lvl>
  </w:abstractNum>
  <w:abstractNum w:abstractNumId="9">
    <w:nsid w:val="2123D5F2"/>
    <w:multiLevelType w:val="hybridMultilevel"/>
    <w:lvl w:ilvl="0">
      <w:lvlJc w:val="left"/>
      <w:lvlText w:val="(%1)"/>
      <w:numFmt w:val="lowerRoman"/>
      <w:start w:val="2"/>
    </w:lvl>
  </w:abstractNum>
  <w:abstractNum w:abstractNumId="10">
    <w:nsid w:val="135B8110"/>
    <w:multiLevelType w:val="hybridMultilevel"/>
    <w:lvl w:ilvl="0">
      <w:lvlJc w:val="left"/>
      <w:lvlText w:val="(%1)"/>
      <w:numFmt w:val="lowerLetter"/>
      <w:start w:val="61"/>
    </w:lvl>
  </w:abstractNum>
  <w:abstractNum w:abstractNumId="11">
    <w:nsid w:val="94927A8"/>
    <w:multiLevelType w:val="hybridMultilevel"/>
    <w:lvl w:ilvl="0">
      <w:lvlJc w:val="left"/>
      <w:lvlText w:val="(%1)"/>
      <w:numFmt w:val="lowerLetter"/>
      <w:start w:val="2"/>
    </w:lvl>
  </w:abstractNum>
  <w:abstractNum w:abstractNumId="12">
    <w:nsid w:val="DCDF8F6"/>
    <w:multiLevelType w:val="hybridMultilevel"/>
    <w:lvl w:ilvl="0">
      <w:lvlJc w:val="left"/>
      <w:lvlText w:val="(%1)"/>
      <w:numFmt w:val="lowerLetter"/>
      <w:start w:val="7"/>
    </w:lvl>
  </w:abstractNum>
  <w:abstractNum w:abstractNumId="13">
    <w:nsid w:val="52D7B105"/>
    <w:multiLevelType w:val="hybridMultilevel"/>
    <w:lvl w:ilvl="0">
      <w:lvlJc w:val="left"/>
      <w:lvlText w:val="(%1)"/>
      <w:numFmt w:val="lowerLetter"/>
      <w:start w:val="1"/>
    </w:lvl>
  </w:abstractNum>
  <w:abstractNum w:abstractNumId="14">
    <w:nsid w:val="2E8A6394"/>
    <w:multiLevelType w:val="hybridMultilevel"/>
    <w:lvl w:ilvl="0">
      <w:lvlJc w:val="left"/>
      <w:lvlText w:val="(%1)"/>
      <w:numFmt w:val="decimal"/>
      <w:start w:val="1"/>
    </w:lvl>
  </w:abstractNum>
  <w:abstractNum w:abstractNumId="15">
    <w:nsid w:val="24E60401"/>
    <w:multiLevelType w:val="hybridMultilevel"/>
    <w:lvl w:ilvl="0">
      <w:lvlJc w:val="left"/>
      <w:lvlText w:val="(%1)"/>
      <w:numFmt w:val="lowerLetter"/>
      <w:start w:val="1"/>
    </w:lvl>
  </w:abstractNum>
  <w:abstractNum w:abstractNumId="16">
    <w:nsid w:val="2A6AD9BE"/>
    <w:multiLevelType w:val="hybridMultilevel"/>
    <w:lvl w:ilvl="0">
      <w:lvlJc w:val="left"/>
      <w:lvlText w:val="(%1)"/>
      <w:numFmt w:val="lowerLetter"/>
      <w:start w:val="2"/>
    </w:lvl>
  </w:abstractNum>
  <w:abstractNum w:abstractNumId="17">
    <w:nsid w:val="BAAC1B4"/>
    <w:multiLevelType w:val="hybridMultilevel"/>
    <w:lvl w:ilvl="0">
      <w:lvlJc w:val="left"/>
      <w:lvlText w:val="(%1)"/>
      <w:numFmt w:val="lowerRoman"/>
      <w:start w:val="10"/>
    </w:lvl>
  </w:abstractNum>
  <w:abstractNum w:abstractNumId="18">
    <w:nsid w:val="36B2ACBC"/>
    <w:multiLevelType w:val="hybridMultilevel"/>
    <w:lvl w:ilvl="0">
      <w:lvlJc w:val="left"/>
      <w:lvlText w:val="(%1)"/>
      <w:numFmt w:val="lowerLetter"/>
      <w:start w:val="1"/>
    </w:lvl>
  </w:abstractNum>
  <w:abstractNum w:abstractNumId="19">
    <w:nsid w:val="779D8544"/>
    <w:multiLevelType w:val="hybridMultilevel"/>
    <w:lvl w:ilvl="0">
      <w:lvlJc w:val="left"/>
      <w:lvlText w:val="(%1)"/>
      <w:numFmt w:val="lowerLetter"/>
      <w:start w:val="5"/>
    </w:lvl>
  </w:abstractNum>
  <w:abstractNum w:abstractNumId="20">
    <w:nsid w:val="4AB26E78"/>
    <w:multiLevelType w:val="hybridMultilevel"/>
    <w:lvl w:ilvl="0">
      <w:lvlJc w:val="left"/>
      <w:lvlText w:val="(%1)"/>
      <w:numFmt w:val="lowerLetter"/>
      <w:start w:val="7"/>
    </w:lvl>
  </w:abstractNum>
  <w:abstractNum w:abstractNumId="21">
    <w:nsid w:val="21FAA2FA"/>
    <w:multiLevelType w:val="hybridMultilevel"/>
    <w:lvl w:ilvl="0">
      <w:lvlJc w:val="left"/>
      <w:lvlText w:val="(%1)"/>
      <w:numFmt w:val="lowerRoman"/>
      <w:start w:val="2"/>
    </w:lvl>
  </w:abstractNum>
  <w:abstractNum w:abstractNumId="22">
    <w:nsid w:val="5451CF49"/>
    <w:multiLevelType w:val="hybridMultilevel"/>
    <w:lvl w:ilvl="0">
      <w:lvlJc w:val="left"/>
      <w:lvlText w:val="(%1)"/>
      <w:numFmt w:val="lowerLetter"/>
      <w:start w:val="1"/>
    </w:lvl>
  </w:abstractNum>
  <w:abstractNum w:abstractNumId="23">
    <w:nsid w:val="6181EF69"/>
    <w:multiLevelType w:val="hybridMultilevel"/>
    <w:lvl w:ilvl="0">
      <w:lvlJc w:val="left"/>
      <w:lvlText w:val="(%1)"/>
      <w:numFmt w:val="lowerLetter"/>
      <w:start w:val="14"/>
    </w:lvl>
  </w:abstractNum>
  <w:abstractNum w:abstractNumId="24">
    <w:nsid w:val="3E6400E6"/>
    <w:multiLevelType w:val="hybridMultilevel"/>
    <w:lvl w:ilvl="0">
      <w:lvlJc w:val="left"/>
      <w:lvlText w:val="%1"/>
      <w:numFmt w:val="decimal"/>
      <w:start w:val="1"/>
    </w:lvl>
    <w:lvl w:ilvl="1">
      <w:lvlJc w:val="left"/>
      <w:lvlText w:val="(%2)"/>
      <w:numFmt w:val="lowerLetter"/>
      <w:start w:val="1"/>
    </w:lvl>
  </w:abstractNum>
  <w:abstractNum w:abstractNumId="25">
    <w:nsid w:val="14217E23"/>
    <w:multiLevelType w:val="hybridMultilevel"/>
    <w:lvl w:ilvl="0">
      <w:lvlJc w:val="left"/>
      <w:lvlText w:val="(%1)"/>
      <w:numFmt w:val="decimal"/>
      <w:start w:val="30"/>
    </w:lvl>
    <w:lvl w:ilvl="1">
      <w:lvlJc w:val="left"/>
      <w:lvlText w:val="(%2)"/>
      <w:numFmt w:val="lowerLetter"/>
      <w:start w:val="2"/>
    </w:lvl>
  </w:abstractNum>
  <w:abstractNum w:abstractNumId="26">
    <w:nsid w:val="710757D0"/>
    <w:multiLevelType w:val="hybridMultilevel"/>
    <w:lvl w:ilvl="0">
      <w:lvlJc w:val="left"/>
      <w:lvlText w:val="(%1)"/>
      <w:numFmt w:val="lowerLetter"/>
      <w:start w:val="5"/>
    </w:lvl>
  </w:abstractNum>
  <w:abstractNum w:abstractNumId="27">
    <w:nsid w:val="5015CD1A"/>
    <w:multiLevelType w:val="hybridMultilevel"/>
    <w:lvl w:ilvl="0">
      <w:lvlJc w:val="left"/>
      <w:lvlText w:val="(%1)"/>
      <w:numFmt w:val="lowerRoman"/>
      <w:start w:val="2"/>
    </w:lvl>
  </w:abstractNum>
  <w:abstractNum w:abstractNumId="28">
    <w:nsid w:val="424479DA"/>
    <w:multiLevelType w:val="hybridMultilevel"/>
    <w:lvl w:ilvl="0">
      <w:lvlJc w:val="left"/>
      <w:lvlText w:val="(%1)"/>
      <w:numFmt w:val="lowerLetter"/>
      <w:start w:val="3"/>
    </w:lvl>
  </w:abstractNum>
  <w:abstractNum w:abstractNumId="29">
    <w:nsid w:val="1A9A9E69"/>
    <w:multiLevelType w:val="hybridMultilevel"/>
    <w:lvl w:ilvl="0">
      <w:lvlJc w:val="left"/>
      <w:lvlText w:val="(%1)"/>
      <w:numFmt w:val="lowerLetter"/>
      <w:start w:val="1"/>
    </w:lvl>
  </w:abstractNum>
  <w:abstractNum w:abstractNumId="30">
    <w:nsid w:val="475E256A"/>
    <w:multiLevelType w:val="hybridMultilevel"/>
    <w:lvl w:ilvl="0">
      <w:lvlJc w:val="left"/>
      <w:lvlText w:val="(%1)"/>
      <w:numFmt w:val="lowerLetter"/>
      <w:start w:val="1"/>
    </w:lvl>
  </w:abstractNum>
  <w:abstractNum w:abstractNumId="31">
    <w:nsid w:val="368DB37E"/>
    <w:multiLevelType w:val="hybridMultilevel"/>
    <w:lvl w:ilvl="0">
      <w:lvlJc w:val="left"/>
      <w:lvlText w:val="(%1)"/>
      <w:numFmt w:val="lowerLetter"/>
      <w:start w:val="3"/>
    </w:lvl>
  </w:abstractNum>
  <w:abstractNum w:abstractNumId="32">
    <w:nsid w:val="6A3B714C"/>
    <w:multiLevelType w:val="hybridMultilevel"/>
    <w:lvl w:ilvl="0">
      <w:lvlJc w:val="left"/>
      <w:lvlText w:val="(%1)"/>
      <w:numFmt w:val="lowerLetter"/>
      <w:start w:val="1"/>
    </w:lvl>
  </w:abstractNum>
  <w:abstractNum w:abstractNumId="33">
    <w:nsid w:val="327B517E"/>
    <w:multiLevelType w:val="hybridMultilevel"/>
    <w:lvl w:ilvl="0">
      <w:lvlJc w:val="left"/>
      <w:lvlText w:val="(%1)"/>
      <w:numFmt w:val="lowerLetter"/>
      <w:start w:val="1"/>
    </w:lvl>
  </w:abstractNum>
  <w:abstractNum w:abstractNumId="34">
    <w:nsid w:val="1F461B51"/>
    <w:multiLevelType w:val="hybridMultilevel"/>
    <w:lvl w:ilvl="0">
      <w:lvlJc w:val="left"/>
      <w:lvlText w:val="(%1)"/>
      <w:numFmt w:val="lowerLetter"/>
      <w:start w:val="1"/>
    </w:lvl>
  </w:abstractNum>
  <w:abstractNum w:abstractNumId="35">
    <w:nsid w:val="29BACF25"/>
    <w:multiLevelType w:val="hybridMultilevel"/>
    <w:lvl w:ilvl="0">
      <w:lvlJc w:val="left"/>
      <w:lvlText w:val="(%1)"/>
      <w:numFmt w:val="lowerLetter"/>
      <w:start w:val="5"/>
    </w:lvl>
  </w:abstractNum>
  <w:abstractNum w:abstractNumId="36">
    <w:nsid w:val="5D5BABB3"/>
    <w:multiLevelType w:val="hybridMultilevel"/>
    <w:lvl w:ilvl="0">
      <w:lvlJc w:val="left"/>
      <w:lvlText w:val="(%1)"/>
      <w:numFmt w:val="upperLetter"/>
      <w:start w:val="1"/>
    </w:lvl>
    <w:lvl w:ilvl="1">
      <w:lvlJc w:val="left"/>
      <w:lvlText w:val="(%2)"/>
      <w:numFmt w:val="lowerRoman"/>
      <w:start w:val="1"/>
    </w:lvl>
  </w:abstractNum>
  <w:abstractNum w:abstractNumId="37">
    <w:nsid w:val="51BF6B48"/>
    <w:multiLevelType w:val="hybridMultilevel"/>
    <w:lvl w:ilvl="0">
      <w:lvlJc w:val="left"/>
      <w:lvlText w:val="(%1)"/>
      <w:numFmt w:val="lowerRoman"/>
      <w:start w:val="2"/>
    </w:lvl>
  </w:abstractNum>
  <w:abstractNum w:abstractNumId="38">
    <w:nsid w:val="7E0F6384"/>
    <w:multiLevelType w:val="hybridMultilevel"/>
    <w:lvl w:ilvl="0">
      <w:lvlJc w:val="left"/>
      <w:lvlText w:val="(%1)"/>
      <w:numFmt w:val="lowerLetter"/>
      <w:start w:val="1"/>
    </w:lvl>
  </w:abstractNum>
  <w:abstractNum w:abstractNumId="39">
    <w:nsid w:val="2B4B8B53"/>
    <w:multiLevelType w:val="hybridMultilevel"/>
    <w:lvl w:ilvl="0">
      <w:lvlJc w:val="left"/>
      <w:lvlText w:val="(%1)"/>
      <w:numFmt w:val="lowerRoman"/>
      <w:start w:val="2"/>
    </w:lvl>
  </w:abstractNum>
  <w:abstractNum w:abstractNumId="40">
    <w:nsid w:val="72E3413A"/>
    <w:multiLevelType w:val="hybridMultilevel"/>
    <w:lvl w:ilvl="0">
      <w:lvlJc w:val="left"/>
      <w:lvlText w:val="(%1)"/>
      <w:numFmt w:val="lowerLetter"/>
      <w:start w:val="4"/>
    </w:lvl>
  </w:abstractNum>
  <w:abstractNum w:abstractNumId="41">
    <w:nsid w:val="116AE494"/>
    <w:multiLevelType w:val="hybridMultilevel"/>
    <w:lvl w:ilvl="0">
      <w:lvlJc w:val="left"/>
      <w:lvlText w:val="(%1)"/>
      <w:numFmt w:val="lowerLetter"/>
      <w:start w:val="35"/>
    </w:lvl>
    <w:lvl w:ilvl="1">
      <w:lvlJc w:val="left"/>
      <w:lvlText w:val="(%2)"/>
      <w:numFmt w:val="lowerLetter"/>
      <w:start w:val="5"/>
    </w:lvl>
  </w:abstractNum>
  <w:abstractNum w:abstractNumId="42">
    <w:nsid w:val="3494B2FB"/>
    <w:multiLevelType w:val="hybridMultilevel"/>
    <w:lvl w:ilvl="0">
      <w:lvlJc w:val="left"/>
      <w:lvlText w:val="%1"/>
      <w:numFmt w:val="lowerLetter"/>
      <w:start w:val="1"/>
    </w:lvl>
    <w:lvl w:ilvl="1">
      <w:lvlJc w:val="left"/>
      <w:lvlText w:val="(%2)"/>
      <w:numFmt w:val="lowerLetter"/>
      <w:start w:val="1"/>
    </w:lvl>
  </w:abstractNum>
  <w:abstractNum w:abstractNumId="43">
    <w:nsid w:val="B13A31"/>
    <w:multiLevelType w:val="hybridMultilevel"/>
    <w:lvl w:ilvl="0">
      <w:lvlJc w:val="left"/>
      <w:lvlText w:val="(%1)"/>
      <w:numFmt w:val="lowerLetter"/>
      <w:start w:val="9"/>
    </w:lvl>
    <w:lvl w:ilvl="1">
      <w:lvlJc w:val="left"/>
      <w:lvlText w:val="%2"/>
      <w:numFmt w:val="lowerLetter"/>
      <w:start w:val="1"/>
    </w:lvl>
  </w:abstractNum>
  <w:abstractNum w:abstractNumId="44">
    <w:nsid w:val="64429599"/>
    <w:multiLevelType w:val="hybridMultilevel"/>
    <w:lvl w:ilvl="0">
      <w:lvlJc w:val="left"/>
      <w:lvlText w:val="(%1)"/>
      <w:numFmt w:val="lowerRoman"/>
      <w:start w:val="2"/>
    </w:lvl>
  </w:abstractNum>
  <w:abstractNum w:abstractNumId="45">
    <w:nsid w:val="631F1690"/>
    <w:multiLevelType w:val="hybridMultilevel"/>
    <w:lvl w:ilvl="0">
      <w:lvlJc w:val="left"/>
      <w:lvlText w:val="(%1)"/>
      <w:numFmt w:val="upperLetter"/>
      <w:start w:val="1"/>
    </w:lvl>
  </w:abstractNum>
  <w:abstractNum w:abstractNumId="46">
    <w:nsid w:val="25973E32"/>
    <w:multiLevelType w:val="hybridMultilevel"/>
    <w:lvl w:ilvl="0">
      <w:lvlJc w:val="left"/>
      <w:lvlText w:val="(%1)"/>
      <w:numFmt w:val="upperLetter"/>
      <w:start w:val="7"/>
    </w:lvl>
  </w:abstractNum>
  <w:abstractNum w:abstractNumId="47">
    <w:nsid w:val="EAD6F57"/>
    <w:multiLevelType w:val="hybridMultilevel"/>
    <w:lvl w:ilvl="0">
      <w:lvlJc w:val="left"/>
      <w:lvlText w:val="(%1)"/>
      <w:numFmt w:val="lowerRoman"/>
      <w:start w:val="4"/>
    </w:lvl>
  </w:abstractNum>
  <w:abstractNum w:abstractNumId="48">
    <w:nsid w:val="6EC9D844"/>
    <w:multiLevelType w:val="hybridMultilevel"/>
    <w:lvl w:ilvl="0">
      <w:lvlJc w:val="left"/>
      <w:lvlText w:val="%1"/>
      <w:numFmt w:val="lowerLetter"/>
      <w:start w:val="1"/>
    </w:lvl>
    <w:lvl w:ilvl="1">
      <w:lvlJc w:val="left"/>
      <w:lvlText w:val="(%2)"/>
      <w:numFmt w:val="lowerLetter"/>
      <w:start w:val="2"/>
    </w:lvl>
  </w:abstractNum>
  <w:abstractNum w:abstractNumId="49">
    <w:nsid w:val="5C49EAEE"/>
    <w:multiLevelType w:val="hybridMultilevel"/>
    <w:lvl w:ilvl="0">
      <w:lvlJc w:val="left"/>
      <w:lvlText w:val="(%1)"/>
      <w:numFmt w:val="lowerLetter"/>
      <w:start w:val="9"/>
    </w:lvl>
    <w:lvl w:ilvl="1">
      <w:lvlJc w:val="left"/>
      <w:lvlText w:val="%2"/>
      <w:numFmt w:val="lowerLetter"/>
      <w:start w:val="1"/>
    </w:lvl>
  </w:abstractNum>
  <w:abstractNum w:abstractNumId="50">
    <w:nsid w:val="64AF49B"/>
    <w:multiLevelType w:val="hybridMultilevel"/>
    <w:lvl w:ilvl="0">
      <w:lvlJc w:val="left"/>
      <w:lvlText w:val="(%1)"/>
      <w:numFmt w:val="lowerRoman"/>
      <w:start w:val="2"/>
    </w:lvl>
  </w:abstractNum>
  <w:abstractNum w:abstractNumId="51">
    <w:nsid w:val="397C46BC"/>
    <w:multiLevelType w:val="hybridMultilevel"/>
    <w:lvl w:ilvl="0">
      <w:lvlJc w:val="left"/>
      <w:lvlText w:val="(%1)"/>
      <w:numFmt w:val="lowerRoman"/>
      <w:start w:val="4"/>
    </w:lvl>
    <w:lvl w:ilvl="1">
      <w:lvlJc w:val="left"/>
      <w:lvlText w:val="(%2)"/>
      <w:numFmt w:val="lowerLetter"/>
      <w:start w:val="3"/>
    </w:lvl>
  </w:abstractNum>
  <w:abstractNum w:abstractNumId="52">
    <w:nsid w:val="7E448DE9"/>
    <w:multiLevelType w:val="hybridMultilevel"/>
    <w:lvl w:ilvl="0">
      <w:lvlJc w:val="left"/>
      <w:lvlText w:val="(%1)"/>
      <w:numFmt w:val="lowerRoman"/>
      <w:start w:val="1"/>
    </w:lvl>
  </w:abstractNum>
  <w:abstractNum w:abstractNumId="53">
    <w:nsid w:val="5A9CC3E5"/>
    <w:multiLevelType w:val="hybridMultilevel"/>
    <w:lvl w:ilvl="0">
      <w:lvlJc w:val="left"/>
      <w:lvlText w:val="%1"/>
      <w:numFmt w:val="upperLetter"/>
      <w:start w:val="1"/>
    </w:lvl>
    <w:lvl w:ilvl="1">
      <w:lvlJc w:val="left"/>
      <w:lvlText w:val="(%2)"/>
      <w:numFmt w:val="lowerRoman"/>
      <w:start w:val="2"/>
    </w:lvl>
  </w:abstractNum>
  <w:abstractNum w:abstractNumId="54">
    <w:nsid w:val="1AFE3625"/>
    <w:multiLevelType w:val="hybridMultilevel"/>
    <w:lvl w:ilvl="0">
      <w:lvlJc w:val="left"/>
      <w:lvlText w:val="(%1)"/>
      <w:numFmt w:val="upperLetter"/>
      <w:start w:val="3"/>
    </w:lvl>
    <w:lvl w:ilvl="1">
      <w:lvlJc w:val="left"/>
      <w:lvlText w:val="(%2)"/>
      <w:numFmt w:val="lowerRoman"/>
      <w:start w:val="6"/>
    </w:lvl>
  </w:abstractNum>
  <w:abstractNum w:abstractNumId="55">
    <w:nsid w:val="3CA88ECF"/>
    <w:multiLevelType w:val="hybridMultilevel"/>
    <w:lvl w:ilvl="0">
      <w:lvlJc w:val="left"/>
      <w:lvlText w:val="%1"/>
      <w:numFmt w:val="lowerRoman"/>
      <w:start w:val="1"/>
    </w:lvl>
    <w:lvl w:ilvl="1">
      <w:lvlJc w:val="left"/>
      <w:lvlText w:val="(%2)"/>
      <w:numFmt w:val="lowerLetter"/>
      <w:start w:val="4"/>
    </w:lvl>
  </w:abstractNum>
  <w:abstractNum w:abstractNumId="56">
    <w:nsid w:val="6EBE4208"/>
    <w:multiLevelType w:val="hybridMultilevel"/>
    <w:lvl w:ilvl="0">
      <w:lvlJc w:val="left"/>
      <w:lvlText w:val="(%1)"/>
      <w:numFmt w:val="lowerRoman"/>
      <w:start w:val="1"/>
    </w:lvl>
    <w:lvl w:ilvl="1">
      <w:lvlJc w:val="left"/>
      <w:lvlText w:val="(%2)"/>
      <w:numFmt w:val="lowerLetter"/>
      <w:start w:val="5"/>
    </w:lvl>
  </w:abstractNum>
  <w:abstractNum w:abstractNumId="57">
    <w:nsid w:val="C058DF5"/>
    <w:multiLevelType w:val="hybridMultilevel"/>
    <w:lvl w:ilvl="0">
      <w:lvlJc w:val="left"/>
      <w:lvlText w:val="%1"/>
      <w:numFmt w:val="lowerLetter"/>
      <w:start w:val="1"/>
    </w:lvl>
    <w:lvl w:ilvl="1">
      <w:lvlJc w:val="left"/>
      <w:lvlText w:val="(%2)"/>
      <w:numFmt w:val="lowerLetter"/>
      <w:start w:val="6"/>
    </w:lvl>
  </w:abstractNum>
  <w:abstractNum w:abstractNumId="58">
    <w:nsid w:val="CBE5BE9"/>
    <w:multiLevelType w:val="hybridMultilevel"/>
    <w:lvl w:ilvl="0">
      <w:lvlJc w:val="left"/>
      <w:lvlText w:val="(%1)"/>
      <w:numFmt w:val="lowerLetter"/>
      <w:start w:val="61"/>
    </w:lvl>
    <w:lvl w:ilvl="1">
      <w:lvlJc w:val="left"/>
      <w:lvlText w:val="%2"/>
      <w:numFmt w:val="lowerLetter"/>
      <w:start w:val="1"/>
    </w:lvl>
  </w:abstractNum>
  <w:abstractNum w:abstractNumId="59">
    <w:nsid w:val="3102BBE2"/>
    <w:multiLevelType w:val="hybridMultilevel"/>
    <w:lvl w:ilvl="0">
      <w:lvlJc w:val="left"/>
      <w:lvlText w:val="(%1)"/>
      <w:numFmt w:val="lowerLetter"/>
      <w:start w:val="9"/>
    </w:lvl>
    <w:lvl w:ilvl="1">
      <w:lvlJc w:val="left"/>
      <w:lvlText w:val="%2"/>
      <w:numFmt w:val="lowerLetter"/>
      <w:start w:val="1"/>
    </w:lvl>
  </w:abstractNum>
  <w:abstractNum w:abstractNumId="60">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7"/>
    </w:lvl>
  </w:abstractNum>
  <w:abstractNum w:abstractNumId="61">
    <w:nsid w:val="541C815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8"/>
    </w:lvl>
  </w:abstractNum>
  <w:abstractNum w:abstractNumId="62">
    <w:nsid w:val="67906F60"/>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63">
    <w:nsid w:val="10DB9DAA"/>
    <w:multiLevelType w:val="hybridMultilevel"/>
    <w:lvl w:ilvl="0">
      <w:lvlJc w:val="left"/>
      <w:lvlText w:val="(%1)"/>
      <w:numFmt w:val="lowerLetter"/>
      <w:start w:val="9"/>
    </w:lvl>
  </w:abstractNum>
  <w:abstractNum w:abstractNumId="64">
    <w:nsid w:val="697D2D2"/>
    <w:multiLevelType w:val="hybridMultilevel"/>
    <w:lvl w:ilvl="0">
      <w:lvlJc w:val="left"/>
      <w:lvlText w:val="(%1)"/>
      <w:numFmt w:val="lowerLetter"/>
      <w:start w:val="1"/>
    </w:lvl>
  </w:abstractNum>
  <w:abstractNum w:abstractNumId="65">
    <w:nsid w:val="6D68AB2"/>
    <w:multiLevelType w:val="hybridMultilevel"/>
    <w:lvl w:ilvl="0">
      <w:lvlJc w:val="left"/>
      <w:lvlText w:val="(%1)"/>
      <w:numFmt w:val="lowerLetter"/>
      <w:start w:val="2"/>
    </w:lvl>
  </w:abstractNum>
  <w:abstractNum w:abstractNumId="66">
    <w:nsid w:val="3A966CD0"/>
    <w:multiLevelType w:val="hybridMultilevel"/>
    <w:lvl w:ilvl="0">
      <w:lvlJc w:val="left"/>
      <w:lvlText w:val="(%1)"/>
      <w:numFmt w:val="lowerLetter"/>
      <w:start w:val="2"/>
    </w:lvl>
  </w:abstractNum>
  <w:abstractNum w:abstractNumId="67">
    <w:nsid w:val="63F37E85"/>
    <w:multiLevelType w:val="hybridMultilevel"/>
    <w:lvl w:ilvl="0">
      <w:lvlJc w:val="left"/>
      <w:lvlText w:val="(%1)"/>
      <w:numFmt w:val="lowerLetter"/>
      <w:start w:val="3"/>
    </w:lvl>
    <w:lvl w:ilvl="1">
      <w:lvlJc w:val="left"/>
      <w:lvlText w:val="(%2)"/>
      <w:numFmt w:val="lowerRoman"/>
      <w:start w:val="1"/>
    </w:lvl>
  </w:abstractNum>
  <w:abstractNum w:abstractNumId="68">
    <w:nsid w:val="5895F5FA"/>
    <w:multiLevelType w:val="hybridMultilevel"/>
    <w:lvl w:ilvl="0">
      <w:lvlJc w:val="left"/>
      <w:lvlText w:val="(%1)"/>
      <w:numFmt w:val="lowerLetter"/>
      <w:start w:val="4"/>
    </w:lvl>
    <w:lvl w:ilvl="1">
      <w:lvlJc w:val="left"/>
      <w:lvlText w:val="(%2)"/>
      <w:numFmt w:val="lowerRoman"/>
      <w:start w:val="1"/>
    </w:lvl>
  </w:abstractNum>
  <w:abstractNum w:abstractNumId="69">
    <w:nsid w:val="38A5D054"/>
    <w:multiLevelType w:val="hybridMultilevel"/>
    <w:lvl w:ilvl="0">
      <w:lvlJc w:val="left"/>
      <w:lvlText w:val="(%1)"/>
      <w:numFmt w:val="lowerRoman"/>
      <w:start w:val="3"/>
    </w:lvl>
  </w:abstractNum>
  <w:abstractNum w:abstractNumId="70">
    <w:nsid w:val="F3F09D8"/>
    <w:multiLevelType w:val="hybridMultilevel"/>
    <w:lvl w:ilvl="0">
      <w:lvlJc w:val="left"/>
      <w:lvlText w:val="(%1)"/>
      <w:numFmt w:val="lowerLetter"/>
      <w:start w:val="1"/>
    </w:lvl>
  </w:abstractNum>
  <w:abstractNum w:abstractNumId="71">
    <w:nsid w:val="4B793735"/>
    <w:multiLevelType w:val="hybridMultilevel"/>
    <w:lvl w:ilvl="0">
      <w:lvlJc w:val="left"/>
      <w:lvlText w:val="(%1)"/>
      <w:numFmt w:val="lowerLetter"/>
      <w:start w:val="1"/>
    </w:lvl>
  </w:abstractNum>
  <w:abstractNum w:abstractNumId="72">
    <w:nsid w:val="4A10B4E8"/>
    <w:multiLevelType w:val="hybridMultilevel"/>
    <w:lvl w:ilvl="0">
      <w:lvlJc w:val="left"/>
      <w:lvlText w:val="(%1)"/>
      <w:numFmt w:val="lowerLetter"/>
      <w:start w:val="4"/>
    </w:lvl>
  </w:abstractNum>
  <w:abstractNum w:abstractNumId="73">
    <w:nsid w:val="43D3BC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4">
    <w:nsid w:val="4C2A7166"/>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75">
    <w:nsid w:val="2E534A8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76">
    <w:nsid w:val="26F2D364"/>
    <w:multiLevelType w:val="hybridMultilevel"/>
    <w:lvl w:ilvl="0">
      <w:lvlJc w:val="left"/>
      <w:lvlText w:val="(%1)"/>
      <w:numFmt w:val="lowerLetter"/>
      <w:start w:val="2"/>
    </w:lvl>
  </w:abstractNum>
  <w:abstractNum w:abstractNumId="77">
    <w:nsid w:val="71C1AF98"/>
    <w:multiLevelType w:val="hybridMultilevel"/>
    <w:lvl w:ilvl="0">
      <w:lvlJc w:val="left"/>
      <w:lvlText w:val="(%1)"/>
      <w:numFmt w:val="lowerLetter"/>
      <w:start w:val="1"/>
    </w:lvl>
  </w:abstractNum>
  <w:abstractNum w:abstractNumId="78">
    <w:nsid w:val="3D00B9D9"/>
    <w:multiLevelType w:val="hybridMultilevel"/>
    <w:lvl w:ilvl="0">
      <w:lvlJc w:val="left"/>
      <w:lvlText w:val="(%1)"/>
      <w:numFmt w:val="lowerLetter"/>
      <w:start w:val="3"/>
    </w:lvl>
  </w:abstractNum>
  <w:abstractNum w:abstractNumId="79">
    <w:nsid w:val="15BCABA8"/>
    <w:multiLevelType w:val="hybridMultilevel"/>
    <w:lvl w:ilvl="0">
      <w:lvlJc w:val="left"/>
      <w:lvlText w:val="(%1)"/>
      <w:numFmt w:val="lowerLetter"/>
      <w:start w:val="1"/>
    </w:lvl>
  </w:abstractNum>
  <w:abstractNum w:abstractNumId="80">
    <w:nsid w:val="4E0B9A87"/>
    <w:multiLevelType w:val="hybridMultilevel"/>
    <w:lvl w:ilvl="0">
      <w:lvlJc w:val="left"/>
      <w:lvlText w:val="(%1)"/>
      <w:numFmt w:val="lowerLetter"/>
      <w:start w:val="4"/>
    </w:lvl>
  </w:abstractNum>
  <w:abstractNum w:abstractNumId="81">
    <w:nsid w:val="434BAE75"/>
    <w:multiLevelType w:val="hybridMultilevel"/>
    <w:lvl w:ilvl="0">
      <w:lvlJc w:val="left"/>
      <w:lvlText w:val="%1"/>
      <w:numFmt w:val="lowerLetter"/>
      <w:start w:val="1"/>
    </w:lvl>
    <w:lvl w:ilvl="1">
      <w:lvlJc w:val="left"/>
      <w:lvlText w:val="(%2)"/>
      <w:numFmt w:val="lowerLetter"/>
      <w:start w:val="1"/>
    </w:lvl>
  </w:abstractNum>
  <w:abstractNum w:abstractNumId="82">
    <w:nsid w:val="4F38F265"/>
    <w:multiLevelType w:val="hybridMultilevel"/>
    <w:lvl w:ilvl="0">
      <w:lvlJc w:val="left"/>
      <w:lvlText w:val="(%1)"/>
      <w:numFmt w:val="lowerLetter"/>
      <w:start w:val="9"/>
    </w:lvl>
    <w:lvl w:ilvl="1">
      <w:lvlJc w:val="left"/>
      <w:lvlText w:val="%2"/>
      <w:numFmt w:val="lowerLetter"/>
      <w:start w:val="1"/>
    </w:lvl>
  </w:abstractNum>
  <w:abstractNum w:abstractNumId="83">
    <w:nsid w:val="4C502870"/>
    <w:multiLevelType w:val="hybridMultilevel"/>
    <w:lvl w:ilvl="0">
      <w:lvlJc w:val="left"/>
      <w:lvlText w:val="(%1)"/>
      <w:numFmt w:val="lowerRoman"/>
      <w:start w:val="2"/>
    </w:lvl>
  </w:abstractNum>
  <w:abstractNum w:abstractNumId="84">
    <w:nsid w:val="1DE8725A"/>
    <w:multiLevelType w:val="hybridMultilevel"/>
    <w:lvl w:ilvl="0">
      <w:lvlJc w:val="left"/>
      <w:lvlText w:val="(%1)"/>
      <w:numFmt w:val="lowerLetter"/>
      <w:start w:val="2"/>
    </w:lvl>
  </w:abstractNum>
  <w:abstractNum w:abstractNumId="85">
    <w:nsid w:val="6A37288A"/>
    <w:multiLevelType w:val="hybridMultilevel"/>
    <w:lvl w:ilvl="0">
      <w:lvlJc w:val="left"/>
      <w:lvlText w:val="(%1)"/>
      <w:numFmt w:val="lowerLetter"/>
      <w:start w:val="4"/>
    </w:lvl>
  </w:abstractNum>
  <w:abstractNum w:abstractNumId="86">
    <w:nsid w:val="8F8B73F"/>
    <w:multiLevelType w:val="hybridMultilevel"/>
    <w:lvl w:ilvl="0">
      <w:lvlJc w:val="left"/>
      <w:lvlText w:val="(%1)"/>
      <w:numFmt w:val="lowerLetter"/>
      <w:start w:val="1"/>
    </w:lvl>
  </w:abstractNum>
  <w:abstractNum w:abstractNumId="87">
    <w:nsid w:val="CA6B462"/>
    <w:multiLevelType w:val="hybridMultilevel"/>
    <w:lvl w:ilvl="0">
      <w:lvlJc w:val="left"/>
      <w:lvlText w:val="%1"/>
      <w:numFmt w:val="lowerRoman"/>
      <w:start w:val="1"/>
    </w:lvl>
    <w:lvl w:ilvl="1">
      <w:lvlJc w:val="left"/>
      <w:lvlText w:val="(%2)"/>
      <w:numFmt w:val="lowerLetter"/>
      <w:start w:val="1"/>
    </w:lvl>
  </w:abstractNum>
  <w:abstractNum w:abstractNumId="88">
    <w:nsid w:val="763CB680"/>
    <w:multiLevelType w:val="hybridMultilevel"/>
    <w:lvl w:ilvl="0">
      <w:lvlJc w:val="left"/>
      <w:lvlText w:val="(%1)"/>
      <w:numFmt w:val="lowerRoman"/>
      <w:start w:val="1"/>
    </w:lvl>
    <w:lvl w:ilvl="1">
      <w:lvlJc w:val="left"/>
      <w:lvlText w:val="%2"/>
      <w:numFmt w:val="lowerLetter"/>
      <w:start w:val="1"/>
    </w:lvl>
  </w:abstractNum>
  <w:abstractNum w:abstractNumId="89">
    <w:nsid w:val="15B71329"/>
    <w:multiLevelType w:val="hybridMultilevel"/>
    <w:lvl w:ilvl="0">
      <w:lvlJc w:val="left"/>
      <w:lvlText w:val="%1"/>
      <w:numFmt w:val="lowerRoman"/>
      <w:start w:val="1"/>
    </w:lvl>
    <w:lvl w:ilvl="1">
      <w:lvlJc w:val="left"/>
      <w:lvlText w:val="(%2)"/>
      <w:numFmt w:val="lowerLetter"/>
      <w:start w:val="4"/>
    </w:lvl>
    <w:lvl w:ilvl="2">
      <w:lvlJc w:val="left"/>
      <w:lvlText w:val="%3"/>
      <w:numFmt w:val="upperLetter"/>
      <w:start w:val="1"/>
    </w:lvl>
  </w:abstractNum>
  <w:abstractNum w:abstractNumId="90">
    <w:nsid w:val="3DA9704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1">
    <w:nsid w:val="1CDCE2DE"/>
    <w:multiLevelType w:val="hybridMultilevel"/>
    <w:lvl w:ilvl="0">
      <w:lvlJc w:val="left"/>
      <w:lvlText w:val="(%1)"/>
      <w:numFmt w:val="upperLetter"/>
      <w:start w:val="2"/>
    </w:lvl>
    <w:lvl w:ilvl="1">
      <w:lvlJc w:val="left"/>
      <w:lvlText w:val="(%2)"/>
      <w:numFmt w:val="lowerRoman"/>
      <w:start w:val="1"/>
    </w:lvl>
  </w:abstractNum>
  <w:abstractNum w:abstractNumId="92">
    <w:nsid w:val="69D3947C"/>
    <w:multiLevelType w:val="hybridMultilevel"/>
    <w:lvl w:ilvl="0">
      <w:lvlJc w:val="left"/>
      <w:lvlText w:val="%1"/>
      <w:numFmt w:val="lowerRoman"/>
      <w:start w:val="1"/>
    </w:lvl>
    <w:lvl w:ilvl="1">
      <w:lvlJc w:val="left"/>
      <w:lvlText w:val="(%2)"/>
      <w:numFmt w:val="upperLetter"/>
      <w:start w:val="3"/>
    </w:lvl>
  </w:abstractNum>
  <w:abstractNum w:abstractNumId="93">
    <w:nsid w:val="2539DFA5"/>
    <w:multiLevelType w:val="hybridMultilevel"/>
    <w:lvl w:ilvl="0">
      <w:lvlJc w:val="left"/>
      <w:lvlText w:val="(%1)"/>
      <w:numFmt w:val="lowerRoman"/>
      <w:start w:val="3"/>
    </w:lvl>
    <w:lvl w:ilvl="1">
      <w:lvlJc w:val="left"/>
      <w:lvlText w:val="%2"/>
      <w:numFmt w:val="upperLetter"/>
      <w:start w:val="1"/>
    </w:lvl>
  </w:abstractNum>
  <w:abstractNum w:abstractNumId="94">
    <w:nsid w:val="2DB88089"/>
    <w:multiLevelType w:val="hybridMultilevel"/>
    <w:lvl w:ilvl="0">
      <w:lvlJc w:val="left"/>
      <w:lvlText w:val="(%1)"/>
      <w:numFmt w:val="lowerLetter"/>
      <w:start w:val="6"/>
    </w:lvl>
  </w:abstractNum>
  <w:abstractNum w:abstractNumId="95">
    <w:nsid w:val="706B674E"/>
    <w:multiLevelType w:val="hybridMultilevel"/>
    <w:lvl w:ilvl="0">
      <w:lvlJc w:val="left"/>
      <w:lvlText w:val="(%1)"/>
      <w:numFmt w:val="lowerLetter"/>
      <w:start w:val="7"/>
    </w:lvl>
  </w:abstractNum>
  <w:abstractNum w:abstractNumId="96">
    <w:nsid w:val="2C106A57"/>
    <w:multiLevelType w:val="hybridMultilevel"/>
    <w:lvl w:ilvl="0">
      <w:lvlJc w:val="left"/>
      <w:lvlText w:val="%1"/>
      <w:numFmt w:val="lowerLetter"/>
      <w:start w:val="1"/>
    </w:lvl>
    <w:lvl w:ilvl="1">
      <w:lvlJc w:val="left"/>
      <w:lvlText w:val="(%2)"/>
      <w:numFmt w:val="lowerLetter"/>
      <w:start w:val="1"/>
    </w:lvl>
  </w:abstractNum>
  <w:abstractNum w:abstractNumId="97">
    <w:nsid w:val="684EED59"/>
    <w:multiLevelType w:val="hybridMultilevel"/>
    <w:lvl w:ilvl="0">
      <w:lvlJc w:val="left"/>
      <w:lvlText w:val="(%1)"/>
      <w:numFmt w:val="lowerLetter"/>
      <w:start w:val="35"/>
    </w:lvl>
    <w:lvl w:ilvl="1">
      <w:lvlJc w:val="left"/>
      <w:lvlText w:val="%2"/>
      <w:numFmt w:val="lowerLetter"/>
      <w:start w:val="1"/>
    </w:lvl>
  </w:abstractNum>
  <w:abstractNum w:abstractNumId="98">
    <w:nsid w:val="545EE5D3"/>
    <w:multiLevelType w:val="hybridMultilevel"/>
    <w:lvl w:ilvl="0">
      <w:lvlJc w:val="left"/>
      <w:lvlText w:val="(%1)"/>
      <w:numFmt w:val="lowerLetter"/>
      <w:start w:val="2"/>
    </w:lvl>
  </w:abstractNum>
  <w:abstractNum w:abstractNumId="99">
    <w:nsid w:val="4A66051"/>
    <w:multiLevelType w:val="hybridMultilevel"/>
    <w:lvl w:ilvl="0">
      <w:lvlJc w:val="left"/>
      <w:lvlText w:val="(%1)"/>
      <w:numFmt w:val="lowerLetter"/>
      <w:start w:val="4"/>
    </w:lvl>
  </w:abstractNum>
  <w:abstractNum w:abstractNumId="100">
    <w:nsid w:val="20F4BDAD"/>
    <w:multiLevelType w:val="hybridMultilevel"/>
    <w:lvl w:ilvl="0">
      <w:lvlJc w:val="left"/>
      <w:lvlText w:val="(%1)"/>
      <w:numFmt w:val="lowerLetter"/>
      <w:start w:val="1"/>
    </w:lvl>
  </w:abstractNum>
  <w:abstractNum w:abstractNumId="101">
    <w:nsid w:val="639DEFAC"/>
    <w:multiLevelType w:val="hybridMultilevel"/>
    <w:lvl w:ilvl="0">
      <w:lvlJc w:val="left"/>
      <w:lvlText w:val="%1"/>
      <w:numFmt w:val="lowerRoman"/>
      <w:start w:val="1"/>
    </w:lvl>
    <w:lvl w:ilvl="1">
      <w:lvlJc w:val="left"/>
      <w:lvlText w:val="(%2)"/>
      <w:numFmt w:val="lowerLetter"/>
      <w:start w:val="2"/>
    </w:lvl>
  </w:abstractNum>
  <w:abstractNum w:abstractNumId="102">
    <w:nsid w:val="501F9786"/>
    <w:multiLevelType w:val="hybridMultilevel"/>
    <w:lvl w:ilvl="0">
      <w:lvlJc w:val="left"/>
      <w:lvlText w:val="(%1)"/>
      <w:numFmt w:val="lowerRoman"/>
      <w:start w:val="1"/>
    </w:lvl>
    <w:lvl w:ilvl="1">
      <w:lvlJc w:val="left"/>
      <w:lvlText w:val="%2"/>
      <w:numFmt w:val="lowerLetter"/>
      <w:start w:val="1"/>
    </w:lvl>
  </w:abstractNum>
  <w:abstractNum w:abstractNumId="103">
    <w:nsid w:val="6B057295"/>
    <w:multiLevelType w:val="hybridMultilevel"/>
    <w:lvl w:ilvl="0">
      <w:lvlJc w:val="left"/>
      <w:lvlText w:val="(%1)"/>
      <w:numFmt w:val="lowerRoman"/>
      <w:start w:val="6"/>
    </w:lvl>
  </w:abstractNum>
  <w:abstractNum w:abstractNumId="104">
    <w:nsid w:val="2771AC80"/>
    <w:multiLevelType w:val="hybridMultilevel"/>
    <w:lvl w:ilvl="0">
      <w:lvlJc w:val="left"/>
      <w:lvlText w:val="(%1)"/>
      <w:numFmt w:val="lowerLetter"/>
      <w:start w:val="1"/>
    </w:lvl>
  </w:abstractNum>
  <w:abstractNum w:abstractNumId="105">
    <w:nsid w:val="1C4A08EC"/>
    <w:multiLevelType w:val="hybridMultilevel"/>
    <w:lvl w:ilvl="0">
      <w:lvlJc w:val="left"/>
      <w:lvlText w:val="%1"/>
      <w:numFmt w:val="decimal"/>
      <w:start w:val="1"/>
    </w:lvl>
    <w:lvl w:ilvl="1">
      <w:lvlJc w:val="left"/>
      <w:lvlText w:val="(%2)"/>
      <w:numFmt w:val="lowerLetter"/>
      <w:start w:val="1"/>
    </w:lvl>
  </w:abstractNum>
  <w:abstractNum w:abstractNumId="106">
    <w:nsid w:val="1958BD17"/>
    <w:multiLevelType w:val="hybridMultilevel"/>
    <w:lvl w:ilvl="0">
      <w:lvlJc w:val="left"/>
      <w:lvlText w:val="(%1)"/>
      <w:numFmt w:val="decimal"/>
      <w:start w:val="15"/>
    </w:lvl>
    <w:lvl w:ilvl="1">
      <w:lvlJc w:val="left"/>
      <w:lvlText w:val="(%2)"/>
      <w:numFmt w:val="lowerLetter"/>
      <w:start w:val="2"/>
    </w:lvl>
  </w:abstractNum>
  <w:abstractNum w:abstractNumId="107">
    <w:nsid w:val="4E647FE4"/>
    <w:multiLevelType w:val="hybridMultilevel"/>
    <w:lvl w:ilvl="0">
      <w:lvlJc w:val="left"/>
      <w:lvlText w:val="(%1)"/>
      <w:numFmt w:val="lowerLetter"/>
      <w:start w:val="4"/>
    </w:lvl>
  </w:abstractNum>
  <w:abstractNum w:abstractNumId="108">
    <w:nsid w:val="E0BB885"/>
    <w:multiLevelType w:val="hybridMultilevel"/>
    <w:lvl w:ilvl="0">
      <w:lvlJc w:val="left"/>
      <w:lvlText w:val="(%1)"/>
      <w:numFmt w:val="lowerLetter"/>
      <w:start w:val="5"/>
    </w:lvl>
  </w:abstractNum>
  <w:abstractNum w:abstractNumId="109">
    <w:nsid w:val="565976F1"/>
    <w:multiLevelType w:val="hybridMultilevel"/>
    <w:lvl w:ilvl="0">
      <w:lvlJc w:val="left"/>
      <w:lvlText w:val="(%1)"/>
      <w:numFmt w:val="lowerLetter"/>
      <w:start w:val="1"/>
    </w:lvl>
    <w:lvl w:ilvl="1">
      <w:lvlJc w:val="left"/>
      <w:lvlText w:val="(%2)"/>
      <w:numFmt w:val="lowerLetter"/>
      <w:start w:val="9"/>
    </w:lvl>
  </w:abstractNum>
  <w:abstractNum w:abstractNumId="110">
    <w:nsid w:val="64212B8C"/>
    <w:multiLevelType w:val="hybridMultilevel"/>
    <w:lvl w:ilvl="0">
      <w:lvlJc w:val="left"/>
      <w:lvlText w:val="%1"/>
      <w:numFmt w:val="lowerLetter"/>
      <w:start w:val="1"/>
    </w:lvl>
    <w:lvl w:ilvl="1">
      <w:lvlJc w:val="left"/>
      <w:lvlText w:val="(%2)"/>
      <w:numFmt w:val="lowerRoman"/>
      <w:start w:val="2"/>
    </w:lvl>
  </w:abstractNum>
  <w:abstractNum w:abstractNumId="111">
    <w:nsid w:val="5C17530C"/>
    <w:multiLevelType w:val="hybridMultilevel"/>
    <w:lvl w:ilvl="0">
      <w:lvlJc w:val="left"/>
      <w:lvlText w:val="(%1)"/>
      <w:numFmt w:val="lowerLetter"/>
      <w:start w:val="2"/>
    </w:lvl>
    <w:lvl w:ilvl="1">
      <w:lvlJc w:val="left"/>
      <w:lvlText w:val="%2"/>
      <w:numFmt w:val="lowerRoman"/>
      <w:start w:val="1"/>
    </w:lvl>
  </w:abstractNum>
  <w:abstractNum w:abstractNumId="112">
    <w:nsid w:val="19A52566"/>
    <w:multiLevelType w:val="hybridMultilevel"/>
    <w:lvl w:ilvl="0">
      <w:lvlJc w:val="left"/>
      <w:lvlText w:val="(%1)"/>
      <w:numFmt w:val="lowerLetter"/>
      <w:start w:val="3"/>
    </w:lvl>
  </w:abstractNum>
  <w:abstractNum w:abstractNumId="113">
    <w:nsid w:val="335A1DF1"/>
    <w:multiLevelType w:val="hybridMultilevel"/>
    <w:lvl w:ilvl="0">
      <w:lvlJc w:val="left"/>
      <w:lvlText w:val="(%1)"/>
      <w:numFmt w:val="lowerLetter"/>
      <w:start w:val="1"/>
    </w:lvl>
  </w:abstractNum>
  <w:abstractNum w:abstractNumId="114">
    <w:nsid w:val="28677B7C"/>
    <w:multiLevelType w:val="hybridMultilevel"/>
    <w:lvl w:ilvl="0">
      <w:lvlJc w:val="left"/>
      <w:lvlText w:val="%1"/>
      <w:numFmt w:val="lowerLetter"/>
      <w:start w:val="1"/>
    </w:lvl>
    <w:lvl w:ilvl="1">
      <w:lvlJc w:val="left"/>
      <w:lvlText w:val="(%2)"/>
      <w:numFmt w:val="lowerRoman"/>
      <w:start w:val="1"/>
    </w:lvl>
  </w:abstractNum>
  <w:abstractNum w:abstractNumId="115">
    <w:nsid w:val="378D97C0"/>
    <w:multiLevelType w:val="hybridMultilevel"/>
    <w:lvl w:ilvl="0">
      <w:lvlJc w:val="left"/>
      <w:lvlText w:val="(%1)"/>
      <w:numFmt w:val="lowerLetter"/>
      <w:start w:val="2"/>
    </w:lvl>
    <w:lvl w:ilvl="1">
      <w:lvlJc w:val="left"/>
      <w:lvlText w:val="%2"/>
      <w:numFmt w:val="lowerRoman"/>
      <w:start w:val="1"/>
    </w:lvl>
  </w:abstractNum>
  <w:abstractNum w:abstractNumId="116">
    <w:nsid w:val="1D91467C"/>
    <w:multiLevelType w:val="hybridMultilevel"/>
    <w:lvl w:ilvl="0">
      <w:lvlJc w:val="left"/>
      <w:lvlText w:val="(%1)"/>
      <w:numFmt w:val="lowerLetter"/>
      <w:start w:val="3"/>
    </w:lvl>
    <w:lvl w:ilvl="1">
      <w:lvlJc w:val="left"/>
      <w:lvlText w:val="(%2)"/>
      <w:numFmt w:val="lowerLetter"/>
      <w:start w:val="1"/>
    </w:lvl>
  </w:abstractNum>
  <w:abstractNum w:abstractNumId="117">
    <w:nsid w:val="316032BB"/>
    <w:multiLevelType w:val="hybridMultilevel"/>
    <w:lvl w:ilvl="0">
      <w:lvlJc w:val="left"/>
      <w:lvlText w:val="(%1)"/>
      <w:numFmt w:val="lowerLetter"/>
      <w:start w:val="2"/>
    </w:lvl>
  </w:abstractNum>
  <w:abstractNum w:abstractNumId="118">
    <w:nsid w:val="44344C22"/>
    <w:multiLevelType w:val="hybridMultilevel"/>
    <w:lvl w:ilvl="0">
      <w:lvlJc w:val="left"/>
      <w:lvlText w:val="(%1)"/>
      <w:numFmt w:val="lowerLetter"/>
      <w:start w:val="1"/>
    </w:lvl>
  </w:abstractNum>
  <w:abstractNum w:abstractNumId="119">
    <w:nsid w:val="13CDFCFC"/>
    <w:multiLevelType w:val="hybridMultilevel"/>
    <w:lvl w:ilvl="0">
      <w:lvlJc w:val="left"/>
      <w:lvlText w:val="%1"/>
      <w:numFmt w:val="lowerLetter"/>
      <w:start w:val="1"/>
    </w:lvl>
    <w:lvl w:ilvl="1">
      <w:lvlJc w:val="left"/>
      <w:lvlText w:val="(%2)"/>
      <w:numFmt w:val="lowerLetter"/>
      <w:start w:val="1"/>
    </w:lvl>
  </w:abstractNum>
  <w:abstractNum w:abstractNumId="120">
    <w:nsid w:val="471745E4"/>
    <w:multiLevelType w:val="hybridMultilevel"/>
    <w:lvl w:ilvl="0">
      <w:lvlJc w:val="left"/>
      <w:lvlText w:val="(%1)"/>
      <w:numFmt w:val="lowerLetter"/>
      <w:start w:val="35"/>
    </w:lvl>
    <w:lvl w:ilvl="1">
      <w:lvlJc w:val="left"/>
      <w:lvlText w:val="%2"/>
      <w:numFmt w:val="lowerLetter"/>
      <w:start w:val="1"/>
    </w:lvl>
  </w:abstractNum>
  <w:abstractNum w:abstractNumId="121">
    <w:nsid w:val="1DDBC66"/>
    <w:multiLevelType w:val="hybridMultilevel"/>
    <w:lvl w:ilvl="0">
      <w:lvlJc w:val="left"/>
      <w:lvlText w:val="(%1)"/>
      <w:numFmt w:val="lowerLetter"/>
      <w:start w:val="1"/>
    </w:lvl>
  </w:abstractNum>
  <w:abstractNum w:abstractNumId="122">
    <w:nsid w:val="30AADFDA"/>
    <w:multiLevelType w:val="hybridMultilevel"/>
    <w:lvl w:ilvl="0">
      <w:lvlJc w:val="left"/>
      <w:lvlText w:val="(%1)"/>
      <w:numFmt w:val="lowerLetter"/>
      <w:start w:val="1"/>
    </w:lvl>
  </w:abstractNum>
  <w:abstractNum w:abstractNumId="123">
    <w:nsid w:val="30EADA61"/>
    <w:multiLevelType w:val="hybridMultilevel"/>
    <w:lvl w:ilvl="0">
      <w:lvlJc w:val="left"/>
      <w:lvlText w:val="(%1)"/>
      <w:numFmt w:val="lowerLetter"/>
      <w:start w:val="2"/>
    </w:lvl>
  </w:abstractNum>
  <w:abstractNum w:abstractNumId="124">
    <w:nsid w:val="27179C0B"/>
    <w:multiLevelType w:val="hybridMultilevel"/>
    <w:lvl w:ilvl="0">
      <w:lvlJc w:val="left"/>
      <w:lvlText w:val="(%1)"/>
      <w:numFmt w:val="lowerLetter"/>
      <w:start w:val="1"/>
    </w:lvl>
  </w:abstractNum>
  <w:abstractNum w:abstractNumId="125">
    <w:nsid w:val="5E636063"/>
    <w:multiLevelType w:val="hybridMultilevel"/>
    <w:lvl w:ilvl="0">
      <w:lvlJc w:val="left"/>
      <w:lvlText w:val="(%1)"/>
      <w:numFmt w:val="lowerLetter"/>
      <w:start w:val="3"/>
    </w:lvl>
  </w:abstractNum>
  <w:abstractNum w:abstractNumId="126">
    <w:nsid w:val="215641AF"/>
    <w:multiLevelType w:val="hybridMultilevel"/>
    <w:lvl w:ilvl="0">
      <w:lvlJc w:val="left"/>
      <w:lvlText w:val="(%1)"/>
      <w:numFmt w:val="lowerLetter"/>
      <w:start w:val="1"/>
    </w:lvl>
  </w:abstractNum>
  <w:abstractNum w:abstractNumId="127">
    <w:nsid w:val="53280662"/>
    <w:multiLevelType w:val="hybridMultilevel"/>
    <w:lvl w:ilvl="0">
      <w:lvlJc w:val="left"/>
      <w:lvlText w:val="(%1)"/>
      <w:numFmt w:val="lowerLetter"/>
      <w:start w:val="5"/>
    </w:lvl>
  </w:abstractNum>
  <w:abstractNum w:abstractNumId="128">
    <w:nsid w:val="46B24DBC"/>
    <w:multiLevelType w:val="hybridMultilevel"/>
    <w:lvl w:ilvl="0">
      <w:lvlJc w:val="left"/>
      <w:lvlText w:val="(%1)"/>
      <w:numFmt w:val="lowerLetter"/>
      <w:start w:val="1"/>
    </w:lvl>
  </w:abstractNum>
  <w:abstractNum w:abstractNumId="129">
    <w:nsid w:val="75B52783"/>
    <w:multiLevelType w:val="hybridMultilevel"/>
    <w:lvl w:ilvl="0">
      <w:lvlJc w:val="left"/>
      <w:lvlText w:val="(%1)"/>
      <w:numFmt w:val="lowerLetter"/>
      <w:start w:val="1"/>
    </w:lvl>
  </w:abstractNum>
  <w:abstractNum w:abstractNumId="130">
    <w:nsid w:val="57CE66B4"/>
    <w:multiLevelType w:val="hybridMultilevel"/>
    <w:lvl w:ilvl="0">
      <w:lvlJc w:val="left"/>
      <w:lvlText w:val="(%1)"/>
      <w:numFmt w:val="lowerLetter"/>
      <w:start w:val="2"/>
    </w:lvl>
  </w:abstractNum>
  <w:abstractNum w:abstractNumId="131">
    <w:nsid w:val="67A70B69"/>
    <w:multiLevelType w:val="hybridMultilevel"/>
    <w:lvl w:ilvl="0">
      <w:lvlJc w:val="left"/>
      <w:lvlText w:val="(%1)"/>
      <w:numFmt w:val="lowerLetter"/>
      <w:start w:val="1"/>
    </w:lvl>
  </w:abstractNum>
  <w:abstractNum w:abstractNumId="132">
    <w:nsid w:val="5953172F"/>
    <w:multiLevelType w:val="hybridMultilevel"/>
    <w:lvl w:ilvl="0">
      <w:lvlJc w:val="left"/>
      <w:lvlText w:val="(%1)"/>
      <w:numFmt w:val="lowerLetter"/>
      <w:start w:val="1"/>
    </w:lvl>
  </w:abstractNum>
  <w:abstractNum w:abstractNumId="133">
    <w:nsid w:val="27EDFE3A"/>
    <w:multiLevelType w:val="hybridMultilevel"/>
    <w:lvl w:ilvl="0">
      <w:lvlJc w:val="left"/>
      <w:lvlText w:val="%1"/>
      <w:numFmt w:val="lowerLetter"/>
      <w:start w:val="1"/>
    </w:lvl>
    <w:lvl w:ilvl="1">
      <w:lvlJc w:val="left"/>
      <w:lvlText w:val="(%2)"/>
      <w:numFmt w:val="lowerLetter"/>
      <w:start w:val="5"/>
    </w:lvl>
  </w:abstractNum>
  <w:abstractNum w:abstractNumId="134">
    <w:nsid w:val="52AC7DFF"/>
    <w:multiLevelType w:val="hybridMultilevel"/>
    <w:lvl w:ilvl="0">
      <w:lvlJc w:val="left"/>
      <w:lvlText w:val="(%1)"/>
      <w:numFmt w:val="lowerLetter"/>
      <w:start w:val="25"/>
    </w:lvl>
    <w:lvl w:ilvl="1">
      <w:lvlJc w:val="left"/>
      <w:lvlText w:val="(%2)"/>
      <w:numFmt w:val="lowerLetter"/>
      <w:start w:val="14"/>
    </w:lvl>
  </w:abstractNum>
  <w:abstractNum w:abstractNumId="135">
    <w:nsid w:val="C4C3AF"/>
    <w:multiLevelType w:val="hybridMultilevel"/>
    <w:lvl w:ilvl="0">
      <w:lvlJc w:val="left"/>
      <w:lvlText w:val="%1"/>
      <w:numFmt w:val="lowerLetter"/>
      <w:start w:val="1"/>
    </w:lvl>
    <w:lvl w:ilvl="1">
      <w:lvlJc w:val="left"/>
      <w:lvlText w:val="(%2)"/>
      <w:numFmt w:val="lowerLetter"/>
      <w:start w:val="16"/>
    </w:lvl>
  </w:abstractNum>
  <w:abstractNum w:abstractNumId="136">
    <w:nsid w:val="44380727"/>
    <w:multiLevelType w:val="hybridMultilevel"/>
    <w:lvl w:ilvl="0">
      <w:lvlJc w:val="left"/>
      <w:lvlText w:val="(%1)"/>
      <w:numFmt w:val="lowerLetter"/>
      <w:start w:val="35"/>
    </w:lvl>
    <w:lvl w:ilvl="1">
      <w:lvlJc w:val="left"/>
      <w:lvlText w:val="(%2)"/>
      <w:numFmt w:val="lowerLetter"/>
      <w:start w:val="17"/>
    </w:lvl>
  </w:abstractNum>
  <w:abstractNum w:abstractNumId="137">
    <w:nsid w:val="6C053B16"/>
    <w:multiLevelType w:val="hybridMultilevel"/>
    <w:lvl w:ilvl="0">
      <w:lvlJc w:val="left"/>
      <w:lvlText w:val="(%1)"/>
      <w:numFmt w:val="lowerLetter"/>
      <w:start w:val="1"/>
    </w:lvl>
  </w:abstractNum>
  <w:abstractNum w:abstractNumId="138">
    <w:nsid w:val="4F294393"/>
    <w:multiLevelType w:val="hybridMultilevel"/>
    <w:lvl w:ilvl="0">
      <w:lvlJc w:val="left"/>
      <w:lvlText w:val="%1"/>
      <w:numFmt w:val="lowerLetter"/>
      <w:start w:val="1"/>
    </w:lvl>
    <w:lvl w:ilvl="1">
      <w:lvlJc w:val="left"/>
      <w:lvlText w:val="(%2)"/>
      <w:numFmt w:val="lowerLetter"/>
      <w:start w:val="4"/>
    </w:lvl>
  </w:abstractNum>
  <w:abstractNum w:abstractNumId="139">
    <w:nsid w:val="5243BFAC"/>
    <w:multiLevelType w:val="hybridMultilevel"/>
    <w:lvl w:ilvl="0">
      <w:lvlJc w:val="left"/>
      <w:lvlText w:val="(%1)"/>
      <w:numFmt w:val="lowerLetter"/>
      <w:start w:val="35"/>
    </w:lvl>
    <w:lvl w:ilvl="1">
      <w:lvlJc w:val="left"/>
      <w:lvlText w:val="(%2)"/>
      <w:numFmt w:val="lowerLetter"/>
      <w:start w:val="8"/>
    </w:lvl>
  </w:abstractNum>
  <w:abstractNum w:abstractNumId="140">
    <w:nsid w:val="425EB207"/>
    <w:multiLevelType w:val="hybridMultilevel"/>
    <w:lvl w:ilvl="0">
      <w:lvlJc w:val="left"/>
      <w:lvlText w:val="%1"/>
      <w:numFmt w:val="lowerLetter"/>
      <w:start w:val="1"/>
    </w:lvl>
    <w:lvl w:ilvl="1">
      <w:lvlJc w:val="left"/>
      <w:lvlText w:val="(%2)"/>
      <w:numFmt w:val="lowerLetter"/>
      <w:start w:val="10"/>
    </w:lvl>
  </w:abstractNum>
  <w:abstractNum w:abstractNumId="141">
    <w:nsid w:val="334A6F1F"/>
    <w:multiLevelType w:val="hybridMultilevel"/>
    <w:lvl w:ilvl="0">
      <w:lvlJc w:val="left"/>
      <w:lvlText w:val="(%1)"/>
      <w:numFmt w:val="lowerLetter"/>
      <w:start w:val="35"/>
    </w:lvl>
    <w:lvl w:ilvl="1">
      <w:lvlJc w:val="left"/>
      <w:lvlText w:val="(%2)"/>
      <w:numFmt w:val="lowerLetter"/>
      <w:start w:val="12"/>
    </w:lvl>
  </w:abstractNum>
  <w:abstractNum w:abstractNumId="142">
    <w:nsid w:val="2E5B12B8"/>
    <w:multiLevelType w:val="hybridMultilevel"/>
    <w:lvl w:ilvl="0">
      <w:lvlJc w:val="left"/>
      <w:lvlText w:val="(%1)"/>
      <w:numFmt w:val="lowerLetter"/>
      <w:start w:val="18"/>
    </w:lvl>
    <w:lvl w:ilvl="1">
      <w:lvlJc w:val="left"/>
      <w:lvlText w:val="(%2)"/>
      <w:numFmt w:val="lowerLetter"/>
      <w:start w:val="19"/>
    </w:lvl>
  </w:abstractNum>
  <w:abstractNum w:abstractNumId="143">
    <w:nsid w:val="5C03D76D"/>
    <w:multiLevelType w:val="hybridMultilevel"/>
    <w:lvl w:ilvl="0">
      <w:lvlJc w:val="left"/>
      <w:lvlText w:val="(%1)"/>
      <w:numFmt w:val="lowerLetter"/>
      <w:start w:val="21"/>
    </w:lvl>
  </w:abstractNum>
  <w:abstractNum w:abstractNumId="144">
    <w:nsid w:val="66A48D11"/>
    <w:multiLevelType w:val="hybridMultilevel"/>
    <w:lvl w:ilvl="0">
      <w:lvlJc w:val="left"/>
      <w:lvlText w:val="(%1)"/>
      <w:numFmt w:val="lowerLetter"/>
      <w:start w:val="2"/>
    </w:lvl>
  </w:abstractNum>
  <w:abstractNum w:abstractNumId="145">
    <w:nsid w:val="56C28E34"/>
    <w:multiLevelType w:val="hybridMultilevel"/>
    <w:lvl w:ilvl="0">
      <w:lvlJc w:val="left"/>
      <w:lvlText w:val="(%1)"/>
      <w:numFmt w:val="lowerLetter"/>
      <w:start w:val="1"/>
    </w:lvl>
  </w:abstractNum>
  <w:abstractNum w:abstractNumId="146">
    <w:nsid w:val="13916F2D"/>
    <w:multiLevelType w:val="hybridMultilevel"/>
    <w:lvl w:ilvl="0">
      <w:lvlJc w:val="left"/>
      <w:lvlText w:val="(%1)"/>
      <w:numFmt w:val="lowerLetter"/>
      <w:start w:val="6"/>
    </w:lvl>
  </w:abstractNum>
  <w:abstractNum w:abstractNumId="147">
    <w:nsid w:val="435D38D"/>
    <w:multiLevelType w:val="hybridMultilevel"/>
    <w:lvl w:ilvl="0">
      <w:lvlJc w:val="left"/>
      <w:lvlText w:val="%1"/>
      <w:numFmt w:val="lowerLetter"/>
      <w:start w:val="1"/>
    </w:lvl>
    <w:lvl w:ilvl="1">
      <w:lvlJc w:val="left"/>
      <w:lvlText w:val="(%2)"/>
      <w:numFmt w:val="lowerLetter"/>
      <w:start w:val="1"/>
    </w:lvl>
  </w:abstractNum>
  <w:abstractNum w:abstractNumId="148">
    <w:nsid w:val="822C0EF"/>
    <w:multiLevelType w:val="hybridMultilevel"/>
    <w:lvl w:ilvl="0">
      <w:lvlJc w:val="left"/>
      <w:lvlText w:val="(%1)"/>
      <w:numFmt w:val="lowerLetter"/>
      <w:start w:val="1"/>
    </w:lvl>
    <w:lvl w:ilvl="1">
      <w:lvlJc w:val="left"/>
      <w:lvlText w:val="(%2)"/>
      <w:numFmt w:val="lowerLetter"/>
      <w:start w:val="3"/>
    </w:lvl>
  </w:abstractNum>
  <w:abstractNum w:abstractNumId="149">
    <w:nsid w:val="57C5BB4F"/>
    <w:multiLevelType w:val="hybridMultilevel"/>
    <w:lvl w:ilvl="0">
      <w:lvlJc w:val="left"/>
      <w:lvlText w:val="%1"/>
      <w:numFmt w:val="lowerLetter"/>
      <w:start w:val="1"/>
    </w:lvl>
    <w:lvl w:ilvl="1">
      <w:lvlJc w:val="left"/>
      <w:lvlText w:val="(%2)"/>
      <w:numFmt w:val="lowerLetter"/>
      <w:start w:val="7"/>
    </w:lvl>
  </w:abstractNum>
  <w:abstractNum w:abstractNumId="150">
    <w:nsid w:val="1803D089"/>
    <w:multiLevelType w:val="hybridMultilevel"/>
    <w:lvl w:ilvl="0">
      <w:lvlJc w:val="left"/>
      <w:lvlText w:val="(%1)"/>
      <w:numFmt w:val="lowerLetter"/>
      <w:start w:val="35"/>
    </w:lvl>
    <w:lvl w:ilvl="1">
      <w:lvlJc w:val="left"/>
      <w:lvlText w:val="(%2)"/>
      <w:numFmt w:val="lowerLetter"/>
      <w:start w:val="8"/>
    </w:lvl>
  </w:abstractNum>
  <w:abstractNum w:abstractNumId="151">
    <w:nsid w:val="4F3A06D4"/>
    <w:multiLevelType w:val="hybridMultilevel"/>
    <w:lvl w:ilvl="0">
      <w:lvlJc w:val="left"/>
      <w:lvlText w:val="(%1)"/>
      <w:numFmt w:val="lowerLetter"/>
      <w:start w:val="11"/>
    </w:lvl>
  </w:abstractNum>
  <w:abstractNum w:abstractNumId="152">
    <w:nsid w:val="59A377B6"/>
    <w:multiLevelType w:val="hybridMultilevel"/>
    <w:lvl w:ilvl="0">
      <w:lvlJc w:val="left"/>
      <w:lvlText w:val="(%1)"/>
      <w:numFmt w:val="lowerLetter"/>
      <w:start w:val="1"/>
    </w:lvl>
  </w:abstractNum>
  <w:abstractNum w:abstractNumId="153">
    <w:nsid w:val="48AEB063"/>
    <w:multiLevelType w:val="hybridMultilevel"/>
    <w:lvl w:ilvl="0">
      <w:lvlJc w:val="left"/>
      <w:lvlText w:val="(%1)"/>
      <w:numFmt w:val="lowerLetter"/>
      <w:start w:val="4"/>
    </w:lvl>
  </w:abstractNum>
  <w:abstractNum w:abstractNumId="154">
    <w:nsid w:val="24E135"/>
    <w:multiLevelType w:val="hybridMultilevel"/>
    <w:lvl w:ilvl="0">
      <w:lvlJc w:val="left"/>
      <w:lvlText w:val="%1"/>
      <w:numFmt w:val="lowerRoman"/>
      <w:start w:val="1"/>
    </w:lvl>
    <w:lvl w:ilvl="1">
      <w:lvlJc w:val="left"/>
      <w:lvlText w:val="(%2)"/>
      <w:numFmt w:val="lowerLetter"/>
      <w:start w:val="6"/>
    </w:lvl>
  </w:abstractNum>
  <w:abstractNum w:abstractNumId="155">
    <w:nsid w:val="BB13C1"/>
    <w:multiLevelType w:val="hybridMultilevel"/>
    <w:lvl w:ilvl="0">
      <w:lvlJc w:val="left"/>
      <w:lvlText w:val="(%1)"/>
      <w:numFmt w:val="lowerRoman"/>
      <w:start w:val="2"/>
    </w:lvl>
    <w:lvl w:ilvl="1">
      <w:lvlJc w:val="left"/>
      <w:lvlText w:val="%2"/>
      <w:numFmt w:val="lowerLetter"/>
      <w:start w:val="1"/>
    </w:lvl>
  </w:abstractNum>
  <w:abstractNum w:abstractNumId="156">
    <w:nsid w:val="271210C7"/>
    <w:multiLevelType w:val="hybridMultilevel"/>
    <w:lvl w:ilvl="0">
      <w:lvlJc w:val="left"/>
      <w:lvlText w:val="(%1)"/>
      <w:numFmt w:val="lowerRoman"/>
      <w:start w:val="4"/>
    </w:lvl>
    <w:lvl w:ilvl="1">
      <w:lvlJc w:val="left"/>
      <w:lvlText w:val="(%2)"/>
      <w:numFmt w:val="lowerLetter"/>
      <w:start w:val="7"/>
    </w:lvl>
  </w:abstractNum>
  <w:abstractNum w:abstractNumId="157">
    <w:nsid w:val="217B22E4"/>
    <w:multiLevelType w:val="hybridMultilevel"/>
    <w:lvl w:ilvl="0">
      <w:lvlJc w:val="left"/>
      <w:lvlText w:val="(%1)"/>
      <w:numFmt w:val="lowerLetter"/>
      <w:start w:val="8"/>
    </w:lvl>
  </w:abstractNum>
  <w:abstractNum w:abstractNumId="158">
    <w:nsid w:val="53E31A24"/>
    <w:multiLevelType w:val="hybridMultilevel"/>
    <w:lvl w:ilvl="0">
      <w:lvlJc w:val="left"/>
      <w:lvlText w:val="(%1)"/>
      <w:numFmt w:val="lowerLetter"/>
      <w:start w:val="10"/>
    </w:lvl>
  </w:abstractNum>
  <w:abstractNum w:abstractNumId="159">
    <w:nsid w:val="6DC45E83"/>
    <w:multiLevelType w:val="hybridMultilevel"/>
    <w:lvl w:ilvl="0">
      <w:lvlJc w:val="left"/>
      <w:lvlText w:val="(%1)"/>
      <w:numFmt w:val="lowerLetter"/>
      <w:start w:val="1"/>
    </w:lvl>
  </w:abstractNum>
  <w:abstractNum w:abstractNumId="160">
    <w:nsid w:val="17304A67"/>
    <w:multiLevelType w:val="hybridMultilevel"/>
    <w:lvl w:ilvl="0">
      <w:lvlJc w:val="left"/>
      <w:lvlText w:val="(%1)"/>
      <w:numFmt w:val="lowerRoman"/>
      <w:start w:val="1"/>
    </w:lvl>
  </w:abstractNum>
  <w:abstractNum w:abstractNumId="161">
    <w:nsid w:val="2BB180D8"/>
    <w:multiLevelType w:val="hybridMultilevel"/>
    <w:lvl w:ilvl="0">
      <w:lvlJc w:val="left"/>
      <w:lvlText w:val="(%1)"/>
      <w:numFmt w:val="lowerLetter"/>
      <w:start w:val="2"/>
    </w:lvl>
  </w:abstractNum>
  <w:abstractNum w:abstractNumId="162">
    <w:nsid w:val="556B69ED"/>
    <w:multiLevelType w:val="hybridMultilevel"/>
    <w:lvl w:ilvl="0">
      <w:lvlJc w:val="left"/>
      <w:lvlText w:val="(%1)"/>
      <w:numFmt w:val="lowerLetter"/>
      <w:start w:val="35"/>
    </w:lvl>
    <w:lvl w:ilvl="1">
      <w:lvlJc w:val="left"/>
      <w:lvlText w:val="(%2)"/>
      <w:numFmt w:val="lowerLetter"/>
      <w:start w:val="3"/>
    </w:lvl>
  </w:abstractNum>
  <w:abstractNum w:abstractNumId="163">
    <w:nsid w:val="70836196"/>
    <w:multiLevelType w:val="hybridMultilevel"/>
    <w:lvl w:ilvl="0">
      <w:lvlJc w:val="left"/>
      <w:lvlText w:val="(%1)"/>
      <w:numFmt w:val="lowerLetter"/>
      <w:start w:val="4"/>
    </w:lvl>
  </w:abstractNum>
  <w:abstractNum w:abstractNumId="164">
    <w:nsid w:val="539F7F12"/>
    <w:multiLevelType w:val="hybridMultilevel"/>
    <w:lvl w:ilvl="0">
      <w:lvlJc w:val="left"/>
      <w:lvlText w:val="(%1)"/>
      <w:numFmt w:val="lowerLetter"/>
      <w:start w:val="1"/>
    </w:lvl>
  </w:abstractNum>
  <w:abstractNum w:abstractNumId="165">
    <w:nsid w:val="2817E7EC"/>
    <w:multiLevelType w:val="hybridMultilevel"/>
    <w:lvl w:ilvl="0">
      <w:lvlJc w:val="left"/>
      <w:lvlText w:val="(%1)"/>
      <w:numFmt w:val="lowerLetter"/>
      <w:start w:val="35"/>
    </w:lvl>
    <w:lvl w:ilvl="1">
      <w:lvlJc w:val="left"/>
      <w:lvlText w:val="(%2)"/>
      <w:numFmt w:val="lowerLetter"/>
      <w:start w:val="1"/>
    </w:lvl>
  </w:abstractNum>
  <w:abstractNum w:abstractNumId="166">
    <w:nsid w:val="71482545"/>
    <w:multiLevelType w:val="hybridMultilevel"/>
    <w:lvl w:ilvl="0">
      <w:lvlJc w:val="left"/>
      <w:lvlText w:val="(%1)"/>
      <w:numFmt w:val="lowerLetter"/>
      <w:start w:val="35"/>
    </w:lvl>
    <w:lvl w:ilvl="1">
      <w:lvlJc w:val="left"/>
      <w:lvlText w:val="(%2)"/>
      <w:numFmt w:val="lowerLetter"/>
      <w:start w:val="3"/>
    </w:lvl>
  </w:abstractNum>
  <w:abstractNum w:abstractNumId="167">
    <w:nsid w:val="17D78639"/>
    <w:multiLevelType w:val="hybridMultilevel"/>
    <w:lvl w:ilvl="0">
      <w:lvlJc w:val="left"/>
      <w:lvlText w:val="(%1)"/>
      <w:numFmt w:val="lowerLetter"/>
      <w:start w:val="5"/>
    </w:lvl>
  </w:abstractNum>
  <w:abstractNum w:abstractNumId="168">
    <w:nsid w:val="141D2302"/>
    <w:multiLevelType w:val="hybridMultilevel"/>
    <w:lvl w:ilvl="0">
      <w:lvlJc w:val="left"/>
      <w:lvlText w:val="%1"/>
      <w:numFmt w:val="lowerLetter"/>
      <w:start w:val="1"/>
    </w:lvl>
    <w:lvl w:ilvl="1">
      <w:lvlJc w:val="left"/>
      <w:lvlText w:val="(%2)"/>
      <w:numFmt w:val="lowerLetter"/>
      <w:start w:val="1"/>
    </w:lvl>
  </w:abstractNum>
  <w:abstractNum w:abstractNumId="169">
    <w:nsid w:val="407168D8"/>
    <w:multiLevelType w:val="hybridMultilevel"/>
    <w:lvl w:ilvl="0">
      <w:lvlJc w:val="left"/>
      <w:lvlText w:val="(%1)"/>
      <w:numFmt w:val="lowerLetter"/>
      <w:start w:val="9"/>
    </w:lvl>
    <w:lvl w:ilvl="1">
      <w:lvlJc w:val="left"/>
      <w:lvlText w:val="%2"/>
      <w:numFmt w:val="lowerLetter"/>
      <w:start w:val="1"/>
    </w:lvl>
  </w:abstractNum>
  <w:abstractNum w:abstractNumId="170">
    <w:nsid w:val="6A1B45E5"/>
    <w:multiLevelType w:val="hybridMultilevel"/>
    <w:lvl w:ilvl="0">
      <w:lvlJc w:val="left"/>
      <w:lvlText w:val="(%1)"/>
      <w:numFmt w:val="upperLetter"/>
      <w:start w:val="1"/>
    </w:lvl>
  </w:abstractNum>
  <w:abstractNum w:abstractNumId="171">
    <w:nsid w:val="567BD50A"/>
    <w:multiLevelType w:val="hybridMultilevel"/>
    <w:lvl w:ilvl="0">
      <w:lvlJc w:val="left"/>
      <w:lvlText w:val="(%1)"/>
      <w:numFmt w:val="lowerLetter"/>
      <w:start w:val="24"/>
    </w:lvl>
    <w:lvl w:ilvl="1">
      <w:lvlJc w:val="left"/>
      <w:lvlText w:val="(%2)"/>
      <w:numFmt w:val="lowerRoman"/>
      <w:start w:val="2"/>
    </w:lvl>
  </w:abstractNum>
  <w:abstractNum w:abstractNumId="172">
    <w:nsid w:val="73BBD7F8"/>
    <w:multiLevelType w:val="hybridMultilevel"/>
    <w:lvl w:ilvl="0">
      <w:lvlJc w:val="left"/>
      <w:lvlText w:val="(%1)"/>
      <w:numFmt w:val="lowerLetter"/>
      <w:start w:val="35"/>
    </w:lvl>
    <w:lvl w:ilvl="1">
      <w:lvlJc w:val="left"/>
      <w:lvlText w:val="(%2)"/>
      <w:numFmt w:val="lowerRoman"/>
      <w:start w:val="3"/>
    </w:lvl>
  </w:abstractNum>
  <w:abstractNum w:abstractNumId="173">
    <w:nsid w:val="1876589D"/>
    <w:multiLevelType w:val="hybridMultilevel"/>
    <w:lvl w:ilvl="0">
      <w:lvlJc w:val="left"/>
      <w:lvlText w:val="(%1)"/>
      <w:numFmt w:val="upperLetter"/>
      <w:start w:val="1"/>
    </w:lvl>
  </w:abstractNum>
  <w:abstractNum w:abstractNumId="174">
    <w:nsid w:val="327FAC77"/>
    <w:multiLevelType w:val="hybridMultilevel"/>
    <w:lvl w:ilvl="0">
      <w:lvlJc w:val="left"/>
      <w:lvlText w:val="(%1)"/>
      <w:numFmt w:val="lowerRoman"/>
      <w:start w:val="4"/>
    </w:lvl>
  </w:abstractNum>
  <w:abstractNum w:abstractNumId="175">
    <w:nsid w:val="5A606509"/>
    <w:multiLevelType w:val="hybridMultilevel"/>
    <w:lvl w:ilvl="0">
      <w:lvlJc w:val="left"/>
      <w:lvlText w:val="(%1)"/>
      <w:numFmt w:val="lowerLetter"/>
      <w:start w:val="3"/>
    </w:lvl>
  </w:abstractNum>
  <w:abstractNum w:abstractNumId="176">
    <w:nsid w:val="6F38E6D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7">
    <w:nsid w:val="46111BA5"/>
    <w:multiLevelType w:val="hybridMultilevel"/>
    <w:lvl w:ilvl="0">
      <w:lvlJc w:val="left"/>
      <w:lvlText w:val="%1"/>
      <w:numFmt w:val="lowerLetter"/>
      <w:start w:val="1"/>
    </w:lvl>
    <w:lvl w:ilvl="1">
      <w:lvlJc w:val="left"/>
      <w:lvlText w:val="(%2)"/>
      <w:numFmt w:val="lowerLetter"/>
      <w:start w:val="35"/>
    </w:lvl>
  </w:abstractNum>
  <w:abstractNum w:abstractNumId="178">
    <w:nsid w:val="5E963896"/>
    <w:multiLevelType w:val="hybridMultilevel"/>
    <w:lvl w:ilvl="0">
      <w:lvlJc w:val="left"/>
      <w:lvlText w:val="(%1)"/>
      <w:numFmt w:val="lowerLetter"/>
      <w:start w:val="6"/>
    </w:lvl>
    <w:lvl w:ilvl="1">
      <w:lvlJc w:val="left"/>
      <w:lvlText w:val="%2"/>
      <w:numFmt w:val="lowerLetter"/>
      <w:start w:val="1"/>
    </w:lvl>
  </w:abstractNum>
  <w:abstractNum w:abstractNumId="179">
    <w:nsid w:val="775BA7C1"/>
    <w:multiLevelType w:val="hybridMultilevel"/>
    <w:lvl w:ilvl="0">
      <w:lvlJc w:val="left"/>
      <w:lvlText w:val="%1"/>
      <w:numFmt w:val="lowerLetter"/>
      <w:start w:val="1"/>
    </w:lvl>
    <w:lvl w:ilvl="1">
      <w:lvlJc w:val="left"/>
      <w:lvlText w:val="(%2)"/>
      <w:numFmt w:val="lowerLetter"/>
      <w:start w:val="7"/>
    </w:lvl>
  </w:abstractNum>
  <w:abstractNum w:abstractNumId="180">
    <w:nsid w:val="1DD6D6F4"/>
    <w:multiLevelType w:val="hybridMultilevel"/>
    <w:lvl w:ilvl="0">
      <w:lvlJc w:val="left"/>
      <w:lvlText w:val="(%1)"/>
      <w:numFmt w:val="lowerLetter"/>
      <w:start w:val="9"/>
    </w:lvl>
    <w:lvl w:ilvl="1">
      <w:lvlJc w:val="left"/>
      <w:lvlText w:val="(%2)"/>
      <w:numFmt w:val="lowerLetter"/>
      <w:start w:val="8"/>
    </w:lvl>
  </w:abstractNum>
  <w:abstractNum w:abstractNumId="181">
    <w:nsid w:val="769A091F"/>
    <w:multiLevelType w:val="hybridMultilevel"/>
    <w:lvl w:ilvl="0">
      <w:lvlJc w:val="left"/>
      <w:lvlText w:val="(%1)"/>
      <w:numFmt w:val="lowerLetter"/>
      <w:start w:val="9"/>
    </w:lvl>
    <w:lvl w:ilvl="1">
      <w:lvlJc w:val="left"/>
      <w:lvlText w:val="%2"/>
      <w:numFmt w:val="lowerLetter"/>
      <w:start w:val="1"/>
    </w:lvl>
  </w:abstractNum>
  <w:abstractNum w:abstractNumId="182">
    <w:nsid w:val="4695AE95"/>
    <w:multiLevelType w:val="hybridMultilevel"/>
    <w:lvl w:ilvl="0">
      <w:lvlJc w:val="left"/>
      <w:lvlText w:val="(%1)"/>
      <w:numFmt w:val="lowerLetter"/>
      <w:start w:val="1"/>
    </w:lvl>
  </w:abstractNum>
  <w:abstractNum w:abstractNumId="183">
    <w:nsid w:val="777A4EAA"/>
    <w:multiLevelType w:val="hybridMultilevel"/>
    <w:lvl w:ilvl="0">
      <w:lvlJc w:val="left"/>
      <w:lvlText w:val="(%1)"/>
      <w:numFmt w:val="lowerLetter"/>
      <w:start w:val="1"/>
    </w:lvl>
  </w:abstractNum>
  <w:abstractNum w:abstractNumId="184">
    <w:nsid w:val="3F48B982"/>
    <w:multiLevelType w:val="hybridMultilevel"/>
    <w:lvl w:ilvl="0">
      <w:lvlJc w:val="left"/>
      <w:lvlText w:val="(%1)"/>
      <w:numFmt w:val="lowerLetter"/>
      <w:start w:val="3"/>
    </w:lvl>
  </w:abstractNum>
  <w:abstractNum w:abstractNumId="185">
    <w:nsid w:val="46BA8FCA"/>
    <w:multiLevelType w:val="hybridMultilevel"/>
    <w:lvl w:ilvl="0">
      <w:lvlJc w:val="left"/>
      <w:lvlText w:val="(%1)"/>
      <w:numFmt w:val="upperLetter"/>
      <w:start w:val="1"/>
    </w:lvl>
  </w:abstractNum>
  <w:abstractNum w:abstractNumId="186">
    <w:nsid w:val="7835626C"/>
    <w:multiLevelType w:val="hybridMultilevel"/>
    <w:lvl w:ilvl="0">
      <w:lvlJc w:val="left"/>
      <w:lvlText w:val="(%1)"/>
      <w:numFmt w:val="lowerLetter"/>
      <w:start w:val="6"/>
    </w:lvl>
  </w:abstractNum>
  <w:abstractNum w:abstractNumId="187">
    <w:nsid w:val="665ACA49"/>
    <w:multiLevelType w:val="hybridMultilevel"/>
    <w:lvl w:ilvl="0">
      <w:lvlJc w:val="left"/>
      <w:lvlText w:val="(%1)"/>
      <w:numFmt w:val="lowerLetter"/>
      <w:start w:val="1"/>
    </w:lvl>
  </w:abstractNum>
  <w:abstractNum w:abstractNumId="188">
    <w:nsid w:val="6835B2AE"/>
    <w:multiLevelType w:val="hybridMultilevel"/>
    <w:lvl w:ilvl="0">
      <w:lvlJc w:val="left"/>
      <w:lvlText w:val="(%1)"/>
      <w:numFmt w:val="lowerLetter"/>
      <w:start w:val="3"/>
    </w:lvl>
  </w:abstractNum>
  <w:abstractNum w:abstractNumId="189">
    <w:nsid w:val="4C187C90"/>
    <w:multiLevelType w:val="hybridMultilevel"/>
    <w:lvl w:ilvl="0">
      <w:lvlJc w:val="left"/>
      <w:lvlText w:val="%1"/>
      <w:numFmt w:val="lowerRoman"/>
      <w:start w:val="1"/>
    </w:lvl>
    <w:lvl w:ilvl="1">
      <w:lvlJc w:val="left"/>
      <w:lvlText w:val="(%2)"/>
      <w:numFmt w:val="lowerLetter"/>
      <w:start w:val="1"/>
    </w:lvl>
  </w:abstractNum>
  <w:abstractNum w:abstractNumId="190">
    <w:nsid w:val="541F28CD"/>
    <w:multiLevelType w:val="hybridMultilevel"/>
    <w:lvl w:ilvl="0">
      <w:lvlJc w:val="left"/>
      <w:lvlText w:val="(%1)"/>
      <w:numFmt w:val="lowerRoman"/>
      <w:start w:val="1"/>
    </w:lvl>
    <w:lvl w:ilvl="1">
      <w:lvlJc w:val="left"/>
      <w:lvlText w:val="%2"/>
      <w:numFmt w:val="lowerLetter"/>
      <w:start w:val="1"/>
    </w:lvl>
  </w:abstractNum>
  <w:abstractNum w:abstractNumId="191">
    <w:nsid w:val="7F65FD16"/>
    <w:multiLevelType w:val="hybridMultilevel"/>
    <w:lvl w:ilvl="0">
      <w:lvlJc w:val="left"/>
      <w:lvlText w:val="(%1)"/>
      <w:numFmt w:val="lowerRoman"/>
      <w:start w:val="3"/>
    </w:lvl>
  </w:abstractNum>
  <w:abstractNum w:abstractNumId="192">
    <w:nsid w:val="77C9FD68"/>
    <w:multiLevelType w:val="hybridMultilevel"/>
    <w:lvl w:ilvl="0">
      <w:lvlJc w:val="left"/>
      <w:lvlText w:val="(%1)"/>
      <w:numFmt w:val="lowerLetter"/>
      <w:start w:val="1"/>
    </w:lvl>
  </w:abstractNum>
  <w:abstractNum w:abstractNumId="193">
    <w:nsid w:val="298A92B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4">
    <w:nsid w:val="6FE95EA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95">
    <w:nsid w:val="4B697C7A"/>
    <w:multiLevelType w:val="hybridMultilevel"/>
    <w:lvl w:ilvl="0">
      <w:lvlJc w:val="left"/>
      <w:lvlText w:val="(%1)"/>
      <w:numFmt w:val="lowerRoman"/>
      <w:start w:val="2"/>
    </w:lvl>
  </w:abstractNum>
  <w:abstractNum w:abstractNumId="196">
    <w:nsid w:val="51A27AA6"/>
    <w:multiLevelType w:val="hybridMultilevel"/>
    <w:lvl w:ilvl="0">
      <w:lvlJc w:val="left"/>
      <w:lvlText w:val="(%1)"/>
      <w:numFmt w:val="decimal"/>
      <w:start w:val="1"/>
    </w:lvl>
  </w:abstractNum>
  <w:abstractNum w:abstractNumId="197">
    <w:nsid w:val="613183F2"/>
    <w:multiLevelType w:val="hybridMultilevel"/>
    <w:lvl w:ilvl="0">
      <w:lvlJc w:val="left"/>
      <w:lvlText w:val="(%1)"/>
      <w:numFmt w:val="decimal"/>
      <w:start w:val="7"/>
    </w:lvl>
  </w:abstractNum>
  <w:abstractNum w:abstractNumId="198">
    <w:nsid w:val="634102B4"/>
    <w:multiLevelType w:val="hybridMultilevel"/>
    <w:lvl w:ilvl="0">
      <w:lvlJc w:val="left"/>
      <w:lvlText w:val="(%1)"/>
      <w:numFmt w:val="lowerRoman"/>
      <w:start w:val="2"/>
    </w:lvl>
  </w:abstractNum>
  <w:abstractNum w:abstractNumId="199">
    <w:nsid w:val="65BF9DA8"/>
    <w:multiLevelType w:val="hybridMultilevel"/>
    <w:lvl w:ilvl="0">
      <w:lvlJc w:val="left"/>
      <w:lvlText w:val="(%1)"/>
      <w:numFmt w:val="lowerRoman"/>
      <w:start w:val="16"/>
    </w:lvl>
  </w:abstractNum>
  <w:abstractNum w:abstractNumId="200">
    <w:nsid w:val="21A2ECCA"/>
    <w:multiLevelType w:val="hybridMultilevel"/>
    <w:lvl w:ilvl="0">
      <w:lvlJc w:val="left"/>
      <w:lvlText w:val="(%1)"/>
      <w:numFmt w:val="lowerLetter"/>
      <w:start w:val="61"/>
    </w:lvl>
  </w:abstractNum>
  <w:abstractNum w:abstractNumId="201">
    <w:nsid w:val="4D5C4899"/>
    <w:multiLevelType w:val="hybridMultilevel"/>
    <w:lvl w:ilvl="0">
      <w:lvlJc w:val="left"/>
      <w:lvlText w:val="(%1)"/>
      <w:numFmt w:val="lowerLetter"/>
      <w:start w:val="2"/>
    </w:lvl>
  </w:abstractNum>
  <w:abstractNum w:abstractNumId="202">
    <w:nsid w:val="3C3B72B2"/>
    <w:multiLevelType w:val="hybridMultilevel"/>
    <w:lvl w:ilvl="0">
      <w:lvlJc w:val="left"/>
      <w:lvlText w:val="(%1)"/>
      <w:numFmt w:val="lowerLetter"/>
      <w:start w:val="5"/>
    </w:lvl>
  </w:abstractNum>
  <w:abstractNum w:abstractNumId="203">
    <w:nsid w:val="155EC4C2"/>
    <w:multiLevelType w:val="hybridMultilevel"/>
    <w:lvl w:ilvl="0">
      <w:lvlJc w:val="left"/>
      <w:lvlText w:val="(%1)"/>
      <w:numFmt w:val="lowerLetter"/>
      <w:start w:val="5"/>
    </w:lvl>
  </w:abstractNum>
  <w:abstractNum w:abstractNumId="204">
    <w:nsid w:val="65D2A137"/>
    <w:multiLevelType w:val="hybridMultilevel"/>
    <w:lvl w:ilvl="0">
      <w:lvlJc w:val="left"/>
      <w:lvlText w:val="(%1)"/>
      <w:numFmt w:val="lowerLetter"/>
      <w:start w:val="8"/>
    </w:lvl>
  </w:abstractNum>
  <w:abstractNum w:abstractNumId="205">
    <w:nsid w:val="6EBB1F2A"/>
    <w:multiLevelType w:val="hybridMultilevel"/>
    <w:lvl w:ilvl="0">
      <w:lvlJc w:val="left"/>
      <w:lvlText w:val="(%1)"/>
      <w:numFmt w:val="lowerRoman"/>
      <w:start w:val="2"/>
    </w:lvl>
  </w:abstractNum>
  <w:abstractNum w:abstractNumId="206">
    <w:nsid w:val="6FBF29CB"/>
    <w:multiLevelType w:val="hybridMultilevel"/>
    <w:lvl w:ilvl="0">
      <w:lvlJc w:val="left"/>
      <w:lvlText w:val="(%1)"/>
      <w:numFmt w:val="lowerRoman"/>
      <w:start w:val="10"/>
    </w:lvl>
  </w:abstractNum>
  <w:abstractNum w:abstractNumId="207">
    <w:nsid w:val="550B8808"/>
    <w:multiLevelType w:val="hybridMultilevel"/>
    <w:lvl w:ilvl="0">
      <w:lvlJc w:val="left"/>
      <w:lvlText w:val="(%1)"/>
      <w:numFmt w:val="lowerLetter"/>
      <w:start w:val="5"/>
    </w:lvl>
  </w:abstractNum>
  <w:abstractNum w:abstractNumId="208">
    <w:nsid w:val="34CC3ACF"/>
    <w:multiLevelType w:val="hybridMultilevel"/>
    <w:lvl w:ilvl="0">
      <w:lvlJc w:val="left"/>
      <w:lvlText w:val="(%1)"/>
      <w:numFmt w:val="lowerLetter"/>
      <w:start w:val="7"/>
    </w:lvl>
  </w:abstractNum>
  <w:abstractNum w:abstractNumId="209">
    <w:nsid w:val="4E556261"/>
    <w:multiLevelType w:val="hybridMultilevel"/>
    <w:lvl w:ilvl="0">
      <w:lvlJc w:val="left"/>
      <w:lvlText w:val="(%1)"/>
      <w:numFmt w:val="lowerLetter"/>
      <w:start w:val="1"/>
    </w:lvl>
  </w:abstractNum>
  <w:abstractNum w:abstractNumId="210">
    <w:nsid w:val="4C672FC9"/>
    <w:multiLevelType w:val="hybridMultilevel"/>
    <w:lvl w:ilvl="0">
      <w:lvlJc w:val="left"/>
      <w:lvlText w:val="(%1)"/>
      <w:numFmt w:val="lowerLetter"/>
      <w:start w:val="3"/>
    </w:lvl>
  </w:abstractNum>
  <w:abstractNum w:abstractNumId="211">
    <w:nsid w:val="52A311C3"/>
    <w:multiLevelType w:val="hybridMultilevel"/>
    <w:lvl w:ilvl="0">
      <w:lvlJc w:val="left"/>
      <w:lvlText w:val="(%1)"/>
      <w:numFmt w:val="lowerLetter"/>
      <w:start w:val="16"/>
    </w:lvl>
  </w:abstractNum>
  <w:abstractNum w:abstractNumId="212">
    <w:nsid w:val="44EF6B80"/>
    <w:multiLevelType w:val="hybridMultilevel"/>
    <w:lvl w:ilvl="0">
      <w:lvlJc w:val="left"/>
      <w:lvlText w:val="%1"/>
      <w:numFmt w:val="decimal"/>
      <w:start w:val="1"/>
    </w:lvl>
    <w:lvl w:ilvl="1">
      <w:lvlJc w:val="left"/>
      <w:lvlText w:val="(%2)"/>
      <w:numFmt w:val="lowerLetter"/>
      <w:start w:val="1"/>
    </w:lvl>
  </w:abstractNum>
  <w:abstractNum w:abstractNumId="213">
    <w:nsid w:val="12FCDE5E"/>
    <w:multiLevelType w:val="hybridMultilevel"/>
    <w:lvl w:ilvl="0">
      <w:lvlJc w:val="left"/>
      <w:lvlText w:val="(%1)"/>
      <w:numFmt w:val="decimal"/>
      <w:start w:val="30"/>
    </w:lvl>
    <w:lvl w:ilvl="1">
      <w:lvlJc w:val="left"/>
      <w:lvlText w:val="(%2)"/>
      <w:numFmt w:val="lowerLetter"/>
      <w:start w:val="2"/>
    </w:lvl>
  </w:abstractNum>
  <w:abstractNum w:abstractNumId="214">
    <w:nsid w:val="4A1D606E"/>
    <w:multiLevelType w:val="hybridMultilevel"/>
    <w:lvl w:ilvl="0">
      <w:lvlJc w:val="left"/>
      <w:lvlText w:val="(%1)"/>
      <w:numFmt w:val="lowerLetter"/>
      <w:start w:val="3"/>
    </w:lvl>
  </w:abstractNum>
  <w:abstractNum w:abstractNumId="215">
    <w:nsid w:val="4382503"/>
    <w:multiLevelType w:val="hybridMultilevel"/>
    <w:lvl w:ilvl="0">
      <w:lvlJc w:val="left"/>
      <w:lvlText w:val="(%1)"/>
      <w:numFmt w:val="lowerLetter"/>
      <w:start w:val="1"/>
    </w:lvl>
  </w:abstractNum>
  <w:abstractNum w:abstractNumId="216">
    <w:nsid w:val="59B76E28"/>
    <w:multiLevelType w:val="hybridMultilevel"/>
    <w:lvl w:ilvl="0">
      <w:lvlJc w:val="left"/>
      <w:lvlText w:val="(%1)"/>
      <w:numFmt w:val="lowerLetter"/>
      <w:start w:val="1"/>
    </w:lvl>
  </w:abstractNum>
  <w:abstractNum w:abstractNumId="217">
    <w:nsid w:val="4252C2DA"/>
    <w:multiLevelType w:val="hybridMultilevel"/>
    <w:lvl w:ilvl="0">
      <w:lvlJc w:val="left"/>
      <w:lvlText w:val="(%1)"/>
      <w:numFmt w:val="lowerLetter"/>
      <w:start w:val="2"/>
    </w:lvl>
  </w:abstractNum>
  <w:abstractNum w:abstractNumId="218">
    <w:nsid w:val="6A92EF4C"/>
    <w:multiLevelType w:val="hybridMultilevel"/>
    <w:lvl w:ilvl="0">
      <w:lvlJc w:val="left"/>
      <w:lvlText w:val="(%1)"/>
      <w:numFmt w:val="lowerRoman"/>
      <w:start w:val="1"/>
    </w:lvl>
  </w:abstractNum>
  <w:abstractNum w:abstractNumId="219">
    <w:nsid w:val="41ED20D7"/>
    <w:multiLevelType w:val="hybridMultilevel"/>
    <w:lvl w:ilvl="0">
      <w:lvlJc w:val="left"/>
      <w:lvlText w:val="(%1)"/>
      <w:numFmt w:val="lowerRoman"/>
      <w:start w:val="3"/>
    </w:lvl>
  </w:abstractNum>
  <w:abstractNum w:abstractNumId="220">
    <w:nsid w:val="E6B3F6A"/>
    <w:multiLevelType w:val="hybridMultilevel"/>
    <w:lvl w:ilvl="0">
      <w:lvlJc w:val="left"/>
      <w:lvlText w:val="%1"/>
      <w:numFmt w:val="lowerLetter"/>
      <w:start w:val="1"/>
    </w:lvl>
    <w:lvl w:ilvl="1">
      <w:lvlJc w:val="left"/>
      <w:lvlText w:val="(%2)"/>
      <w:numFmt w:val="lowerLetter"/>
      <w:start w:val="1"/>
    </w:lvl>
  </w:abstractNum>
  <w:abstractNum w:abstractNumId="221">
    <w:nsid w:val="3EB21819"/>
    <w:multiLevelType w:val="hybridMultilevel"/>
    <w:lvl w:ilvl="0">
      <w:lvlJc w:val="left"/>
      <w:lvlText w:val="(%1)"/>
      <w:numFmt w:val="lowerLetter"/>
      <w:start w:val="1"/>
    </w:lvl>
    <w:lvl w:ilvl="1">
      <w:lvlJc w:val="left"/>
      <w:lvlText w:val="%2"/>
      <w:numFmt w:val="lowerLetter"/>
      <w:start w:val="1"/>
    </w:lvl>
  </w:abstractNum>
  <w:abstractNum w:abstractNumId="222">
    <w:nsid w:val="41531DE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3">
    <w:nsid w:val="6353CD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4">
    <w:nsid w:val="683CAAD3"/>
    <w:multiLevelType w:val="hybridMultilevel"/>
    <w:lvl w:ilvl="0">
      <w:lvlJc w:val="left"/>
      <w:lvlText w:val="(%1)"/>
      <w:numFmt w:val="lowerLetter"/>
      <w:start w:val="3"/>
    </w:lvl>
  </w:abstractNum>
  <w:abstractNum w:abstractNumId="225">
    <w:nsid w:val="313C7C99"/>
    <w:multiLevelType w:val="hybridMultilevel"/>
    <w:lvl w:ilvl="0">
      <w:lvlJc w:val="left"/>
      <w:lvlText w:val="(%1)"/>
      <w:numFmt w:val="lowerLetter"/>
      <w:start w:val="1"/>
    </w:lvl>
  </w:abstractNum>
  <w:abstractNum w:abstractNumId="226">
    <w:nsid w:val="519EB94C"/>
    <w:multiLevelType w:val="hybridMultilevel"/>
    <w:lvl w:ilvl="0">
      <w:lvlJc w:val="left"/>
      <w:lvlText w:val="(%1)"/>
      <w:numFmt w:val="lowerLetter"/>
      <w:start w:val="1"/>
    </w:lvl>
  </w:abstractNum>
  <w:abstractNum w:abstractNumId="227">
    <w:nsid w:val="39DF2579"/>
    <w:multiLevelType w:val="hybridMultilevel"/>
    <w:lvl w:ilvl="0">
      <w:lvlJc w:val="left"/>
      <w:lvlText w:val="(%1)"/>
      <w:numFmt w:val="lowerLetter"/>
      <w:start w:val="1"/>
    </w:lvl>
  </w:abstractNum>
  <w:abstractNum w:abstractNumId="228">
    <w:nsid w:val="126E008B"/>
    <w:multiLevelType w:val="hybridMultilevel"/>
    <w:lvl w:ilvl="0">
      <w:lvlJc w:val="left"/>
      <w:lvlText w:val="(%1)"/>
      <w:numFmt w:val="lowerLetter"/>
      <w:start w:val="1"/>
    </w:lvl>
  </w:abstractNum>
  <w:abstractNum w:abstractNumId="229">
    <w:nsid w:val="34DFBC00"/>
    <w:multiLevelType w:val="hybridMultilevel"/>
    <w:lvl w:ilvl="0">
      <w:lvlJc w:val="left"/>
      <w:lvlText w:val="(%1)"/>
      <w:numFmt w:val="lowerLetter"/>
      <w:start w:val="4"/>
    </w:lvl>
  </w:abstractNum>
  <w:abstractNum w:abstractNumId="230">
    <w:nsid w:val="1F9EC322"/>
    <w:multiLevelType w:val="hybridMultilevel"/>
    <w:lvl w:ilvl="0">
      <w:lvlJc w:val="left"/>
      <w:lvlText w:val="(%1)"/>
      <w:numFmt w:val="lowerLetter"/>
      <w:start w:val="1"/>
    </w:lvl>
    <w:lvl w:ilvl="1">
      <w:lvlJc w:val="left"/>
      <w:lvlText w:val="(%2)"/>
      <w:numFmt w:val="lowerRoman"/>
      <w:start w:val="1"/>
    </w:lvl>
  </w:abstractNum>
  <w:abstractNum w:abstractNumId="231">
    <w:nsid w:val="3410ED56"/>
    <w:multiLevelType w:val="hybridMultilevel"/>
    <w:lvl w:ilvl="0">
      <w:lvlJc w:val="left"/>
      <w:lvlText w:val="(%1)"/>
      <w:numFmt w:val="lowerLetter"/>
      <w:start w:val="2"/>
    </w:lvl>
  </w:abstractNum>
  <w:abstractNum w:abstractNumId="232">
    <w:nsid w:val="23C049A"/>
    <w:multiLevelType w:val="hybridMultilevel"/>
    <w:lvl w:ilvl="0">
      <w:lvlJc w:val="left"/>
      <w:lvlText w:val="(%1)"/>
      <w:numFmt w:val="lowerLetter"/>
      <w:start w:val="1"/>
    </w:lvl>
    <w:lvl w:ilvl="1">
      <w:lvlJc w:val="left"/>
      <w:lvlText w:val="(%2)"/>
      <w:numFmt w:val="lowerRoman"/>
      <w:start w:val="1"/>
    </w:lvl>
  </w:abstractNum>
  <w:abstractNum w:abstractNumId="233">
    <w:nsid w:val="5BDA35D4"/>
    <w:multiLevelType w:val="hybridMultilevel"/>
    <w:lvl w:ilvl="0">
      <w:lvlJc w:val="left"/>
      <w:lvlText w:val="(%1)"/>
      <w:numFmt w:val="lowerLetter"/>
      <w:start w:val="2"/>
    </w:lvl>
  </w:abstractNum>
  <w:abstractNum w:abstractNumId="234">
    <w:nsid w:val="496FB218"/>
    <w:multiLevelType w:val="hybridMultilevel"/>
    <w:lvl w:ilvl="0">
      <w:lvlJc w:val="left"/>
      <w:lvlText w:val="(%1)"/>
      <w:numFmt w:val="lowerLetter"/>
      <w:start w:val="4"/>
    </w:lvl>
  </w:abstractNum>
  <w:abstractNum w:abstractNumId="235">
    <w:nsid w:val="680EA5D1"/>
    <w:multiLevelType w:val="hybridMultilevel"/>
    <w:lvl w:ilvl="0">
      <w:lvlJc w:val="left"/>
      <w:lvlText w:val="(%1)"/>
      <w:numFmt w:val="lowerLetter"/>
      <w:start w:val="1"/>
    </w:lvl>
  </w:abstractNum>
  <w:abstractNum w:abstractNumId="236">
    <w:nsid w:val="4A9554F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7">
    <w:nsid w:val="392EDBE4"/>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38">
    <w:nsid w:val="3D1A2DD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39">
    <w:nsid w:val="7F618FCD"/>
    <w:multiLevelType w:val="hybridMultilevel"/>
    <w:lvl w:ilvl="0">
      <w:lvlJc w:val="left"/>
      <w:lvlText w:val="(%1)"/>
      <w:numFmt w:val="lowerRoman"/>
      <w:start w:val="1"/>
    </w:lvl>
  </w:abstractNum>
  <w:abstractNum w:abstractNumId="240">
    <w:nsid w:val="7843E4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41">
    <w:nsid w:val="9815DA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42">
    <w:nsid w:val="5204A191"/>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43">
    <w:nsid w:val="4C73A9C6"/>
    <w:multiLevelType w:val="hybridMultilevel"/>
    <w:lvl w:ilvl="0">
      <w:lvlJc w:val="left"/>
      <w:lvlText w:val="(%1)"/>
      <w:numFmt w:val="lowerLetter"/>
      <w:start w:val="7"/>
    </w:lvl>
  </w:abstractNum>
  <w:abstractNum w:abstractNumId="244">
    <w:nsid w:val="1C7E3C01"/>
    <w:multiLevelType w:val="hybridMultilevel"/>
    <w:lvl w:ilvl="0">
      <w:lvlJc w:val="left"/>
      <w:lvlText w:val="(%1)"/>
      <w:numFmt w:val="lowerLetter"/>
      <w:start w:val="1"/>
    </w:lvl>
  </w:abstractNum>
  <w:abstractNum w:abstractNumId="245">
    <w:nsid w:val="1C2201FF"/>
    <w:multiLevelType w:val="hybridMultilevel"/>
    <w:lvl w:ilvl="0">
      <w:lvlJc w:val="left"/>
      <w:lvlText w:val="(%1)"/>
      <w:numFmt w:val="lowerLetter"/>
      <w:start w:val="3"/>
    </w:lvl>
  </w:abstractNum>
  <w:abstractNum w:abstractNumId="246">
    <w:nsid w:val="50ABCEC9"/>
    <w:multiLevelType w:val="hybridMultilevel"/>
    <w:lvl w:ilvl="0">
      <w:lvlJc w:val="left"/>
      <w:lvlText w:val="(%1)"/>
      <w:numFmt w:val="lowerLetter"/>
      <w:start w:val="1"/>
    </w:lvl>
    <w:lvl w:ilvl="1">
      <w:lvlJc w:val="left"/>
      <w:lvlText w:val="(%2)"/>
      <w:numFmt w:val="lowerRoman"/>
      <w:start w:val="1"/>
    </w:lvl>
  </w:abstractNum>
  <w:abstractNum w:abstractNumId="247">
    <w:nsid w:val="7635AA2A"/>
    <w:multiLevelType w:val="hybridMultilevel"/>
    <w:lvl w:ilvl="0">
      <w:lvlJc w:val="left"/>
      <w:lvlText w:val="(%1)"/>
      <w:numFmt w:val="lowerRoman"/>
      <w:start w:val="4"/>
    </w:lvl>
  </w:abstractNum>
  <w:abstractNum w:abstractNumId="248">
    <w:nsid w:val="5E74C4D9"/>
    <w:multiLevelType w:val="hybridMultilevel"/>
    <w:lvl w:ilvl="0">
      <w:lvlJc w:val="left"/>
      <w:lvlText w:val="(%1)"/>
      <w:numFmt w:val="lowerLetter"/>
      <w:start w:val="1"/>
    </w:lvl>
  </w:abstractNum>
  <w:abstractNum w:abstractNumId="249">
    <w:nsid w:val="3B3EBE15"/>
    <w:multiLevelType w:val="hybridMultilevel"/>
    <w:lvl w:ilvl="0">
      <w:lvlJc w:val="left"/>
      <w:lvlText w:val="(%1)"/>
      <w:numFmt w:val="lowerLetter"/>
      <w:start w:val="24"/>
    </w:lvl>
    <w:lvl w:ilvl="1">
      <w:lvlJc w:val="left"/>
      <w:lvlText w:val="(%2)"/>
      <w:numFmt w:val="lowerLetter"/>
      <w:start w:val="2"/>
    </w:lvl>
  </w:abstractNum>
  <w:abstractNum w:abstractNumId="250">
    <w:nsid w:val="3822CB01"/>
    <w:multiLevelType w:val="hybridMultilevel"/>
    <w:lvl w:ilvl="0">
      <w:lvlJc w:val="left"/>
      <w:lvlText w:val="(%1)"/>
      <w:numFmt w:val="lowerLetter"/>
      <w:start w:val="3"/>
    </w:lvl>
  </w:abstractNum>
  <w:abstractNum w:abstractNumId="251">
    <w:nsid w:val="6CE00443"/>
    <w:multiLevelType w:val="hybridMultilevel"/>
    <w:lvl w:ilvl="0">
      <w:lvlJc w:val="left"/>
      <w:lvlText w:val="(%1)"/>
      <w:numFmt w:val="lowerLetter"/>
      <w:start w:val="1"/>
    </w:lvl>
  </w:abstractNum>
  <w:abstractNum w:abstractNumId="252">
    <w:nsid w:val="79F0D62F"/>
    <w:multiLevelType w:val="hybridMultilevel"/>
    <w:lvl w:ilvl="0">
      <w:lvlJc w:val="left"/>
      <w:lvlText w:val="(%1)"/>
      <w:numFmt w:val="lowerLetter"/>
      <w:start w:val="1"/>
    </w:lvl>
  </w:abstractNum>
  <w:abstractNum w:abstractNumId="253">
    <w:nsid w:val="7975E8EE"/>
    <w:multiLevelType w:val="hybridMultilevel"/>
    <w:lvl w:ilvl="0">
      <w:lvlJc w:val="left"/>
      <w:lvlText w:val="%1"/>
      <w:numFmt w:val="lowerLetter"/>
      <w:start w:val="1"/>
    </w:lvl>
    <w:lvl w:ilvl="1">
      <w:lvlJc w:val="left"/>
      <w:lvlText w:val="(%2)"/>
      <w:numFmt w:val="lowerLetter"/>
      <w:start w:val="1"/>
    </w:lvl>
  </w:abstractNum>
  <w:abstractNum w:abstractNumId="254">
    <w:nsid w:val="73154115"/>
    <w:multiLevelType w:val="hybridMultilevel"/>
    <w:lvl w:ilvl="0">
      <w:lvlJc w:val="left"/>
      <w:lvlText w:val="(%1)"/>
      <w:numFmt w:val="lowerLetter"/>
      <w:start w:val="35"/>
    </w:lvl>
    <w:lvl w:ilvl="1">
      <w:lvlJc w:val="left"/>
      <w:lvlText w:val="%2"/>
      <w:numFmt w:val="lowerLetter"/>
      <w:start w:val="1"/>
    </w:lvl>
  </w:abstractNum>
  <w:abstractNum w:abstractNumId="255">
    <w:nsid w:val="622D8102"/>
    <w:multiLevelType w:val="hybridMultilevel"/>
    <w:lvl w:ilvl="0">
      <w:lvlJc w:val="left"/>
      <w:lvlText w:val="(%1)"/>
      <w:numFmt w:val="lowerLetter"/>
      <w:start w:val="1"/>
    </w:lvl>
  </w:abstractNum>
  <w:abstractNum w:abstractNumId="256">
    <w:nsid w:val="2AB26587"/>
    <w:multiLevelType w:val="hybridMultilevel"/>
    <w:lvl w:ilvl="0">
      <w:lvlJc w:val="left"/>
      <w:lvlText w:val="(%1)"/>
      <w:numFmt w:val="lowerLetter"/>
      <w:start w:val="1"/>
    </w:lvl>
  </w:abstractNum>
  <w:abstractNum w:abstractNumId="257">
    <w:nsid w:val="44B3FA61"/>
    <w:multiLevelType w:val="hybridMultilevel"/>
    <w:lvl w:ilvl="0">
      <w:lvlJc w:val="left"/>
      <w:lvlText w:val="(%1)"/>
      <w:numFmt w:val="lowerLetter"/>
      <w:start w:val="1"/>
    </w:lvl>
  </w:abstractNum>
  <w:abstractNum w:abstractNumId="258">
    <w:nsid w:val="1C0CA67C"/>
    <w:multiLevelType w:val="hybridMultilevel"/>
    <w:lvl w:ilvl="0">
      <w:lvlJc w:val="left"/>
      <w:lvlText w:val="(%1)"/>
      <w:numFmt w:val="lowerLetter"/>
      <w:start w:val="2"/>
    </w:lvl>
  </w:abstractNum>
  <w:abstractNum w:abstractNumId="259">
    <w:nsid w:val="3D206613"/>
    <w:multiLevelType w:val="hybridMultilevel"/>
    <w:lvl w:ilvl="0">
      <w:lvlJc w:val="left"/>
      <w:lvlText w:val="(%1)"/>
      <w:numFmt w:val="lowerLetter"/>
      <w:start w:val="1"/>
    </w:lvl>
  </w:abstractNum>
  <w:abstractNum w:abstractNumId="260">
    <w:nsid w:val="7993B662"/>
    <w:multiLevelType w:val="hybridMultilevel"/>
    <w:lvl w:ilvl="0">
      <w:lvlJc w:val="left"/>
      <w:lvlText w:val="(%1)"/>
      <w:numFmt w:val="lowerLetter"/>
      <w:start w:val="3"/>
    </w:lvl>
  </w:abstractNum>
  <w:abstractNum w:abstractNumId="261">
    <w:nsid w:val="3BAB699E"/>
    <w:multiLevelType w:val="hybridMultilevel"/>
    <w:lvl w:ilvl="0">
      <w:lvlJc w:val="left"/>
      <w:lvlText w:val="(%1)"/>
      <w:numFmt w:val="lowerLetter"/>
      <w:start w:val="1"/>
    </w:lvl>
  </w:abstractNum>
  <w:abstractNum w:abstractNumId="262">
    <w:nsid w:val="71315369"/>
    <w:multiLevelType w:val="hybridMultilevel"/>
    <w:lvl w:ilvl="0">
      <w:lvlJc w:val="left"/>
      <w:lvlText w:val="(%1)"/>
      <w:numFmt w:val="lowerLetter"/>
      <w:start w:val="3"/>
    </w:lvl>
  </w:abstractNum>
  <w:abstractNum w:abstractNumId="263">
    <w:nsid w:val="7BCFBAFC"/>
    <w:multiLevelType w:val="hybridMultilevel"/>
    <w:lvl w:ilvl="0">
      <w:lvlJc w:val="left"/>
      <w:lvlText w:val="(%1)"/>
      <w:numFmt w:val="lowerLetter"/>
      <w:start w:val="1"/>
    </w:lvl>
  </w:abstractNum>
  <w:abstractNum w:abstractNumId="264">
    <w:nsid w:val="17859F72"/>
    <w:multiLevelType w:val="hybridMultilevel"/>
    <w:lvl w:ilvl="0">
      <w:lvlJc w:val="left"/>
      <w:lvlText w:val="(%1)"/>
      <w:numFmt w:val="lowerLetter"/>
      <w:start w:val="3"/>
    </w:lvl>
  </w:abstractNum>
  <w:abstractNum w:abstractNumId="265">
    <w:nsid w:val="3AA10581"/>
    <w:multiLevelType w:val="hybridMultilevel"/>
    <w:lvl w:ilvl="0">
      <w:lvlJc w:val="left"/>
      <w:lvlText w:val="(%1)"/>
      <w:numFmt w:val="lowerLetter"/>
      <w:start w:val="1"/>
    </w:lvl>
  </w:abstractNum>
  <w:abstractNum w:abstractNumId="266">
    <w:nsid w:val="63DE60CD"/>
    <w:multiLevelType w:val="hybridMultilevel"/>
    <w:lvl w:ilvl="0">
      <w:lvlJc w:val="left"/>
      <w:lvlText w:val="%1"/>
      <w:numFmt w:val="lowerLetter"/>
      <w:start w:val="1"/>
    </w:lvl>
    <w:lvl w:ilvl="1">
      <w:lvlJc w:val="left"/>
      <w:lvlText w:val="(%2)"/>
      <w:numFmt w:val="lowerLetter"/>
      <w:start w:val="7"/>
    </w:lvl>
  </w:abstractNum>
  <w:abstractNum w:abstractNumId="267">
    <w:nsid w:val="621AF471"/>
    <w:multiLevelType w:val="hybridMultilevel"/>
    <w:lvl w:ilvl="0">
      <w:lvlJc w:val="left"/>
      <w:lvlText w:val="(%1)"/>
      <w:numFmt w:val="lowerLetter"/>
      <w:start w:val="25"/>
    </w:lvl>
    <w:lvl w:ilvl="1">
      <w:lvlJc w:val="left"/>
      <w:lvlText w:val="(%2)"/>
      <w:numFmt w:val="lowerLetter"/>
      <w:start w:val="14"/>
    </w:lvl>
  </w:abstractNum>
  <w:abstractNum w:abstractNumId="268">
    <w:nsid w:val="73CFE165"/>
    <w:multiLevelType w:val="hybridMultilevel"/>
    <w:lvl w:ilvl="0">
      <w:lvlJc w:val="left"/>
      <w:lvlText w:val="(%1)"/>
      <w:numFmt w:val="lowerLetter"/>
      <w:start w:val="35"/>
    </w:lvl>
    <w:lvl w:ilvl="1">
      <w:lvlJc w:val="left"/>
      <w:lvlText w:val="%2"/>
      <w:numFmt w:val="lowerLetter"/>
      <w:start w:val="1"/>
    </w:lvl>
  </w:abstractNum>
  <w:abstractNum w:abstractNumId="269">
    <w:nsid w:val="20F88EA6"/>
    <w:multiLevelType w:val="hybridMultilevel"/>
    <w:lvl w:ilvl="0">
      <w:lvlJc w:val="left"/>
      <w:lvlText w:val="(%1)"/>
      <w:numFmt w:val="lowerLetter"/>
      <w:start w:val="17"/>
    </w:lvl>
  </w:abstractNum>
  <w:abstractNum w:abstractNumId="270">
    <w:nsid w:val="617C843E"/>
    <w:multiLevelType w:val="hybridMultilevel"/>
    <w:lvl w:ilvl="0">
      <w:lvlJc w:val="left"/>
      <w:lvlText w:val="(%1)"/>
      <w:numFmt w:val="lowerLetter"/>
      <w:start w:val="1"/>
    </w:lvl>
  </w:abstractNum>
  <w:abstractNum w:abstractNumId="271">
    <w:nsid w:val="7B541FAB"/>
    <w:multiLevelType w:val="hybridMultilevel"/>
    <w:lvl w:ilvl="0">
      <w:lvlJc w:val="left"/>
      <w:lvlText w:val="%1"/>
      <w:numFmt w:val="lowerLetter"/>
      <w:start w:val="1"/>
    </w:lvl>
    <w:lvl w:ilvl="1">
      <w:lvlJc w:val="left"/>
      <w:lvlText w:val="(%2)"/>
      <w:numFmt w:val="lowerLetter"/>
      <w:start w:val="5"/>
    </w:lvl>
  </w:abstractNum>
  <w:abstractNum w:abstractNumId="272">
    <w:nsid w:val="2A79EC49"/>
    <w:multiLevelType w:val="hybridMultilevel"/>
    <w:lvl w:ilvl="0">
      <w:lvlJc w:val="left"/>
      <w:lvlText w:val="(%1)"/>
      <w:numFmt w:val="lowerLetter"/>
      <w:start w:val="35"/>
    </w:lvl>
    <w:lvl w:ilvl="1">
      <w:lvlJc w:val="left"/>
      <w:lvlText w:val="(%2)"/>
      <w:numFmt w:val="lowerLetter"/>
      <w:start w:val="8"/>
    </w:lvl>
  </w:abstractNum>
  <w:abstractNum w:abstractNumId="273">
    <w:nsid w:val="338125CF"/>
    <w:multiLevelType w:val="hybridMultilevel"/>
    <w:lvl w:ilvl="0">
      <w:lvlJc w:val="left"/>
      <w:lvlText w:val="(%1)"/>
      <w:numFmt w:val="lowerLetter"/>
      <w:start w:val="35"/>
    </w:lvl>
    <w:lvl w:ilvl="1">
      <w:lvlJc w:val="left"/>
      <w:lvlText w:val="(%2)"/>
      <w:numFmt w:val="lowerLetter"/>
      <w:start w:val="12"/>
    </w:lvl>
  </w:abstractNum>
  <w:abstractNum w:abstractNumId="274">
    <w:nsid w:val="47C7C971"/>
    <w:multiLevelType w:val="hybridMultilevel"/>
    <w:lvl w:ilvl="0">
      <w:lvlJc w:val="left"/>
      <w:lvlText w:val="%1"/>
      <w:numFmt w:val="lowerLetter"/>
      <w:start w:val="1"/>
    </w:lvl>
    <w:lvl w:ilvl="1">
      <w:lvlJc w:val="left"/>
      <w:lvlText w:val="(%2)"/>
      <w:numFmt w:val="lowerLetter"/>
      <w:start w:val="14"/>
    </w:lvl>
  </w:abstractNum>
  <w:abstractNum w:abstractNumId="275">
    <w:nsid w:val="46F8284B"/>
    <w:multiLevelType w:val="hybridMultilevel"/>
    <w:lvl w:ilvl="0">
      <w:lvlJc w:val="left"/>
      <w:lvlText w:val="(%1)"/>
      <w:numFmt w:val="lowerLetter"/>
      <w:start w:val="18"/>
    </w:lvl>
    <w:lvl w:ilvl="1">
      <w:lvlJc w:val="left"/>
      <w:lvlText w:val="(%2)"/>
      <w:numFmt w:val="lowerLetter"/>
      <w:start w:val="19"/>
    </w:lvl>
  </w:abstractNum>
  <w:abstractNum w:abstractNumId="276">
    <w:nsid w:val="4FA327CE"/>
    <w:multiLevelType w:val="hybridMultilevel"/>
    <w:lvl w:ilvl="0">
      <w:lvlJc w:val="left"/>
      <w:lvlText w:val="(%1)"/>
      <w:numFmt w:val="lowerLetter"/>
      <w:start w:val="25"/>
    </w:lvl>
  </w:abstractNum>
  <w:abstractNum w:abstractNumId="277">
    <w:nsid w:val="1873983A"/>
    <w:multiLevelType w:val="hybridMultilevel"/>
    <w:lvl w:ilvl="0">
      <w:lvlJc w:val="left"/>
      <w:lvlText w:val="(%1)"/>
      <w:numFmt w:val="lowerLetter"/>
      <w:start w:val="2"/>
    </w:lvl>
  </w:abstractNum>
  <w:abstractNum w:abstractNumId="278">
    <w:nsid w:val="3D2DD275"/>
    <w:multiLevelType w:val="hybridMultilevel"/>
    <w:lvl w:ilvl="0">
      <w:lvlJc w:val="left"/>
      <w:lvlText w:val="(%1)"/>
      <w:numFmt w:val="lowerLetter"/>
      <w:start w:val="1"/>
    </w:lvl>
  </w:abstractNum>
  <w:abstractNum w:abstractNumId="279">
    <w:nsid w:val="2E17ECA7"/>
    <w:multiLevelType w:val="hybridMultilevel"/>
    <w:lvl w:ilvl="0">
      <w:lvlJc w:val="left"/>
      <w:lvlText w:val="(%1)"/>
      <w:numFmt w:val="lowerLetter"/>
      <w:start w:val="11"/>
    </w:lvl>
  </w:abstractNum>
  <w:abstractNum w:abstractNumId="280">
    <w:nsid w:val="53B2564F"/>
    <w:multiLevelType w:val="hybridMultilevel"/>
    <w:lvl w:ilvl="0">
      <w:lvlJc w:val="left"/>
      <w:lvlText w:val="(%1)"/>
      <w:numFmt w:val="lowerLetter"/>
      <w:start w:val="12"/>
    </w:lvl>
  </w:abstractNum>
  <w:abstractNum w:abstractNumId="281">
    <w:nsid w:val="75509D76"/>
    <w:multiLevelType w:val="hybridMultilevel"/>
    <w:lvl w:ilvl="0">
      <w:lvlJc w:val="left"/>
      <w:lvlText w:val="(%1)"/>
      <w:numFmt w:val="lowerLetter"/>
      <w:start w:val="1"/>
    </w:lvl>
  </w:abstractNum>
  <w:abstractNum w:abstractNumId="282">
    <w:nsid w:val="1AF7F0EA"/>
    <w:multiLevelType w:val="hybridMultilevel"/>
    <w:lvl w:ilvl="0">
      <w:lvlJc w:val="left"/>
      <w:lvlText w:val="(%1)"/>
      <w:numFmt w:val="lowerLetter"/>
      <w:start w:val="2"/>
    </w:lvl>
  </w:abstractNum>
  <w:abstractNum w:abstractNumId="283">
    <w:nsid w:val="4DA32C7E"/>
    <w:multiLevelType w:val="hybridMultilevel"/>
    <w:lvl w:ilvl="0">
      <w:lvlJc w:val="left"/>
      <w:lvlText w:val="(%1)"/>
      <w:numFmt w:val="lowerLetter"/>
      <w:start w:val="8"/>
    </w:lvl>
  </w:abstractNum>
  <w:abstractNum w:abstractNumId="284">
    <w:nsid w:val="6EC68664"/>
    <w:multiLevelType w:val="hybridMultilevel"/>
    <w:lvl w:ilvl="0">
      <w:lvlJc w:val="left"/>
      <w:lvlText w:val="(%1)"/>
      <w:numFmt w:val="lowerLetter"/>
      <w:start w:val="1"/>
    </w:lvl>
  </w:abstractNum>
  <w:abstractNum w:abstractNumId="285">
    <w:nsid w:val="E0D31FF"/>
    <w:multiLevelType w:val="hybridMultilevel"/>
    <w:lvl w:ilvl="0">
      <w:lvlJc w:val="left"/>
      <w:lvlText w:val="%1"/>
      <w:numFmt w:val="lowerLetter"/>
      <w:start w:val="1"/>
    </w:lvl>
    <w:lvl w:ilvl="1">
      <w:lvlJc w:val="left"/>
      <w:lvlText w:val="(%2)"/>
      <w:numFmt w:val="lowerLetter"/>
      <w:start w:val="3"/>
    </w:lvl>
  </w:abstractNum>
  <w:abstractNum w:abstractNumId="286">
    <w:nsid w:val="2FD0AD81"/>
    <w:multiLevelType w:val="hybridMultilevel"/>
    <w:lvl w:ilvl="0">
      <w:lvlJc w:val="left"/>
      <w:lvlText w:val="(%1)"/>
      <w:numFmt w:val="lowerLetter"/>
      <w:start w:val="9"/>
    </w:lvl>
    <w:lvl w:ilvl="1">
      <w:lvlJc w:val="left"/>
      <w:lvlText w:val="(%2)"/>
      <w:numFmt w:val="lowerLetter"/>
      <w:start w:val="4"/>
    </w:lvl>
  </w:abstractNum>
  <w:abstractNum w:abstractNumId="287">
    <w:nsid w:val="1978EBEB"/>
    <w:multiLevelType w:val="hybridMultilevel"/>
    <w:lvl w:ilvl="0">
      <w:lvlJc w:val="left"/>
      <w:lvlText w:val="(%1)"/>
      <w:numFmt w:val="lowerLetter"/>
      <w:start w:val="5"/>
    </w:lvl>
  </w:abstractNum>
  <w:abstractNum w:abstractNumId="288">
    <w:nsid w:val="52C12C61"/>
    <w:multiLevelType w:val="hybridMultilevel"/>
    <w:lvl w:ilvl="0">
      <w:lvlJc w:val="left"/>
      <w:lvlText w:val="(%1)"/>
      <w:numFmt w:val="lowerRoman"/>
      <w:start w:val="1"/>
    </w:lvl>
  </w:abstractNum>
  <w:abstractNum w:abstractNumId="289">
    <w:nsid w:val="4BDD53FD"/>
    <w:multiLevelType w:val="hybridMultilevel"/>
    <w:lvl w:ilvl="0">
      <w:lvlJc w:val="left"/>
      <w:lvlText w:val="%1"/>
      <w:numFmt w:val="lowerLetter"/>
      <w:start w:val="1"/>
    </w:lvl>
    <w:lvl w:ilvl="1">
      <w:lvlJc w:val="left"/>
      <w:lvlText w:val="(%2)"/>
      <w:numFmt w:val="lowerLetter"/>
      <w:start w:val="61"/>
    </w:lvl>
  </w:abstractNum>
  <w:abstractNum w:abstractNumId="290">
    <w:nsid w:val="569951FE"/>
    <w:multiLevelType w:val="hybridMultilevel"/>
    <w:lvl w:ilvl="0">
      <w:lvlJc w:val="left"/>
      <w:lvlText w:val="(%1)"/>
      <w:numFmt w:val="lowerLetter"/>
      <w:start w:val="7"/>
    </w:lvl>
    <w:lvl w:ilvl="1">
      <w:lvlJc w:val="left"/>
      <w:lvlText w:val="%2"/>
      <w:numFmt w:val="lowerLetter"/>
      <w:start w:val="1"/>
    </w:lvl>
  </w:abstractNum>
  <w:abstractNum w:abstractNumId="291">
    <w:nsid w:val="4C54E2C3"/>
    <w:multiLevelType w:val="hybridMultilevel"/>
    <w:lvl w:ilvl="0">
      <w:lvlJc w:val="left"/>
      <w:lvlText w:val="(%1)"/>
      <w:numFmt w:val="lowerLetter"/>
      <w:start w:val="8"/>
    </w:lvl>
  </w:abstractNum>
  <w:abstractNum w:abstractNumId="292">
    <w:nsid w:val="788BD9B"/>
    <w:multiLevelType w:val="hybridMultilevel"/>
    <w:lvl w:ilvl="0">
      <w:lvlJc w:val="left"/>
      <w:lvlText w:val="(%1)"/>
      <w:numFmt w:val="lowerLetter"/>
      <w:start w:val="12"/>
    </w:lvl>
  </w:abstractNum>
  <w:abstractNum w:abstractNumId="293">
    <w:nsid w:val="47CAA567"/>
    <w:multiLevelType w:val="hybridMultilevel"/>
    <w:lvl w:ilvl="0">
      <w:lvlJc w:val="left"/>
      <w:lvlText w:val="(%1)"/>
      <w:numFmt w:val="lowerLetter"/>
      <w:start w:val="1"/>
    </w:lvl>
    <w:lvl w:ilvl="1">
      <w:lvlJc w:val="left"/>
      <w:lvlText w:val="(%2)"/>
      <w:numFmt w:val="lowerLetter"/>
      <w:start w:val="9"/>
    </w:lvl>
  </w:abstractNum>
  <w:abstractNum w:abstractNumId="294">
    <w:nsid w:val="48249DBF"/>
    <w:multiLevelType w:val="hybridMultilevel"/>
    <w:lvl w:ilvl="0">
      <w:lvlJc w:val="left"/>
      <w:lvlText w:val="(%1)"/>
      <w:numFmt w:val="lowerRoman"/>
      <w:start w:val="2"/>
    </w:lvl>
  </w:abstractNum>
  <w:abstractNum w:abstractNumId="295">
    <w:nsid w:val="1F0E5D0D"/>
    <w:multiLevelType w:val="hybridMultilevel"/>
    <w:lvl w:ilvl="0">
      <w:lvlJc w:val="left"/>
      <w:lvlText w:val="(%1)"/>
      <w:numFmt w:val="lowerLetter"/>
      <w:start w:val="2"/>
    </w:lvl>
  </w:abstractNum>
  <w:abstractNum w:abstractNumId="296">
    <w:nsid w:val="26BAAE9"/>
    <w:multiLevelType w:val="hybridMultilevel"/>
    <w:lvl w:ilvl="0">
      <w:lvlJc w:val="left"/>
      <w:lvlText w:val="(%1)"/>
      <w:numFmt w:val="lowerLetter"/>
      <w:start w:val="35"/>
    </w:lvl>
    <w:lvl w:ilvl="1">
      <w:lvlJc w:val="left"/>
      <w:lvlText w:val="(%2)"/>
      <w:numFmt w:val="lowerLetter"/>
      <w:start w:val="3"/>
    </w:lvl>
  </w:abstractNum>
  <w:abstractNum w:abstractNumId="297">
    <w:nsid w:val="2C02FE8C"/>
    <w:multiLevelType w:val="hybridMultilevel"/>
    <w:lvl w:ilvl="0">
      <w:lvlJc w:val="left"/>
      <w:lvlText w:val="(%1)"/>
      <w:numFmt w:val="lowerLetter"/>
      <w:start w:val="4"/>
    </w:lvl>
  </w:abstractNum>
  <w:abstractNum w:abstractNumId="298">
    <w:nsid w:val="129517E"/>
    <w:multiLevelType w:val="hybridMultilevel"/>
    <w:lvl w:ilvl="0">
      <w:lvlJc w:val="left"/>
      <w:lvlText w:val="(%1)"/>
      <w:numFmt w:val="lowerLetter"/>
      <w:start w:val="1"/>
    </w:lvl>
  </w:abstractNum>
  <w:abstractNum w:abstractNumId="299">
    <w:nsid w:val="763B8C4E"/>
    <w:multiLevelType w:val="hybridMultilevel"/>
    <w:lvl w:ilvl="0">
      <w:lvlJc w:val="left"/>
      <w:lvlText w:val="%1"/>
      <w:numFmt w:val="upperLetter"/>
      <w:start w:val="1"/>
    </w:lvl>
    <w:lvl w:ilvl="1">
      <w:lvlJc w:val="left"/>
      <w:lvlText w:val="(%2)"/>
      <w:numFmt w:val="lowerLetter"/>
      <w:start w:val="2"/>
    </w:lvl>
  </w:abstractNum>
  <w:abstractNum w:abstractNumId="300">
    <w:nsid w:val="4CFB8D32"/>
    <w:multiLevelType w:val="hybridMultilevel"/>
    <w:lvl w:ilvl="0">
      <w:lvlJc w:val="left"/>
      <w:lvlText w:val="(%1)"/>
      <w:numFmt w:val="upperLetter"/>
      <w:start w:val="1"/>
    </w:lvl>
    <w:lvl w:ilvl="1">
      <w:lvlJc w:val="left"/>
      <w:lvlText w:val="%2"/>
      <w:numFmt w:val="lowerLetter"/>
      <w:start w:val="1"/>
    </w:lvl>
  </w:abstractNum>
  <w:abstractNum w:abstractNumId="301">
    <w:nsid w:val="62A5D5BD"/>
    <w:multiLevelType w:val="hybridMultilevel"/>
    <w:lvl w:ilvl="0">
      <w:lvlJc w:val="left"/>
      <w:lvlText w:val="%1"/>
      <w:numFmt w:val="lowerLetter"/>
      <w:start w:val="1"/>
    </w:lvl>
    <w:lvl w:ilvl="1">
      <w:lvlJc w:val="left"/>
      <w:lvlText w:val="(%2)"/>
      <w:numFmt w:val="lowerLetter"/>
      <w:start w:val="1"/>
    </w:lvl>
  </w:abstractNum>
  <w:abstractNum w:abstractNumId="302">
    <w:nsid w:val="718FABF9"/>
    <w:multiLevelType w:val="hybridMultilevel"/>
    <w:lvl w:ilvl="0">
      <w:lvlJc w:val="left"/>
      <w:lvlText w:val="(%1)"/>
      <w:numFmt w:val="lowerLetter"/>
      <w:start w:val="9"/>
    </w:lvl>
    <w:lvl w:ilvl="1">
      <w:lvlJc w:val="left"/>
      <w:lvlText w:val="%2"/>
      <w:numFmt w:val="lowerLetter"/>
      <w:start w:val="1"/>
    </w:lvl>
  </w:abstractNum>
  <w:abstractNum w:abstractNumId="303">
    <w:nsid w:val="7775797C"/>
    <w:multiLevelType w:val="hybridMultilevel"/>
    <w:lvl w:ilvl="0">
      <w:lvlJc w:val="left"/>
      <w:lvlText w:val="%1"/>
      <w:numFmt w:val="lowerLetter"/>
      <w:start w:val="1"/>
    </w:lvl>
    <w:lvl w:ilvl="1">
      <w:lvlJc w:val="left"/>
      <w:lvlText w:val="(%2)"/>
      <w:numFmt w:val="lowerLetter"/>
      <w:start w:val="3"/>
    </w:lvl>
  </w:abstractNum>
  <w:abstractNum w:abstractNumId="304">
    <w:nsid w:val="1626FB8C"/>
    <w:multiLevelType w:val="hybridMultilevel"/>
    <w:lvl w:ilvl="0">
      <w:lvlJc w:val="left"/>
      <w:lvlText w:val="(%1)"/>
      <w:numFmt w:val="lowerLetter"/>
      <w:start w:val="2"/>
    </w:lvl>
    <w:lvl w:ilvl="1">
      <w:lvlJc w:val="left"/>
      <w:lvlText w:val="(%2)"/>
      <w:numFmt w:val="lowerLetter"/>
      <w:start w:val="4"/>
    </w:lvl>
  </w:abstractNum>
  <w:abstractNum w:abstractNumId="305">
    <w:nsid w:val="3957756A"/>
    <w:multiLevelType w:val="hybridMultilevel"/>
    <w:lvl w:ilvl="0">
      <w:lvlJc w:val="left"/>
      <w:lvlText w:val="(%1)"/>
      <w:numFmt w:val="lowerLetter"/>
      <w:start w:val="1"/>
    </w:lvl>
  </w:abstractNum>
  <w:abstractNum w:abstractNumId="306">
    <w:nsid w:val="3E6DA1C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07">
    <w:nsid w:val="65CA235B"/>
    <w:multiLevelType w:val="hybridMultilevel"/>
    <w:lvl w:ilvl="0">
      <w:lvlJc w:val="left"/>
      <w:lvlText w:val="%1"/>
      <w:numFmt w:val="lowerRoman"/>
      <w:start w:val="1"/>
    </w:lvl>
    <w:lvl w:ilvl="1">
      <w:lvlJc w:val="left"/>
      <w:lvlText w:val="(%2)"/>
      <w:numFmt w:val="upperLetter"/>
      <w:start w:val="2"/>
    </w:lvl>
  </w:abstractNum>
  <w:abstractNum w:abstractNumId="308">
    <w:nsid w:val="51CB0DA4"/>
    <w:multiLevelType w:val="hybridMultilevel"/>
    <w:lvl w:ilvl="0">
      <w:lvlJc w:val="left"/>
      <w:lvlText w:val="(%1)"/>
      <w:numFmt w:val="lowerRoman"/>
      <w:start w:val="4"/>
    </w:lvl>
    <w:lvl w:ilvl="1">
      <w:lvlJc w:val="left"/>
      <w:lvlText w:val="%2"/>
      <w:numFmt w:val="upperLetter"/>
      <w:start w:val="1"/>
    </w:lvl>
  </w:abstractNum>
  <w:abstractNum w:abstractNumId="309">
    <w:nsid w:val="7B9B743C"/>
    <w:multiLevelType w:val="hybridMultilevel"/>
    <w:lvl w:ilvl="0">
      <w:lvlJc w:val="left"/>
      <w:lvlText w:val="%1"/>
      <w:numFmt w:val="lowerLetter"/>
      <w:start w:val="1"/>
    </w:lvl>
    <w:lvl w:ilvl="1">
      <w:lvlJc w:val="left"/>
      <w:lvlText w:val="(%2)"/>
      <w:numFmt w:val="lowerLetter"/>
      <w:start w:val="3"/>
    </w:lvl>
  </w:abstractNum>
  <w:abstractNum w:abstractNumId="310">
    <w:nsid w:val="13E21002"/>
    <w:multiLevelType w:val="hybridMultilevel"/>
    <w:lvl w:ilvl="0">
      <w:lvlJc w:val="left"/>
      <w:lvlText w:val="(%1)"/>
      <w:numFmt w:val="lowerLetter"/>
      <w:start w:val="35"/>
    </w:lvl>
    <w:lvl w:ilvl="1">
      <w:lvlJc w:val="left"/>
      <w:lvlText w:val="%2"/>
      <w:numFmt w:val="lowerLetter"/>
      <w:start w:val="1"/>
    </w:lvl>
  </w:abstractNum>
  <w:abstractNum w:abstractNumId="311">
    <w:nsid w:val="257D63F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12">
    <w:nsid w:val="70EC11B2"/>
    <w:multiLevelType w:val="hybridMultilevel"/>
    <w:lvl w:ilvl="0">
      <w:lvlJc w:val="left"/>
      <w:lvlText w:val="(%1)"/>
      <w:numFmt w:val="lowerRoman"/>
      <w:start w:val="2"/>
    </w:lvl>
  </w:abstractNum>
  <w:abstractNum w:abstractNumId="313">
    <w:nsid w:val="2EDA00ED"/>
    <w:multiLevelType w:val="hybridMultilevel"/>
    <w:lvl w:ilvl="0">
      <w:lvlJc w:val="left"/>
      <w:lvlText w:val="%1"/>
      <w:numFmt w:val="lowerLetter"/>
      <w:start w:val="1"/>
    </w:lvl>
    <w:lvl w:ilvl="1">
      <w:lvlJc w:val="left"/>
      <w:lvlText w:val="(%2)"/>
      <w:numFmt w:val="lowerLetter"/>
      <w:start w:val="6"/>
    </w:lvl>
  </w:abstractNum>
  <w:abstractNum w:abstractNumId="314">
    <w:nsid w:val="73209072"/>
    <w:multiLevelType w:val="hybridMultilevel"/>
    <w:lvl w:ilvl="0">
      <w:lvlJc w:val="left"/>
      <w:lvlText w:val="(%1)"/>
      <w:numFmt w:val="lowerLetter"/>
      <w:start w:val="9"/>
    </w:lvl>
    <w:lvl w:ilvl="1">
      <w:lvlJc w:val="left"/>
      <w:lvlText w:val="%2"/>
      <w:numFmt w:val="lowerLetter"/>
      <w:start w:val="1"/>
    </w:lvl>
  </w:abstractNum>
  <w:abstractNum w:abstractNumId="315">
    <w:nsid w:val="5FB29816"/>
    <w:multiLevelType w:val="hybridMultilevel"/>
    <w:lvl w:ilvl="0">
      <w:lvlJc w:val="left"/>
      <w:lvlText w:val="(%1)"/>
      <w:numFmt w:val="lowerLetter"/>
      <w:start w:val="1"/>
    </w:lvl>
  </w:abstractNum>
  <w:abstractNum w:abstractNumId="316">
    <w:nsid w:val="3CE732EC"/>
    <w:multiLevelType w:val="hybridMultilevel"/>
    <w:lvl w:ilvl="0">
      <w:lvlJc w:val="left"/>
      <w:lvlText w:val="(%1)"/>
      <w:numFmt w:val="lowerLetter"/>
      <w:start w:val="1"/>
    </w:lvl>
  </w:abstractNum>
  <w:abstractNum w:abstractNumId="317">
    <w:nsid w:val="22F13DF3"/>
    <w:multiLevelType w:val="hybridMultilevel"/>
    <w:lvl w:ilvl="0">
      <w:lvlJc w:val="left"/>
      <w:lvlText w:val="(%1)"/>
      <w:numFmt w:val="upperLetter"/>
      <w:start w:val="1"/>
    </w:lvl>
  </w:abstractNum>
  <w:abstractNum w:abstractNumId="318">
    <w:nsid w:val="792B8401"/>
    <w:multiLevelType w:val="hybridMultilevel"/>
    <w:lvl w:ilvl="0">
      <w:lvlJc w:val="left"/>
      <w:lvlText w:val="(%1)"/>
      <w:numFmt w:val="lowerLetter"/>
      <w:start w:val="3"/>
    </w:lvl>
  </w:abstractNum>
  <w:abstractNum w:abstractNumId="319">
    <w:nsid w:val="FA85F4D"/>
    <w:multiLevelType w:val="hybridMultilevel"/>
    <w:lvl w:ilvl="0">
      <w:lvlJc w:val="left"/>
      <w:lvlText w:val="(%1)"/>
      <w:numFmt w:val="lowerRoman"/>
      <w:start w:val="1"/>
    </w:lvl>
  </w:abstractNum>
  <w:abstractNum w:abstractNumId="320">
    <w:nsid w:val="6ECE91F0"/>
    <w:multiLevelType w:val="hybridMultilevel"/>
    <w:lvl w:ilvl="0">
      <w:lvlJc w:val="left"/>
      <w:lvlText w:val="(%1)"/>
      <w:numFmt w:val="lowerLetter"/>
      <w:start w:val="1"/>
    </w:lvl>
  </w:abstractNum>
  <w:abstractNum w:abstractNumId="321">
    <w:nsid w:val="4FC4D600"/>
    <w:multiLevelType w:val="hybridMultilevel"/>
    <w:lvl w:ilvl="0">
      <w:lvlJc w:val="left"/>
      <w:lvlText w:val="(%1)"/>
      <w:numFmt w:val="lowerLetter"/>
      <w:start w:val="2"/>
    </w:lvl>
  </w:abstractNum>
  <w:abstractNum w:abstractNumId="322">
    <w:nsid w:val="5BFD4210"/>
    <w:multiLevelType w:val="hybridMultilevel"/>
    <w:lvl w:ilvl="0">
      <w:lvlJc w:val="left"/>
      <w:lvlText w:val="(%1)"/>
      <w:numFmt w:val="lowerLetter"/>
      <w:start w:val="5"/>
    </w:lvl>
  </w:abstractNum>
  <w:abstractNum w:abstractNumId="323">
    <w:nsid w:val="76574F8B"/>
    <w:multiLevelType w:val="hybridMultilevel"/>
    <w:lvl w:ilvl="0">
      <w:lvlJc w:val="left"/>
      <w:lvlText w:val="(%1)"/>
      <w:numFmt w:val="lowerLetter"/>
      <w:start w:val="1"/>
    </w:lvl>
    <w:lvl w:ilvl="1">
      <w:lvlJc w:val="left"/>
      <w:lvlText w:val="(%2)"/>
      <w:numFmt w:val="lowerRoman"/>
      <w:start w:val="1"/>
    </w:lvl>
  </w:abstractNum>
  <w:abstractNum w:abstractNumId="324">
    <w:nsid w:val="178F7B67"/>
    <w:multiLevelType w:val="hybridMultilevel"/>
    <w:lvl w:ilvl="0">
      <w:lvlJc w:val="left"/>
      <w:lvlText w:val="(%1)"/>
      <w:numFmt w:val="lowerLetter"/>
      <w:start w:val="1"/>
    </w:lvl>
  </w:abstractNum>
  <w:abstractNum w:abstractNumId="325">
    <w:nsid w:val="2421DFCF"/>
    <w:multiLevelType w:val="hybridMultilevel"/>
    <w:lvl w:ilvl="0">
      <w:lvlJc w:val="left"/>
      <w:lvlText w:val="§"/>
      <w:numFmt w:val="bullet"/>
      <w:start w:val="1"/>
    </w:lvl>
  </w:abstractNum>
  <w:abstractNum w:abstractNumId="326">
    <w:nsid w:val="1565AC99"/>
    <w:multiLevelType w:val="hybridMultilevel"/>
    <w:lvl w:ilvl="0">
      <w:lvlJc w:val="left"/>
      <w:lvlText w:val="(%1)"/>
      <w:numFmt w:val="lowerLetter"/>
      <w:start w:val="1"/>
    </w:lvl>
    <w:lvl w:ilvl="1">
      <w:lvlJc w:val="left"/>
      <w:lvlText w:val="(%2)"/>
      <w:numFmt w:val="lowerRoman"/>
      <w:start w:val="1"/>
    </w:lvl>
  </w:abstractNum>
  <w:abstractNum w:abstractNumId="327">
    <w:nsid w:val="19FB265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28">
    <w:nsid w:val="5024DE5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29">
    <w:nsid w:val="168EFE17"/>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2021-07-01T16:05:10Z</dcterms:created>
  <dcterms:modified xsi:type="dcterms:W3CDTF">2021-07-01T16:05:10Z</dcterms:modified>
</cp:coreProperties>
</file>