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sectPr>
      </w:pPr>
    </w:p>
    <w:p>
      <w:pPr>
        <w:spacing w:after="0" w:line="200" w:lineRule="exact"/>
        <w:rPr>
          <w:sz w:val="24"/>
          <w:szCs w:val="24"/>
          <w:color w:val="auto"/>
        </w:rPr>
      </w:pPr>
    </w:p>
    <w:p>
      <w:pPr>
        <w:spacing w:after="0" w:line="39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001-39695</w:t>
      </w:r>
    </w:p>
    <w:p>
      <w:pPr>
        <w:spacing w:after="0" w:line="31"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83-4364296</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189" w:lineRule="exact"/>
        <w:rPr>
          <w:sz w:val="24"/>
          <w:szCs w:val="24"/>
          <w:color w:val="auto"/>
        </w:rPr>
      </w:pPr>
    </w:p>
    <w:p>
      <w:pPr>
        <w:sectPr>
          <w:pgSz w:w="11900" w:h="16838" w:orient="portrait"/>
          <w:cols w:equalWidth="0" w:num="3">
            <w:col w:w="3860" w:space="720"/>
            <w:col w:w="2680" w:space="720"/>
            <w:col w:w="3260"/>
          </w:cols>
          <w:pgMar w:left="320" w:top="502"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 Mylan Boulevard, Canonsburg, Pennsylvania, 15317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(724) 514-1800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820" w:hanging="488"/>
        <w:spacing w:after="0"/>
        <w:tabs>
          <w:tab w:leader="none" w:pos="8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 (b))</w:t>
      </w:r>
    </w:p>
    <w:p>
      <w:pPr>
        <w:spacing w:after="0" w:line="211" w:lineRule="exact"/>
        <w:rPr>
          <w:rFonts w:ascii="MS PGothic" w:cs="MS PGothic" w:eastAsia="MS PGothic" w:hAnsi="MS PGothic"/>
          <w:sz w:val="18"/>
          <w:szCs w:val="18"/>
          <w:color w:val="auto"/>
        </w:rPr>
      </w:pPr>
    </w:p>
    <w:p>
      <w:pPr>
        <w:ind w:right="2340" w:firstLine="332"/>
        <w:spacing w:after="0" w:line="482" w:lineRule="auto"/>
        <w:tabs>
          <w:tab w:leader="none" w:pos="81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 (c))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VTRS</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r>
    </w:tbl>
    <w:p>
      <w:pPr>
        <w:spacing w:after="0" w:line="16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16" w:lineRule="exact"/>
        <w:rPr>
          <w:sz w:val="20"/>
          <w:szCs w:val="20"/>
          <w:color w:val="auto"/>
        </w:rPr>
      </w:pPr>
    </w:p>
    <w:p>
      <w:pPr>
        <w:ind w:left="20" w:right="60" w:hanging="8"/>
        <w:spacing w:after="0" w:line="256"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5, 2025, Viatris Inc. (“Viatris” or the “Company”) held its 2025 annual meeting of shareholders (the “2025 Annual Meeting”) to (i) elect thirteen director nominees, each to hold office until the 2026 annual meeting of shareholders; (ii) approve, on a non-binding advisory basis, the 2024 compensation of the named executive officers of the Company; and (iii) ratify the selection of Deloitte &amp; Touche LLP as the Company’s independent registered public accounting firm for the fiscal year ending December 31, 2025. With respect to each proposal below, any abstentions and broker non-votes were considered for purposes of establishing a quorum but were not considered to be votes cast and therefore had no effect on the vote on any such proposal.</w:t>
      </w:r>
    </w:p>
    <w:p>
      <w:pPr>
        <w:spacing w:after="0" w:line="173" w:lineRule="exact"/>
        <w:rPr>
          <w:rFonts w:ascii="Times New Roman" w:cs="Times New Roman" w:eastAsia="Times New Roman" w:hAnsi="Times New Roman"/>
          <w:sz w:val="18"/>
          <w:szCs w:val="18"/>
          <w:color w:val="auto"/>
        </w:rPr>
      </w:pPr>
    </w:p>
    <w:p>
      <w:pPr>
        <w:ind w:left="260" w:hanging="248"/>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certified results of the matters voted on at the 2025 Annual Meeting are set forth below.</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1 - Election of the following twelve director nominees, each to hold office until the 2026 annual meeting of shareholders: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41"/>
        </w:trPr>
        <w:tc>
          <w:tcPr>
            <w:tcW w:w="20" w:type="dxa"/>
            <w:vAlign w:val="bottom"/>
            <w:tcBorders>
              <w:bottom w:val="single" w:sz="8" w:color="CCEEFF"/>
            </w:tcBorders>
          </w:tcPr>
          <w:p>
            <w:pPr>
              <w:spacing w:after="0"/>
              <w:rPr>
                <w:sz w:val="3"/>
                <w:szCs w:val="3"/>
                <w:color w:val="auto"/>
              </w:rPr>
            </w:pPr>
          </w:p>
        </w:tc>
        <w:tc>
          <w:tcPr>
            <w:tcW w:w="680" w:type="dxa"/>
            <w:vAlign w:val="bottom"/>
            <w:tcBorders>
              <w:top w:val="single" w:sz="8" w:color="auto"/>
              <w:bottom w:val="single" w:sz="8" w:color="CCEEFF"/>
            </w:tcBorders>
          </w:tcPr>
          <w:p>
            <w:pPr>
              <w:spacing w:after="0"/>
              <w:rPr>
                <w:sz w:val="3"/>
                <w:szCs w:val="3"/>
                <w:color w:val="auto"/>
              </w:rPr>
            </w:pPr>
          </w:p>
        </w:tc>
        <w:tc>
          <w:tcPr>
            <w:tcW w:w="48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 Don Cornwell</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867,063,414</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4,418,986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1,124,206</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3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Frank D’Amelio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864,647,160</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6,835,427</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1,124,019</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47"/>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JoEllen Lyons Dillon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779,329,498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72,187,243</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21,089,865</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3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Elisha Finney</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867,971,536</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3,557,133</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1,077,937</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47"/>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Leo Groothuis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847,420,558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23,944,741</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1,241,307</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3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Melina Higgins</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867,056,809</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4,504,005</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1,045,792</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47"/>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M. Kilts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853,730,285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17,793,190</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1,083,131</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3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Richard Mark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866,690,152</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4,829,299</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1,087,155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47"/>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Parrish</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804,713,488</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66,699,639</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1,193,479</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3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Michael Severino</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867,709,179</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3,796,803</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1,100,624</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47"/>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David Simmons</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867,735,601</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3,764,186</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1,106,819</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39"/>
        </w:trPr>
        <w:tc>
          <w:tcPr>
            <w:tcW w:w="5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Scott A. Smith</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867,914,901</w:t>
            </w:r>
          </w:p>
        </w:tc>
        <w:tc>
          <w:tcPr>
            <w:tcW w:w="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3,613,747</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1,077,958</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r>
        <w:trPr>
          <w:trHeight w:val="247"/>
        </w:trPr>
        <w:tc>
          <w:tcPr>
            <w:tcW w:w="5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Rogério Vivaldi Coelho</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867,960,073</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3,504,374</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1,142,159</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117,380,052</w:t>
            </w: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Each director nominee was elected to hold office until the 2026 annual meeting of shareholders.</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Proposal No. 2 – Approval, on a non-binding advisory basis, of the 2024 compensation of the named executive officers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80" w:type="dxa"/>
            <w:vAlign w:val="bottom"/>
          </w:tcPr>
          <w:p>
            <w:pPr>
              <w:spacing w:after="0"/>
              <w:rPr>
                <w:sz w:val="23"/>
                <w:szCs w:val="23"/>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37"/>
        </w:trPr>
        <w:tc>
          <w:tcPr>
            <w:tcW w:w="580" w:type="dxa"/>
            <w:vAlign w:val="bottom"/>
          </w:tcPr>
          <w:p>
            <w:pPr>
              <w:spacing w:after="0"/>
              <w:rPr>
                <w:sz w:val="20"/>
                <w:szCs w:val="20"/>
                <w:color w:val="auto"/>
              </w:rPr>
            </w:pPr>
          </w:p>
        </w:tc>
        <w:tc>
          <w:tcPr>
            <w:tcW w:w="25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831,333,073</w:t>
            </w:r>
          </w:p>
        </w:tc>
        <w:tc>
          <w:tcPr>
            <w:tcW w:w="100" w:type="dxa"/>
            <w:vAlign w:val="bottom"/>
            <w:tcBorders>
              <w:top w:val="single" w:sz="8" w:color="CCEEFF"/>
            </w:tcBorders>
            <w:shd w:val="clear" w:color="auto" w:fill="CCEEFF"/>
          </w:tcPr>
          <w:p>
            <w:pPr>
              <w:spacing w:after="0"/>
              <w:rPr>
                <w:sz w:val="20"/>
                <w:szCs w:val="20"/>
                <w:color w:val="auto"/>
              </w:rPr>
            </w:pPr>
          </w:p>
        </w:tc>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38,599,819</w:t>
            </w:r>
          </w:p>
        </w:tc>
        <w:tc>
          <w:tcPr>
            <w:tcW w:w="100" w:type="dxa"/>
            <w:vAlign w:val="bottom"/>
            <w:tcBorders>
              <w:top w:val="single" w:sz="8" w:color="CCEEFF"/>
            </w:tcBorders>
            <w:shd w:val="clear" w:color="auto" w:fill="CCEEFF"/>
          </w:tcPr>
          <w:p>
            <w:pPr>
              <w:spacing w:after="0"/>
              <w:rPr>
                <w:sz w:val="20"/>
                <w:szCs w:val="20"/>
                <w:color w:val="auto"/>
              </w:rPr>
            </w:pPr>
          </w:p>
        </w:tc>
        <w:tc>
          <w:tcPr>
            <w:tcW w:w="24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2,673,714</w:t>
            </w:r>
          </w:p>
        </w:tc>
        <w:tc>
          <w:tcPr>
            <w:tcW w:w="100" w:type="dxa"/>
            <w:vAlign w:val="bottom"/>
            <w:tcBorders>
              <w:top w:val="single" w:sz="8" w:color="CCEEFF"/>
            </w:tcBorders>
            <w:shd w:val="clear" w:color="auto" w:fill="CCEEFF"/>
          </w:tcPr>
          <w:p>
            <w:pPr>
              <w:spacing w:after="0"/>
              <w:rPr>
                <w:sz w:val="20"/>
                <w:szCs w:val="20"/>
                <w:color w:val="auto"/>
              </w:rPr>
            </w:pPr>
          </w:p>
        </w:tc>
        <w:tc>
          <w:tcPr>
            <w:tcW w:w="24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117,380,052</w:t>
            </w:r>
          </w:p>
        </w:tc>
      </w:tr>
      <w:tr>
        <w:trPr>
          <w:trHeight w:val="418"/>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proposal was approved.</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Proposal No. 3 – Ratification of the selection of Deloitte &amp; Touche LLP as the Company’s independent registered public accounting firm for the fiscal year ending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580" w:type="dxa"/>
            <w:vAlign w:val="bottom"/>
          </w:tcPr>
          <w:p>
            <w:pPr>
              <w:spacing w:after="0"/>
              <w:rPr>
                <w:sz w:val="23"/>
                <w:szCs w:val="23"/>
                <w:color w:val="auto"/>
              </w:rPr>
            </w:pPr>
          </w:p>
        </w:tc>
        <w:tc>
          <w:tcPr>
            <w:tcW w:w="2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560" w:type="dxa"/>
            <w:vAlign w:val="bottom"/>
          </w:tcPr>
          <w:p>
            <w:pPr>
              <w:spacing w:after="0"/>
              <w:rPr>
                <w:sz w:val="23"/>
                <w:szCs w:val="23"/>
                <w:color w:val="auto"/>
              </w:rPr>
            </w:pPr>
          </w:p>
        </w:tc>
      </w:tr>
      <w:tr>
        <w:trPr>
          <w:trHeight w:val="237"/>
        </w:trPr>
        <w:tc>
          <w:tcPr>
            <w:tcW w:w="580" w:type="dxa"/>
            <w:vAlign w:val="bottom"/>
          </w:tcPr>
          <w:p>
            <w:pPr>
              <w:spacing w:after="0"/>
              <w:rPr>
                <w:sz w:val="20"/>
                <w:szCs w:val="20"/>
                <w:color w:val="auto"/>
              </w:rPr>
            </w:pPr>
          </w:p>
        </w:tc>
        <w:tc>
          <w:tcPr>
            <w:tcW w:w="252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963,677,498</w:t>
            </w:r>
          </w:p>
        </w:tc>
        <w:tc>
          <w:tcPr>
            <w:tcW w:w="100" w:type="dxa"/>
            <w:vAlign w:val="bottom"/>
            <w:tcBorders>
              <w:top w:val="single" w:sz="8" w:color="CCEEFF"/>
            </w:tcBorders>
            <w:shd w:val="clear" w:color="auto" w:fill="CCEEFF"/>
          </w:tcPr>
          <w:p>
            <w:pPr>
              <w:spacing w:after="0"/>
              <w:rPr>
                <w:sz w:val="20"/>
                <w:szCs w:val="20"/>
                <w:color w:val="auto"/>
              </w:rPr>
            </w:pPr>
          </w:p>
        </w:tc>
        <w:tc>
          <w:tcPr>
            <w:tcW w:w="242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24,965,937</w:t>
            </w:r>
          </w:p>
        </w:tc>
        <w:tc>
          <w:tcPr>
            <w:tcW w:w="100" w:type="dxa"/>
            <w:vAlign w:val="bottom"/>
            <w:tcBorders>
              <w:top w:val="single" w:sz="8" w:color="CCEEFF"/>
            </w:tcBorders>
            <w:shd w:val="clear" w:color="auto" w:fill="CCEEFF"/>
          </w:tcPr>
          <w:p>
            <w:pPr>
              <w:spacing w:after="0"/>
              <w:rPr>
                <w:sz w:val="20"/>
                <w:szCs w:val="20"/>
                <w:color w:val="auto"/>
              </w:rPr>
            </w:pPr>
          </w:p>
        </w:tc>
        <w:tc>
          <w:tcPr>
            <w:tcW w:w="242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1,343,223</w:t>
            </w:r>
          </w:p>
        </w:tc>
        <w:tc>
          <w:tcPr>
            <w:tcW w:w="100" w:type="dxa"/>
            <w:vAlign w:val="bottom"/>
            <w:tcBorders>
              <w:top w:val="single" w:sz="8" w:color="CCEEFF"/>
            </w:tcBorders>
            <w:shd w:val="clear" w:color="auto" w:fill="CCEEFF"/>
          </w:tcPr>
          <w:p>
            <w:pPr>
              <w:spacing w:after="0"/>
              <w:rPr>
                <w:sz w:val="20"/>
                <w:szCs w:val="20"/>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560" w:type="dxa"/>
            <w:vAlign w:val="bottom"/>
          </w:tcPr>
          <w:p>
            <w:pPr>
              <w:spacing w:after="0"/>
              <w:rPr>
                <w:sz w:val="20"/>
                <w:szCs w:val="20"/>
                <w:color w:val="auto"/>
              </w:rPr>
            </w:pPr>
          </w:p>
        </w:tc>
      </w:tr>
      <w:tr>
        <w:trPr>
          <w:trHeight w:val="418"/>
        </w:trPr>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proposal was approved.</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1"/>
        </w:trPr>
        <w:tc>
          <w:tcPr>
            <w:tcW w:w="5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VIATRIS INC.</w:t>
      </w:r>
    </w:p>
    <w:p>
      <w:pPr>
        <w:spacing w:after="0" w:line="21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5, 2025</w:t>
      </w:r>
      <w:r>
        <w:rPr>
          <w:sz w:val="20"/>
          <w:szCs w:val="20"/>
          <w:color w:val="auto"/>
        </w:rPr>
        <w:tab/>
      </w:r>
      <w:r>
        <w:rPr>
          <w:rFonts w:ascii="Times New Roman" w:cs="Times New Roman" w:eastAsia="Times New Roman" w:hAnsi="Times New Roman"/>
          <w:sz w:val="18"/>
          <w:szCs w:val="18"/>
          <w:color w:val="auto"/>
        </w:rPr>
        <w:t>By: /s/ Theodora Mistras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Theodora Mistras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2025-12-05T15:22:04Z</dcterms:created>
  <dcterms:modified xsi:type="dcterms:W3CDTF">2025-12-05T15:22:04Z</dcterms:modified>
</cp:coreProperties>
</file>