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_______________</w:t>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Date of Report (Date of earliest event reported): November 7, 2023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VIATRIS INC.</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7977" w:type="dxa"/>
        <w:jc w:val="center"/>
        <w:tblInd w:w="0" w:type="dxa"/>
        <w:tblLayout w:type="fixed"/>
        <w:tblCellMar>
          <w:top w:w="28" w:type="dxa"/>
          <w:left w:w="28" w:type="dxa"/>
          <w:bottom w:w="28" w:type="dxa"/>
          <w:right w:w="28" w:type="dxa"/>
        </w:tblCellMar>
      </w:tblPr>
      <w:tblGrid>
        <w:gridCol w:w="1345"/>
        <w:gridCol w:w="1181"/>
        <w:gridCol w:w="1193"/>
        <w:gridCol w:w="408"/>
        <w:gridCol w:w="408"/>
        <w:gridCol w:w="413"/>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001-39695</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4"/>
        </w:rPr>
        <w:t xml:space="preserve">Registrant's telephone number, including area code: </w:t>
      </w:r>
      <w:r>
        <w:rPr>
          <w:rFonts w:ascii="Times New Roman;sans-serif" w:hAnsi="Times New Roman;sans-serif"/>
          <w:b/>
          <w:color w:val="000000"/>
          <w:sz w:val="24"/>
        </w:rPr>
        <w:t xml:space="preserve">(724) 514-1800 </w:t>
      </w:r>
    </w:p>
    <w:p>
      <w:pPr>
        <w:pStyle w:val="TextBody"/>
        <w:bidi w:val="0"/>
        <w:spacing w:before="0" w:after="0"/>
        <w:jc w:val="center"/>
        <w:rPr/>
      </w:pPr>
      <w:r>
        <w:rPr/>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00" w:after="100"/>
        <w:ind w:left="0" w:right="0" w:hanging="360"/>
        <w:jc w:val="left"/>
        <w:rPr/>
      </w:pPr>
      <w:r>
        <w:rPr>
          <w:color w:val="000000"/>
        </w:rPr>
        <w:t>☐    </w:t>
      </w:r>
      <w:r>
        <w:rPr>
          <w:rFonts w:ascii="Times New Roman;sans-serif" w:hAnsi="Times New Roman;sans-serif"/>
          <w:b w:val="false"/>
          <w:color w:val="000000"/>
          <w:sz w:val="20"/>
        </w:rPr>
        <w:t xml:space="preserve">Written communications pursuant to Rule 425 under the Securities Act (17 CFR 230.425) </w:t>
      </w:r>
    </w:p>
    <w:p>
      <w:pPr>
        <w:pStyle w:val="TextBody"/>
        <w:bidi w:val="0"/>
        <w:spacing w:lineRule="auto" w:line="288" w:before="100" w:after="100"/>
        <w:ind w:left="0" w:right="0" w:hanging="360"/>
        <w:jc w:val="left"/>
        <w:rPr/>
      </w:pPr>
      <w:r>
        <w:rPr>
          <w:color w:val="000000"/>
        </w:rPr>
        <w:t>☐    </w:t>
      </w:r>
      <w:r>
        <w:rPr>
          <w:rFonts w:ascii="Times New Roman;sans-serif" w:hAnsi="Times New Roman;sans-serif"/>
          <w:b w:val="false"/>
          <w:color w:val="000000"/>
          <w:sz w:val="20"/>
        </w:rPr>
        <w:t xml:space="preserve">Soliciting material pursuant to Rule 14a-12 under the Exchange Act (17 CFR 240.14a-12) </w:t>
      </w:r>
    </w:p>
    <w:p>
      <w:pPr>
        <w:pStyle w:val="TextBody"/>
        <w:bidi w:val="0"/>
        <w:spacing w:lineRule="auto" w:line="288" w:before="100" w:after="100"/>
        <w:ind w:left="0" w:right="0" w:hanging="360"/>
        <w:jc w:val="left"/>
        <w:rPr/>
      </w:pPr>
      <w:r>
        <w:rPr>
          <w:color w:val="000000"/>
        </w:rPr>
        <w:t>☐    </w:t>
      </w:r>
      <w:r>
        <w:rPr>
          <w:rFonts w:ascii="Times New Roman;sans-serif" w:hAnsi="Times New Roman;sans-serif"/>
          <w:b w:val="false"/>
          <w:color w:val="000000"/>
          <w:sz w:val="20"/>
        </w:rPr>
        <w:t xml:space="preserve">Pre-commencement communications pursuant to Rule 14d-2(b) under the Exchange Act (17 CFR 240.14d-2 (b)) </w:t>
      </w:r>
    </w:p>
    <w:p>
      <w:pPr>
        <w:pStyle w:val="TextBody"/>
        <w:bidi w:val="0"/>
        <w:spacing w:lineRule="auto" w:line="288" w:before="100" w:after="100"/>
        <w:ind w:left="0" w:right="0" w:hanging="360"/>
        <w:jc w:val="left"/>
        <w:rPr/>
      </w:pPr>
      <w:r>
        <w:rPr>
          <w:color w:val="000000"/>
        </w:rPr>
        <w:t>☐    </w:t>
      </w:r>
      <w:r>
        <w:rPr>
          <w:rFonts w:ascii="Times New Roman;sans-serif" w:hAnsi="Times New Roman;sans-serif"/>
          <w:b w:val="false"/>
          <w:color w:val="000000"/>
          <w:sz w:val="20"/>
        </w:rPr>
        <w:t xml:space="preserve">Pre-commencement communications pursuant to Rule 13e-4(c) under the Exchange Act (17 CFR 240.13e-4 (c))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271"/>
        <w:gridCol w:w="1096"/>
        <w:gridCol w:w="1109"/>
        <w:gridCol w:w="109"/>
        <w:gridCol w:w="109"/>
        <w:gridCol w:w="109"/>
        <w:gridCol w:w="616"/>
        <w:gridCol w:w="616"/>
        <w:gridCol w:w="618"/>
        <w:gridCol w:w="109"/>
        <w:gridCol w:w="109"/>
        <w:gridCol w:w="109"/>
        <w:gridCol w:w="1235"/>
        <w:gridCol w:w="1235"/>
        <w:gridCol w:w="1755"/>
      </w:tblGrid>
      <w:tr>
        <w:trPr/>
        <w:tc>
          <w:tcPr>
            <w:tcW w:w="12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Name of each exchange on which registered</w:t>
            </w:r>
          </w:p>
        </w:tc>
      </w:tr>
      <w:tr>
        <w:trPr/>
        <w:tc>
          <w:tcPr>
            <w:tcW w:w="3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before="0" w:after="100"/>
        <w:jc w:val="left"/>
        <w:rPr/>
      </w:pPr>
      <w:r>
        <w:rPr/>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ind w:left="0" w:right="0" w:firstLine="36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Viatris Inc. (“Viatris” or the “Company”) issued a press release reporting the Company's financial results for the period ended September 30, 2023.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8.01 Other Events.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announced, Viatris will host a conference call and live webcast today at 5:00 p.m. ET to review the Company's financial results for the period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3q23earningsrel.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announcing the Company's financial results for the third quarter of 2023, dated November 7, 2023.</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033"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109"/>
        <w:gridCol w:w="109"/>
        <w:gridCol w:w="109"/>
        <w:gridCol w:w="109"/>
        <w:gridCol w:w="109"/>
        <w:gridCol w:w="109"/>
        <w:gridCol w:w="140"/>
        <w:gridCol w:w="140"/>
        <w:gridCol w:w="140"/>
        <w:gridCol w:w="140"/>
        <w:gridCol w:w="140"/>
        <w:gridCol w:w="140"/>
        <w:gridCol w:w="587"/>
        <w:gridCol w:w="587"/>
        <w:gridCol w:w="83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b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drawing>
          <wp:inline distT="0" distB="0" distL="0" distR="0">
            <wp:extent cx="1819275"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819275" cy="714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Arial;sans-serif" w:hAnsi="Arial;sans-serif"/>
          <w:b/>
          <w:color w:val="000000"/>
          <w:sz w:val="24"/>
        </w:rPr>
        <w:t>Viatris Reports Strong Financial and Operational Results for the Third Quarter 2023 and Reaffirms Full-Year 2023 Adjusted EBITDA and Free Cash Flow Guidance Ranges</w:t>
      </w:r>
      <w:r>
        <w:rPr>
          <w:rFonts w:ascii="Arial;sans-serif" w:hAnsi="Arial;sans-serif"/>
          <w:b/>
          <w:color w:val="000000"/>
          <w:sz w:val="16"/>
        </w:rPr>
        <w:t>[1]</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Reports Total Revenues of $3.94 Billion; U.S. GAAP Net Earnings of $332 Million; Adjusted EBITDA of $1.36 Billion; U.S. GAAP Net Cash Provided by Operating Activities of $834 Million; and Free Cash Flow of $738 Million for the Quarter</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Strong Results Signal Continuation of Growth Journey with Second Consecutive Quarter of Year-over-Year Operational Revenue Growth on a Divestiture-Adjusted Basis</w:t>
      </w:r>
      <w:r>
        <w:rPr>
          <w:rFonts w:ascii="Arial;sans-serif" w:hAnsi="Arial;sans-serif"/>
          <w:b w:val="false"/>
          <w:i/>
          <w:color w:val="000000"/>
          <w:sz w:val="13"/>
        </w:rPr>
        <w:t>[2]</w:t>
      </w:r>
      <w:r>
        <w:rPr>
          <w:color w:val="000000"/>
        </w:rPr>
        <w:t xml:space="preserve"> </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Revises Full-Year Total Revenues Guidance Range Solely to Reflect the Expected Negative Impact of Foreign Exchange</w:t>
      </w:r>
    </w:p>
    <w:p>
      <w:pPr>
        <w:pStyle w:val="TextBody"/>
        <w:bidi w:val="0"/>
        <w:spacing w:lineRule="auto" w:line="268" w:before="0" w:after="240"/>
        <w:ind w:left="0" w:right="0" w:hanging="360"/>
        <w:jc w:val="left"/>
        <w:rPr/>
      </w:pPr>
      <w:r>
        <w:rPr>
          <w:color w:val="000000"/>
        </w:rPr>
        <w:t>•</w:t>
      </w:r>
      <w:r>
        <w:rPr>
          <w:rFonts w:ascii="Arial;sans-serif" w:hAnsi="Arial;sans-serif"/>
          <w:b w:val="false"/>
          <w:i/>
          <w:color w:val="000000"/>
          <w:sz w:val="20"/>
        </w:rPr>
        <w:t>On Track to Complete All Planned Divestitures by the End of the First Half of 2024</w:t>
      </w:r>
      <w:r>
        <w:rPr>
          <w:rFonts w:ascii="Arial;sans-serif" w:hAnsi="Arial;sans-serif"/>
          <w:b w:val="false"/>
          <w:i/>
          <w:color w:val="000000"/>
          <w:sz w:val="13"/>
        </w:rPr>
        <w:t>[3]</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Board of Directors Declares Quarterly Dividend of $0.12 Per Share</w:t>
      </w:r>
    </w:p>
    <w:p>
      <w:pPr>
        <w:pStyle w:val="TextBody"/>
        <w:bidi w:val="0"/>
        <w:spacing w:lineRule="auto" w:line="288" w:before="0" w:after="0"/>
        <w:jc w:val="left"/>
        <w:rPr/>
      </w:pPr>
      <w:r>
        <w:rPr>
          <w:rFonts w:ascii="Arial;sans-serif" w:hAnsi="Arial;sans-serif"/>
          <w:b/>
          <w:color w:val="000000"/>
          <w:sz w:val="20"/>
        </w:rPr>
        <w:t xml:space="preserve">PITTSBURGH </w:t>
      </w:r>
      <w:r>
        <w:rPr>
          <w:color w:val="000000"/>
        </w:rPr>
        <w:t xml:space="preserve">– </w:t>
      </w:r>
      <w:r>
        <w:rPr>
          <w:rFonts w:ascii="Arial;sans-serif" w:hAnsi="Arial;sans-serif"/>
          <w:b/>
          <w:color w:val="000000"/>
          <w:sz w:val="20"/>
        </w:rPr>
        <w:t xml:space="preserve">November 7, 2023 </w:t>
      </w:r>
      <w:r>
        <w:rPr>
          <w:color w:val="000000"/>
        </w:rPr>
        <w:t xml:space="preserve">– </w:t>
      </w:r>
      <w:r>
        <w:rPr>
          <w:rFonts w:ascii="Arial;sans-serif" w:hAnsi="Arial;sans-serif"/>
          <w:b w:val="false"/>
          <w:color w:val="000000"/>
          <w:sz w:val="20"/>
        </w:rPr>
        <w:t>Viatris Inc. (NASDAQ: VTRS) today reported strong results for the third quarter of 2023 reflecting another quarter of year-over-year growth</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and signaling the continuation of the Company’s growth journey.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4C16AE"/>
          <w:sz w:val="20"/>
        </w:rPr>
      </w:pPr>
      <w:r>
        <w:rPr>
          <w:rFonts w:ascii="Arial;sans-serif" w:hAnsi="Arial;sans-serif"/>
          <w:b/>
          <w:color w:val="4C16AE"/>
          <w:sz w:val="20"/>
        </w:rPr>
        <w:t>Executive Commentary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Viatris CEO Scott A. Smith said: “Viatris had another outstanding quarter in Q3. It is our second consecutive quarter of year-over-year operational revenue growth on a divestiture-adjusted basis and our eleventh straight quarter of strong operational results. These results are an indication of the continuing momentum we are building as we prepare to bring Phase 1 of our strategic plan to successful completion. Operationally, we are continuing to see strong performance globally across our businesses. We are on track to complete all our planned divestitures by the end of the first half of 2024. We are now shifting our focus to Phase 2 and to adding to the strength of our stable base by building the business in areas with the greatest potential for growth, patient impact and shareholder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Viatris President Rajiv Malik said: “We achieved yet another strong quarter of commercial execution around the globe. As a result of our continued advancement of our robust and deep pipeline, we are on track to deliver $450 million to $550 million in new product revenue annually from new launches, which supports the predictability of our core business. We believe the stable global platform we have built and our consistent performance sets Viatris up well for continued future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Viatris CFO Sanjeev Narula said: “The diversity of our global portfolio and platforms continue to drive strong gross margins. Our solid and continued durable free cash flow generation has served to further strengthen our balance sheet while returning significant capital to shareholders. Based on the underlying fundamentals of our business, we believe we are well positioned to deliver on our financial guidance for the remainder of 2023 and for a strong start to 2024.”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 xml:space="preserve">Viatris is not providing forward-looking guidance for U.S. GAAP net earnings (loss) or a quantitative reconciliation of its 2023 adjusted EBITDA guidance. U.S. GAAP net cash provided by operating activities for 2023 is estimated to be between $2.8 billion and $3.1 billion. Please see "2023 Financial Guidance" and "Non-GAAP Financial Measures" for additional information. </w:t>
      </w:r>
    </w:p>
    <w:p>
      <w:pPr>
        <w:pStyle w:val="TextBody"/>
        <w:bidi w:val="0"/>
        <w:spacing w:lineRule="auto" w:line="288" w:before="0" w:after="0"/>
        <w:jc w:val="left"/>
        <w:rPr/>
      </w:pPr>
      <w:r>
        <w:rPr>
          <w:rFonts w:ascii="Arial;sans-serif" w:hAnsi="Arial;sans-serif"/>
          <w:b w:val="false"/>
          <w:i/>
          <w:color w:val="000000"/>
          <w:sz w:val="13"/>
        </w:rPr>
        <w:t>[2]</w:t>
      </w:r>
      <w:r>
        <w:rPr>
          <w:color w:val="000000"/>
        </w:rPr>
        <w:t xml:space="preserve"> </w:t>
      </w:r>
      <w:r>
        <w:rPr>
          <w:rFonts w:ascii="Arial;sans-serif" w:hAnsi="Arial;sans-serif"/>
          <w:b w:val="false"/>
          <w:i/>
          <w:color w:val="000000"/>
          <w:sz w:val="20"/>
        </w:rPr>
        <w:t>For the three months ended September 30, 2023, total net sales declined 3% on a U.S. GAAP basis and increased 1% on a divestiture-adjusted operational basis.</w:t>
      </w:r>
    </w:p>
    <w:p>
      <w:pPr>
        <w:pStyle w:val="TextBody"/>
        <w:bidi w:val="0"/>
        <w:spacing w:lineRule="auto" w:line="288" w:before="0" w:after="0"/>
        <w:jc w:val="left"/>
        <w:rPr/>
      </w:pP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Divestitures are subject to regulatory approvals, completion of any consultations with employee representatives (where applicable), receipt of required consents and other closing conditions, including, in the case of the API business divestiture, a financing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240" w:after="240"/>
        <w:jc w:val="left"/>
        <w:rPr>
          <w:rFonts w:ascii="Arial;sans-serif" w:hAnsi="Arial;sans-serif"/>
          <w:b/>
          <w:color w:val="4C16AE"/>
          <w:sz w:val="20"/>
        </w:rPr>
      </w:pPr>
      <w:r>
        <w:rPr>
          <w:rFonts w:ascii="Arial;sans-serif" w:hAnsi="Arial;sans-serif"/>
          <w:b/>
          <w:color w:val="4C16AE"/>
          <w:sz w:val="20"/>
        </w:rPr>
        <w:t>2023 Financial Guidance</w:t>
      </w:r>
    </w:p>
    <w:p>
      <w:pPr>
        <w:pStyle w:val="TextBody"/>
        <w:bidi w:val="0"/>
        <w:spacing w:before="0" w:after="0"/>
        <w:jc w:val="left"/>
        <w:rPr/>
      </w:pPr>
      <w:r>
        <w:rPr/>
        <w:drawing>
          <wp:inline distT="0" distB="0" distL="0" distR="0">
            <wp:extent cx="6515100" cy="29146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6515100" cy="29146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not providing forward-looking guidance for U.S. GAAP net earnings or a quantitative reconciliation of its 2023 adjusted EBITDA guidance to the most directly comparable U.S. GAAP measure, U.S. GAAP net earnings,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4C16AE"/>
          <w:sz w:val="20"/>
        </w:rPr>
      </w:pPr>
      <w:r>
        <w:rPr>
          <w:rFonts w:ascii="Arial;sans-serif" w:hAnsi="Arial;sans-serif"/>
          <w:b/>
          <w:color w:val="4C16AE"/>
          <w:sz w:val="20"/>
        </w:rPr>
        <w:t>Return of Capital to Shareholders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Viatris announced that, on November 6, 2023, its Board of Directors declared a quarterly dividend of twelve cents ($0.12) for each issued and outstanding share of the Company's common stock. The dividend is payable on December 15, 2023, to shareholders of record at the close of business on November 24, 2023.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Viatris paid a quarterly cash dividend of twelve cents ($0.12) per share on the Company's issued and outstanding common stock on September 15,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4C16AE"/>
          <w:sz w:val="20"/>
        </w:rPr>
      </w:pPr>
      <w:r>
        <w:rPr>
          <w:rFonts w:ascii="Arial;sans-serif" w:hAnsi="Arial;sans-serif"/>
          <w:b/>
          <w:color w:val="4C16AE"/>
          <w:sz w:val="20"/>
        </w:rPr>
        <w:t>Conference Call and Earnings Materials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Viatris Inc. will host a conference call and live webcast, today at 5:00 p.m. ET, to discuss the Company's financial results for the third quarter of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 and the general public are invited to listen to a live webcast of the call at investor.viatris.com or by calling 800.274.8461 or 203.518.9783 for international callers (Conference ID: VTRSQ323). The "Viatris Q3 Earnings Presentation," which will be referenced during the call, can be found at investor.viatris.com. A replay of the webcast also will be available on the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Arial;sans-serif" w:hAnsi="Arial;sans-serif"/>
          <w:b/>
          <w:color w:val="4C16AE"/>
          <w:sz w:val="20"/>
        </w:rPr>
      </w:pPr>
      <w:r>
        <w:rPr>
          <w:rFonts w:ascii="Arial;sans-serif" w:hAnsi="Arial;sans-serif"/>
          <w:b/>
          <w:color w:val="4C16AE"/>
          <w:sz w:val="20"/>
        </w:rPr>
        <w:t>Financial Summary</w:t>
      </w:r>
    </w:p>
    <w:tbl>
      <w:tblPr>
        <w:tblW w:w="10205" w:type="dxa"/>
        <w:jc w:val="left"/>
        <w:tblInd w:w="0" w:type="dxa"/>
        <w:tblLayout w:type="fixed"/>
        <w:tblCellMar>
          <w:top w:w="28" w:type="dxa"/>
          <w:left w:w="28" w:type="dxa"/>
          <w:bottom w:w="28" w:type="dxa"/>
          <w:right w:w="28" w:type="dxa"/>
        </w:tblCellMar>
      </w:tblPr>
      <w:tblGrid>
        <w:gridCol w:w="649"/>
        <w:gridCol w:w="479"/>
        <w:gridCol w:w="482"/>
        <w:gridCol w:w="109"/>
        <w:gridCol w:w="109"/>
        <w:gridCol w:w="109"/>
        <w:gridCol w:w="109"/>
        <w:gridCol w:w="109"/>
        <w:gridCol w:w="109"/>
        <w:gridCol w:w="211"/>
        <w:gridCol w:w="766"/>
        <w:gridCol w:w="271"/>
        <w:gridCol w:w="109"/>
        <w:gridCol w:w="109"/>
        <w:gridCol w:w="109"/>
        <w:gridCol w:w="211"/>
        <w:gridCol w:w="766"/>
        <w:gridCol w:w="271"/>
        <w:gridCol w:w="109"/>
        <w:gridCol w:w="109"/>
        <w:gridCol w:w="109"/>
        <w:gridCol w:w="309"/>
        <w:gridCol w:w="309"/>
        <w:gridCol w:w="310"/>
        <w:gridCol w:w="109"/>
        <w:gridCol w:w="109"/>
        <w:gridCol w:w="109"/>
        <w:gridCol w:w="386"/>
        <w:gridCol w:w="386"/>
        <w:gridCol w:w="388"/>
        <w:gridCol w:w="109"/>
        <w:gridCol w:w="109"/>
        <w:gridCol w:w="109"/>
        <w:gridCol w:w="598"/>
        <w:gridCol w:w="598"/>
        <w:gridCol w:w="853"/>
      </w:tblGrid>
      <w:tr>
        <w:trPr/>
        <w:tc>
          <w:tcPr>
            <w:tcW w:w="6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863" w:type="dxa"/>
            <w:gridSpan w:val="12"/>
            <w:tcBorders/>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863" w:type="dxa"/>
            <w:gridSpan w:val="12"/>
            <w:tcBorders/>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(Unaudited; in millions, except %s)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Reported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Operational Change</w:t>
            </w:r>
            <w:r>
              <w:rPr>
                <w:rFonts w:ascii="Arial;sans-serif" w:hAnsi="Arial;sans-serif"/>
                <w:b/>
                <w:color w:val="000000"/>
                <w:sz w:val="10"/>
              </w:rPr>
              <w:t>(1)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Divestiture-Adjusted Operational Change</w:t>
            </w:r>
            <w:r>
              <w:rPr>
                <w:rFonts w:ascii="Arial;sans-serif" w:hAnsi="Arial;sans-serif"/>
                <w:b/>
                <w:color w:val="000000"/>
                <w:sz w:val="10"/>
              </w:rPr>
              <w:t>(2) (3)</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JANZ</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by Product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Complex Gx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Gross Profit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Gross Margin</w:t>
            </w:r>
            <w:r>
              <w:rPr>
                <w:color w:val="000000"/>
              </w:rPr>
              <w:t xml:space="preserve">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U.S. GAAP Net Earnings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Net Earnings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EBITDA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(3)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(1)     </w:t>
      </w:r>
      <w:r>
        <w:rPr>
          <w:rFonts w:ascii="Arial;sans-serif" w:hAnsi="Arial;sans-serif"/>
          <w:b w:val="false"/>
          <w:color w:val="000000"/>
          <w:sz w:val="16"/>
        </w:rPr>
        <w:t>Represents operational change for net sales and adjusted EBITDA which excludes the impacts of foreign currency translation. 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(2)     </w:t>
      </w:r>
      <w:r>
        <w:rPr>
          <w:rFonts w:ascii="Arial;sans-serif" w:hAnsi="Arial;sans-serif"/>
          <w:b w:val="false"/>
          <w:color w:val="000000"/>
          <w:sz w:val="16"/>
        </w:rPr>
        <w:t>Represents adjustments for impact of the biosimilars divestitures in November 2022 on an operational basis. 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(3)    </w:t>
      </w:r>
      <w:r>
        <w:rPr>
          <w:rFonts w:ascii="Arial;sans-serif" w:hAnsi="Arial;sans-serif"/>
          <w:b w:val="false"/>
          <w:color w:val="000000"/>
          <w:sz w:val="16"/>
        </w:rPr>
        <w:t>Non-GAAP financial measures. See "Non-GAAP Financial Measures" for additional information.</w:t>
      </w:r>
    </w:p>
    <w:p>
      <w:pPr>
        <w:pStyle w:val="TextBody"/>
        <w:bidi w:val="0"/>
        <w:spacing w:lineRule="auto" w:line="288" w:before="0" w:after="240"/>
        <w:ind w:left="0" w:right="0" w:hanging="360"/>
        <w:jc w:val="left"/>
        <w:rPr/>
      </w:pPr>
      <w:r>
        <w:rPr>
          <w:rFonts w:ascii="Arial;sans-serif" w:hAnsi="Arial;sans-serif"/>
          <w:b w:val="false"/>
          <w:color w:val="000000"/>
          <w:sz w:val="10"/>
        </w:rPr>
        <w:t>(4)    </w:t>
      </w:r>
      <w:r>
        <w:rPr>
          <w:rFonts w:ascii="Arial;sans-serif" w:hAnsi="Arial;sans-serif"/>
          <w:b w:val="false"/>
          <w:color w:val="000000"/>
          <w:sz w:val="16"/>
        </w:rPr>
        <w:t>Excluding the impact of transaction costs primarily related to the divestitures and the eye care acquisitions of $48 million, free cash flow for the three months ended September 30, 2023 was $786 million.</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15"/>
        <w:gridCol w:w="446"/>
        <w:gridCol w:w="449"/>
        <w:gridCol w:w="109"/>
        <w:gridCol w:w="109"/>
        <w:gridCol w:w="109"/>
        <w:gridCol w:w="109"/>
        <w:gridCol w:w="109"/>
        <w:gridCol w:w="109"/>
        <w:gridCol w:w="211"/>
        <w:gridCol w:w="871"/>
        <w:gridCol w:w="271"/>
        <w:gridCol w:w="109"/>
        <w:gridCol w:w="109"/>
        <w:gridCol w:w="109"/>
        <w:gridCol w:w="211"/>
        <w:gridCol w:w="871"/>
        <w:gridCol w:w="271"/>
        <w:gridCol w:w="109"/>
        <w:gridCol w:w="109"/>
        <w:gridCol w:w="109"/>
        <w:gridCol w:w="302"/>
        <w:gridCol w:w="302"/>
        <w:gridCol w:w="303"/>
        <w:gridCol w:w="109"/>
        <w:gridCol w:w="109"/>
        <w:gridCol w:w="109"/>
        <w:gridCol w:w="377"/>
        <w:gridCol w:w="377"/>
        <w:gridCol w:w="378"/>
        <w:gridCol w:w="109"/>
        <w:gridCol w:w="109"/>
        <w:gridCol w:w="109"/>
        <w:gridCol w:w="580"/>
        <w:gridCol w:w="580"/>
        <w:gridCol w:w="828"/>
      </w:tblGrid>
      <w:tr>
        <w:trPr/>
        <w:tc>
          <w:tcPr>
            <w:tcW w:w="6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3774" w:type="dxa"/>
            <w:gridSpan w:val="12"/>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774" w:type="dxa"/>
            <w:gridSpan w:val="12"/>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(Unaudited; in millions, except %s)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Reported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Operational Change</w:t>
            </w:r>
            <w:r>
              <w:rPr>
                <w:rFonts w:ascii="Arial;sans-serif" w:hAnsi="Arial;sans-serif"/>
                <w:b/>
                <w:color w:val="000000"/>
                <w:sz w:val="10"/>
              </w:rPr>
              <w:t>(1)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Divestiture-Adjusted Operational Change</w:t>
            </w:r>
            <w:r>
              <w:rPr>
                <w:rFonts w:ascii="Arial;sans-serif" w:hAnsi="Arial;sans-serif"/>
                <w:b/>
                <w:color w:val="000000"/>
                <w:sz w:val="10"/>
              </w:rPr>
              <w:t>(2) (3)</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JANZ</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by Product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Complex Gx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Gross Profit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Gross Margin</w:t>
            </w:r>
            <w:r>
              <w:rPr>
                <w:color w:val="000000"/>
              </w:rPr>
              <w:t xml:space="preserve">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U.S. GAAP Net Earnings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Net Earnings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EBITDA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(3)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(1)     </w:t>
      </w:r>
      <w:r>
        <w:rPr>
          <w:rFonts w:ascii="Arial;sans-serif" w:hAnsi="Arial;sans-serif"/>
          <w:b w:val="false"/>
          <w:color w:val="000000"/>
          <w:sz w:val="16"/>
        </w:rPr>
        <w:t>Represents operational change for net sales and adjusted EBITDA which excludes the impacts of foreign currency translation. 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(2)     </w:t>
      </w:r>
      <w:r>
        <w:rPr>
          <w:rFonts w:ascii="Arial;sans-serif" w:hAnsi="Arial;sans-serif"/>
          <w:b w:val="false"/>
          <w:color w:val="000000"/>
          <w:sz w:val="16"/>
        </w:rPr>
        <w:t>Represents adjustments for impact of the biosimilars divestitures in November 2022 on an operational basis and a reclassification. 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(3)    </w:t>
      </w:r>
      <w:r>
        <w:rPr>
          <w:rFonts w:ascii="Arial;sans-serif" w:hAnsi="Arial;sans-serif"/>
          <w:b w:val="false"/>
          <w:color w:val="000000"/>
          <w:sz w:val="16"/>
        </w:rPr>
        <w:t>Non-GAAP financial measures. See "Non-GAAP Financial Measures" for additional information.</w:t>
      </w:r>
    </w:p>
    <w:p>
      <w:pPr>
        <w:pStyle w:val="TextBody"/>
        <w:bidi w:val="0"/>
        <w:spacing w:lineRule="auto" w:line="288" w:before="0" w:after="240"/>
        <w:ind w:left="0" w:right="0" w:hanging="360"/>
        <w:jc w:val="left"/>
        <w:rPr/>
      </w:pPr>
      <w:r>
        <w:rPr>
          <w:rFonts w:ascii="Arial;sans-serif" w:hAnsi="Arial;sans-serif"/>
          <w:b w:val="false"/>
          <w:color w:val="000000"/>
          <w:sz w:val="10"/>
        </w:rPr>
        <w:t>(4)    </w:t>
      </w:r>
      <w:r>
        <w:rPr>
          <w:rFonts w:ascii="Arial;sans-serif" w:hAnsi="Arial;sans-serif"/>
          <w:b w:val="false"/>
          <w:color w:val="000000"/>
          <w:sz w:val="16"/>
        </w:rPr>
        <w:t>Excluding the impact of transaction costs primarily related to the divestitures and the eye care acquisitions of $79 million, free cash flow for the nine months ended September 30, 2023 was $2.19 billion.</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40" w:after="240"/>
        <w:jc w:val="both"/>
        <w:rPr>
          <w:rFonts w:ascii="Arial;sans-serif" w:hAnsi="Arial;sans-serif"/>
          <w:b/>
          <w:color w:val="4C16AE"/>
          <w:sz w:val="20"/>
        </w:rPr>
      </w:pPr>
      <w:r>
        <w:rPr>
          <w:rFonts w:ascii="Arial;sans-serif" w:hAnsi="Arial;sans-serif"/>
          <w:b/>
          <w:color w:val="4C16AE"/>
          <w:sz w:val="20"/>
        </w:rPr>
        <w:t>Financial Highlights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Third quarter 2023 total net sales totaled $3.93 billion, up 1% on a divestiture-adjusted operational basis</w:t>
      </w:r>
      <w:r>
        <w:rPr>
          <w:color w:val="000000"/>
        </w:rPr>
        <w:t xml:space="preserve"> </w:t>
      </w:r>
      <w:r>
        <w:rPr>
          <w:rFonts w:ascii="Arial;sans-serif" w:hAnsi="Arial;sans-serif"/>
          <w:b w:val="false"/>
          <w:color w:val="000000"/>
          <w:sz w:val="20"/>
        </w:rPr>
        <w:t>(as defined in "Certain Key Terms and Presentation Matters" below) compared to Q3 2022 results.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Brands performed in line with expectations, reflecting solid year-over-year performance in key brands including Yupelri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Dymista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sales from Tyrvaya</w:t>
      </w:r>
      <w:r>
        <w:rPr>
          <w:rFonts w:ascii="Arial;sans-serif" w:hAnsi="Arial;sans-serif"/>
          <w:b w:val="false"/>
          <w:color w:val="000000"/>
          <w:sz w:val="13"/>
        </w:rPr>
        <w:t>®</w:t>
      </w:r>
      <w:r>
        <w:rPr>
          <w:rFonts w:ascii="Arial;sans-serif" w:hAnsi="Arial;sans-serif"/>
          <w:b w:val="false"/>
          <w:color w:val="000000"/>
          <w:sz w:val="20"/>
        </w:rPr>
        <w:t xml:space="preserve">.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Complex generics performed slightly below expectations due to phasing of new product launches.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Generics, which include diversified product forms such as oral solids, injectables, transdermals and topicals, performed ahead of expectations due to solid performance across broader portfolio in Developed and Emerging Markets.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Company generated approximately $135 million in new product revenues (as defined in "Certain Key Terms and Presentation Matters" below) in the third quarter (approximately $345 million for the year to date) primarily driven by lenalidomide and Breyna™ in the U.S. We expect to deliver more than $450 million in new product revenues in 2023.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 had U.S. GAAP net cash provided by operating activities of $834 million in the third quarter ($2.32 billion for the year to date) and generated $738 million of free cash flow in the third quarter ($2.11 billion for the year to date), primarily driven by strong operating results and the timing of planned capital expenditures. U.S. GAAP net cash provided by operating activities and free cash flow for the third quarter included approximately $48 million ($79 million for the year to date) of transaction costs primarily related to the eye care acquisitions and the divestitures.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 paid down $23 million in debt in the third quarter ($750 million for the year to date). The Company remains fully committed to maintaining its investment grade credit rating.</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4C16AE"/>
          <w:sz w:val="20"/>
        </w:rPr>
      </w:pPr>
      <w:r>
        <w:rPr>
          <w:rFonts w:ascii="Arial;sans-serif" w:hAnsi="Arial;sans-serif"/>
          <w:b/>
          <w:color w:val="4C16AE"/>
          <w:sz w:val="20"/>
        </w:rPr>
        <w:t>Certain Key Terms and Presentation Matters</w:t>
      </w:r>
    </w:p>
    <w:p>
      <w:pPr>
        <w:pStyle w:val="TextBody"/>
        <w:bidi w:val="0"/>
        <w:spacing w:lineRule="auto" w:line="288" w:before="0" w:after="240"/>
        <w:jc w:val="left"/>
        <w:rPr/>
      </w:pPr>
      <w:r>
        <w:rPr>
          <w:rFonts w:ascii="Arial;sans-serif" w:hAnsi="Arial;sans-serif"/>
          <w:b w:val="false"/>
          <w:color w:val="000000"/>
          <w:sz w:val="20"/>
          <w:u w:val="single"/>
        </w:rPr>
        <w:t>New product sales, new product launches or new product revenues:</w:t>
      </w:r>
      <w:r>
        <w:rPr>
          <w:color w:val="000000"/>
        </w:rPr>
        <w:t xml:space="preserve"> </w:t>
      </w:r>
      <w:r>
        <w:rPr>
          <w:rFonts w:ascii="Arial;sans-serif" w:hAnsi="Arial;sans-serif"/>
          <w:b w:val="false"/>
          <w:color w:val="000000"/>
          <w:sz w:val="20"/>
        </w:rPr>
        <w:t>Refers to revenue from new products launched in 2023 and the carryover impact of new products, including business development, launched within the last twelve months.</w:t>
      </w:r>
    </w:p>
    <w:p>
      <w:pPr>
        <w:pStyle w:val="TextBody"/>
        <w:bidi w:val="0"/>
        <w:spacing w:lineRule="auto" w:line="288" w:before="0" w:after="0"/>
        <w:jc w:val="left"/>
        <w:rPr/>
      </w:pPr>
      <w:r>
        <w:rPr>
          <w:rFonts w:ascii="Arial;sans-serif" w:hAnsi="Arial;sans-serif"/>
          <w:b w:val="false"/>
          <w:color w:val="000000"/>
          <w:sz w:val="20"/>
          <w:u w:val="single"/>
        </w:rPr>
        <w:t>Operational change:</w:t>
      </w:r>
      <w:r>
        <w:rPr>
          <w:color w:val="000000"/>
        </w:rPr>
        <w:t xml:space="preserve"> </w:t>
      </w:r>
      <w:r>
        <w:rPr>
          <w:rFonts w:ascii="Arial;sans-serif" w:hAnsi="Arial;sans-serif"/>
          <w:b w:val="false"/>
          <w:color w:val="000000"/>
          <w:sz w:val="20"/>
        </w:rPr>
        <w:t>Refers to constant currency percentage changes and is derived by translating amounts for the current period at prior year comparative period exchange rates, and in doing so shows the percentage change from 2023 constant currency net sales, revenues and adjusted EBITDA to the corresponding amount in the prior year.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u w:val="single"/>
        </w:rPr>
        <w:t>Divestiture-adjusted operational change:</w:t>
      </w:r>
      <w:r>
        <w:rPr>
          <w:color w:val="000000"/>
        </w:rPr>
        <w:t xml:space="preserve"> </w:t>
      </w:r>
      <w:r>
        <w:rPr>
          <w:rFonts w:ascii="Arial;sans-serif" w:hAnsi="Arial;sans-serif"/>
          <w:b w:val="false"/>
          <w:color w:val="000000"/>
          <w:sz w:val="20"/>
        </w:rPr>
        <w:t xml:space="preserve">Refers to operational changes, further adjusted for the impact of the biosimilars divestiture in November 2022 by excluding biosimilars net sales from 2022 periods, and a reclassification to conform prior year-to-date amounts to current year presentation of divestiture-adjusted operational net sales.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u w:val="single"/>
        </w:rPr>
        <w:t>SG&amp;A and R&amp;D TSA reimbursement:</w:t>
      </w:r>
      <w:r>
        <w:rPr>
          <w:color w:val="000000"/>
        </w:rPr>
        <w:t xml:space="preserve"> </w:t>
      </w:r>
      <w:r>
        <w:rPr>
          <w:rFonts w:ascii="Arial;sans-serif" w:hAnsi="Arial;sans-serif"/>
          <w:b w:val="false"/>
          <w:color w:val="000000"/>
          <w:sz w:val="20"/>
        </w:rPr>
        <w:t>Expenses related to TSA services provided to Biocon Biologics are recorded in their respective functional line item; however, reimbursement of those expenses plus the mark-up is included in other (income) expense, net. For comparability purposes, amounts related to the cost reimbursement are reclassified to adjusted SG&amp;A and adjusted R&amp;D. This reclassification has no impact on adjusted net earnings or adjusted EBITDA.</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left"/>
        <w:rPr>
          <w:rFonts w:ascii="Arial;sans-serif" w:hAnsi="Arial;sans-serif"/>
          <w:b/>
          <w:color w:val="4C16AE"/>
          <w:sz w:val="20"/>
        </w:rPr>
      </w:pPr>
      <w:r>
        <w:rPr>
          <w:rFonts w:ascii="Arial;sans-serif" w:hAnsi="Arial;sans-serif"/>
          <w:b/>
          <w:color w:val="4C16AE"/>
          <w:sz w:val="20"/>
        </w:rPr>
        <w:t>Non-GAAP Financial Measures</w:t>
      </w:r>
    </w:p>
    <w:p>
      <w:pPr>
        <w:pStyle w:val="TextBody"/>
        <w:bidi w:val="0"/>
        <w:spacing w:lineRule="auto" w:line="268" w:before="0" w:after="0"/>
        <w:jc w:val="left"/>
        <w:rPr/>
      </w:pPr>
      <w:r>
        <w:rPr>
          <w:rFonts w:ascii="Arial;sans-serif" w:hAnsi="Arial;sans-serif"/>
          <w:b w:val="false"/>
          <w:color w:val="000000"/>
          <w:sz w:val="20"/>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free cash flow excluding the impact of transaction costs; adjusted R&amp;D and as a % of total revenues, adjusted SG&amp;A and as a % of total revenues, adjusted earnings from operations, adjusted interest expense, adjusted other (income) expense, net, adjusted effective tax rate, constant currency total revenues, constant currency net sales, constant currency adjusted EBITDA, 2022 adjusted net sales ex biosimilars and other, operational change, and divestiture-adjusted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the biosimilars divestiture in November 2022 by excluding biosimilars net sales from 2022 periods, and a reclassification to conform prior year amounts to current year presentation of divestiture-adjusted operational net sales. The "Summary of Total Revenues by Segment" table below compares net sales on an actual and constant currency basis for each reportable segment for the quarters and nine months ended September 30, 2023 and 2022 as well as for total revenues, as well as divestiture-adjusted operational change in net sales.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September 30, 2023.</w:t>
      </w:r>
      <w:r>
        <w:rPr>
          <w:color w:val="000000"/>
        </w:rPr>
        <w:t xml:space="preserve"> </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left"/>
        <w:rPr>
          <w:rFonts w:ascii="Arial;sans-serif" w:hAnsi="Arial;sans-serif"/>
          <w:b/>
          <w:color w:val="4C16AE"/>
          <w:sz w:val="20"/>
        </w:rPr>
      </w:pPr>
      <w:r>
        <w:rPr>
          <w:rFonts w:ascii="Arial;sans-serif" w:hAnsi="Arial;sans-serif"/>
          <w:b/>
          <w:color w:val="4C16AE"/>
          <w:sz w:val="20"/>
        </w:rPr>
        <w:t>About Viatris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In 2022 alone, we supplied high-quality medicines to approximately 1 billion patients around the world.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have the ability to touch all of life's moments, from birth to end of life, acute conditions to chronic diseases. We are headquartered in the U.S., with global centers in Pittsburgh, Shanghai and Hyderabad, India. Learn more at viatris.com and investor.viatris.com, and connect with us on Twitter, LinkedIn, Instagram and YouTube.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4C16AE"/>
          <w:sz w:val="20"/>
        </w:rPr>
      </w:pPr>
      <w:r>
        <w:rPr>
          <w:rFonts w:ascii="Arial;sans-serif" w:hAnsi="Arial;sans-serif"/>
          <w:b/>
          <w:color w:val="4C16AE"/>
          <w:sz w:val="20"/>
        </w:rPr>
        <w:t>Forward-Looking Statements</w:t>
      </w:r>
    </w:p>
    <w:p>
      <w:pPr>
        <w:pStyle w:val="TextBody"/>
        <w:bidi w:val="0"/>
        <w:spacing w:lineRule="auto" w:line="268"/>
        <w:jc w:val="left"/>
        <w:rPr/>
      </w:pPr>
      <w:r>
        <w:rPr>
          <w:rFonts w:ascii="Arial;sans-serif" w:hAnsi="Arial;sans-serif"/>
          <w:b w:val="false"/>
          <w:color w:val="000000"/>
          <w:sz w:val="20"/>
        </w:rPr>
        <w:t xml:space="preserve">This release contains “forward-looking statements”. These statements are made pursuant to the safe harbor provisions of the Private Securities Litigation Reform Act of 1995. Such forward-looking statements may include, without limitation, </w:t>
      </w:r>
      <w:r>
        <w:rPr>
          <w:rFonts w:ascii="Arial;sans-serif" w:hAnsi="Arial;sans-serif"/>
          <w:b w:val="false"/>
          <w:color w:val="000000"/>
          <w:sz w:val="20"/>
          <w:shd w:fill="FFFFFF" w:val="clear"/>
        </w:rPr>
        <w:t xml:space="preserve">2023 financial guidance; Viatris reaffirms full-year 2023 adjusted EBITDA and free cash flow guidance ranges; strong results signal continuation of growth journey with second consecutive quarter of year-over-year operational revenue growth on a divestiture-adjusted basis; revises full-year total revenues guidance range solely to reflect the expected negative impact of foreign exchange; on track to complete all planned divestitures by the end of the first half of 2024, </w:t>
      </w:r>
      <w:r>
        <w:rPr>
          <w:rFonts w:ascii="Arial;sans-serif" w:hAnsi="Arial;sans-serif"/>
          <w:b w:val="false"/>
          <w:color w:val="000000"/>
          <w:sz w:val="20"/>
        </w:rPr>
        <w:t xml:space="preserve">subject to regulatory approvals, completion of any consultations with employee representatives (where applicable), receipt of required consents and other closing conditions, including, in the case of the API business divestiture, a financing condition; these results are an indication of the continuing momentum we are building as we prepare to bring Phase 1 of our strategic plan to successful completion; operationally, we are continuing to see strong performance globally across our businesses; we are now shifting our focus to Phase 2 and to adding to the strength of our stable base by building the business in areas with the greatest potential for growth, patient impact and shareholder value; as a result of our continued advancement of our robust and deep pipeline, we are on track to deliver $450 million to $550 million in new product revenue annually from new launches, which supports the predictability of our core business; we believe the stable global platform we have built and our consistent performance sets Viatris up well for continued future growth; the diversity of our global portfolio and platforms continue to drive strong gross margins; our solid and continued durable free cash flow generation has served to further strengthen our balance sheet while returning significant capital to shareholders; based on the underlying fundamentals of our business, we believe we are well positioned to deliver on our financial guidance for the remainder of 2023 and for a strong start to 2024; 2023 financial guidance update; strong year-to-date operational revenue performance and full-year trending in line with expectation; adjusting the guidance range for total revenues solely due to foreign exchange headwinds of ~2% if October rates hold for remainder of the year; expects to absorb foreign exchange headwinds and be at the midpoint of 2023 guidance ranges for adjusted EBITDA and free cash flow; raising adjusted gross margin key metric range to 58.5%-59.0% based on strong year-to-date performance; Viatris announced that, on November 6, 2023, its Board of Directors declared a quarterly dividend of twelve cents ($0.12) for each issued and outstanding share of the Company's common stock payable on December 15, 2023, to shareholders of record at the close of business on November 24, 2023; we expect to deliver more than $450 million in new product revenues in 2023; the goals or outlooks with respect to the Viatris Inc.’s (“Viatris” or the “Company”) strategic initiatives, including but not limited to the Company’s two-phased strategic vision and potential and announced divestitures (including an offer for the divestiture of substantially all of the Company’s over-the-counter (“OTC”) business and definitive agreements to divest the Company’s women’s healthcare business and, separately, in another transaction, the Company’s rights to two women’s healthcare products, the Company’s active pharmaceutical ingredient business in India and commercialization rights in select geographic markets that were part of Mylan N.V. combining with Pfizer Inc.'s off-patent branded and generic established medicines business in a Reverse Morris Trust transaction to form Viatris on November 16, 2020 (the “Combination”) that are smaller in nature and in which we had no established infrastructure prior to or following the Combination </w:t>
      </w:r>
      <w:r>
        <w:rPr>
          <w:rFonts w:ascii="Arial;sans-serif" w:hAnsi="Arial;sans-serif"/>
          <w:b w:val="false"/>
          <w:color w:val="000000"/>
          <w:sz w:val="18"/>
        </w:rPr>
        <w:t>(the "Upjohn Distributor Markets")</w:t>
      </w:r>
      <w:r>
        <w:rPr>
          <w:rFonts w:ascii="Arial;sans-serif" w:hAnsi="Arial;sans-serif"/>
          <w:b w:val="false"/>
          <w:color w:val="000000"/>
          <w:sz w:val="20"/>
        </w:rPr>
        <w:t xml:space="preserve">)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(including but not limited to announced divestitures); the possibility that the Company may be unable to achieve intended or expected benefits, goals, outlooks, synergies and operating efficiencies in connection with acquisitions, divestitures, or its global restructuring program within the expected timeframe or at all; with respect to previously announced divestitures, such divestitures not being completed on the expected timelines or at all, the risk that the conditions set forth in the definitive agreements with respect to such divestitures will not be satisfied or waived, failure to realize the total transaction values for the divestitures and/or the expected proceeds for any or all such divestitures, including as a result of any purchase price adjustment or a failure to achieve any conditions to the payment of any contingent consideration, the risk that the Company may elect not to exercise its option to accept the offer in the OTC transaction, and that the Company expects to incur a significant loss related to the OTC divestiture; goodwill or other impairment charges or other losses related to the divestiture or sale of businesses or assets (including but not limited to announced divestitures);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2022, as amended, Part II, Item 1A of the Company’s Quarterly Report on Form 10-Q for the three months ended September 30, 2023,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rFonts w:ascii="Arial;sans-serif" w:hAnsi="Arial;sans-serif"/>
          <w:b/>
          <w:color w:val="4C16AE"/>
          <w:sz w:val="20"/>
        </w:rPr>
      </w:pPr>
      <w:r>
        <w:rPr>
          <w:rFonts w:ascii="Arial;sans-serif" w:hAnsi="Arial;sans-serif"/>
          <w:b/>
          <w:color w:val="4C16AE"/>
          <w:sz w:val="20"/>
        </w:rPr>
        <w:t>Contacts</w:t>
      </w:r>
    </w:p>
    <w:tbl>
      <w:tblPr>
        <w:tblW w:w="6430" w:type="dxa"/>
        <w:jc w:val="left"/>
        <w:tblInd w:w="0" w:type="dxa"/>
        <w:tblLayout w:type="fixed"/>
        <w:tblCellMar>
          <w:top w:w="28" w:type="dxa"/>
          <w:left w:w="28" w:type="dxa"/>
          <w:bottom w:w="28" w:type="dxa"/>
          <w:right w:w="28" w:type="dxa"/>
        </w:tblCellMar>
      </w:tblPr>
      <w:tblGrid>
        <w:gridCol w:w="1008"/>
        <w:gridCol w:w="887"/>
        <w:gridCol w:w="895"/>
        <w:gridCol w:w="109"/>
        <w:gridCol w:w="109"/>
        <w:gridCol w:w="109"/>
        <w:gridCol w:w="976"/>
        <w:gridCol w:w="976"/>
        <w:gridCol w:w="98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+1.724.514.1968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 Szablewski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Communications@viatris.com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+1.412.707.2866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InvestorRelations@viatris.com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Jennifer Mauer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William.Szablewski@viatris.com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Jennifer.Mauer@viatris.com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Matthew.Klein@viatris.com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Viatris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693"/>
        <w:gridCol w:w="1463"/>
        <w:gridCol w:w="1468"/>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5"/>
      </w:tblGrid>
      <w:tr>
        <w:trPr/>
        <w:tc>
          <w:tcPr>
            <w:tcW w:w="169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IPR&amp;D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Viatris Inc. shareholders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Viatris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8163" w:type="dxa"/>
        <w:jc w:val="center"/>
        <w:tblInd w:w="0" w:type="dxa"/>
        <w:tblLayout w:type="fixed"/>
        <w:tblCellMar>
          <w:top w:w="28" w:type="dxa"/>
          <w:left w:w="28" w:type="dxa"/>
          <w:bottom w:w="28" w:type="dxa"/>
          <w:right w:w="28" w:type="dxa"/>
        </w:tblCellMar>
      </w:tblPr>
      <w:tblGrid>
        <w:gridCol w:w="1945"/>
        <w:gridCol w:w="1710"/>
        <w:gridCol w:w="1715"/>
        <w:gridCol w:w="218"/>
        <w:gridCol w:w="900"/>
        <w:gridCol w:w="112"/>
        <w:gridCol w:w="109"/>
        <w:gridCol w:w="109"/>
        <w:gridCol w:w="109"/>
        <w:gridCol w:w="211"/>
        <w:gridCol w:w="871"/>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816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6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other long-term obligations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8813" w:type="dxa"/>
        <w:jc w:val="left"/>
        <w:tblInd w:w="0" w:type="dxa"/>
        <w:tblLayout w:type="fixed"/>
        <w:tblCellMar>
          <w:top w:w="28" w:type="dxa"/>
          <w:left w:w="28" w:type="dxa"/>
          <w:bottom w:w="28" w:type="dxa"/>
          <w:right w:w="28" w:type="dxa"/>
        </w:tblCellMar>
      </w:tblPr>
      <w:tblGrid>
        <w:gridCol w:w="973"/>
        <w:gridCol w:w="855"/>
        <w:gridCol w:w="857"/>
        <w:gridCol w:w="329"/>
        <w:gridCol w:w="962"/>
        <w:gridCol w:w="170"/>
        <w:gridCol w:w="329"/>
        <w:gridCol w:w="962"/>
        <w:gridCol w:w="170"/>
        <w:gridCol w:w="109"/>
        <w:gridCol w:w="109"/>
        <w:gridCol w:w="109"/>
        <w:gridCol w:w="274"/>
        <w:gridCol w:w="995"/>
        <w:gridCol w:w="141"/>
        <w:gridCol w:w="274"/>
        <w:gridCol w:w="995"/>
        <w:gridCol w:w="200"/>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881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Viatris Inc. and Subsidiaries</w:t>
            </w:r>
          </w:p>
        </w:tc>
      </w:tr>
      <w:tr>
        <w:trPr/>
        <w:tc>
          <w:tcPr>
            <w:tcW w:w="881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Key Product Net Sales, on a Consolidated Basis</w:t>
            </w:r>
          </w:p>
        </w:tc>
      </w:tr>
      <w:tr>
        <w:trPr/>
        <w:tc>
          <w:tcPr>
            <w:tcW w:w="881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Select Key Global Products</w:t>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Lipitor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Norvasc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Lyrica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EpiPen® Auto-Injectors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Viagra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Celebrex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Creon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Effexor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Zoloft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Xalabrands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Select Key Segment Products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Influvac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Yupelri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Dymista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Amitiza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Xanax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(a)    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ans-serif" w:hAnsi="Times New Roman;sans-serif"/>
          <w:b w:val="false"/>
          <w:color w:val="000000"/>
          <w:sz w:val="16"/>
        </w:rPr>
        <w:t>(b)</w:t>
      </w:r>
      <w:r>
        <w:rPr>
          <w:color w:val="000000"/>
        </w:rPr>
        <w:t>    </w:t>
      </w:r>
      <w:r>
        <w:rPr>
          <w:rFonts w:ascii="Arial;sans-serif" w:hAnsi="Arial;sans-serif"/>
          <w:b w:val="false"/>
          <w:color w:val="000000"/>
          <w:sz w:val="16"/>
        </w:rPr>
        <w:t>Products disclosed may change in future periods, including as a result of seasonality, competition or new product launches.</w:t>
      </w:r>
    </w:p>
    <w:p>
      <w:pPr>
        <w:pStyle w:val="TextBody"/>
        <w:bidi w:val="0"/>
        <w:spacing w:lineRule="auto" w:line="288" w:before="0" w:after="60"/>
        <w:ind w:left="0" w:right="0" w:hanging="360"/>
        <w:jc w:val="both"/>
        <w:rPr/>
      </w:pPr>
      <w:r>
        <w:rPr>
          <w:rFonts w:ascii="Times New Roman;sans-serif" w:hAnsi="Times New Roman;sans-serif"/>
          <w:b w:val="false"/>
          <w:color w:val="000000"/>
          <w:sz w:val="16"/>
        </w:rPr>
        <w:t>(c)</w:t>
      </w:r>
      <w:r>
        <w:rPr>
          <w:color w:val="000000"/>
        </w:rPr>
        <w:t>    </w:t>
      </w:r>
      <w:r>
        <w:rPr>
          <w:rFonts w:ascii="Arial;sans-serif" w:hAnsi="Arial;sans-serif"/>
          <w:b w:val="false"/>
          <w:color w:val="000000"/>
          <w:sz w:val="16"/>
        </w:rPr>
        <w:t>Amounts for the three and nine months ended September 30, 2023 include the impact of foreign currency translations compared to the prior year period.</w:t>
      </w:r>
    </w:p>
    <w:p>
      <w:pPr>
        <w:pStyle w:val="TextBody"/>
        <w:bidi w:val="0"/>
        <w:spacing w:before="0" w:after="60"/>
        <w:ind w:left="0" w:right="0" w:hanging="360"/>
        <w:jc w:val="both"/>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Viatris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Non-GAAP Financial Measures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Reconciliation of U.S. GAAP Net Earnings to Adjusted Net Earnings</w:t>
      </w:r>
    </w:p>
    <w:p>
      <w:pPr>
        <w:pStyle w:val="TextBody"/>
        <w:bidi w:val="0"/>
        <w:spacing w:lineRule="auto" w:line="288" w:before="0" w:after="60"/>
        <w:jc w:val="left"/>
        <w:rPr/>
      </w:pPr>
      <w:r>
        <w:rPr>
          <w:rFonts w:ascii="Arial;sans-serif" w:hAnsi="Arial;sans-serif"/>
          <w:b w:val="false"/>
          <w:color w:val="000000"/>
          <w:sz w:val="20"/>
        </w:rPr>
        <w:t>Below is a reconciliation of U.S. GAAP net earnings to adjusted net earnings for the three and nine months ended September 30, 2023 compared to the prior year periods: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95"/>
        <w:gridCol w:w="770"/>
        <w:gridCol w:w="772"/>
        <w:gridCol w:w="264"/>
        <w:gridCol w:w="774"/>
        <w:gridCol w:w="136"/>
        <w:gridCol w:w="136"/>
        <w:gridCol w:w="158"/>
        <w:gridCol w:w="136"/>
        <w:gridCol w:w="136"/>
        <w:gridCol w:w="136"/>
        <w:gridCol w:w="211"/>
        <w:gridCol w:w="766"/>
        <w:gridCol w:w="109"/>
        <w:gridCol w:w="290"/>
        <w:gridCol w:w="290"/>
        <w:gridCol w:w="290"/>
        <w:gridCol w:w="290"/>
        <w:gridCol w:w="492"/>
        <w:gridCol w:w="211"/>
        <w:gridCol w:w="766"/>
        <w:gridCol w:w="109"/>
        <w:gridCol w:w="109"/>
        <w:gridCol w:w="109"/>
        <w:gridCol w:w="109"/>
        <w:gridCol w:w="211"/>
        <w:gridCol w:w="766"/>
        <w:gridCol w:w="164"/>
      </w:tblGrid>
      <w:tr>
        <w:trPr/>
        <w:tc>
          <w:tcPr>
            <w:tcW w:w="14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6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2554" w:type="dxa"/>
            <w:gridSpan w:val="9"/>
            <w:tcBorders/>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2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2554" w:type="dxa"/>
            <w:gridSpan w:val="9"/>
            <w:tcBorders/>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earnings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related amortization (primarily included in cost of sales) </w:t>
            </w:r>
            <w:r>
              <w:rPr>
                <w:rFonts w:ascii="Arial;sans-serif" w:hAnsi="Arial;sans-serif"/>
                <w:b w:val="false"/>
                <w:color w:val="000000"/>
                <w:sz w:val="12"/>
              </w:rPr>
              <w:t>(a)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(primarily amortization of premiums and discounts on long term debt)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Acquisition and divestiture-related costs (primarily included in SG&amp;A) </w:t>
            </w:r>
            <w:r>
              <w:rPr>
                <w:rFonts w:ascii="Arial;sans-serif" w:hAnsi="Arial;sans-serif"/>
                <w:b w:val="false"/>
                <w:color w:val="000000"/>
                <w:sz w:val="12"/>
              </w:rPr>
              <w:t>(b)</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related costs </w:t>
            </w:r>
            <w:r>
              <w:rPr>
                <w:rFonts w:ascii="Arial;sans-serif" w:hAnsi="Arial;sans-serif"/>
                <w:b w:val="false"/>
                <w:color w:val="000000"/>
                <w:sz w:val="12"/>
              </w:rPr>
              <w:t>(c)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special items included in:</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Cost of sales </w:t>
            </w:r>
            <w:r>
              <w:rPr>
                <w:rFonts w:ascii="Arial;sans-serif" w:hAnsi="Arial;sans-serif"/>
                <w:b w:val="false"/>
                <w:color w:val="000000"/>
                <w:sz w:val="12"/>
              </w:rPr>
              <w:t>(d)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net </w:t>
            </w:r>
            <w:r>
              <w:rPr>
                <w:rFonts w:ascii="Arial;sans-serif" w:hAnsi="Arial;sans-serif"/>
                <w:b w:val="false"/>
                <w:color w:val="000000"/>
                <w:sz w:val="12"/>
              </w:rPr>
              <w:t>(e)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effect of the above items and other income tax related items</w:t>
            </w:r>
            <w:r>
              <w:rPr>
                <w:color w:val="000000"/>
              </w:rPr>
              <w:t xml:space="preserve"> </w:t>
            </w:r>
            <w:r>
              <w:rPr>
                <w:rFonts w:ascii="Arial;sans-serif" w:hAnsi="Arial;sans-serif"/>
                <w:b w:val="false"/>
                <w:color w:val="000000"/>
                <w:sz w:val="12"/>
              </w:rPr>
              <w:t>(f)</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earnings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Significant items include the following:</w:t>
      </w:r>
    </w:p>
    <w:p>
      <w:pPr>
        <w:pStyle w:val="TextBody"/>
        <w:bidi w:val="0"/>
        <w:spacing w:lineRule="auto" w:line="288" w:before="0" w:after="60"/>
        <w:ind w:left="0" w:right="0" w:hanging="360"/>
        <w:jc w:val="left"/>
        <w:rPr/>
      </w:pPr>
      <w:r>
        <w:rPr>
          <w:rFonts w:ascii="Arial;sans-serif" w:hAnsi="Arial;sans-serif"/>
          <w:b w:val="false"/>
          <w:color w:val="000000"/>
          <w:sz w:val="12"/>
        </w:rPr>
        <w:t>(a)</w:t>
      </w:r>
      <w:r>
        <w:rPr>
          <w:color w:val="000000"/>
        </w:rPr>
        <w:t>    </w:t>
      </w:r>
      <w:r>
        <w:rPr>
          <w:rFonts w:ascii="Arial;sans-serif" w:hAnsi="Arial;sans-serif"/>
          <w:b w:val="false"/>
          <w:color w:val="000000"/>
          <w:sz w:val="18"/>
        </w:rPr>
        <w:t>For the nine months ended September 30, 2023, charges include an intangible asset charge of approximately $32.0 million related to the planned divestiture of the Upjohn Distributor Markets to write down the disposal group to fair value, less cost to sell. Also includes amortization of the step-up in the fair value of inventory related to the Oyster Point Pharma Inc. acquisition of approximately $7.3 million and $22.0 million, for the three and nine months ended September 30, 2023, respectively.</w:t>
      </w:r>
    </w:p>
    <w:p>
      <w:pPr>
        <w:pStyle w:val="TextBody"/>
        <w:bidi w:val="0"/>
        <w:spacing w:lineRule="auto" w:line="288" w:before="0" w:after="60"/>
        <w:ind w:left="0" w:right="0" w:hanging="360"/>
        <w:jc w:val="left"/>
        <w:rPr/>
      </w:pPr>
      <w:r>
        <w:rPr>
          <w:rFonts w:ascii="Arial;sans-serif" w:hAnsi="Arial;sans-serif"/>
          <w:b w:val="false"/>
          <w:color w:val="000000"/>
          <w:sz w:val="12"/>
        </w:rPr>
        <w:t>(b)</w:t>
      </w:r>
      <w:r>
        <w:rPr>
          <w:color w:val="000000"/>
        </w:rPr>
        <w:t>    </w:t>
      </w:r>
      <w:r>
        <w:rPr>
          <w:rFonts w:ascii="Arial;sans-serif" w:hAnsi="Arial;sans-serif"/>
          <w:b w:val="false"/>
          <w:color w:val="000000"/>
          <w:sz w:val="18"/>
        </w:rPr>
        <w:t xml:space="preserve">Acquisition and divestiture-related costs consist primarily of transaction costs including legal and consulting fees and integration activities. </w:t>
      </w:r>
    </w:p>
    <w:p>
      <w:pPr>
        <w:pStyle w:val="TextBody"/>
        <w:bidi w:val="0"/>
        <w:spacing w:lineRule="auto" w:line="288" w:before="0" w:after="60"/>
        <w:ind w:left="0" w:right="0" w:hanging="360"/>
        <w:jc w:val="left"/>
        <w:rPr/>
      </w:pPr>
      <w:r>
        <w:rPr>
          <w:rFonts w:ascii="Arial;sans-serif" w:hAnsi="Arial;sans-serif"/>
          <w:b w:val="false"/>
          <w:color w:val="000000"/>
          <w:sz w:val="12"/>
        </w:rPr>
        <w:t>(c)</w:t>
      </w:r>
      <w:r>
        <w:rPr>
          <w:color w:val="000000"/>
        </w:rPr>
        <w:t>    </w:t>
      </w:r>
      <w:r>
        <w:rPr>
          <w:rFonts w:ascii="Arial;sans-serif" w:hAnsi="Arial;sans-serif"/>
          <w:b w:val="false"/>
          <w:color w:val="000000"/>
          <w:sz w:val="18"/>
        </w:rPr>
        <w:t>For the three and nine months ended September 30, 2023, charges include approximately $9.1 million and $88.9 million, respectively, in cost of sales and approximately $5.8 million and $9.8 million, respectively, in SG&amp;A.</w:t>
      </w:r>
    </w:p>
    <w:p>
      <w:pPr>
        <w:pStyle w:val="TextBody"/>
        <w:bidi w:val="0"/>
        <w:spacing w:lineRule="auto" w:line="288" w:before="0" w:after="60"/>
        <w:ind w:left="0" w:right="0" w:hanging="360"/>
        <w:jc w:val="left"/>
        <w:rPr/>
      </w:pPr>
      <w:r>
        <w:rPr>
          <w:rFonts w:ascii="Arial;sans-serif" w:hAnsi="Arial;sans-serif"/>
          <w:b w:val="false"/>
          <w:color w:val="000000"/>
          <w:sz w:val="12"/>
        </w:rPr>
        <w:t>(d)</w:t>
      </w:r>
      <w:r>
        <w:rPr>
          <w:color w:val="000000"/>
        </w:rPr>
        <w:t>    </w:t>
      </w:r>
      <w:r>
        <w:rPr>
          <w:rFonts w:ascii="Arial;sans-serif" w:hAnsi="Arial;sans-serif"/>
          <w:b w:val="false"/>
          <w:color w:val="000000"/>
          <w:sz w:val="18"/>
        </w:rPr>
        <w:t>For the three and nine months ended September 30, 2023, charges include incremental manufacturing variances at plants in the 2020 restructuring program of approximately $1.0 million and $36.6 million, respectively. For the nine months ended September 30, 2023, also includes charges related to the planned divestiture of the Upjohn Distributor Markets of approximately $19.2 million.</w:t>
      </w:r>
    </w:p>
    <w:p>
      <w:pPr>
        <w:pStyle w:val="TextBody"/>
        <w:bidi w:val="0"/>
        <w:spacing w:lineRule="auto" w:line="288" w:before="0" w:after="60"/>
        <w:ind w:left="0" w:right="0" w:hanging="360"/>
        <w:jc w:val="left"/>
        <w:rPr/>
      </w:pPr>
      <w:r>
        <w:rPr>
          <w:rFonts w:ascii="Arial;sans-serif" w:hAnsi="Arial;sans-serif"/>
          <w:b w:val="false"/>
          <w:color w:val="000000"/>
          <w:sz w:val="12"/>
        </w:rPr>
        <w:t>(e)     </w:t>
      </w:r>
      <w:r>
        <w:rPr>
          <w:rFonts w:ascii="Arial;sans-serif" w:hAnsi="Arial;sans-serif"/>
          <w:b w:val="false"/>
          <w:color w:val="000000"/>
          <w:sz w:val="18"/>
        </w:rPr>
        <w:t>For the three months ended September 30, 2023, includes a gain of approximately $19.1 million as a result of remeasuring the compulsory convertible preferred shares ("CCPS") in Biocon Biologics Limited ("Biocon Biologics") to fair value. For the nine months ended September 30, 2023, includes gains of approximately $115.1 million as a result of remeasuring our non-marketable equity investments to fair value, including our equity interests in Mapi Pharma Limited ("Mapi") and Famy Life Sciences Private Limited ("Famy Life Sciences") and the CCPS in Biocon Biologics.</w:t>
      </w:r>
    </w:p>
    <w:p>
      <w:pPr>
        <w:pStyle w:val="TextBody"/>
        <w:bidi w:val="0"/>
        <w:spacing w:lineRule="auto" w:line="288" w:before="0" w:after="60"/>
        <w:ind w:left="0" w:right="0" w:hanging="360"/>
        <w:jc w:val="left"/>
        <w:rPr/>
      </w:pPr>
      <w:r>
        <w:rPr>
          <w:rFonts w:ascii="Arial;sans-serif" w:hAnsi="Arial;sans-serif"/>
          <w:b w:val="false"/>
          <w:color w:val="000000"/>
          <w:sz w:val="12"/>
        </w:rPr>
        <w:t>(f)     </w:t>
      </w:r>
      <w:r>
        <w:rPr>
          <w:rFonts w:ascii="Arial;sans-serif" w:hAnsi="Arial;sans-serif"/>
          <w:b w:val="false"/>
          <w:color w:val="000000"/>
          <w:sz w:val="18"/>
        </w:rPr>
        <w:t>Adjusted for changes for uncertain tax positions.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Reconciliation of U.S. GAAP Net Earnings to EBITDA and Adjusted EBITDA</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Below is a reconciliation of U.S. GAAP net earnings to EBITDA and adjusted EBITDA for the three and nine months ended September 30, 2023, compared to the prior year period:</w:t>
      </w:r>
    </w:p>
    <w:tbl>
      <w:tblPr>
        <w:tblW w:w="10205" w:type="dxa"/>
        <w:jc w:val="left"/>
        <w:tblInd w:w="0" w:type="dxa"/>
        <w:tblLayout w:type="fixed"/>
        <w:tblCellMar>
          <w:top w:w="28" w:type="dxa"/>
          <w:left w:w="28" w:type="dxa"/>
          <w:bottom w:w="28" w:type="dxa"/>
          <w:right w:w="28" w:type="dxa"/>
        </w:tblCellMar>
      </w:tblPr>
      <w:tblGrid>
        <w:gridCol w:w="1908"/>
        <w:gridCol w:w="1461"/>
        <w:gridCol w:w="1464"/>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0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expense </w:t>
            </w:r>
            <w:r>
              <w:rPr>
                <w:rFonts w:ascii="Arial;sans-serif" w:hAnsi="Arial;sans-serif"/>
                <w:b w:val="false"/>
                <w:color w:val="000000"/>
                <w:sz w:val="12"/>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amortization </w:t>
            </w:r>
            <w:r>
              <w:rPr>
                <w:rFonts w:ascii="Arial;sans-serif" w:hAnsi="Arial;sans-serif"/>
                <w:b w:val="false"/>
                <w:color w:val="000000"/>
                <w:sz w:val="12"/>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 adjustments: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acquisition and divestiture-related and other special items </w:t>
            </w:r>
            <w:r>
              <w:rPr>
                <w:rFonts w:ascii="Arial;sans-serif" w:hAnsi="Arial;sans-serif"/>
                <w:b w:val="false"/>
                <w:color w:val="000000"/>
                <w:sz w:val="12"/>
              </w:rPr>
              <w:t>(c)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2"/>
        </w:rPr>
        <w:t>(a)</w:t>
      </w:r>
      <w:r>
        <w:rPr>
          <w:color w:val="000000"/>
        </w:rPr>
        <w:t>    </w:t>
      </w:r>
      <w:r>
        <w:rPr>
          <w:rFonts w:ascii="Arial;sans-serif" w:hAnsi="Arial;sans-serif"/>
          <w:b w:val="false"/>
          <w:color w:val="000000"/>
          <w:sz w:val="18"/>
        </w:rPr>
        <w:t>Includes amortization of premiums and discounts on long-term debt.</w:t>
      </w:r>
    </w:p>
    <w:p>
      <w:pPr>
        <w:pStyle w:val="TextBody"/>
        <w:bidi w:val="0"/>
        <w:spacing w:lineRule="auto" w:line="288" w:before="0" w:after="60"/>
        <w:ind w:left="0" w:right="0" w:hanging="360"/>
        <w:jc w:val="both"/>
        <w:rPr/>
      </w:pPr>
      <w:r>
        <w:rPr>
          <w:rFonts w:ascii="Arial;sans-serif" w:hAnsi="Arial;sans-serif"/>
          <w:b w:val="false"/>
          <w:color w:val="000000"/>
          <w:sz w:val="12"/>
        </w:rPr>
        <w:t>(b)    </w:t>
      </w:r>
      <w:r>
        <w:rPr>
          <w:rFonts w:ascii="Arial;sans-serif" w:hAnsi="Arial;sans-serif"/>
          <w:b w:val="false"/>
          <w:color w:val="000000"/>
          <w:sz w:val="18"/>
        </w:rPr>
        <w:t>Includes purchase accounting related amortization.</w:t>
      </w:r>
    </w:p>
    <w:p>
      <w:pPr>
        <w:pStyle w:val="TextBody"/>
        <w:bidi w:val="0"/>
        <w:spacing w:lineRule="auto" w:line="288" w:before="0" w:after="60"/>
        <w:ind w:left="0" w:right="0" w:hanging="360"/>
        <w:jc w:val="both"/>
        <w:rPr/>
      </w:pPr>
      <w:r>
        <w:rPr>
          <w:rFonts w:ascii="Arial;sans-serif" w:hAnsi="Arial;sans-serif"/>
          <w:b w:val="false"/>
          <w:color w:val="000000"/>
          <w:sz w:val="12"/>
        </w:rPr>
        <w:t>(c)    </w:t>
      </w:r>
      <w:r>
        <w:rPr>
          <w:rFonts w:ascii="Arial;sans-serif" w:hAnsi="Arial;sans-serif"/>
          <w:b w:val="false"/>
          <w:color w:val="000000"/>
          <w:sz w:val="18"/>
        </w:rPr>
        <w:t>See items detailed in the Reconciliation of U.S. GAAP Net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Summary of Total Revenues by Segment</w:t>
      </w:r>
    </w:p>
    <w:tbl>
      <w:tblPr>
        <w:tblW w:w="13101" w:type="dxa"/>
        <w:jc w:val="left"/>
        <w:tblInd w:w="0" w:type="dxa"/>
        <w:tblLayout w:type="fixed"/>
        <w:tblCellMar>
          <w:top w:w="28" w:type="dxa"/>
          <w:left w:w="28" w:type="dxa"/>
          <w:bottom w:w="28" w:type="dxa"/>
          <w:right w:w="28" w:type="dxa"/>
        </w:tblCellMar>
      </w:tblPr>
      <w:tblGrid>
        <w:gridCol w:w="558"/>
        <w:gridCol w:w="253"/>
        <w:gridCol w:w="255"/>
        <w:gridCol w:w="196"/>
        <w:gridCol w:w="691"/>
        <w:gridCol w:w="109"/>
        <w:gridCol w:w="109"/>
        <w:gridCol w:w="109"/>
        <w:gridCol w:w="109"/>
        <w:gridCol w:w="196"/>
        <w:gridCol w:w="691"/>
        <w:gridCol w:w="109"/>
        <w:gridCol w:w="109"/>
        <w:gridCol w:w="109"/>
        <w:gridCol w:w="109"/>
        <w:gridCol w:w="210"/>
        <w:gridCol w:w="210"/>
        <w:gridCol w:w="496"/>
        <w:gridCol w:w="109"/>
        <w:gridCol w:w="109"/>
        <w:gridCol w:w="109"/>
        <w:gridCol w:w="196"/>
        <w:gridCol w:w="521"/>
        <w:gridCol w:w="109"/>
        <w:gridCol w:w="109"/>
        <w:gridCol w:w="109"/>
        <w:gridCol w:w="109"/>
        <w:gridCol w:w="196"/>
        <w:gridCol w:w="691"/>
        <w:gridCol w:w="109"/>
        <w:gridCol w:w="109"/>
        <w:gridCol w:w="109"/>
        <w:gridCol w:w="109"/>
        <w:gridCol w:w="210"/>
        <w:gridCol w:w="210"/>
        <w:gridCol w:w="496"/>
        <w:gridCol w:w="109"/>
        <w:gridCol w:w="109"/>
        <w:gridCol w:w="109"/>
        <w:gridCol w:w="225"/>
        <w:gridCol w:w="639"/>
        <w:gridCol w:w="127"/>
        <w:gridCol w:w="109"/>
        <w:gridCol w:w="109"/>
        <w:gridCol w:w="109"/>
        <w:gridCol w:w="196"/>
        <w:gridCol w:w="691"/>
        <w:gridCol w:w="109"/>
        <w:gridCol w:w="109"/>
        <w:gridCol w:w="109"/>
        <w:gridCol w:w="109"/>
        <w:gridCol w:w="375"/>
        <w:gridCol w:w="375"/>
        <w:gridCol w:w="1036"/>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2023 Currency Impact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Constant Currency % Change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2022 Biosimilars </w:t>
            </w:r>
            <w:r>
              <w:rPr>
                <w:rFonts w:ascii="Arial;sans-serif" w:hAnsi="Arial;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2022 Adjusted Ex Biosimilars </w:t>
            </w:r>
            <w:r>
              <w:rPr>
                <w:rFonts w:ascii="Arial;sans-serif" w:hAnsi="Arial;sans-serif"/>
                <w:b/>
                <w:color w:val="000000"/>
                <w:sz w:val="10"/>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Divestiture-Adjusted Operational Change </w:t>
            </w:r>
            <w:r>
              <w:rPr>
                <w:rFonts w:ascii="Arial;sans-serif" w:hAnsi="Arial;sans-serif"/>
                <w:b/>
                <w:color w:val="000000"/>
                <w:sz w:val="10"/>
              </w:rPr>
              <w:t>(6)</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Developed Markets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JANZ</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Markets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revenues </w:t>
            </w:r>
            <w:r>
              <w:rPr>
                <w:rFonts w:ascii="Arial;sans-serif" w:hAnsi="Arial;sans-serif"/>
                <w:b w:val="false"/>
                <w:color w:val="000000"/>
                <w:sz w:val="10"/>
              </w:rPr>
              <w:t>(7)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Consolidated total revenues </w:t>
            </w:r>
            <w:r>
              <w:rPr>
                <w:rFonts w:ascii="Arial;sans-serif" w:hAnsi="Arial;sans-serif"/>
                <w:b w:val="false"/>
                <w:color w:val="000000"/>
                <w:sz w:val="10"/>
              </w:rPr>
              <w:t>(8)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1039" w:type="dxa"/>
            <w:gridSpan w:val="48"/>
            <w:tcBorders/>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1039" w:type="dxa"/>
            <w:gridSpan w:val="48"/>
            <w:tcBorders/>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tbl>
      <w:tblPr>
        <w:tblW w:w="14594" w:type="dxa"/>
        <w:jc w:val="left"/>
        <w:tblInd w:w="0" w:type="dxa"/>
        <w:tblLayout w:type="fixed"/>
        <w:tblCellMar>
          <w:top w:w="28" w:type="dxa"/>
          <w:left w:w="28" w:type="dxa"/>
          <w:bottom w:w="28" w:type="dxa"/>
          <w:right w:w="28" w:type="dxa"/>
        </w:tblCellMar>
      </w:tblPr>
      <w:tblGrid>
        <w:gridCol w:w="558"/>
        <w:gridCol w:w="253"/>
        <w:gridCol w:w="255"/>
        <w:gridCol w:w="196"/>
        <w:gridCol w:w="781"/>
        <w:gridCol w:w="109"/>
        <w:gridCol w:w="109"/>
        <w:gridCol w:w="109"/>
        <w:gridCol w:w="109"/>
        <w:gridCol w:w="196"/>
        <w:gridCol w:w="781"/>
        <w:gridCol w:w="109"/>
        <w:gridCol w:w="109"/>
        <w:gridCol w:w="109"/>
        <w:gridCol w:w="109"/>
        <w:gridCol w:w="210"/>
        <w:gridCol w:w="210"/>
        <w:gridCol w:w="496"/>
        <w:gridCol w:w="109"/>
        <w:gridCol w:w="109"/>
        <w:gridCol w:w="109"/>
        <w:gridCol w:w="196"/>
        <w:gridCol w:w="556"/>
        <w:gridCol w:w="109"/>
        <w:gridCol w:w="109"/>
        <w:gridCol w:w="109"/>
        <w:gridCol w:w="109"/>
        <w:gridCol w:w="196"/>
        <w:gridCol w:w="781"/>
        <w:gridCol w:w="109"/>
        <w:gridCol w:w="109"/>
        <w:gridCol w:w="109"/>
        <w:gridCol w:w="109"/>
        <w:gridCol w:w="210"/>
        <w:gridCol w:w="210"/>
        <w:gridCol w:w="496"/>
        <w:gridCol w:w="109"/>
        <w:gridCol w:w="109"/>
        <w:gridCol w:w="109"/>
        <w:gridCol w:w="225"/>
        <w:gridCol w:w="639"/>
        <w:gridCol w:w="127"/>
        <w:gridCol w:w="109"/>
        <w:gridCol w:w="109"/>
        <w:gridCol w:w="109"/>
        <w:gridCol w:w="196"/>
        <w:gridCol w:w="466"/>
        <w:gridCol w:w="109"/>
        <w:gridCol w:w="109"/>
        <w:gridCol w:w="109"/>
        <w:gridCol w:w="109"/>
        <w:gridCol w:w="196"/>
        <w:gridCol w:w="781"/>
        <w:gridCol w:w="109"/>
        <w:gridCol w:w="109"/>
        <w:gridCol w:w="109"/>
        <w:gridCol w:w="109"/>
        <w:gridCol w:w="375"/>
        <w:gridCol w:w="375"/>
        <w:gridCol w:w="1036"/>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2023 Currency Impact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Constant Currency % Change </w:t>
            </w:r>
            <w:r>
              <w:rPr>
                <w:rFonts w:ascii="Arial;sans-serif" w:hAnsi="Arial;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2022 Biosimilars </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Other </w:t>
            </w:r>
            <w:r>
              <w:rPr>
                <w:rFonts w:ascii="Arial;sans-serif" w:hAnsi="Arial;sans-serif"/>
                <w:b/>
                <w:color w:val="000000"/>
                <w:sz w:val="1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2022 Adjusted Ex Biosimilars and Other </w:t>
            </w:r>
            <w:r>
              <w:rPr>
                <w:rFonts w:ascii="Arial;sans-serif" w:hAnsi="Arial;sans-serif"/>
                <w:b/>
                <w:color w:val="000000"/>
                <w:sz w:val="10"/>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Divestiture-Adjusted Operational Change </w:t>
            </w:r>
            <w:r>
              <w:rPr>
                <w:rFonts w:ascii="Arial;sans-serif" w:hAnsi="Arial;sans-serif"/>
                <w:b/>
                <w:color w:val="000000"/>
                <w:sz w:val="10"/>
              </w:rPr>
              <w:t>(6)</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Developed Markets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Markets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revenues </w:t>
            </w:r>
            <w:r>
              <w:rPr>
                <w:rFonts w:ascii="Arial;sans-serif" w:hAnsi="Arial;sans-serif"/>
                <w:b w:val="false"/>
                <w:color w:val="000000"/>
                <w:sz w:val="10"/>
              </w:rPr>
              <w:t>(7)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Consolidated total revenues </w:t>
            </w:r>
            <w:r>
              <w:rPr>
                <w:rFonts w:ascii="Arial;sans-serif" w:hAnsi="Arial;sans-serif"/>
                <w:b w:val="false"/>
                <w:color w:val="000000"/>
                <w:sz w:val="10"/>
              </w:rPr>
              <w:t>(8)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Arial;sans-serif" w:hAnsi="Arial;sans-serif"/>
          <w:b w:val="false"/>
          <w:color w:val="000000"/>
          <w:sz w:val="12"/>
        </w:rPr>
        <w:t>(1)    </w:t>
      </w:r>
      <w:r>
        <w:rPr>
          <w:rFonts w:ascii="Arial;sans-serif" w:hAnsi="Arial;sans-serif"/>
          <w:b w:val="false"/>
          <w:color w:val="000000"/>
          <w:sz w:val="18"/>
        </w:rPr>
        <w:t xml:space="preserve">Currency impact is shown as unfavorable (favorable). </w:t>
      </w:r>
    </w:p>
    <w:p>
      <w:pPr>
        <w:pStyle w:val="TextBody"/>
        <w:bidi w:val="0"/>
        <w:spacing w:lineRule="auto" w:line="288" w:before="0" w:after="60"/>
        <w:ind w:left="0" w:right="0" w:hanging="360"/>
        <w:jc w:val="both"/>
        <w:rPr/>
      </w:pPr>
      <w:r>
        <w:rPr>
          <w:rFonts w:ascii="Arial;sans-serif" w:hAnsi="Arial;sans-serif"/>
          <w:b w:val="false"/>
          <w:color w:val="000000"/>
          <w:sz w:val="12"/>
        </w:rPr>
        <w:t>(2)    </w:t>
      </w:r>
      <w:r>
        <w:rPr>
          <w:rFonts w:ascii="Arial;sans-serif" w:hAnsi="Arial;sans-serif"/>
          <w:b w:val="false"/>
          <w:color w:val="000000"/>
          <w:sz w:val="18"/>
        </w:rPr>
        <w:t xml:space="preserve">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 </w:t>
      </w:r>
    </w:p>
    <w:p>
      <w:pPr>
        <w:pStyle w:val="TextBody"/>
        <w:bidi w:val="0"/>
        <w:spacing w:lineRule="auto" w:line="288" w:before="0" w:after="60"/>
        <w:ind w:left="0" w:right="0" w:hanging="360"/>
        <w:jc w:val="both"/>
        <w:rPr/>
      </w:pPr>
      <w:r>
        <w:rPr>
          <w:rFonts w:ascii="Arial;sans-serif" w:hAnsi="Arial;sans-serif"/>
          <w:b w:val="false"/>
          <w:color w:val="000000"/>
          <w:sz w:val="12"/>
        </w:rPr>
        <w:t>(3)</w:t>
      </w:r>
      <w:r>
        <w:rPr>
          <w:rFonts w:ascii="Arial;sans-serif" w:hAnsi="Arial;sans-serif"/>
          <w:b w:val="false"/>
          <w:color w:val="000000"/>
          <w:sz w:val="18"/>
        </w:rPr>
        <w:t>Represents biosimilars net sales in the relevant period.</w:t>
      </w:r>
    </w:p>
    <w:p>
      <w:pPr>
        <w:pStyle w:val="TextBody"/>
        <w:bidi w:val="0"/>
        <w:spacing w:lineRule="auto" w:line="288" w:before="0" w:after="60"/>
        <w:ind w:left="0" w:right="0" w:hanging="360"/>
        <w:jc w:val="both"/>
        <w:rPr/>
      </w:pPr>
      <w:r>
        <w:rPr>
          <w:rFonts w:ascii="Arial;sans-serif" w:hAnsi="Arial;sans-serif"/>
          <w:b w:val="false"/>
          <w:color w:val="000000"/>
          <w:sz w:val="12"/>
        </w:rPr>
        <w:t>(4)</w:t>
      </w:r>
      <w:r>
        <w:rPr>
          <w:rFonts w:ascii="Arial;sans-serif" w:hAnsi="Arial;sans-serif"/>
          <w:b w:val="false"/>
          <w:color w:val="000000"/>
          <w:sz w:val="18"/>
        </w:rPr>
        <w:t>Represents a reclassification to conform prior year amounts to current year presentation of divestiture-adjusted operational net sales.</w:t>
      </w:r>
    </w:p>
    <w:p>
      <w:pPr>
        <w:pStyle w:val="TextBody"/>
        <w:bidi w:val="0"/>
        <w:spacing w:lineRule="auto" w:line="288" w:before="0" w:after="60"/>
        <w:ind w:left="0" w:right="0" w:hanging="360"/>
        <w:jc w:val="both"/>
        <w:rPr/>
      </w:pPr>
      <w:r>
        <w:rPr>
          <w:rFonts w:ascii="Arial;sans-serif" w:hAnsi="Arial;sans-serif"/>
          <w:b w:val="false"/>
          <w:color w:val="000000"/>
          <w:sz w:val="12"/>
        </w:rPr>
        <w:t>(5)</w:t>
      </w:r>
      <w:r>
        <w:rPr>
          <w:rFonts w:ascii="Arial;sans-serif" w:hAnsi="Arial;sans-serif"/>
          <w:b w:val="false"/>
          <w:color w:val="000000"/>
          <w:sz w:val="18"/>
        </w:rPr>
        <w:t>Represents U.S. GAAP net sales minus 2022 biosimilars net sales for the relevant period and a reclassification.</w:t>
      </w:r>
    </w:p>
    <w:p>
      <w:pPr>
        <w:pStyle w:val="TextBody"/>
        <w:bidi w:val="0"/>
        <w:spacing w:lineRule="auto" w:line="288" w:before="0" w:after="60"/>
        <w:ind w:left="0" w:right="0" w:hanging="360"/>
        <w:jc w:val="both"/>
        <w:rPr/>
      </w:pPr>
      <w:r>
        <w:rPr>
          <w:rFonts w:ascii="Arial;sans-serif" w:hAnsi="Arial;sans-serif"/>
          <w:b w:val="false"/>
          <w:color w:val="000000"/>
          <w:sz w:val="12"/>
        </w:rPr>
        <w:t>(6)</w:t>
      </w:r>
      <w:r>
        <w:rPr>
          <w:rFonts w:ascii="Arial;sans-serif" w:hAnsi="Arial;sans-serif"/>
          <w:b w:val="false"/>
          <w:color w:val="000000"/>
          <w:sz w:val="18"/>
        </w:rPr>
        <w:t>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2"/>
        </w:rPr>
        <w:t>(7)</w:t>
      </w:r>
      <w:r>
        <w:rPr>
          <w:rFonts w:ascii="Arial;sans-serif" w:hAnsi="Arial;sans-serif"/>
          <w:b w:val="false"/>
          <w:color w:val="000000"/>
          <w:sz w:val="18"/>
        </w:rPr>
        <w:t>For the three months ended September 30, 2023, other revenues in Developed Markets, JANZ, and Emerging Markets were approximately $6.4 million, $0.2 million, and $1.4 million, respectively. For the nine months ended September 30, 2023, other revenues in Developed Markets, JANZ, and Emerging Markets were approximately $19.5 million, $0.8 million, and $6.8 million, respectively.</w:t>
      </w:r>
    </w:p>
    <w:p>
      <w:pPr>
        <w:pStyle w:val="TextBody"/>
        <w:bidi w:val="0"/>
        <w:spacing w:lineRule="auto" w:line="288" w:before="0" w:after="60"/>
        <w:ind w:left="0" w:right="0" w:hanging="360"/>
        <w:jc w:val="both"/>
        <w:rPr/>
      </w:pPr>
      <w:r>
        <w:rPr>
          <w:rFonts w:ascii="Arial;sans-serif" w:hAnsi="Arial;sans-serif"/>
          <w:b w:val="false"/>
          <w:color w:val="000000"/>
          <w:sz w:val="12"/>
        </w:rPr>
        <w:t>(8)</w:t>
      </w:r>
      <w:r>
        <w:rPr>
          <w:rFonts w:ascii="Arial;sans-serif" w:hAnsi="Arial;sans-serif"/>
          <w:b w:val="false"/>
          <w:color w:val="000000"/>
          <w:sz w:val="18"/>
        </w:rPr>
        <w:t>Amounts exclude intersegment revenue which eliminates on a consolidated basis.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 of Income Statement Line Items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tbl>
      <w:tblPr>
        <w:tblW w:w="8732" w:type="dxa"/>
        <w:jc w:val="left"/>
        <w:tblInd w:w="0" w:type="dxa"/>
        <w:tblLayout w:type="fixed"/>
        <w:tblCellMar>
          <w:top w:w="28" w:type="dxa"/>
          <w:left w:w="28" w:type="dxa"/>
          <w:bottom w:w="28" w:type="dxa"/>
          <w:right w:w="28" w:type="dxa"/>
        </w:tblCellMar>
      </w:tblPr>
      <w:tblGrid>
        <w:gridCol w:w="1135"/>
        <w:gridCol w:w="995"/>
        <w:gridCol w:w="1004"/>
        <w:gridCol w:w="196"/>
        <w:gridCol w:w="691"/>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301"/>
      </w:tblGrid>
      <w:tr>
        <w:trPr/>
        <w:tc>
          <w:tcPr>
            <w:tcW w:w="1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related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items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related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cost of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gross profit </w:t>
            </w:r>
            <w:r>
              <w:rPr>
                <w:rFonts w:ascii="Arial;sans-serif" w:hAnsi="Arial;sans-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gross margin </w:t>
            </w:r>
            <w:r>
              <w:rPr>
                <w:rFonts w:ascii="Arial;sans-serif" w:hAnsi="Arial;sans-serif"/>
                <w:b w:val="false"/>
                <w:color w:val="000000"/>
                <w:sz w:val="10"/>
              </w:rPr>
              <w:t>(a)</w:t>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72" w:type="dxa"/>
        <w:jc w:val="center"/>
        <w:tblInd w:w="0" w:type="dxa"/>
        <w:tblLayout w:type="fixed"/>
        <w:tblCellMar>
          <w:top w:w="28" w:type="dxa"/>
          <w:left w:w="28" w:type="dxa"/>
          <w:bottom w:w="28" w:type="dxa"/>
          <w:right w:w="28" w:type="dxa"/>
        </w:tblCellMar>
      </w:tblPr>
      <w:tblGrid>
        <w:gridCol w:w="1091"/>
        <w:gridCol w:w="958"/>
        <w:gridCol w:w="965"/>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SG&amp;A and R&amp;D TSA reimbursement </w:t>
            </w:r>
            <w:r>
              <w:rPr>
                <w:rFonts w:ascii="Arial;sans-serif" w:hAnsi="Arial;sans-serif"/>
                <w:b w:val="false"/>
                <w:color w:val="000000"/>
                <w:sz w:val="10"/>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R&amp;D as % of total revenues</w:t>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02" w:type="dxa"/>
        <w:jc w:val="center"/>
        <w:tblInd w:w="0" w:type="dxa"/>
        <w:tblLayout w:type="fixed"/>
        <w:tblCellMar>
          <w:top w:w="28" w:type="dxa"/>
          <w:left w:w="28" w:type="dxa"/>
          <w:bottom w:w="28" w:type="dxa"/>
          <w:right w:w="28" w:type="dxa"/>
        </w:tblCellMar>
      </w:tblPr>
      <w:tblGrid>
        <w:gridCol w:w="1558"/>
        <w:gridCol w:w="1368"/>
        <w:gridCol w:w="1378"/>
        <w:gridCol w:w="196"/>
        <w:gridCol w:w="691"/>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301"/>
      </w:tblGrid>
      <w:tr>
        <w:trPr/>
        <w:tc>
          <w:tcPr>
            <w:tcW w:w="15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2,913.7 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amortization and other related items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SG&amp;A and R&amp;D TSA reimbursement </w:t>
            </w:r>
            <w:r>
              <w:rPr>
                <w:rFonts w:ascii="Arial;sans-serif" w:hAnsi="Arial;sans-serif"/>
                <w:b w:val="false"/>
                <w:color w:val="000000"/>
                <w:sz w:val="10"/>
              </w:rPr>
              <w:t>(c)</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 and reclassifications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SG&amp;A as % of total revenues</w:t>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8744" w:type="dxa"/>
        <w:jc w:val="center"/>
        <w:tblInd w:w="0" w:type="dxa"/>
        <w:tblLayout w:type="fixed"/>
        <w:tblCellMar>
          <w:top w:w="28" w:type="dxa"/>
          <w:left w:w="28" w:type="dxa"/>
          <w:bottom w:w="28" w:type="dxa"/>
          <w:right w:w="28" w:type="dxa"/>
        </w:tblCellMar>
      </w:tblPr>
      <w:tblGrid>
        <w:gridCol w:w="1353"/>
        <w:gridCol w:w="1189"/>
        <w:gridCol w:w="119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and other contingencies,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R&amp;D adjustments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SG&amp;A adjustments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total operating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earnings from operations </w:t>
            </w:r>
            <w:r>
              <w:rPr>
                <w:rFonts w:ascii="Arial;sans-serif" w:hAnsi="Arial;sans-serif"/>
                <w:b w:val="false"/>
                <w:color w:val="000000"/>
                <w:sz w:val="10"/>
              </w:rPr>
              <w:t>(b)</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3,737.9 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4,390.6 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19" w:type="dxa"/>
        <w:jc w:val="center"/>
        <w:tblInd w:w="0" w:type="dxa"/>
        <w:tblLayout w:type="fixed"/>
        <w:tblCellMar>
          <w:top w:w="28" w:type="dxa"/>
          <w:left w:w="28" w:type="dxa"/>
          <w:bottom w:w="28" w:type="dxa"/>
          <w:right w:w="28" w:type="dxa"/>
        </w:tblCellMar>
      </w:tblPr>
      <w:tblGrid>
        <w:gridCol w:w="1577"/>
        <w:gridCol w:w="1384"/>
        <w:gridCol w:w="138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contingent consideration liability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premiums and discounts on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79" w:type="dxa"/>
        <w:jc w:val="center"/>
        <w:tblInd w:w="0" w:type="dxa"/>
        <w:tblLayout w:type="fixed"/>
        <w:tblCellMar>
          <w:top w:w="28" w:type="dxa"/>
          <w:left w:w="28" w:type="dxa"/>
          <w:bottom w:w="28" w:type="dxa"/>
          <w:right w:w="28" w:type="dxa"/>
        </w:tblCellMar>
      </w:tblPr>
      <w:tblGrid>
        <w:gridCol w:w="1724"/>
        <w:gridCol w:w="1513"/>
        <w:gridCol w:w="1517"/>
        <w:gridCol w:w="196"/>
        <w:gridCol w:w="541"/>
        <w:gridCol w:w="109"/>
        <w:gridCol w:w="109"/>
        <w:gridCol w:w="109"/>
        <w:gridCol w:w="109"/>
        <w:gridCol w:w="196"/>
        <w:gridCol w:w="541"/>
        <w:gridCol w:w="109"/>
        <w:gridCol w:w="109"/>
        <w:gridCol w:w="109"/>
        <w:gridCol w:w="109"/>
        <w:gridCol w:w="196"/>
        <w:gridCol w:w="631"/>
        <w:gridCol w:w="109"/>
        <w:gridCol w:w="109"/>
        <w:gridCol w:w="109"/>
        <w:gridCol w:w="109"/>
        <w:gridCol w:w="196"/>
        <w:gridCol w:w="46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other (income)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Fair value adjustments on non-marketable equity investments </w:t>
            </w:r>
            <w:r>
              <w:rPr>
                <w:rFonts w:ascii="Arial;sans-serif" w:hAnsi="Arial;sans-serif"/>
                <w:b w:val="false"/>
                <w:color w:val="000000"/>
                <w:sz w:val="10"/>
              </w:rPr>
              <w:t>(d)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SG&amp;A and R&amp;D TSA reimbursement </w:t>
            </w:r>
            <w:r>
              <w:rPr>
                <w:rFonts w:ascii="Arial;sans-serif" w:hAnsi="Arial;sans-serif"/>
                <w:b w:val="false"/>
                <w:color w:val="000000"/>
                <w:sz w:val="10"/>
              </w:rPr>
              <w:t>(c)</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other (income)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43" w:type="dxa"/>
        <w:jc w:val="left"/>
        <w:tblInd w:w="0" w:type="dxa"/>
        <w:tblLayout w:type="fixed"/>
        <w:tblCellMar>
          <w:top w:w="28" w:type="dxa"/>
          <w:left w:w="28" w:type="dxa"/>
          <w:bottom w:w="28" w:type="dxa"/>
          <w:right w:w="28" w:type="dxa"/>
        </w:tblCellMar>
      </w:tblPr>
      <w:tblGrid>
        <w:gridCol w:w="1211"/>
        <w:gridCol w:w="1063"/>
        <w:gridCol w:w="1071"/>
        <w:gridCol w:w="196"/>
        <w:gridCol w:w="691"/>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30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earnings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pre-tax non-GAAP adjustments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earnings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income tax provision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tax provision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effective tax rate</w:t>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(a)</w:t>
      </w:r>
      <w:r>
        <w:rPr>
          <w:rFonts w:ascii="Arial;sans-serif" w:hAnsi="Arial;sans-serif"/>
          <w:b w:val="false"/>
          <w:color w:val="000000"/>
          <w:sz w:val="16"/>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pStyle w:val="TextBody"/>
        <w:bidi w:val="0"/>
        <w:spacing w:lineRule="auto" w:line="288" w:before="0" w:after="60"/>
        <w:ind w:left="0" w:right="0" w:hanging="360"/>
        <w:jc w:val="both"/>
        <w:rPr/>
      </w:pPr>
      <w:r>
        <w:rPr>
          <w:rFonts w:ascii="Arial;sans-serif" w:hAnsi="Arial;sans-serif"/>
          <w:b w:val="false"/>
          <w:color w:val="000000"/>
          <w:sz w:val="10"/>
        </w:rPr>
        <w:t>(b)</w:t>
      </w:r>
      <w:r>
        <w:rPr>
          <w:rFonts w:ascii="Arial;sans-serif" w:hAnsi="Arial;sans-serif"/>
          <w:b w:val="false"/>
          <w:color w:val="000000"/>
          <w:sz w:val="16"/>
        </w:rPr>
        <w:t xml:space="preserve">U.S. GAAP earnings from operations is calculated as U.S. GAAP gross profit less U.S. GAAP total operating expenses. Adjusted earnings from operations is calculated as adjusted gross profit less adjusted total operating expenses. </w:t>
      </w:r>
    </w:p>
    <w:p>
      <w:pPr>
        <w:pStyle w:val="TextBody"/>
        <w:bidi w:val="0"/>
        <w:spacing w:lineRule="auto" w:line="288" w:before="0" w:after="60"/>
        <w:ind w:left="0" w:right="0" w:hanging="360"/>
        <w:jc w:val="both"/>
        <w:rPr/>
      </w:pPr>
      <w:r>
        <w:rPr>
          <w:rFonts w:ascii="Arial;sans-serif" w:hAnsi="Arial;sans-serif"/>
          <w:b w:val="false"/>
          <w:color w:val="000000"/>
          <w:sz w:val="10"/>
        </w:rPr>
        <w:t>(c)</w:t>
      </w:r>
      <w:r>
        <w:rPr>
          <w:rFonts w:ascii="Arial;sans-serif" w:hAnsi="Arial;sans-serif"/>
          <w:b w:val="false"/>
          <w:color w:val="000000"/>
          <w:sz w:val="16"/>
        </w:rPr>
        <w:t>Refer to "Certain Key Terms and Presentation Matters" section in this release for more information on reclassifications related to TSA reimbursements.</w:t>
      </w:r>
    </w:p>
    <w:p>
      <w:pPr>
        <w:pStyle w:val="TextBody"/>
        <w:bidi w:val="0"/>
        <w:spacing w:lineRule="auto" w:line="288" w:before="0" w:after="120"/>
        <w:ind w:left="0" w:right="0" w:hanging="360"/>
        <w:jc w:val="both"/>
        <w:rPr/>
      </w:pPr>
      <w:r>
        <w:rPr>
          <w:rFonts w:ascii="Arial;sans-serif" w:hAnsi="Arial;sans-serif"/>
          <w:b w:val="false"/>
          <w:color w:val="000000"/>
          <w:sz w:val="10"/>
        </w:rPr>
        <w:t>(d)</w:t>
      </w:r>
      <w:r>
        <w:rPr>
          <w:rFonts w:ascii="Arial;sans-serif" w:hAnsi="Arial;sans-serif"/>
          <w:b w:val="false"/>
          <w:color w:val="000000"/>
          <w:sz w:val="16"/>
        </w:rPr>
        <w:t>For the three months ended September 30, 2023, includes a gain of approximately $19.1 million as a result of remeasuring the CCPS in Biocon Biologics to fair value. For the nine months ended September 30, 2023, includes gains of approximately $115.1 million as a result of remeasuring our non-marketable equity interests in Mapi and Famy Life Sciences and the CCPS in Biocon Biologics to fair value.</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 of Estimated 2023 U.S. GAAP Net Cash Provided by Operating Activities to Free Cash Flow</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reconciliation of the estimated 2023 U.S. GAAP Net Cash provided by Operating Activities to Free Cash Flow is presented below:</w:t>
      </w:r>
    </w:p>
    <w:tbl>
      <w:tblPr>
        <w:tblW w:w="6929" w:type="dxa"/>
        <w:jc w:val="left"/>
        <w:tblInd w:w="0" w:type="dxa"/>
        <w:tblLayout w:type="fixed"/>
        <w:tblCellMar>
          <w:top w:w="28" w:type="dxa"/>
          <w:left w:w="28" w:type="dxa"/>
          <w:bottom w:w="28" w:type="dxa"/>
          <w:right w:w="28" w:type="dxa"/>
        </w:tblCellMar>
      </w:tblPr>
      <w:tblGrid>
        <w:gridCol w:w="1990"/>
        <w:gridCol w:w="1747"/>
        <w:gridCol w:w="1752"/>
        <w:gridCol w:w="422"/>
        <w:gridCol w:w="422"/>
        <w:gridCol w:w="596"/>
      </w:tblGrid>
      <w:tr>
        <w:trPr/>
        <w:tc>
          <w:tcPr>
            <w:tcW w:w="199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Estimated U.S. GAAP Net Cash provided by Operating Activities </w:t>
            </w:r>
            <w:r>
              <w:rPr>
                <w:rFonts w:ascii="Arial;sans-serif" w:hAnsi="Arial;sans-serif"/>
                <w:b w:val="false"/>
                <w:color w:val="000000"/>
                <w:sz w:val="12"/>
              </w:rPr>
              <w:t>(a)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$2,800 - $3,100</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 - $(500)</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$2,300 - $2,700</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2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Includes the full year expected performance for the planned divestitures and excludes any potential related costs, such as taxes and transaction costs, as well as any similar costs related to the eye care acquisitions. Also excludes any acquired IPR&amp;D for unsigned deals.</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7557</Words>
  <Characters>42211</Characters>
  <CharactersWithSpaces>48941</CharactersWithSpaces>
  <Paragraphs>1525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