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Roman Brian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1000 MYLAN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CANONSBURG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15317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Viatris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Global General Counsel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09/22/2021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71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921"/>
        <w:gridCol w:w="276"/>
        <w:gridCol w:w="906"/>
        <w:gridCol w:w="801"/>
        <w:gridCol w:w="891"/>
        <w:gridCol w:w="10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Dividend Equivalent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09/22/2021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317.1618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317.1618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600.3937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units ("DEUs") that accrued with respect to restricted stock units ("RSUs") previously granted on March 2, 2021 and vest on the same schedule as the underlying RSUs.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Kevin Macikowski, by power of attorney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09/24/2021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47829" TargetMode="External"/><Relationship Id="rId4" Type="http://schemas.openxmlformats.org/officeDocument/2006/relationships/hyperlink" Target="http://www.sec.gov/cgi-bin/browse-edgar?action=getcompany&amp;CIK=000179204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556</Words>
  <CharactersWithSpaces>3532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