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August 7, 2023</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VIATRIS INC.</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220"/>
          </w:cols>
          <w:pgMar w:left="320" w:top="989" w:right="359" w:bottom="1440" w:gutter="0" w:footer="0" w:header="0"/>
        </w:sectPr>
      </w:pPr>
    </w:p>
    <w:p>
      <w:pPr>
        <w:spacing w:after="0" w:line="233"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Delaware</w:t>
      </w:r>
    </w:p>
    <w:p>
      <w:pPr>
        <w:spacing w:after="0" w:line="216" w:lineRule="exact"/>
        <w:rPr>
          <w:sz w:val="24"/>
          <w:szCs w:val="24"/>
          <w:color w:val="auto"/>
        </w:rPr>
      </w:pPr>
    </w:p>
    <w:p>
      <w:pPr>
        <w:jc w:val="center"/>
        <w:ind w:lef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001-39695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w:t>
      </w:r>
    </w:p>
    <w:p>
      <w:pPr>
        <w:spacing w:after="0" w:line="2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(I.R.S. Employer Identification No.)</w:t>
      </w:r>
    </w:p>
    <w:p>
      <w:pPr>
        <w:spacing w:after="0" w:line="204" w:lineRule="exact"/>
        <w:rPr>
          <w:sz w:val="24"/>
          <w:szCs w:val="24"/>
          <w:color w:val="auto"/>
        </w:rPr>
      </w:pPr>
    </w:p>
    <w:p>
      <w:pPr>
        <w:sectPr>
          <w:pgSz w:w="11900" w:h="16838" w:orient="portrait"/>
          <w:cols w:equalWidth="0" w:num="3">
            <w:col w:w="4420" w:space="720"/>
            <w:col w:w="1760" w:space="720"/>
            <w:col w:w="3600"/>
          </w:cols>
          <w:pgMar w:left="320" w:top="989" w:right="359" w:bottom="1440" w:gutter="0" w:footer="0" w:header="0"/>
          <w:type w:val="continuous"/>
        </w:sectPr>
      </w:pP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(724) 514-1800</w:t>
      </w:r>
    </w:p>
    <w:p>
      <w:pPr>
        <w:spacing w:after="0" w:line="327" w:lineRule="exact"/>
        <w:rPr>
          <w:sz w:val="24"/>
          <w:szCs w:val="24"/>
          <w:color w:val="auto"/>
        </w:rPr>
      </w:pPr>
    </w:p>
    <w:p>
      <w:pPr>
        <w:ind w:right="3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8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Title of each class</w:t>
            </w:r>
          </w:p>
        </w:tc>
        <w:tc>
          <w:tcPr>
            <w:tcW w:w="120" w:type="dxa"/>
            <w:vAlign w:val="bottom"/>
          </w:tcPr>
          <w:p>
            <w:pPr>
              <w:spacing w:after="0"/>
              <w:rPr>
                <w:sz w:val="21"/>
                <w:szCs w:val="21"/>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Trading Symbol(s)</w:t>
            </w:r>
          </w:p>
        </w:tc>
        <w:tc>
          <w:tcPr>
            <w:tcW w:w="120" w:type="dxa"/>
            <w:vAlign w:val="bottom"/>
          </w:tcPr>
          <w:p>
            <w:pPr>
              <w:spacing w:after="0"/>
              <w:rPr>
                <w:sz w:val="21"/>
                <w:szCs w:val="21"/>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r>
      <w:tr>
        <w:trPr>
          <w:trHeight w:val="228"/>
        </w:trPr>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VTRS</w:t>
            </w: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w:t>
            </w:r>
          </w:p>
        </w:tc>
      </w:tr>
    </w:tbl>
    <w:p>
      <w:pPr>
        <w:spacing w:after="0" w:line="200" w:lineRule="exact"/>
        <w:rPr>
          <w:sz w:val="24"/>
          <w:szCs w:val="24"/>
          <w:color w:val="auto"/>
        </w:rPr>
      </w:pPr>
    </w:p>
    <w:p>
      <w:pPr>
        <w:spacing w:after="0" w:line="213"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5" w:lineRule="exact"/>
        <w:rPr>
          <w:sz w:val="24"/>
          <w:szCs w:val="24"/>
          <w:color w:val="auto"/>
        </w:rPr>
      </w:pPr>
    </w:p>
    <w:p>
      <w:pPr>
        <w:ind w:left="340"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August 7, 2023, Viatris Inc. (“Viatris” or the “Company”) issued a press release reporting the Company's financial results for the period ended June 30, 2023. A copy of the press release is attached hereto as Exhibit 99.1 and is incorporated herein by reference.</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previously announced, Viatris will host a conference call and live webcast today at 8:30 a.m. ET to review the Company's financial results for the period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(d)</w:t>
            </w:r>
          </w:p>
        </w:tc>
        <w:tc>
          <w:tcPr>
            <w:tcW w:w="10020" w:type="dxa"/>
            <w:vAlign w:val="bottom"/>
          </w:tcPr>
          <w:p>
            <w:pPr>
              <w:ind w:left="320"/>
              <w:spacing w:after="0"/>
              <w:rPr>
                <w:sz w:val="20"/>
                <w:szCs w:val="20"/>
                <w:color w:val="auto"/>
              </w:rPr>
            </w:pPr>
            <w:r>
              <w:rPr>
                <w:rFonts w:ascii="Arial" w:cs="Arial" w:eastAsia="Arial" w:hAnsi="Arial"/>
                <w:sz w:val="18"/>
                <w:szCs w:val="18"/>
                <w:color w:val="auto"/>
              </w:rPr>
              <w:t>Exhibits.</w:t>
            </w:r>
          </w:p>
        </w:tc>
      </w:tr>
      <w:tr>
        <w:trPr>
          <w:trHeight w:val="445"/>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20" w:type="dxa"/>
            <w:vAlign w:val="bottom"/>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line="202" w:lineRule="exact"/>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880" w:type="dxa"/>
            <w:vAlign w:val="bottom"/>
          </w:tcPr>
          <w:p>
            <w:pPr>
              <w:spacing w:after="0"/>
              <w:rPr>
                <w:sz w:val="17"/>
                <w:szCs w:val="17"/>
                <w:color w:val="auto"/>
              </w:rPr>
            </w:pPr>
          </w:p>
        </w:tc>
        <w:tc>
          <w:tcPr>
            <w:tcW w:w="10020" w:type="dxa"/>
            <w:vAlign w:val="bottom"/>
          </w:tcPr>
          <w:p>
            <w:pPr>
              <w:ind w:left="320"/>
              <w:spacing w:after="0" w:line="202" w:lineRule="exact"/>
              <w:rPr>
                <w:sz w:val="20"/>
                <w:szCs w:val="20"/>
                <w:color w:val="auto"/>
              </w:rPr>
            </w:pPr>
            <w:r>
              <w:rPr>
                <w:rFonts w:ascii="Arial" w:cs="Arial" w:eastAsia="Arial" w:hAnsi="Arial"/>
                <w:sz w:val="18"/>
                <w:szCs w:val="18"/>
                <w:color w:val="auto"/>
              </w:rPr>
              <w:t>Press release announcing the Company's financial results for the second quarter of 2023, dated August 7, 2023.</w:t>
            </w:r>
          </w:p>
        </w:tc>
      </w:tr>
      <w:tr>
        <w:trPr>
          <w:trHeight w:val="250"/>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880" w:type="dxa"/>
            <w:vAlign w:val="bottom"/>
          </w:tcPr>
          <w:p>
            <w:pPr>
              <w:spacing w:after="0"/>
              <w:rPr>
                <w:sz w:val="21"/>
                <w:szCs w:val="21"/>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5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VIATRIS INC.</w:t>
      </w:r>
    </w:p>
    <w:p>
      <w:pPr>
        <w:spacing w:after="0" w:line="239" w:lineRule="exact"/>
        <w:rPr>
          <w:sz w:val="20"/>
          <w:szCs w:val="20"/>
          <w:color w:val="auto"/>
        </w:rPr>
      </w:pPr>
    </w:p>
    <w:p>
      <w:pPr>
        <w:ind w:left="60"/>
        <w:spacing w:after="0"/>
        <w:tabs>
          <w:tab w:leader="none" w:pos="660" w:val="left"/>
          <w:tab w:leader="none" w:pos="6600" w:val="left"/>
          <w:tab w:leader="none" w:pos="7280" w:val="left"/>
        </w:tabs>
        <w:rPr>
          <w:sz w:val="20"/>
          <w:szCs w:val="20"/>
          <w:color w:val="auto"/>
        </w:rPr>
      </w:pPr>
      <w:r>
        <w:rPr>
          <w:rFonts w:ascii="Arial" w:cs="Arial" w:eastAsia="Arial" w:hAnsi="Arial"/>
          <w:sz w:val="18"/>
          <w:szCs w:val="18"/>
          <w:color w:val="auto"/>
        </w:rPr>
        <w:t>Date:</w:t>
        <w:tab/>
        <w:t>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23495</wp:posOffset>
            </wp:positionV>
            <wp:extent cx="2494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4"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ind w:left="73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20"/>
          </w:cols>
          <w:pgMar w:left="320" w:top="1215"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66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665" cy="643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Reports Strong Financial and Operational Results for Second Quarter 2023 and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Reaffirms Full-Year 2023 Guidance Ranges[1]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right="400" w:hanging="332"/>
        <w:spacing w:after="0" w:line="282"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Reports Total Revenues of $3.92 Billion; U.S. GAAP Net Earnings of $264 Million; Adjusted EBITDA of $1.31 Billion; U.S. GAAP Net Cash Provided by Operating Activities of $515 Million; and Free Cash Flow of $447 Million for the Quarter</w:t>
      </w:r>
    </w:p>
    <w:p>
      <w:pPr>
        <w:spacing w:after="0" w:line="161" w:lineRule="exact"/>
        <w:rPr>
          <w:rFonts w:ascii="Arial" w:cs="Arial" w:eastAsia="Arial" w:hAnsi="Arial"/>
          <w:sz w:val="18"/>
          <w:szCs w:val="18"/>
          <w:i w:val="1"/>
          <w:iCs w:val="1"/>
          <w:color w:val="auto"/>
        </w:rPr>
      </w:pPr>
    </w:p>
    <w:p>
      <w:pPr>
        <w:ind w:left="340" w:hanging="332"/>
        <w:spacing w:after="0"/>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Strong Results Signal Expected Beginning of Growth Journey</w:t>
      </w:r>
    </w:p>
    <w:p>
      <w:pPr>
        <w:spacing w:after="0" w:line="225" w:lineRule="exact"/>
        <w:rPr>
          <w:rFonts w:ascii="Arial" w:cs="Arial" w:eastAsia="Arial" w:hAnsi="Arial"/>
          <w:sz w:val="18"/>
          <w:szCs w:val="18"/>
          <w:i w:val="1"/>
          <w:iCs w:val="1"/>
          <w:color w:val="auto"/>
        </w:rPr>
      </w:pPr>
    </w:p>
    <w:p>
      <w:pPr>
        <w:ind w:left="340" w:hanging="332"/>
        <w:spacing w:after="0"/>
        <w:tabs>
          <w:tab w:leader="none" w:pos="34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Reaffirms that Full-Year Total Revenues, Adjusted EBITDA and Free Cash Flow Expected to be at Midpoint of 2023 Guidance Ranges[1]</w:t>
      </w:r>
    </w:p>
    <w:p>
      <w:pPr>
        <w:spacing w:after="0" w:line="223" w:lineRule="exact"/>
        <w:rPr>
          <w:rFonts w:ascii="Arial" w:cs="Arial" w:eastAsia="Arial" w:hAnsi="Arial"/>
          <w:sz w:val="17"/>
          <w:szCs w:val="17"/>
          <w:i w:val="1"/>
          <w:iCs w:val="1"/>
          <w:color w:val="auto"/>
        </w:rPr>
      </w:pPr>
    </w:p>
    <w:p>
      <w:pPr>
        <w:ind w:left="340" w:hanging="332"/>
        <w:spacing w:after="0"/>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Pays Down $727 Million of Debt Year to Date</w:t>
      </w:r>
    </w:p>
    <w:p>
      <w:pPr>
        <w:spacing w:after="0" w:line="211" w:lineRule="exact"/>
        <w:rPr>
          <w:rFonts w:ascii="Arial" w:cs="Arial" w:eastAsia="Arial" w:hAnsi="Arial"/>
          <w:sz w:val="18"/>
          <w:szCs w:val="18"/>
          <w:i w:val="1"/>
          <w:iCs w:val="1"/>
          <w:color w:val="auto"/>
        </w:rPr>
      </w:pPr>
    </w:p>
    <w:p>
      <w:pPr>
        <w:ind w:left="340" w:hanging="332"/>
        <w:spacing w:after="0"/>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Remains on Track to Announce Planned Divestitures in 2023</w:t>
      </w:r>
    </w:p>
    <w:p>
      <w:pPr>
        <w:spacing w:after="0" w:line="225" w:lineRule="exact"/>
        <w:rPr>
          <w:rFonts w:ascii="Arial" w:cs="Arial" w:eastAsia="Arial" w:hAnsi="Arial"/>
          <w:sz w:val="18"/>
          <w:szCs w:val="18"/>
          <w:i w:val="1"/>
          <w:iCs w:val="1"/>
          <w:color w:val="auto"/>
        </w:rPr>
      </w:pPr>
    </w:p>
    <w:p>
      <w:pPr>
        <w:ind w:left="340" w:hanging="332"/>
        <w:spacing w:after="0"/>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Board of Directors Declares Quarterly Dividend of $0.12 per Share</w:t>
      </w:r>
    </w:p>
    <w:p>
      <w:pPr>
        <w:spacing w:after="0" w:line="216"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b w:val="1"/>
          <w:bCs w:val="1"/>
          <w:color w:val="auto"/>
        </w:rPr>
        <w:t xml:space="preserve">PITTSBURGH </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August 7, 2023 </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Viatris Inc. (NASDAQ: VTRS) today reported another strong quarter of operating results which continues</w:t>
      </w:r>
      <w:r>
        <w:rPr>
          <w:rFonts w:ascii="Arial" w:cs="Arial" w:eastAsia="Arial" w:hAnsi="Arial"/>
          <w:sz w:val="18"/>
          <w:szCs w:val="18"/>
          <w:b w:val="1"/>
          <w:bCs w:val="1"/>
          <w:color w:val="auto"/>
        </w:rPr>
        <w:t xml:space="preserve"> </w:t>
      </w:r>
      <w:r>
        <w:rPr>
          <w:rFonts w:ascii="Arial" w:cs="Arial" w:eastAsia="Arial" w:hAnsi="Arial"/>
          <w:sz w:val="18"/>
          <w:szCs w:val="18"/>
          <w:color w:val="auto"/>
        </w:rPr>
        <w:t>to set the Company up well as it prepares to bring its Phase 1 strategy to an end and position itself for a strong beginning of Phase 2 in 2024 and beyond.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Executive Commentary</w:t>
      </w:r>
    </w:p>
    <w:p>
      <w:pPr>
        <w:spacing w:after="0" w:line="1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Viatris CEO Scott A. Smith said: “Obviously, I could not be more pleased with our overall execution in the second quarter—one of the strongest quarters we’ve had to date at Viatris. These results signal what we expect to be the beginning of a growth journey for Viatris and set us up well for future success. As proud as I am of our strong performance, the foundation the Company has built and the stability and predictability we believe have clearly been achieved, my focus is on the future trajectory of the Company. I’m pleased to say we believe we are currently on track to announce all planned divestitures in 2023, including at least one significant divestiture in the third quarter, possibly more. The Company has laid out clear capital allocation and business development priorities for Phase 2 and we are fully dedicated to meeting these priorities to propel Viatris up the value chain and increase our return of capital to shareholders.”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Viatris President Rajiv Malik said: “Our performance this quarter highlights our Company’s momentum like never before and further reinforces the predictability in our base business. Our strong and highly diversified business model of bringing access has never depended on any one product, portfolio or market. We believe this diversity lays a solid foundation for growth in Phase 2, beginning in 2024. We continue to execute and are making consistent progress on our deep pipeline and are on track to meet our full-year 2023 new product revenue target. In addition, I would be remiss not to call out our significant achievement of another first with our launch of Breyna, our generic Symbicort, in July.”</w:t>
      </w:r>
    </w:p>
    <w:p>
      <w:pPr>
        <w:spacing w:after="0" w:line="21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Viatris CFO Sanjeev Narula said: “We are pleased with our strong fundamentals and continued excellent operational performance. It was another solid quarter of free cash flow generation which allowed us to deliver on our capital allocation priorities. We continue to prioritize deleveraging the balance sheet with $6.1 billion of debt paydown since the beginning of 2021. Additionally, we returned approximately $144 million of capital to our shareholders in the quarter in dividends. We are reaffirming our financial guidance for 2023 as a result of our strong performance in the first half of the year and the momentum we have going into the second half.”</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C16AE"/>
        </w:rPr>
        <w:t>Return of Capital to Shareholders</w:t>
      </w:r>
    </w:p>
    <w:p>
      <w:pPr>
        <w:spacing w:after="0" w:line="23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Viatris announced that, on August 4, 2023, its Board of Directors declared a quarterly dividend of twelve cents ($0.12) for each issued and outstanding share of the Company's common stock. The dividend is payable on September 15, 2023, to shareholders of record at the close of business on August 24, 2023.</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Viatris paid a quarterly cash dividend of twelve cents ($0.12) per share on the Company's issued and outstanding common stock on June 16, 2023.</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Conference Call and Earnings Materials</w:t>
      </w:r>
    </w:p>
    <w:p>
      <w:pPr>
        <w:spacing w:after="0" w:line="23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Viatris Inc. will host a conference call and live webcast, today at 8:30 a.m. ET, to discuss the Company's financial results for the second quarter of 2023.</w:t>
      </w:r>
    </w:p>
    <w:p>
      <w:pPr>
        <w:spacing w:after="0" w:line="20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Investors and the general public are invited to listen to a live webcast of the call at investor.viatris.com or by calling 800-274-8461 or 203-518-9783 for international callers (Conference ID: VTRSQ223). The "Viatris Q2 Earnings Presentation," which will be referenced during the call, can be found at investor.viatris.com. A replay of the webcast also will be available on the website.</w:t>
      </w:r>
    </w:p>
    <w:p>
      <w:pPr>
        <w:spacing w:after="0" w:line="205" w:lineRule="exact"/>
        <w:rPr>
          <w:sz w:val="20"/>
          <w:szCs w:val="20"/>
          <w:color w:val="auto"/>
        </w:rPr>
      </w:pPr>
    </w:p>
    <w:p>
      <w:pPr>
        <w:jc w:val="both"/>
        <w:ind w:right="380" w:firstLine="8"/>
        <w:spacing w:after="0" w:line="266" w:lineRule="auto"/>
        <w:tabs>
          <w:tab w:leader="none" w:pos="25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Viatris is not providing forward-looking guidance for U.S. GAAP net earnings (loss) or a quantitative reconciliation of its 2023 adjusted EBITDA guidance. U.S. GAAP net cash provided by operating activities for 2023 is estimated to be between $2.8 billion and $3.1 billion. Please see "2023 Financial Guidance" and "Non-GAAP Financial Measures" for additional information.</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102"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Financial Summary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5"/>
          </w:tcPr>
          <w:p>
            <w:pPr>
              <w:jc w:val="center"/>
              <w:ind w:left="52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280" w:type="dxa"/>
            <w:vAlign w:val="bottom"/>
          </w:tcPr>
          <w:p>
            <w:pPr>
              <w:spacing w:after="0"/>
              <w:rPr>
                <w:sz w:val="12"/>
                <w:szCs w:val="12"/>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 (3)</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(2) (3)</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3,909.5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4,105.4</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rPr>
              <w:t>(3)%</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2,353.8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2,479.1</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color w:val="auto"/>
              </w:rPr>
              <w:t>(6)%</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650.9</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rPr>
              <w:t>8%</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375.5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427.1</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color w:val="auto"/>
              </w:rPr>
              <w:t>(6)%</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548.3</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rPr>
              <w:t>2%</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Brands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2,444.7</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2,483.1</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21"/>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Complex Gx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354.8</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(61)%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rPr>
              <w:t>(61)%</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Generics</w:t>
            </w:r>
          </w:p>
        </w:tc>
        <w:tc>
          <w:tcPr>
            <w:tcW w:w="2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1,325.6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1,267.5</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
              <w:spacing w:after="0"/>
              <w:rPr>
                <w:sz w:val="20"/>
                <w:szCs w:val="20"/>
                <w:color w:val="auto"/>
              </w:rPr>
            </w:pPr>
            <w:r>
              <w:rPr>
                <w:rFonts w:ascii="Arial" w:cs="Arial" w:eastAsia="Arial" w:hAnsi="Arial"/>
                <w:sz w:val="16"/>
                <w:szCs w:val="16"/>
                <w:color w:val="auto"/>
              </w:rPr>
              <w:t>8%</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1,608.6</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1,703.3</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2,331.7</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2,411.7</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264.0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313.9</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(16)%</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905.4</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1,065.3</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(15)%</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1,163.4</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1,257.6</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1,305.7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1,482.1</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rPr>
              <w:t>(9)%</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514.9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802.5</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(36)%</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83.9</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(19)%</w:t>
            </w:r>
          </w:p>
        </w:tc>
        <w:tc>
          <w:tcPr>
            <w:tcW w:w="1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447.1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718.6</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(38)%</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0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4"/>
          </w:tcPr>
          <w:p>
            <w:pPr>
              <w:jc w:val="center"/>
              <w:ind w:left="62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280" w:type="dxa"/>
            <w:vAlign w:val="bottom"/>
          </w:tcPr>
          <w:p>
            <w:pPr>
              <w:spacing w:after="0"/>
              <w:rPr>
                <w:sz w:val="12"/>
                <w:szCs w:val="12"/>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3"/>
        </w:trPr>
        <w:tc>
          <w:tcPr>
            <w:tcW w:w="51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160"/>
              <w:spacing w:after="0" w:line="193" w:lineRule="exact"/>
              <w:rPr>
                <w:sz w:val="20"/>
                <w:szCs w:val="20"/>
                <w:color w:val="auto"/>
              </w:rPr>
            </w:pPr>
            <w:r>
              <w:rPr>
                <w:rFonts w:ascii="Arial" w:cs="Arial" w:eastAsia="Arial" w:hAnsi="Arial"/>
                <w:sz w:val="14"/>
                <w:szCs w:val="14"/>
                <w:b w:val="1"/>
                <w:bCs w:val="1"/>
                <w:color w:val="auto"/>
              </w:rPr>
              <w:t>Change</w:t>
            </w:r>
            <w:r>
              <w:rPr>
                <w:rFonts w:ascii="Arial" w:cs="Arial" w:eastAsia="Arial" w:hAnsi="Arial"/>
                <w:sz w:val="18"/>
                <w:szCs w:val="18"/>
                <w:b w:val="1"/>
                <w:bCs w:val="1"/>
                <w:color w:val="auto"/>
                <w:vertAlign w:val="superscript"/>
              </w:rPr>
              <w:t>(1) (3)</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92"/>
              </w:rPr>
              <w:t>Change</w:t>
            </w:r>
            <w:r>
              <w:rPr>
                <w:rFonts w:ascii="Arial" w:cs="Arial" w:eastAsia="Arial" w:hAnsi="Arial"/>
                <w:sz w:val="18"/>
                <w:szCs w:val="18"/>
                <w:b w:val="1"/>
                <w:bCs w:val="1"/>
                <w:color w:val="auto"/>
                <w:w w:val="92"/>
                <w:vertAlign w:val="superscript"/>
              </w:rPr>
              <w:t>(2) (3)</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7,628.6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8,283.6</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4,524.2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4,955.2</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(7)%</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1,290.0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1,356.1</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850.9</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(16)%</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(9)%</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1,121.4</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Brands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4,865.0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5,037.2</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Complex Gx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745.6</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(63)%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Generics</w:t>
            </w:r>
          </w:p>
        </w:tc>
        <w:tc>
          <w:tcPr>
            <w:tcW w:w="2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2,488.3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2,500.8</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rPr>
              <w:t>4%</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3,150.8</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3,474.5</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4,582.6</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4,905.1</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488.7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713.1</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(31)%</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1,838.3</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2,190.6</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(16)%</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2,363.1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2,667.2</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2,646.6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3,068.4</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1,486.1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1,941.0</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(23)%</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148.4</w:t>
            </w:r>
          </w:p>
        </w:tc>
        <w:tc>
          <w:tcPr>
            <w:tcW w:w="102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8"/>
              </w:rPr>
              <w:t>(22)%</w:t>
            </w:r>
          </w:p>
        </w:tc>
        <w:tc>
          <w:tcPr>
            <w:tcW w:w="12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1,370.5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1,792.6</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(24)%</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26" w:lineRule="exact"/>
        <w:rPr>
          <w:sz w:val="20"/>
          <w:szCs w:val="20"/>
          <w:color w:val="auto"/>
        </w:rPr>
      </w:pPr>
    </w:p>
    <w:p>
      <w:pPr>
        <w:ind w:left="660" w:hanging="328"/>
        <w:spacing w:after="0" w:line="217" w:lineRule="auto"/>
        <w:tabs>
          <w:tab w:leader="none" w:pos="737"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operational change for net sales and adjusted EBITDA which excludes the impacts of foreign currency translation. See “Certain Key Terms and Presentation Matters” in this release for more information.</w:t>
      </w:r>
    </w:p>
    <w:p>
      <w:pPr>
        <w:spacing w:after="0" w:line="1" w:lineRule="exact"/>
        <w:rPr>
          <w:rFonts w:ascii="Arial" w:cs="Arial" w:eastAsia="Arial" w:hAnsi="Arial"/>
          <w:sz w:val="19"/>
          <w:szCs w:val="19"/>
          <w:color w:val="auto"/>
          <w:vertAlign w:val="superscript"/>
        </w:rPr>
      </w:pPr>
    </w:p>
    <w:p>
      <w:pPr>
        <w:ind w:left="660" w:hanging="328"/>
        <w:spacing w:after="0" w:line="221" w:lineRule="auto"/>
        <w:tabs>
          <w:tab w:leader="none" w:pos="68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impact of the biosimilars divestitures in November 2022 on an operational basis and a reclassification. See “Certain Key Terms and Presentation Matters” in this release for more information.</w:t>
      </w:r>
    </w:p>
    <w:p>
      <w:pPr>
        <w:spacing w:after="0" w:line="1" w:lineRule="exact"/>
        <w:rPr>
          <w:rFonts w:ascii="Arial" w:cs="Arial" w:eastAsia="Arial" w:hAnsi="Arial"/>
          <w:sz w:val="19"/>
          <w:szCs w:val="19"/>
          <w:color w:val="auto"/>
          <w:vertAlign w:val="superscript"/>
        </w:rPr>
      </w:pPr>
    </w:p>
    <w:p>
      <w:pPr>
        <w:ind w:left="560" w:hanging="228"/>
        <w:spacing w:after="0" w:line="192" w:lineRule="auto"/>
        <w:tabs>
          <w:tab w:leader="none" w:pos="56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4C16AE"/>
        </w:rPr>
        <w:t>Financial Highlights</w:t>
      </w:r>
    </w:p>
    <w:p>
      <w:pPr>
        <w:spacing w:after="0" w:line="276" w:lineRule="exact"/>
        <w:rPr>
          <w:sz w:val="20"/>
          <w:szCs w:val="20"/>
          <w:color w:val="auto"/>
        </w:rPr>
      </w:pPr>
    </w:p>
    <w:p>
      <w:pPr>
        <w:ind w:left="340" w:right="360" w:hanging="332"/>
        <w:spacing w:after="0" w:line="27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 quarter 2023 total net sales totaled $3.9 billion, up 1% on a divestiture adjusted operational basis (as defined in "Certain Key Terms and Presentation Matters" below) compared to Q2 2022 results.</w:t>
      </w:r>
    </w:p>
    <w:p>
      <w:pPr>
        <w:spacing w:after="0" w:line="173" w:lineRule="exact"/>
        <w:rPr>
          <w:rFonts w:ascii="Arial" w:cs="Arial" w:eastAsia="Arial" w:hAnsi="Arial"/>
          <w:sz w:val="18"/>
          <w:szCs w:val="18"/>
          <w:color w:val="auto"/>
        </w:rPr>
      </w:pPr>
    </w:p>
    <w:p>
      <w:pPr>
        <w:ind w:left="340" w:right="6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Brands performed in line with expectations, reflecting strong year-over-year performance in key brands including Yupelri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sales from Tyrvaya</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 generics performed in line with expectations.</w:t>
      </w:r>
    </w:p>
    <w:p>
      <w:pPr>
        <w:spacing w:after="0" w:line="225" w:lineRule="exact"/>
        <w:rPr>
          <w:rFonts w:ascii="Arial" w:cs="Arial" w:eastAsia="Arial" w:hAnsi="Arial"/>
          <w:sz w:val="18"/>
          <w:szCs w:val="18"/>
          <w:color w:val="auto"/>
        </w:rPr>
      </w:pPr>
    </w:p>
    <w:p>
      <w:pPr>
        <w:ind w:left="340" w:right="700" w:hanging="332"/>
        <w:spacing w:after="0" w:line="27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Generics, which include diversified product forms such as oral solids, injectables, transdermals and topicals, performed ahead of expectations, due to strong performance across broader Developed and Emerging Markets portfolios.</w:t>
      </w:r>
    </w:p>
    <w:p>
      <w:pPr>
        <w:spacing w:after="0" w:line="17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generated approximately $124 million in new product revenues (as defined in "Certain Key Terms and Presentation Matters" below) in the second quarter (approximately $209 million for the first half of the year) primarily driven by lenalidomide in the U.S. and is on track to achieve approximately $500 million in new product revenues in 2023.</w:t>
      </w:r>
    </w:p>
    <w:p>
      <w:pPr>
        <w:spacing w:after="0" w:line="183" w:lineRule="exact"/>
        <w:rPr>
          <w:rFonts w:ascii="Arial" w:cs="Arial" w:eastAsia="Arial" w:hAnsi="Arial"/>
          <w:sz w:val="18"/>
          <w:szCs w:val="18"/>
          <w:color w:val="auto"/>
        </w:rPr>
      </w:pPr>
    </w:p>
    <w:p>
      <w:pPr>
        <w:ind w:left="340" w:right="10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had U.S. GAAP net cash provided by operating activities of $515 million in the second quarter ($1.49 billion for the first half of year) and generated $447 million of free cash flow in the second quarter ($1.37 billion for the first half of year), primarily driven by strong operating results and the timing of planned capital expenditures. U.S. GAAP net cash provided by operating activities and free cash flow for the second quarter included approximately $9 million ($31 million for the first half of the year) of transaction costs primarily related to the eye care acquisitions and the biosimilars divestiture and approximately $10 million (same for the first half of the year) related to acquired IPR&amp;D.</w:t>
      </w:r>
    </w:p>
    <w:p>
      <w:pPr>
        <w:spacing w:after="0" w:line="219"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paid down $181 million in debt in the second quarter ($727 million for the first half of the year). The Company remains fully committed to maintaining its investment grade credit rating.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2023 Financial Guidance</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Viatris is reaffirming its 2023 financial guidance that was previously provided on February 27, 2023, as set forth below. The Company is not providing forward-looking guidance for U.S. GAAP net earnings or a quantitative reconciliation of its 2023 adjusted EBITDA guidance to the most directly comparable U.S. GAAP measure, U.S. GAAP net earnings, because it is unable to predict with reasonable certainty the ultimate outcome of certain significant items, including integration, acquisition and divestiture 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2023 is estimated to be between $2.8 billion and $3.1 billion, with a midpoint of approximately $2.95 billion. The Company currently expects to be at the mid-point of the financial guidance ranges.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billions)</w:t>
            </w:r>
          </w:p>
        </w:tc>
        <w:tc>
          <w:tcPr>
            <w:tcW w:w="21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 xml:space="preserve">2023 Guidance Range </w:t>
            </w:r>
            <w:r>
              <w:rPr>
                <w:rFonts w:ascii="Arial" w:cs="Arial" w:eastAsia="Arial" w:hAnsi="Arial"/>
                <w:sz w:val="18"/>
                <w:szCs w:val="18"/>
                <w:b w:val="1"/>
                <w:bCs w:val="1"/>
                <w:color w:val="auto"/>
                <w:vertAlign w:val="superscript"/>
              </w:rPr>
              <w:t>(2)</w:t>
            </w:r>
          </w:p>
        </w:tc>
        <w:tc>
          <w:tcPr>
            <w:tcW w:w="80" w:type="dxa"/>
            <w:vAlign w:val="bottom"/>
          </w:tcPr>
          <w:p>
            <w:pPr>
              <w:spacing w:after="0"/>
              <w:rPr>
                <w:sz w:val="18"/>
                <w:szCs w:val="18"/>
                <w:color w:val="auto"/>
              </w:rPr>
            </w:pPr>
          </w:p>
        </w:tc>
        <w:tc>
          <w:tcPr>
            <w:tcW w:w="19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2023 Midpoint</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$16.0</w:t>
            </w:r>
          </w:p>
        </w:tc>
        <w:tc>
          <w:tcPr>
            <w:tcW w:w="20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$15.75</w:t>
            </w:r>
          </w:p>
        </w:tc>
      </w:tr>
      <w:tr>
        <w:trPr>
          <w:trHeight w:val="216"/>
        </w:trPr>
        <w:tc>
          <w:tcPr>
            <w:tcW w:w="6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c>
          <w:tcPr>
            <w:tcW w:w="1140" w:type="dxa"/>
            <w:vAlign w:val="bottom"/>
          </w:tcPr>
          <w:p>
            <w:pPr>
              <w:ind w:left="20"/>
              <w:spacing w:after="0"/>
              <w:rPr>
                <w:sz w:val="20"/>
                <w:szCs w:val="20"/>
                <w:color w:val="auto"/>
              </w:rPr>
            </w:pPr>
            <w:r>
              <w:rPr>
                <w:rFonts w:ascii="Arial" w:cs="Arial" w:eastAsia="Arial" w:hAnsi="Arial"/>
                <w:sz w:val="16"/>
                <w:szCs w:val="16"/>
                <w:color w:val="auto"/>
              </w:rPr>
              <w:t>- $5.4</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96"/>
              </w:rPr>
              <w:t>$5.2</w:t>
            </w: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w:t>
            </w:r>
          </w:p>
        </w:tc>
        <w:tc>
          <w:tcPr>
            <w:tcW w:w="20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6"/>
              </w:rPr>
              <w:t>$2.5</w:t>
            </w:r>
          </w:p>
        </w:tc>
      </w:tr>
    </w:tbl>
    <w:p>
      <w:pPr>
        <w:spacing w:after="0" w:line="170" w:lineRule="exact"/>
        <w:rPr>
          <w:sz w:val="20"/>
          <w:szCs w:val="20"/>
          <w:color w:val="auto"/>
        </w:rPr>
      </w:pPr>
    </w:p>
    <w:p>
      <w:pPr>
        <w:ind w:left="560" w:hanging="228"/>
        <w:spacing w:after="0"/>
        <w:tabs>
          <w:tab w:leader="none" w:pos="560" w:val="left"/>
        </w:tabs>
        <w:numPr>
          <w:ilvl w:val="0"/>
          <w:numId w:val="6"/>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122" w:lineRule="exact"/>
        <w:rPr>
          <w:rFonts w:ascii="Arial" w:cs="Arial" w:eastAsia="Arial" w:hAnsi="Arial"/>
          <w:sz w:val="9"/>
          <w:szCs w:val="9"/>
          <w:color w:val="auto"/>
        </w:rPr>
      </w:pPr>
    </w:p>
    <w:p>
      <w:pPr>
        <w:ind w:left="660" w:hanging="328"/>
        <w:spacing w:after="0" w:line="293" w:lineRule="auto"/>
        <w:tabs>
          <w:tab w:leader="none" w:pos="5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the full year expected performance for the planned divestitures and excludes any potential related costs, such as taxes and transaction costs, as well as any similar costs related to the eye care acquisitions. Also excludes any acquired IPR&amp;D for unsigned deals.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0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4C16AE"/>
        </w:rPr>
        <w:t>Certain Key Terms and Presentation Matters</w:t>
      </w:r>
    </w:p>
    <w:p>
      <w:pPr>
        <w:spacing w:after="0" w:line="235"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u w:val="single" w:color="auto"/>
          <w:color w:val="auto"/>
        </w:rPr>
        <w:t>New product sales, new product launches or new product revenues:</w:t>
      </w:r>
      <w:r>
        <w:rPr>
          <w:rFonts w:ascii="Arial" w:cs="Arial" w:eastAsia="Arial" w:hAnsi="Arial"/>
          <w:sz w:val="18"/>
          <w:szCs w:val="18"/>
          <w:color w:val="auto"/>
        </w:rPr>
        <w:t xml:space="preserve"> Refers to revenue from new products launched in 2023 and the carryover impact of new products, including business development, launched within the last twelve months.</w:t>
      </w:r>
    </w:p>
    <w:p>
      <w:pPr>
        <w:spacing w:after="0" w:line="17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u w:val="single" w:color="auto"/>
          <w:color w:val="auto"/>
        </w:rPr>
        <w:t>Operational change:</w:t>
      </w:r>
      <w:r>
        <w:rPr>
          <w:rFonts w:ascii="Arial" w:cs="Arial" w:eastAsia="Arial" w:hAnsi="Arial"/>
          <w:sz w:val="18"/>
          <w:szCs w:val="18"/>
          <w:color w:val="auto"/>
        </w:rPr>
        <w:t xml:space="preserve"> Refers to constant currency percentage changes and is derived by translating amounts for the current period at prior year comparative period exchange rates, and in doing so shows the percentage change from 2023 constant currency net sales, revenues and adjusted EBITDA to the corresponding amount in the prior year.</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u w:val="single" w:color="auto"/>
          <w:color w:val="auto"/>
        </w:rPr>
        <w:t>Divestiture adjusted operational change:</w:t>
      </w:r>
      <w:r>
        <w:rPr>
          <w:rFonts w:ascii="Arial" w:cs="Arial" w:eastAsia="Arial" w:hAnsi="Arial"/>
          <w:sz w:val="18"/>
          <w:szCs w:val="18"/>
          <w:color w:val="auto"/>
        </w:rPr>
        <w:t xml:space="preserve"> Refers to operational changes, further adjusted for the impact of the biosimilars divestiture in November 2022 by excluding biosimilars net sales from 2022 periods, and a reclassification to conform prior year amounts to current year presentation of divestiture adjusted operational net sales.</w:t>
      </w:r>
    </w:p>
    <w:p>
      <w:pPr>
        <w:spacing w:after="0" w:line="211" w:lineRule="exact"/>
        <w:rPr>
          <w:sz w:val="20"/>
          <w:szCs w:val="20"/>
          <w:color w:val="auto"/>
        </w:rPr>
      </w:pPr>
    </w:p>
    <w:p>
      <w:pPr>
        <w:ind w:right="700"/>
        <w:spacing w:after="0" w:line="258" w:lineRule="auto"/>
        <w:rPr>
          <w:sz w:val="20"/>
          <w:szCs w:val="20"/>
          <w:color w:val="auto"/>
        </w:rPr>
      </w:pPr>
      <w:r>
        <w:rPr>
          <w:rFonts w:ascii="Arial" w:cs="Arial" w:eastAsia="Arial" w:hAnsi="Arial"/>
          <w:sz w:val="18"/>
          <w:szCs w:val="18"/>
          <w:u w:val="single" w:color="auto"/>
          <w:color w:val="auto"/>
        </w:rPr>
        <w:t>SG&amp;A and R&amp;D TSA reimbursement:</w:t>
      </w:r>
      <w:r>
        <w:rPr>
          <w:rFonts w:ascii="Arial" w:cs="Arial" w:eastAsia="Arial" w:hAnsi="Arial"/>
          <w:sz w:val="18"/>
          <w:szCs w:val="18"/>
          <w:color w:val="auto"/>
        </w:rPr>
        <w:t xml:space="preserve"> Expenses related to TSA services provided to Biocon Biologics are recorded in their respective functional line item; however, reimbursement of those expenses plus the mark-up is included in other (income) expense, net. For comparability purposes, amounts related to the cost reimbursement are reclassified to adjusted SG&amp;A and adjusted R&amp;D. This reclassification has no impact on adjusted net earnings or adjusted EBITDA.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Non-GAAP Financial Measures</w:t>
      </w:r>
    </w:p>
    <w:p>
      <w:pPr>
        <w:spacing w:after="0" w:line="22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free cash flow, adjusted R&amp;D and as a</w:t>
      </w:r>
    </w:p>
    <w:p>
      <w:pPr>
        <w:spacing w:after="0" w:line="1" w:lineRule="exact"/>
        <w:rPr>
          <w:sz w:val="20"/>
          <w:szCs w:val="20"/>
          <w:color w:val="auto"/>
        </w:rPr>
      </w:pPr>
    </w:p>
    <w:p>
      <w:pPr>
        <w:ind w:firstLine="8"/>
        <w:spacing w:after="0" w:line="234"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total revenues, adjusted SG&amp;A and as a % of total revenues, adjusted earnings from operations, adjusted interest expense, adjusted other (income) expense, net, adjusted effective tax rate, constant currency total revenues, constant currency net sales, constant currency adjusted EBITDA, 2022 adjusted net sales ex biosimilars and other, and divestiture adjusted operational change,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and adjusted EBITDA. These measures provide information on the change in total revenues, net sales and adjusted EBITDA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and adjusted EBITDA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 adjusted operational change refers to operational change, further adjusted for the impact of the biosimilars divestiture in November 2022 by excluding biosimilars net sales from 2022 periods, and a reclassification to conform prior year amounts to current year presentation of divestiture adjusted operational net sales. The "Summary of Total Revenues by Segment" table below compares net sales on an actual and constant currency basis for each reportable segment for the quarters and six months ended June 30, 2023 and 2022 as well as for total revenues, as well as divestiture adjusted operational change in net sales. Also, set forth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10" w:name="page11"/>
    <w:bookmarkEnd w:id="10"/>
    <w:p>
      <w:pPr>
        <w:ind w:right="60"/>
        <w:spacing w:after="0" w:line="239" w:lineRule="auto"/>
        <w:rPr>
          <w:sz w:val="20"/>
          <w:szCs w:val="20"/>
          <w:color w:val="auto"/>
        </w:rPr>
      </w:pPr>
      <w:r>
        <w:rPr>
          <w:rFonts w:ascii="Arial" w:cs="Arial" w:eastAsia="Arial" w:hAnsi="Arial"/>
          <w:sz w:val="18"/>
          <w:szCs w:val="18"/>
          <w:color w:val="auto"/>
        </w:rPr>
        <w:t>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June 30, 2023.</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 is not providing forward-looking U.S. GAAP information for its non-GAAP 2024 Phase 2 outlooks or quantitative reconciliations with respect to such outlooks to their most directly comparable U.S. GAAP measures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relevant periods.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About Viatris</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Viatris Inc.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and a variety of over-the-counter consumer products. With more than 38,000 colleagues globally, Viatris is headquartered in the U.S., with global centers in Pittsburgh, Shanghai and Hyderabad, India. Learn more at viatris.com and investor.viatris.com, and connect with us on Twitter, LinkedIn, Instagram and YouTube.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Forward-Looking Statements</w:t>
      </w:r>
    </w:p>
    <w:p>
      <w:pPr>
        <w:spacing w:after="0" w:line="22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This release contains “forward-looking statements”. These statements are made pursuant to the safe harbor provisions of the Private Securities Litigation Reform Act of 1995. Such forward-looking statements may include, without limitation, 2023 financial guidance; reaffirming that full-year total revenues, adjusted EBITDA and free cash flow are expected to be at midpoint of 2023 guidance ranges; strong results signal expected beginning of growth journey; remains on track to announced planned divestitures in 2023; reported another strong quarter of operating results which continues to set the Company up well as it prepares to bring its Phase 1 strategy to an end and position itself for a strong beginning of Phase 2 in 2024 and beyond; these results signal what we expect to be the beginning of a growth journey for Viatris and set us up well for future success; as proud as I am of our strong performance, the foundation the Company has built and the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stability and predictability we believe have clearly been achieved, my focus is on the future trajectory of the Company; I’m pleased to say we believe we are currently on track to announce all planned divestitures in 2023, including at least one significant divestiture in the third quarter,</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possibly more; the Company has laid out clear capital allocation and business development priorities for Phase 2 and we are fully dedicated to meeting these priorities to propel Viatris up the value chain and increase our return of capital to shareholders; our performance this quarter highlights our Company’s momentum like never before and further reinforces the predictability in our base business; our strong and highly diversified business model of bringing access has never depended on any one product, portfolio or market; we believe this diversity lays a solid foundation for growth in Phase 2, beginning in 2024; we continue to execute and are making consistent progress on our deep pipeline and are on track to meet our full-year 2023 new product revenue target; we continue to prioritize deleveraging the balance sheet with $6.1 billion of debt paydown since the beginning of 2021; we are reaffirming our financial guidance for 2023 as a result of our strong performance in the first half of the year and the momentum we have going into the second half; on August 24, 2023; the Board of Directors declared a quarterly dividend of twelve cents ($0.12) for each issued and outstanding share of the Company's common stock payable on September 15, 2023, to shareholders of record at the close of business on August 24, 2023; on track to achieve approximately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883" w:right="359" w:bottom="1440" w:gutter="0" w:footer="0" w:header="0"/>
        </w:sectPr>
      </w:pPr>
    </w:p>
    <w:bookmarkStart w:id="11" w:name="page12"/>
    <w:bookmarkEnd w:id="11"/>
    <w:p>
      <w:pPr>
        <w:ind w:right="140"/>
        <w:spacing w:after="0" w:line="251" w:lineRule="auto"/>
        <w:rPr>
          <w:sz w:val="20"/>
          <w:szCs w:val="20"/>
          <w:color w:val="auto"/>
        </w:rPr>
      </w:pPr>
      <w:r>
        <w:rPr>
          <w:rFonts w:ascii="Arial" w:cs="Arial" w:eastAsia="Arial" w:hAnsi="Arial"/>
          <w:sz w:val="17"/>
          <w:szCs w:val="17"/>
          <w:color w:val="auto"/>
        </w:rPr>
        <w:t>$500 million in new product revenues in 2023; the Company remains fully committed to maintaining its investment grade credit rating; the goals or outlooks with respect to the Viatris Inc.’s (“Viatris” or the “Company”) strategic initiatives, including but not limited to the Company’s two-phased strategic vision and potential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w:t>
      </w:r>
    </w:p>
    <w:p>
      <w:pPr>
        <w:ind w:right="180"/>
        <w:spacing w:after="0" w:line="226" w:lineRule="auto"/>
        <w:rPr>
          <w:sz w:val="20"/>
          <w:szCs w:val="20"/>
          <w:color w:val="auto"/>
        </w:rPr>
      </w:pPr>
      <w:r>
        <w:rPr>
          <w:rFonts w:ascii="Arial" w:cs="Arial" w:eastAsia="Arial" w:hAnsi="Arial"/>
          <w:sz w:val="18"/>
          <w:szCs w:val="18"/>
          <w:color w:val="auto"/>
        </w:rPr>
        <w:t>commitments, confidence in future results, efforts to create, enhance or otherwise unlock the value of our unique global platform, and other expectations and targets for future periods. Forward-looking statements may often be identified by the use of words such as “will”, “may”,</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realize the intended benefits of, or achieve the intended goals or outlooks with respect to, its strategic initiatives; the possibility that the Company may be unable to achieve expected benefits, synergies and operating efficiencies in connection with acquisitions, divestitures, or its global restructuring program within the expected timeframe or at all; goodwill or other impairment charges or other losses related to the divestiture or sale of businesses or assets; the Company’s failure to achieve expected or targeted future financial and operating performance and results; the potential impact of public health outbreaks, epidemics and pandemics, including the ongoing challenges and uncertainties posed by the COVID-19 pandemic; actions and decisions of healthcare and pharmaceutical regulators; changes in relevant laws, regulations and policies and/or the application or implementation thereof, including but not limited to tax, healthcare and pharmaceutical laws, regulations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and policies globally (including the impact of recent and potential tax reform in the U.S. and pharmaceutical product pricing policies in China); the ability to attract and retain key personnel; the Company’s liquidity, capital resources and ability to obtain financing; any regulatory, legal or</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w:t>
      </w:r>
    </w:p>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products; uncertainties and matters beyond the control of management, including but not limited to general political and economic conditions, inflation rates and global exchange rates; and inherent uncertainties involved in the estimates and judgments used in the preparation of</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2022,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particular, certain statements in this release relate to Viatris' Phase 2 strategy in 2024 and beyond and its related goals, targets, forecasts,</w:t>
      </w:r>
    </w:p>
    <w:p>
      <w:pPr>
        <w:spacing w:after="0" w:line="8"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objectives and commitments (such statements, the "Phase 2 Outlooks"). Viatris believes that the assumptions used as a basis for these Phase 2 Outlooks are reasonable based on the information available to management at this time. However, this information is not fact, and</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you are cautioned not to place undue reliance on any such information. While certain of these statements might use language that imply a level of certainty about the likelihood that Viatris will attain these Phase 2 Outlooks, it is possible that Viatris will not attain them in the timeframe noted or at all. These Phase 2 Outlooks reflect assumptions as to certain business decisions that are subject to change. Important factors that may affect actual results and cause these Phase 2 Outlooks not to be achieved, or that may change the underlying variables and assumptions on which these Phase 2 Outlooks were based and cause these Phase 2 Outlooks to differ materially, include, but are not limited to, risks and uncertainties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883" w:right="359" w:bottom="1440" w:gutter="0" w:footer="0" w:header="0"/>
        </w:sectPr>
      </w:pPr>
    </w:p>
    <w:bookmarkStart w:id="12" w:name="page13"/>
    <w:bookmarkEnd w:id="12"/>
    <w:p>
      <w:pPr>
        <w:spacing w:after="0" w:line="234" w:lineRule="auto"/>
        <w:rPr>
          <w:sz w:val="20"/>
          <w:szCs w:val="20"/>
          <w:color w:val="auto"/>
        </w:rPr>
      </w:pPr>
      <w:r>
        <w:rPr>
          <w:rFonts w:ascii="Arial" w:cs="Arial" w:eastAsia="Arial" w:hAnsi="Arial"/>
          <w:sz w:val="18"/>
          <w:szCs w:val="18"/>
          <w:color w:val="auto"/>
        </w:rPr>
        <w:t>relating to our planned acquisitions and divestitures, including whether such transactions are completed on the expected timelines or at all, failure to achieve the anticipated benefits of any acquisitions or divestitures, failure to receive the anticipated cash proceeds of any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first paragraph of "Forward-Looking Statements". In addition, although certain of the outlooks are presented with numerical specificity, they are still forward-looking statements that involve inherent risks and uncertainties.</w:t>
      </w:r>
    </w:p>
    <w:p>
      <w:pPr>
        <w:spacing w:after="0" w:line="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Further, these Phase 2 Outlooks cover multiple years and such information by its nature becomes less reliable with each successive year. Accordingly, there can be no assurance that any aspect of these Phase 2 Outlooks will be realized or that actual results will not differ materially. Therefore, you should construe these statements regarding these Phase 2 Outlooks only as goals, targets and objectives rather than promises of future performance or absolute statements.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ectPr>
          <w:pgSz w:w="11900" w:h="16838" w:orient="portrait"/>
          <w:cols w:equalWidth="0" w:num="1">
            <w:col w:w="11220"/>
          </w:cols>
          <w:pgMar w:left="320" w:top="883" w:right="35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MEDIA</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+1.724.514.1968</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Communications@viatris.com</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Mauer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Jennifer.Mauer@viatris.com</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Bill Szablewski</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+1.412.707.2866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InvestorRelations@viatris.com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William.Szablewski@viatris.com</w:t>
      </w:r>
    </w:p>
    <w:p>
      <w:pPr>
        <w:spacing w:after="0" w:line="443" w:lineRule="exact"/>
        <w:rPr>
          <w:sz w:val="20"/>
          <w:szCs w:val="20"/>
          <w:color w:val="auto"/>
        </w:rPr>
      </w:pPr>
    </w:p>
    <w:p>
      <w:pPr>
        <w:sectPr>
          <w:pgSz w:w="11900" w:h="16838" w:orient="portrait"/>
          <w:cols w:equalWidth="0" w:num="2">
            <w:col w:w="4820" w:space="720"/>
            <w:col w:w="5680"/>
          </w:cols>
          <w:pgMar w:left="320" w:top="883" w:right="359" w:bottom="1440" w:gutter="0" w:footer="0" w:header="0"/>
          <w:type w:val="continuous"/>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 Klein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Matthew.Klein@viatris.com</w:t>
      </w:r>
    </w:p>
    <w:p>
      <w:pPr>
        <w:sectPr>
          <w:pgSz w:w="11900" w:h="16838" w:orient="portrait"/>
          <w:cols w:equalWidth="0" w:num="1">
            <w:col w:w="11220"/>
          </w:cols>
          <w:pgMar w:left="320" w:top="88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883" w:right="3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3,909.5</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4,105.4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7,628.6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8,283.6</w:t>
            </w:r>
          </w:p>
        </w:tc>
        <w:tc>
          <w:tcPr>
            <w:tcW w:w="0" w:type="dxa"/>
            <w:vAlign w:val="bottom"/>
          </w:tcPr>
          <w:p>
            <w:pPr>
              <w:spacing w:after="0"/>
              <w:rPr>
                <w:sz w:val="1"/>
                <w:szCs w:val="1"/>
                <w:color w:val="auto"/>
              </w:rPr>
            </w:pPr>
          </w:p>
        </w:tc>
      </w:tr>
      <w:tr>
        <w:trPr>
          <w:trHeight w:val="219"/>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7,647.7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8,308.5</w:t>
            </w:r>
          </w:p>
        </w:tc>
        <w:tc>
          <w:tcPr>
            <w:tcW w:w="0" w:type="dxa"/>
            <w:vAlign w:val="bottom"/>
          </w:tcPr>
          <w:p>
            <w:pPr>
              <w:spacing w:after="0"/>
              <w:rPr>
                <w:sz w:val="1"/>
                <w:szCs w:val="1"/>
                <w:color w:val="auto"/>
              </w:rPr>
            </w:pPr>
          </w:p>
        </w:tc>
      </w:tr>
      <w:tr>
        <w:trPr>
          <w:trHeight w:val="219"/>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2,413.5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4,496.9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4,834.0</w:t>
            </w:r>
          </w:p>
        </w:tc>
        <w:tc>
          <w:tcPr>
            <w:tcW w:w="0" w:type="dxa"/>
            <w:vAlign w:val="bottom"/>
          </w:tcPr>
          <w:p>
            <w:pPr>
              <w:spacing w:after="0"/>
              <w:rPr>
                <w:sz w:val="1"/>
                <w:szCs w:val="1"/>
                <w:color w:val="auto"/>
              </w:rPr>
            </w:pPr>
          </w:p>
        </w:tc>
      </w:tr>
      <w:tr>
        <w:trPr>
          <w:trHeight w:val="209"/>
        </w:trPr>
        <w:tc>
          <w:tcPr>
            <w:tcW w:w="6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3,474.5</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304.9</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4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1,896.4</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2,218.4</w:t>
            </w: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from operations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1,256.1</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292.1</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06"/>
        </w:trPr>
        <w:tc>
          <w:tcPr>
            <w:tcW w:w="624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916.8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264.0</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313.9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488.7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713.1</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attributable to Viatris Inc. shareholders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0.22</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0.26</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1,215.1</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8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920" w:type="dxa"/>
            <w:vAlign w:val="bottom"/>
          </w:tcPr>
          <w:p>
            <w:pPr>
              <w:jc w:val="center"/>
              <w:ind w:left="3528"/>
              <w:spacing w:after="0"/>
              <w:rPr>
                <w:sz w:val="20"/>
                <w:szCs w:val="20"/>
                <w:color w:val="auto"/>
              </w:rPr>
            </w:pPr>
            <w:r>
              <w:rPr>
                <w:rFonts w:ascii="Arial" w:cs="Arial" w:eastAsia="Arial" w:hAnsi="Arial"/>
                <w:sz w:val="14"/>
                <w:szCs w:val="14"/>
                <w:b w:val="1"/>
                <w:bCs w:val="1"/>
                <w:color w:val="auto"/>
                <w:w w:val="99"/>
              </w:rPr>
              <w:t>June 30,</w:t>
            </w:r>
          </w:p>
        </w:tc>
        <w:tc>
          <w:tcPr>
            <w:tcW w:w="1300" w:type="dxa"/>
            <w:vAlign w:val="bottom"/>
          </w:tcPr>
          <w:p>
            <w:pPr>
              <w:jc w:val="center"/>
              <w:ind w:lef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4760" w:type="dxa"/>
            <w:vAlign w:val="bottom"/>
            <w:vMerge w:val="continue"/>
          </w:tcPr>
          <w:p>
            <w:pPr>
              <w:spacing w:after="0"/>
              <w:rPr>
                <w:sz w:val="17"/>
                <w:szCs w:val="17"/>
                <w:color w:val="auto"/>
              </w:rPr>
            </w:pPr>
          </w:p>
        </w:tc>
        <w:tc>
          <w:tcPr>
            <w:tcW w:w="49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-6350</wp:posOffset>
            </wp:positionV>
            <wp:extent cx="1808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ectPr>
          <w:pgSz w:w="11900" w:h="16838" w:orient="portrait"/>
          <w:cols w:equalWidth="0" w:num="1">
            <w:col w:w="11200"/>
          </w:cols>
          <w:pgMar w:left="340" w:top="886" w:right="359" w:bottom="1440" w:gutter="0" w:footer="0" w:header="0"/>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40" w:right="360" w:firstLine="13"/>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-114935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158750</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3740" w:type="dxa"/>
        <w:tblCellMar>
          <w:top w:w="0" w:type="dxa"/>
          <w:left w:w="0" w:type="dxa"/>
          <w:bottom w:w="0" w:type="dxa"/>
          <w:right w:w="0" w:type="dxa"/>
        </w:tblCellMar>
      </w:tblPr>
      <w:tr>
        <w:trPr>
          <w:trHeight w:val="207"/>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629.2</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1,259.9</w:t>
            </w:r>
          </w:p>
        </w:tc>
      </w:tr>
      <w:tr>
        <w:trPr>
          <w:trHeight w:val="216"/>
        </w:trPr>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3,814.5</w:t>
            </w:r>
          </w:p>
        </w:tc>
      </w:tr>
      <w:tr>
        <w:trPr>
          <w:trHeight w:val="216"/>
        </w:trPr>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3,641.5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3,519.5</w:t>
            </w:r>
          </w:p>
        </w:tc>
      </w:tr>
      <w:tr>
        <w:trPr>
          <w:trHeight w:val="216"/>
        </w:trPr>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1,811.2</w:t>
            </w:r>
          </w:p>
        </w:tc>
      </w:tr>
      <w:tr>
        <w:trPr>
          <w:trHeight w:val="219"/>
        </w:trPr>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w:t>
            </w:r>
          </w:p>
        </w:tc>
      </w:tr>
      <w:tr>
        <w:trPr>
          <w:trHeight w:val="206"/>
        </w:trPr>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9,778.0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10,635.4</w:t>
            </w:r>
          </w:p>
        </w:tc>
      </w:tr>
      <w:tr>
        <w:trPr>
          <w:trHeight w:val="216"/>
        </w:trPr>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22,084.4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22,607.1</w:t>
            </w:r>
          </w:p>
        </w:tc>
      </w:tr>
      <w:tr>
        <w:trPr>
          <w:trHeight w:val="216"/>
        </w:trPr>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10,532.5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10,425.8</w:t>
            </w:r>
          </w:p>
        </w:tc>
      </w:tr>
      <w:tr>
        <w:trPr>
          <w:trHeight w:val="219"/>
        </w:trPr>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6,353.9</w:t>
            </w:r>
          </w:p>
        </w:tc>
      </w:tr>
      <w:tr>
        <w:trPr>
          <w:trHeight w:val="209"/>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48,695.2</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50,022.2</w:t>
            </w:r>
          </w:p>
        </w:tc>
      </w:tr>
      <w:tr>
        <w:trPr>
          <w:trHeight w:val="23"/>
        </w:trPr>
        <w:tc>
          <w:tcPr>
            <w:tcW w:w="3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-1285240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-1010920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-728345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-454025</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-170815</wp:posOffset>
            </wp:positionV>
            <wp:extent cx="71151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LIABILITIES AND EQUITY</w:t>
      </w:r>
    </w:p>
    <w:p>
      <w:pPr>
        <w:spacing w:after="0" w:line="52" w:lineRule="exact"/>
        <w:rPr>
          <w:sz w:val="20"/>
          <w:szCs w:val="20"/>
          <w:color w:val="auto"/>
        </w:rPr>
      </w:pPr>
    </w:p>
    <w:p>
      <w:pPr>
        <w:sectPr>
          <w:pgSz w:w="11900" w:h="16838" w:orient="portrait"/>
          <w:cols w:equalWidth="0" w:num="2">
            <w:col w:w="3900" w:space="720"/>
            <w:col w:w="6580"/>
          </w:cols>
          <w:pgMar w:left="340" w:top="886"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36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1,334.4</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1,259.1</w:t>
            </w:r>
          </w:p>
        </w:tc>
      </w:tr>
      <w:tr>
        <w:trPr>
          <w:trHeight w:val="219"/>
        </w:trPr>
        <w:tc>
          <w:tcPr>
            <w:tcW w:w="8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5,487.1</w:t>
            </w:r>
          </w:p>
        </w:tc>
      </w:tr>
      <w:tr>
        <w:trPr>
          <w:trHeight w:val="213"/>
        </w:trPr>
        <w:tc>
          <w:tcPr>
            <w:tcW w:w="836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17,246.0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18,015.2</w:t>
            </w:r>
          </w:p>
        </w:tc>
      </w:tr>
      <w:tr>
        <w:trPr>
          <w:trHeight w:val="219"/>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4,082.1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4,188.5</w:t>
            </w: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27,851.9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28,949.9</w:t>
            </w:r>
          </w:p>
        </w:tc>
      </w:tr>
      <w:tr>
        <w:trPr>
          <w:trHeight w:val="21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20,843.3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21,072.3</w:t>
            </w:r>
          </w:p>
        </w:tc>
      </w:tr>
      <w:tr>
        <w:trPr>
          <w:trHeight w:val="210"/>
        </w:trPr>
        <w:tc>
          <w:tcPr>
            <w:tcW w:w="836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48,695.2</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50,022.2</w:t>
            </w:r>
          </w:p>
        </w:tc>
      </w:tr>
      <w:tr>
        <w:trPr>
          <w:trHeight w:val="20"/>
        </w:trPr>
        <w:tc>
          <w:tcPr>
            <w:tcW w:w="8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40" w:top="886" w:right="35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 June 30,</w:t>
            </w:r>
          </w:p>
        </w:tc>
      </w:tr>
      <w:tr>
        <w:trPr>
          <w:trHeight w:val="202"/>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r>
      <w:tr>
        <w:trPr>
          <w:trHeight w:val="196"/>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Lipitor ®</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797.9</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845.7</w:t>
            </w:r>
          </w:p>
        </w:tc>
      </w:tr>
      <w:tr>
        <w:trPr>
          <w:trHeight w:val="213"/>
        </w:trPr>
        <w:tc>
          <w:tcPr>
            <w:tcW w:w="6780" w:type="dxa"/>
            <w:vAlign w:val="bottom"/>
          </w:tcPr>
          <w:p>
            <w:pPr>
              <w:ind w:left="140"/>
              <w:spacing w:after="0"/>
              <w:rPr>
                <w:sz w:val="20"/>
                <w:szCs w:val="20"/>
                <w:color w:val="auto"/>
              </w:rPr>
            </w:pPr>
            <w:r>
              <w:rPr>
                <w:rFonts w:ascii="Arial" w:cs="Arial" w:eastAsia="Arial" w:hAnsi="Arial"/>
                <w:sz w:val="16"/>
                <w:szCs w:val="16"/>
                <w:color w:val="auto"/>
              </w:rPr>
              <w:t>Norvasc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410.8</w:t>
            </w:r>
          </w:p>
        </w:tc>
      </w:tr>
      <w:tr>
        <w:trPr>
          <w:trHeight w:val="219"/>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Lyrica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r>
      <w:tr>
        <w:trPr>
          <w:trHeight w:val="213"/>
        </w:trPr>
        <w:tc>
          <w:tcPr>
            <w:tcW w:w="6780" w:type="dxa"/>
            <w:vAlign w:val="bottom"/>
          </w:tcPr>
          <w:p>
            <w:pPr>
              <w:ind w:left="140"/>
              <w:spacing w:after="0"/>
              <w:rPr>
                <w:sz w:val="20"/>
                <w:szCs w:val="20"/>
                <w:color w:val="auto"/>
              </w:rPr>
            </w:pPr>
            <w:r>
              <w:rPr>
                <w:rFonts w:ascii="Arial" w:cs="Arial" w:eastAsia="Arial" w:hAnsi="Arial"/>
                <w:sz w:val="16"/>
                <w:szCs w:val="16"/>
                <w:color w:val="auto"/>
              </w:rPr>
              <w:t>EpiPen® Auto-Injectors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223.3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195.3</w:t>
            </w:r>
          </w:p>
        </w:tc>
      </w:tr>
      <w:tr>
        <w:trPr>
          <w:trHeight w:val="219"/>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Viagra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w:t>
            </w:r>
          </w:p>
        </w:tc>
      </w:tr>
      <w:tr>
        <w:trPr>
          <w:trHeight w:val="213"/>
        </w:trPr>
        <w:tc>
          <w:tcPr>
            <w:tcW w:w="6780" w:type="dxa"/>
            <w:vAlign w:val="bottom"/>
          </w:tcPr>
          <w:p>
            <w:pPr>
              <w:ind w:left="140"/>
              <w:spacing w:after="0"/>
              <w:rPr>
                <w:sz w:val="20"/>
                <w:szCs w:val="20"/>
                <w:color w:val="auto"/>
              </w:rPr>
            </w:pPr>
            <w:r>
              <w:rPr>
                <w:rFonts w:ascii="Arial" w:cs="Arial" w:eastAsia="Arial" w:hAnsi="Arial"/>
                <w:sz w:val="16"/>
                <w:szCs w:val="16"/>
                <w:color w:val="auto"/>
              </w:rPr>
              <w:t>Celebrex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219"/>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Creon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r>
      <w:tr>
        <w:trPr>
          <w:trHeight w:val="213"/>
        </w:trPr>
        <w:tc>
          <w:tcPr>
            <w:tcW w:w="6780" w:type="dxa"/>
            <w:vAlign w:val="bottom"/>
          </w:tcPr>
          <w:p>
            <w:pPr>
              <w:ind w:left="140"/>
              <w:spacing w:after="0"/>
              <w:rPr>
                <w:sz w:val="20"/>
                <w:szCs w:val="20"/>
                <w:color w:val="auto"/>
              </w:rPr>
            </w:pPr>
            <w:r>
              <w:rPr>
                <w:rFonts w:ascii="Arial" w:cs="Arial" w:eastAsia="Arial" w:hAnsi="Arial"/>
                <w:sz w:val="16"/>
                <w:szCs w:val="16"/>
                <w:color w:val="auto"/>
              </w:rPr>
              <w:t>Effexor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64.8</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151.2</w:t>
            </w:r>
          </w:p>
        </w:tc>
      </w:tr>
      <w:tr>
        <w:trPr>
          <w:trHeight w:val="219"/>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Zoloft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r>
      <w:tr>
        <w:trPr>
          <w:trHeight w:val="213"/>
        </w:trPr>
        <w:tc>
          <w:tcPr>
            <w:tcW w:w="6780" w:type="dxa"/>
            <w:vAlign w:val="bottom"/>
          </w:tcPr>
          <w:p>
            <w:pPr>
              <w:ind w:left="140"/>
              <w:spacing w:after="0"/>
              <w:rPr>
                <w:sz w:val="20"/>
                <w:szCs w:val="20"/>
                <w:color w:val="auto"/>
              </w:rPr>
            </w:pPr>
            <w:r>
              <w:rPr>
                <w:rFonts w:ascii="Arial" w:cs="Arial" w:eastAsia="Arial" w:hAnsi="Arial"/>
                <w:sz w:val="16"/>
                <w:szCs w:val="16"/>
                <w:color w:val="auto"/>
              </w:rPr>
              <w:t>Xalabrands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19"/>
        </w:trPr>
        <w:tc>
          <w:tcPr>
            <w:tcW w:w="6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Dymista ®</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r>
      <w:tr>
        <w:trPr>
          <w:trHeight w:val="213"/>
        </w:trPr>
        <w:tc>
          <w:tcPr>
            <w:tcW w:w="6780" w:type="dxa"/>
            <w:vAlign w:val="bottom"/>
          </w:tcPr>
          <w:p>
            <w:pPr>
              <w:ind w:left="140"/>
              <w:spacing w:after="0"/>
              <w:rPr>
                <w:sz w:val="20"/>
                <w:szCs w:val="20"/>
                <w:color w:val="auto"/>
              </w:rPr>
            </w:pPr>
            <w:r>
              <w:rPr>
                <w:rFonts w:ascii="Arial" w:cs="Arial" w:eastAsia="Arial" w:hAnsi="Arial"/>
                <w:sz w:val="16"/>
                <w:szCs w:val="16"/>
                <w:color w:val="auto"/>
              </w:rPr>
              <w:t>Yupelri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219"/>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Xanax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r>
      <w:tr>
        <w:trPr>
          <w:trHeight w:val="210"/>
        </w:trPr>
        <w:tc>
          <w:tcPr>
            <w:tcW w:w="6780" w:type="dxa"/>
            <w:vAlign w:val="bottom"/>
          </w:tcPr>
          <w:p>
            <w:pPr>
              <w:ind w:left="140"/>
              <w:spacing w:after="0"/>
              <w:rPr>
                <w:sz w:val="20"/>
                <w:szCs w:val="20"/>
                <w:color w:val="auto"/>
              </w:rPr>
            </w:pPr>
            <w:r>
              <w:rPr>
                <w:rFonts w:ascii="Arial" w:cs="Arial" w:eastAsia="Arial" w:hAnsi="Arial"/>
                <w:sz w:val="16"/>
                <w:szCs w:val="16"/>
                <w:color w:val="auto"/>
              </w:rPr>
              <w:t>Amitiza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85.9</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63"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for the three and six months ended June 30, 2023 include the unfavorable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20" w:top="927" w:right="3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Earnings to Adjusted Net Earnings</w:t>
      </w:r>
    </w:p>
    <w:p>
      <w:pPr>
        <w:spacing w:after="0" w:line="12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Below is a reconciliation of U.S. GAAP net earnings to adjusted net earnings for the three and six months ended June 30, 2023 compared to the prior year periods: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r>
      <w:tr>
        <w:trPr>
          <w:trHeight w:val="20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w:t>
            </w:r>
          </w:p>
        </w:tc>
      </w:tr>
      <w:tr>
        <w:trPr>
          <w:trHeight w:val="216"/>
        </w:trPr>
        <w:tc>
          <w:tcPr>
            <w:tcW w:w="63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related amortization (primarily included in cost of sales) </w:t>
            </w:r>
            <w:r>
              <w:rPr>
                <w:rFonts w:ascii="Arial" w:cs="Arial" w:eastAsia="Arial" w:hAnsi="Arial"/>
                <w:sz w:val="21"/>
                <w:szCs w:val="21"/>
                <w:color w:val="auto"/>
                <w:vertAlign w:val="superscript"/>
              </w:rPr>
              <w:t>(a)</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1,303.8</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Interest expense (primarily amortization of premiums and discounts on long term debt)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Clean energy investments pre-tax gain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3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 and divestiture related costs (primarily included in SG&amp;A) </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16"/>
        </w:trPr>
        <w:tc>
          <w:tcPr>
            <w:tcW w:w="63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related costs </w:t>
            </w:r>
            <w:r>
              <w:rPr>
                <w:rFonts w:ascii="Arial" w:cs="Arial" w:eastAsia="Arial" w:hAnsi="Arial"/>
                <w:sz w:val="21"/>
                <w:szCs w:val="21"/>
                <w:color w:val="auto"/>
                <w:vertAlign w:val="superscript"/>
              </w:rPr>
              <w:t>(c)</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special items included in: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63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(d)</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 expense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630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9"/>
        </w:trPr>
        <w:tc>
          <w:tcPr>
            <w:tcW w:w="63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Other income, net </w:t>
            </w:r>
            <w:r>
              <w:rPr>
                <w:rFonts w:ascii="Arial" w:cs="Arial" w:eastAsia="Arial" w:hAnsi="Arial"/>
                <w:sz w:val="21"/>
                <w:szCs w:val="21"/>
                <w:color w:val="auto"/>
                <w:vertAlign w:val="superscript"/>
              </w:rPr>
              <w:t>(e)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63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the above items and other income tax related items </w:t>
            </w:r>
            <w:r>
              <w:rPr>
                <w:rFonts w:ascii="Arial" w:cs="Arial" w:eastAsia="Arial" w:hAnsi="Arial"/>
                <w:sz w:val="21"/>
                <w:szCs w:val="21"/>
                <w:color w:val="auto"/>
                <w:vertAlign w:val="superscript"/>
              </w:rPr>
              <w:t>(f)</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59" w:lineRule="exact"/>
        <w:rPr>
          <w:sz w:val="20"/>
          <w:szCs w:val="20"/>
          <w:color w:val="auto"/>
        </w:rPr>
      </w:pPr>
    </w:p>
    <w:p>
      <w:pPr>
        <w:ind w:left="660" w:right="140" w:hanging="328"/>
        <w:spacing w:after="0" w:line="247" w:lineRule="auto"/>
        <w:tabs>
          <w:tab w:leader="none" w:pos="645"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For the six months ended June 30, 2023, charges include an intangible asset charge of approximately $32.0 million related to the potential divestiture of select geographic markets that were part of Mylan N.V. combining with Pfizer Inc.'s off-patent branded and generic established medicines business in a Reverse Morris Trust transaction to form Viatris on November 16, 2020 (the “Combination”) that are smaller in nature and in which we had no established infrastructure prior to or following the Combination and that the Company intends to divest (the "Upjohn Distributor Markets") to write down the disposal group to fair value, less cost to sell. Also includes amortization of the step-up in the fair value of inventory related to the Oyster Point Pharma Inc. acquisition of approximately $7.3 million and $14.7 million, for the three and six months ended June 30, 2023, respectively.</w:t>
      </w:r>
    </w:p>
    <w:p>
      <w:pPr>
        <w:ind w:left="640" w:hanging="308"/>
        <w:spacing w:after="0"/>
        <w:tabs>
          <w:tab w:leader="none" w:pos="64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 related costs consist primarily of transaction costs including legal and consulting fees and integration activities.</w:t>
      </w:r>
    </w:p>
    <w:p>
      <w:pPr>
        <w:spacing w:after="0" w:line="48" w:lineRule="exact"/>
        <w:rPr>
          <w:rFonts w:ascii="Arial" w:cs="Arial" w:eastAsia="Arial" w:hAnsi="Arial"/>
          <w:sz w:val="21"/>
          <w:szCs w:val="21"/>
          <w:color w:val="auto"/>
          <w:vertAlign w:val="superscript"/>
        </w:rPr>
      </w:pPr>
    </w:p>
    <w:p>
      <w:pPr>
        <w:ind w:left="660" w:right="60" w:hanging="328"/>
        <w:spacing w:after="0" w:line="224" w:lineRule="auto"/>
        <w:tabs>
          <w:tab w:leader="none" w:pos="639"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2023, charges include approximately $68.9 million and $79.8 million, respectively, in cost of sales and approximately $5.2 million and $4.0 million, respectively, in SG&amp;A.</w:t>
      </w:r>
    </w:p>
    <w:p>
      <w:pPr>
        <w:spacing w:after="0" w:line="36" w:lineRule="exact"/>
        <w:rPr>
          <w:rFonts w:ascii="Arial" w:cs="Arial" w:eastAsia="Arial" w:hAnsi="Arial"/>
          <w:sz w:val="21"/>
          <w:szCs w:val="21"/>
          <w:color w:val="auto"/>
          <w:vertAlign w:val="superscript"/>
        </w:rPr>
      </w:pPr>
    </w:p>
    <w:p>
      <w:pPr>
        <w:ind w:left="660" w:right="380" w:hanging="328"/>
        <w:spacing w:after="0" w:line="235" w:lineRule="auto"/>
        <w:tabs>
          <w:tab w:leader="none" w:pos="645"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2023, charges include incremental manufacturing variances at plants in the 2020 restructuring program of approximately $12.9 million and $35.6 million, respectively, and charges related to the potential divestiture of the Upjohn Distributor Markets of approximately $10.0 million and $19.2 million, respectively.</w:t>
      </w:r>
    </w:p>
    <w:p>
      <w:pPr>
        <w:spacing w:after="0" w:line="37" w:lineRule="exact"/>
        <w:rPr>
          <w:rFonts w:ascii="Arial" w:cs="Arial" w:eastAsia="Arial" w:hAnsi="Arial"/>
          <w:sz w:val="21"/>
          <w:szCs w:val="21"/>
          <w:color w:val="auto"/>
          <w:vertAlign w:val="superscript"/>
        </w:rPr>
      </w:pPr>
    </w:p>
    <w:p>
      <w:pPr>
        <w:ind w:left="660" w:right="100" w:hanging="328"/>
        <w:spacing w:after="0" w:line="243" w:lineRule="auto"/>
        <w:tabs>
          <w:tab w:leader="none" w:pos="611"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June 30, 2023, includes gains of approximately $74.5 million as a result of remeasuring our non-marketable equity investments to fair value, including our equity interest in Mapi Pharma Ltd. ("Mapi") and the compulsory convertible preferred shares ("CCPS") in Biocon Biologics Limited ("Biocon Biologics"). For the six months ended June 30, 2023, includes gains of approximately $96.0 million as a result of remeasuring our non-marketable equity investments to fair value, including our equity interests in Mapi and Famy Life Sciences Private Limited ("Famy Life Sciences") and the CCPS in Biocon Biologics.</w:t>
      </w:r>
    </w:p>
    <w:p>
      <w:pPr>
        <w:spacing w:after="0" w:line="1" w:lineRule="exact"/>
        <w:rPr>
          <w:rFonts w:ascii="Arial" w:cs="Arial" w:eastAsia="Arial" w:hAnsi="Arial"/>
          <w:sz w:val="21"/>
          <w:szCs w:val="21"/>
          <w:color w:val="auto"/>
          <w:vertAlign w:val="superscript"/>
        </w:rPr>
      </w:pPr>
    </w:p>
    <w:p>
      <w:pPr>
        <w:ind w:left="580" w:hanging="248"/>
        <w:spacing w:after="0"/>
        <w:tabs>
          <w:tab w:leader="none" w:pos="5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8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Reconciliation of U.S. GAAP Net Earnings to EBITDA and Adjusted EBITDA</w:t>
      </w:r>
    </w:p>
    <w:p>
      <w:pPr>
        <w:spacing w:after="0" w:line="31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Below is a reconciliation of U.S. GAAP net earnings to EBITDA and adjusted EBITDA for the three and six months ended June 30, 2023, compared to the prior year periods: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200"/>
        </w:trPr>
        <w:tc>
          <w:tcPr>
            <w:tcW w:w="6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7"/>
        </w:trPr>
        <w:tc>
          <w:tcPr>
            <w:tcW w:w="61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Add adjustments: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contribution attributable to equity method investments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10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203.7</w:t>
            </w:r>
          </w:p>
        </w:tc>
      </w:tr>
      <w:tr>
        <w:trPr>
          <w:trHeight w:val="219"/>
        </w:trPr>
        <w:tc>
          <w:tcPr>
            <w:tcW w:w="61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r>
      <w:tr>
        <w:trPr>
          <w:trHeight w:val="216"/>
        </w:trPr>
        <w:tc>
          <w:tcPr>
            <w:tcW w:w="610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1,458.3</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1,163.4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2,667.2</w:t>
            </w: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Add / (deduct) adjustments: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13"/>
        </w:trPr>
        <w:tc>
          <w:tcPr>
            <w:tcW w:w="6100" w:type="dxa"/>
            <w:vAlign w:val="bottom"/>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9"/>
        </w:trPr>
        <w:tc>
          <w:tcPr>
            <w:tcW w:w="61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Restructuring, acquisition and divestiture related and other special items </w:t>
            </w:r>
            <w:r>
              <w:rPr>
                <w:rFonts w:ascii="Arial" w:cs="Arial" w:eastAsia="Arial" w:hAnsi="Arial"/>
                <w:sz w:val="21"/>
                <w:szCs w:val="21"/>
                <w:color w:val="auto"/>
                <w:vertAlign w:val="superscript"/>
              </w:rPr>
              <w:t>(c)</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w:t>
            </w: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1,305.7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1,482.1</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2,646.6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3,068.4</w:t>
            </w:r>
          </w:p>
        </w:tc>
      </w:tr>
      <w:tr>
        <w:trPr>
          <w:trHeight w:val="21"/>
        </w:trPr>
        <w:tc>
          <w:tcPr>
            <w:tcW w:w="6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48" w:lineRule="exact"/>
        <w:rPr>
          <w:rFonts w:ascii="Arial" w:cs="Arial" w:eastAsia="Arial" w:hAnsi="Arial"/>
          <w:sz w:val="21"/>
          <w:szCs w:val="21"/>
          <w:color w:val="auto"/>
          <w:vertAlign w:val="superscript"/>
        </w:rPr>
      </w:pPr>
    </w:p>
    <w:p>
      <w:pPr>
        <w:ind w:left="580" w:hanging="248"/>
        <w:spacing w:after="0" w:line="193" w:lineRule="auto"/>
        <w:tabs>
          <w:tab w:leader="none" w:pos="5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8" w:lineRule="exact"/>
        <w:rPr>
          <w:rFonts w:ascii="Arial" w:cs="Arial" w:eastAsia="Arial" w:hAnsi="Arial"/>
          <w:sz w:val="21"/>
          <w:szCs w:val="21"/>
          <w:color w:val="auto"/>
          <w:vertAlign w:val="superscript"/>
        </w:rPr>
      </w:pPr>
    </w:p>
    <w:p>
      <w:pPr>
        <w:ind w:left="580" w:hanging="248"/>
        <w:spacing w:after="0" w:line="193" w:lineRule="auto"/>
        <w:tabs>
          <w:tab w:leader="none" w:pos="5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Earnings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8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8"/>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Adjusted Ex</w:t>
            </w: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rPr>
              <w:t>(In millions, except %s)</w:t>
            </w:r>
          </w:p>
        </w:tc>
        <w:tc>
          <w:tcPr>
            <w:tcW w:w="18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rPr>
              <w:t>Currency %</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Biosimilars</w:t>
            </w:r>
          </w:p>
        </w:tc>
        <w:tc>
          <w:tcPr>
            <w:tcW w:w="8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1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 xml:space="preserve">Impact </w:t>
            </w:r>
            <w:r>
              <w:rPr>
                <w:rFonts w:ascii="Arial" w:cs="Arial" w:eastAsia="Arial" w:hAnsi="Arial"/>
                <w:sz w:val="9"/>
                <w:szCs w:val="9"/>
                <w:b w:val="1"/>
                <w:bCs w:val="1"/>
                <w:color w:val="auto"/>
                <w:w w:val="99"/>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 xml:space="preserve">Biosimilars </w:t>
            </w:r>
            <w:r>
              <w:rPr>
                <w:rFonts w:ascii="Arial" w:cs="Arial" w:eastAsia="Arial" w:hAnsi="Arial"/>
                <w:sz w:val="9"/>
                <w:szCs w:val="9"/>
                <w:b w:val="1"/>
                <w:bCs w:val="1"/>
                <w:color w:val="auto"/>
              </w:rPr>
              <w:t>(3)</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 xml:space="preserve">and Other </w:t>
            </w:r>
            <w:r>
              <w:rPr>
                <w:rFonts w:ascii="Arial" w:cs="Arial" w:eastAsia="Arial" w:hAnsi="Arial"/>
                <w:sz w:val="9"/>
                <w:szCs w:val="9"/>
                <w:b w:val="1"/>
                <w:bCs w:val="1"/>
                <w:color w:val="auto"/>
              </w:rPr>
              <w:t>(5)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83"/>
        </w:trPr>
        <w:tc>
          <w:tcPr>
            <w:tcW w:w="1680" w:type="dxa"/>
            <w:vAlign w:val="bottom"/>
          </w:tcPr>
          <w:p>
            <w:pPr>
              <w:ind w:left="14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Developed Markets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6"/>
        </w:trPr>
        <w:tc>
          <w:tcPr>
            <w:tcW w:w="1680" w:type="dxa"/>
            <w:vAlign w:val="bottom"/>
          </w:tcPr>
          <w:p>
            <w:pPr>
              <w:ind w:left="220"/>
              <w:spacing w:after="0"/>
              <w:rPr>
                <w:sz w:val="20"/>
                <w:szCs w:val="20"/>
                <w:color w:val="auto"/>
              </w:rPr>
            </w:pPr>
            <w:r>
              <w:rPr>
                <w:rFonts w:ascii="Arial" w:cs="Arial" w:eastAsia="Arial" w:hAnsi="Arial"/>
                <w:sz w:val="14"/>
                <w:szCs w:val="14"/>
                <w:color w:val="auto"/>
              </w:rPr>
              <w:t>Greater China</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548.3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558.4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552.2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5"/>
        </w:trPr>
        <w:tc>
          <w:tcPr>
            <w:tcW w:w="1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JANZ</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3"/>
        </w:trPr>
        <w:tc>
          <w:tcPr>
            <w:tcW w:w="1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Emerging Markets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700.1</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636.4</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6"/>
        </w:trPr>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Total 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(7)</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680" w:type="dxa"/>
            <w:vAlign w:val="bottom"/>
          </w:tcPr>
          <w:p>
            <w:pPr>
              <w:ind w:left="220"/>
              <w:spacing w:after="0" w:line="133" w:lineRule="exact"/>
              <w:rPr>
                <w:sz w:val="20"/>
                <w:szCs w:val="20"/>
                <w:color w:val="auto"/>
              </w:rPr>
            </w:pPr>
            <w:r>
              <w:rPr>
                <w:rFonts w:ascii="Arial" w:cs="Arial" w:eastAsia="Arial" w:hAnsi="Arial"/>
                <w:sz w:val="14"/>
                <w:szCs w:val="14"/>
                <w:color w:val="auto"/>
              </w:rPr>
              <w:t>Consolidated total</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3,918.6</w:t>
            </w:r>
          </w:p>
        </w:tc>
        <w:tc>
          <w:tcPr>
            <w:tcW w:w="100" w:type="dxa"/>
            <w:vAlign w:val="bottom"/>
            <w:vMerge w:val="restart"/>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4,116.8</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91.6</w:t>
            </w:r>
          </w:p>
        </w:tc>
        <w:tc>
          <w:tcPr>
            <w:tcW w:w="8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4,010.2</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680" w:type="dxa"/>
            <w:vAlign w:val="bottom"/>
          </w:tcPr>
          <w:p>
            <w:pPr>
              <w:ind w:left="220"/>
              <w:spacing w:after="0" w:line="172"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(8)</w:t>
            </w: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8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8"/>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Adjusted Ex</w:t>
            </w: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rPr>
              <w:t>(In millions, except %s)</w:t>
            </w:r>
          </w:p>
        </w:tc>
        <w:tc>
          <w:tcPr>
            <w:tcW w:w="18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rPr>
              <w:t>Currency %</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Biosimilars</w:t>
            </w:r>
          </w:p>
        </w:tc>
        <w:tc>
          <w:tcPr>
            <w:tcW w:w="8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1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 xml:space="preserve">Impact </w:t>
            </w:r>
            <w:r>
              <w:rPr>
                <w:rFonts w:ascii="Arial" w:cs="Arial" w:eastAsia="Arial" w:hAnsi="Arial"/>
                <w:sz w:val="9"/>
                <w:szCs w:val="9"/>
                <w:b w:val="1"/>
                <w:bCs w:val="1"/>
                <w:color w:val="auto"/>
                <w:w w:val="99"/>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 xml:space="preserve">Biosimilars </w:t>
            </w:r>
            <w:r>
              <w:rPr>
                <w:rFonts w:ascii="Arial" w:cs="Arial" w:eastAsia="Arial" w:hAnsi="Arial"/>
                <w:sz w:val="9"/>
                <w:szCs w:val="9"/>
                <w:b w:val="1"/>
                <w:bCs w:val="1"/>
                <w:color w:val="auto"/>
              </w:rPr>
              <w:t>(3)</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 xml:space="preserve">and Other </w:t>
            </w:r>
            <w:r>
              <w:rPr>
                <w:rFonts w:ascii="Arial" w:cs="Arial" w:eastAsia="Arial" w:hAnsi="Arial"/>
                <w:sz w:val="9"/>
                <w:szCs w:val="9"/>
                <w:b w:val="1"/>
                <w:bCs w:val="1"/>
                <w:color w:val="auto"/>
              </w:rPr>
              <w:t>(5)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83"/>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68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4,524.2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4,955.2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61.3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4,585.6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286.6</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4,654.7</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9"/>
        </w:trPr>
        <w:tc>
          <w:tcPr>
            <w:tcW w:w="1680" w:type="dxa"/>
            <w:vAlign w:val="bottom"/>
          </w:tcPr>
          <w:p>
            <w:pPr>
              <w:ind w:left="220"/>
              <w:spacing w:after="0"/>
              <w:rPr>
                <w:sz w:val="20"/>
                <w:szCs w:val="20"/>
                <w:color w:val="auto"/>
              </w:rPr>
            </w:pPr>
            <w:r>
              <w:rPr>
                <w:rFonts w:ascii="Arial" w:cs="Arial" w:eastAsia="Arial" w:hAnsi="Arial"/>
                <w:sz w:val="14"/>
                <w:szCs w:val="14"/>
                <w:color w:val="auto"/>
              </w:rPr>
              <w:t>JANZ</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850.9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776.4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851.0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1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1,326.1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0"/>
        </w:trPr>
        <w:tc>
          <w:tcPr>
            <w:tcW w:w="168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7,628.6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8,283.6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288.7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7,917.3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326.6</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7,957.0</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2"/>
        </w:trPr>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(7)</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NM</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00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Consolidated total</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7,647.7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8,308.5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289.1</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7,936.8</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revenues </w:t>
            </w:r>
            <w:r>
              <w:rPr>
                <w:rFonts w:ascii="Arial" w:cs="Arial" w:eastAsia="Arial" w:hAnsi="Arial"/>
                <w:sz w:val="9"/>
                <w:szCs w:val="9"/>
                <w:color w:val="auto"/>
              </w:rPr>
              <w:t>(8)</w:t>
            </w:r>
          </w:p>
        </w:tc>
        <w:tc>
          <w:tcPr>
            <w:tcW w:w="1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6"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48" w:lineRule="exact"/>
        <w:rPr>
          <w:rFonts w:ascii="Arial" w:cs="Arial" w:eastAsia="Arial" w:hAnsi="Arial"/>
          <w:sz w:val="21"/>
          <w:szCs w:val="21"/>
          <w:color w:val="auto"/>
          <w:vertAlign w:val="superscript"/>
        </w:rPr>
      </w:pPr>
    </w:p>
    <w:p>
      <w:pPr>
        <w:jc w:val="both"/>
        <w:ind w:left="660" w:hanging="328"/>
        <w:spacing w:after="0" w:line="230" w:lineRule="auto"/>
        <w:tabs>
          <w:tab w:leader="none" w:pos="647"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w:t>
      </w:r>
    </w:p>
    <w:p>
      <w:pPr>
        <w:spacing w:after="0" w:line="17" w:lineRule="exact"/>
        <w:rPr>
          <w:rFonts w:ascii="Arial" w:cs="Arial" w:eastAsia="Arial" w:hAnsi="Arial"/>
          <w:sz w:val="21"/>
          <w:szCs w:val="21"/>
          <w:color w:val="auto"/>
          <w:vertAlign w:val="superscript"/>
        </w:rPr>
      </w:pPr>
    </w:p>
    <w:p>
      <w:pPr>
        <w:ind w:left="660" w:hanging="328"/>
        <w:spacing w:after="0"/>
        <w:tabs>
          <w:tab w:leader="none" w:pos="66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biosimilars net sales in the relevant period.</w:t>
      </w:r>
    </w:p>
    <w:p>
      <w:pPr>
        <w:spacing w:after="0" w:line="48" w:lineRule="exact"/>
        <w:rPr>
          <w:rFonts w:ascii="Arial" w:cs="Arial" w:eastAsia="Arial" w:hAnsi="Arial"/>
          <w:sz w:val="21"/>
          <w:szCs w:val="21"/>
          <w:color w:val="auto"/>
          <w:vertAlign w:val="superscript"/>
        </w:rPr>
      </w:pPr>
    </w:p>
    <w:p>
      <w:pPr>
        <w:ind w:left="660" w:hanging="328"/>
        <w:spacing w:after="0" w:line="193" w:lineRule="auto"/>
        <w:tabs>
          <w:tab w:leader="none" w:pos="66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a reclassification to conform prior year amounts to current year presentation of divestiture adjusted operational net sales.</w:t>
      </w:r>
    </w:p>
    <w:p>
      <w:pPr>
        <w:spacing w:after="0" w:line="48" w:lineRule="exact"/>
        <w:rPr>
          <w:rFonts w:ascii="Arial" w:cs="Arial" w:eastAsia="Arial" w:hAnsi="Arial"/>
          <w:sz w:val="21"/>
          <w:szCs w:val="21"/>
          <w:color w:val="auto"/>
          <w:vertAlign w:val="superscript"/>
        </w:rPr>
      </w:pPr>
    </w:p>
    <w:p>
      <w:pPr>
        <w:ind w:left="660" w:hanging="328"/>
        <w:spacing w:after="0" w:line="193" w:lineRule="auto"/>
        <w:tabs>
          <w:tab w:leader="none" w:pos="66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2022 biosimilars net sales for the relevant period and a reclassification.</w:t>
      </w:r>
    </w:p>
    <w:p>
      <w:pPr>
        <w:spacing w:after="0" w:line="62" w:lineRule="exact"/>
        <w:rPr>
          <w:rFonts w:ascii="Arial" w:cs="Arial" w:eastAsia="Arial" w:hAnsi="Arial"/>
          <w:sz w:val="21"/>
          <w:szCs w:val="21"/>
          <w:color w:val="auto"/>
          <w:vertAlign w:val="superscript"/>
        </w:rPr>
      </w:pPr>
    </w:p>
    <w:p>
      <w:pPr>
        <w:ind w:left="660" w:hanging="328"/>
        <w:spacing w:after="0" w:line="193" w:lineRule="auto"/>
        <w:tabs>
          <w:tab w:leader="none" w:pos="66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48" w:lineRule="exact"/>
        <w:rPr>
          <w:rFonts w:ascii="Arial" w:cs="Arial" w:eastAsia="Arial" w:hAnsi="Arial"/>
          <w:sz w:val="21"/>
          <w:szCs w:val="21"/>
          <w:color w:val="auto"/>
          <w:vertAlign w:val="superscript"/>
        </w:rPr>
      </w:pPr>
    </w:p>
    <w:p>
      <w:pPr>
        <w:jc w:val="both"/>
        <w:ind w:left="660" w:hanging="328"/>
        <w:spacing w:after="0" w:line="230" w:lineRule="auto"/>
        <w:tabs>
          <w:tab w:leader="none" w:pos="66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June 30, 2023, other revenues in Developed Markets, JANZ, and Emerging Markets were approximately $6.0 million, $0.4 million, and $2.7 million, respectively. For the six months ended June 30, 2023, other revenues in Developed Markets, JANZ, and Emerging Markets were approximately $13.1 million, $0.6 million, and $5.4 million, respectively.</w:t>
      </w:r>
    </w:p>
    <w:p>
      <w:pPr>
        <w:spacing w:after="0" w:line="3" w:lineRule="exact"/>
        <w:rPr>
          <w:rFonts w:ascii="Arial" w:cs="Arial" w:eastAsia="Arial" w:hAnsi="Arial"/>
          <w:sz w:val="21"/>
          <w:szCs w:val="21"/>
          <w:color w:val="auto"/>
          <w:vertAlign w:val="superscript"/>
        </w:rPr>
      </w:pPr>
    </w:p>
    <w:p>
      <w:pPr>
        <w:ind w:left="660" w:hanging="328"/>
        <w:spacing w:after="0"/>
        <w:tabs>
          <w:tab w:leader="none" w:pos="66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8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6"/>
                <w:szCs w:val="16"/>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96"/>
        </w:trPr>
        <w:tc>
          <w:tcPr>
            <w:tcW w:w="57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2,310.0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2,413.5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4,496.9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4,834.0</w:t>
            </w:r>
          </w:p>
        </w:tc>
        <w:tc>
          <w:tcPr>
            <w:tcW w:w="0" w:type="dxa"/>
            <w:vAlign w:val="bottom"/>
          </w:tcPr>
          <w:p>
            <w:pPr>
              <w:spacing w:after="0"/>
              <w:rPr>
                <w:sz w:val="1"/>
                <w:szCs w:val="1"/>
                <w:color w:val="auto"/>
              </w:rPr>
            </w:pP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related amortization</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(609.3)</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(1,262.7)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(1,303.7)</w:t>
            </w:r>
          </w:p>
        </w:tc>
        <w:tc>
          <w:tcPr>
            <w:tcW w:w="0" w:type="dxa"/>
            <w:vAlign w:val="bottom"/>
          </w:tcPr>
          <w:p>
            <w:pPr>
              <w:spacing w:after="0"/>
              <w:rPr>
                <w:sz w:val="1"/>
                <w:szCs w:val="1"/>
                <w:color w:val="auto"/>
              </w:rPr>
            </w:pPr>
          </w:p>
        </w:tc>
      </w:tr>
      <w:tr>
        <w:trPr>
          <w:trHeight w:val="197"/>
        </w:trPr>
        <w:tc>
          <w:tcPr>
            <w:tcW w:w="5780" w:type="dxa"/>
            <w:vAlign w:val="bottom"/>
          </w:tcPr>
          <w:p>
            <w:pPr>
              <w:ind w:left="220"/>
              <w:spacing w:after="0"/>
              <w:rPr>
                <w:sz w:val="20"/>
                <w:szCs w:val="20"/>
                <w:color w:val="auto"/>
              </w:rPr>
            </w:pPr>
            <w:r>
              <w:rPr>
                <w:rFonts w:ascii="Arial" w:cs="Arial" w:eastAsia="Arial" w:hAnsi="Arial"/>
                <w:sz w:val="14"/>
                <w:szCs w:val="14"/>
                <w:color w:val="auto"/>
              </w:rPr>
              <w:t>Acquisition and divestiture related items</w:t>
            </w:r>
          </w:p>
        </w:tc>
        <w:tc>
          <w:tcPr>
            <w:tcW w:w="2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5"/>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6"/>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1,586.9</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1,705.1</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3,065.1</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3,403.4</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2,331.7</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2,411.7</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4,582.6</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4,905.1</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U.S. GAAP R&amp;D</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Deduct:</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Acquisition and divestiture related costs</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 expense</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(d)</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special items</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Adjusted R&amp;D</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Adjusted R&amp;D as % of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SG&amp;A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Deduct: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Acquisition and divestiture related costs</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and related costs</w:t>
      </w:r>
    </w:p>
    <w:p>
      <w:pPr>
        <w:spacing w:after="0" w:line="42" w:lineRule="exact"/>
        <w:rPr>
          <w:sz w:val="20"/>
          <w:szCs w:val="20"/>
          <w:color w:val="auto"/>
        </w:rPr>
      </w:pPr>
    </w:p>
    <w:p>
      <w:pPr>
        <w:ind w:left="240" w:right="1140"/>
        <w:spacing w:after="0" w:line="291" w:lineRule="auto"/>
        <w:rPr>
          <w:sz w:val="20"/>
          <w:szCs w:val="20"/>
          <w:color w:val="auto"/>
        </w:rPr>
      </w:pPr>
      <w:r>
        <w:rPr>
          <w:rFonts w:ascii="Arial" w:cs="Arial" w:eastAsia="Arial" w:hAnsi="Arial"/>
          <w:sz w:val="14"/>
          <w:szCs w:val="14"/>
          <w:color w:val="auto"/>
        </w:rPr>
        <w:t>Purchase accounting amortization and other related items Share-based compensation expense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(d)</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special items and reclassifications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SG&amp;A</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SG&amp;A as % of total revenues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80" w:type="dxa"/>
            <w:vAlign w:val="bottom"/>
          </w:tcPr>
          <w:p>
            <w:pPr>
              <w:spacing w:after="0"/>
              <w:rPr>
                <w:sz w:val="17"/>
                <w:szCs w:val="17"/>
                <w:color w:val="auto"/>
              </w:rPr>
            </w:pPr>
          </w:p>
        </w:tc>
        <w:tc>
          <w:tcPr>
            <w:tcW w:w="238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278"/>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4"/>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208.3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162.6</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391.2</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304.9</w:t>
            </w:r>
          </w:p>
        </w:tc>
      </w:tr>
      <w:tr>
        <w:trPr>
          <w:trHeight w:val="392"/>
        </w:trPr>
        <w:tc>
          <w:tcPr>
            <w:tcW w:w="28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w:t>
            </w:r>
          </w:p>
        </w:tc>
      </w:tr>
      <w:tr>
        <w:trPr>
          <w:trHeight w:val="203"/>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(3.0)</w:t>
            </w:r>
          </w:p>
        </w:tc>
      </w:tr>
      <w:tr>
        <w:trPr>
          <w:trHeight w:val="203"/>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01"/>
        </w:trPr>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(0.9)</w:t>
            </w:r>
          </w:p>
        </w:tc>
      </w:tr>
      <w:tr>
        <w:trPr>
          <w:trHeight w:val="190"/>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193.9</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158.7</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360.9</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297.3</w:t>
            </w:r>
          </w:p>
        </w:tc>
      </w:tr>
      <w:tr>
        <w:trPr>
          <w:trHeight w:val="27"/>
        </w:trPr>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r>
      <w:tr>
        <w:trPr>
          <w:trHeight w:val="379"/>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26"/>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-1207770</wp:posOffset>
            </wp:positionV>
            <wp:extent cx="709803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-959485</wp:posOffset>
            </wp:positionV>
            <wp:extent cx="709803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-702310</wp:posOffset>
            </wp:positionV>
            <wp:extent cx="709803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-445135</wp:posOffset>
            </wp:positionV>
            <wp:extent cx="70980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-162560</wp:posOffset>
            </wp:positionV>
            <wp:extent cx="709803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0" w:type="dxa"/>
            <w:vAlign w:val="bottom"/>
          </w:tcPr>
          <w:p>
            <w:pPr>
              <w:spacing w:after="0"/>
              <w:rPr>
                <w:sz w:val="17"/>
                <w:szCs w:val="17"/>
                <w:color w:val="auto"/>
              </w:rPr>
            </w:pPr>
          </w:p>
        </w:tc>
        <w:tc>
          <w:tcPr>
            <w:tcW w:w="238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78"/>
        </w:trPr>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r>
      <w:tr>
        <w:trPr>
          <w:trHeight w:val="184"/>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1,031.9</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981.1</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1,990.8</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1,896.4</w:t>
            </w:r>
          </w:p>
        </w:tc>
      </w:tr>
      <w:tr>
        <w:trPr>
          <w:trHeight w:val="405"/>
        </w:trPr>
        <w:tc>
          <w:tcPr>
            <w:tcW w:w="28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(178.5)</w:t>
            </w:r>
          </w:p>
        </w:tc>
      </w:tr>
      <w:tr>
        <w:trPr>
          <w:trHeight w:val="189"/>
        </w:trPr>
        <w:tc>
          <w:tcPr>
            <w:tcW w:w="2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(7.2)</w:t>
            </w:r>
          </w:p>
        </w:tc>
      </w:tr>
      <w:tr>
        <w:trPr>
          <w:trHeight w:val="203"/>
        </w:trPr>
        <w:tc>
          <w:tcPr>
            <w:tcW w:w="28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(0.1)</w:t>
            </w:r>
          </w:p>
        </w:tc>
      </w:tr>
      <w:tr>
        <w:trPr>
          <w:trHeight w:val="203"/>
        </w:trPr>
        <w:tc>
          <w:tcPr>
            <w:tcW w:w="28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(54.0)</w:t>
            </w:r>
          </w:p>
        </w:tc>
      </w:tr>
      <w:tr>
        <w:trPr>
          <w:trHeight w:val="203"/>
        </w:trPr>
        <w:tc>
          <w:tcPr>
            <w:tcW w:w="28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5"/>
        </w:trPr>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w:t>
            </w:r>
          </w:p>
        </w:tc>
      </w:tr>
      <w:tr>
        <w:trPr>
          <w:trHeight w:val="188"/>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901.4</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828.4</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1,730.8</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1,632.2</w:t>
            </w:r>
          </w:p>
        </w:tc>
      </w:tr>
      <w:tr>
        <w:trPr>
          <w:trHeight w:val="21"/>
        </w:trPr>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r>
      <w:tr>
        <w:trPr>
          <w:trHeight w:val="26"/>
        </w:trPr>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-1456690</wp:posOffset>
            </wp:positionV>
            <wp:extent cx="711517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-1199515</wp:posOffset>
            </wp:positionV>
            <wp:extent cx="711517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-950595</wp:posOffset>
            </wp:positionV>
            <wp:extent cx="711517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-702310</wp:posOffset>
            </wp:positionV>
            <wp:extent cx="711517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-445135</wp:posOffset>
            </wp:positionV>
            <wp:extent cx="711517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-161925</wp:posOffset>
            </wp:positionV>
            <wp:extent cx="711517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460"/>
          </w:cols>
          <w:pgMar w:left="320" w:top="886" w:right="33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886"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0"/>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center"/>
              <w:ind w:right="1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95"/>
        </w:trPr>
        <w:tc>
          <w:tcPr>
            <w:tcW w:w="6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1,239.4</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1,154.6</w:t>
            </w:r>
          </w:p>
        </w:tc>
        <w:tc>
          <w:tcPr>
            <w:tcW w:w="38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2,381.8</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2,218.4</w:t>
            </w:r>
          </w:p>
        </w:tc>
        <w:tc>
          <w:tcPr>
            <w:tcW w:w="0" w:type="dxa"/>
            <w:vAlign w:val="bottom"/>
          </w:tcPr>
          <w:p>
            <w:pPr>
              <w:spacing w:after="0"/>
              <w:rPr>
                <w:sz w:val="1"/>
                <w:szCs w:val="1"/>
                <w:color w:val="auto"/>
              </w:rPr>
            </w:pP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96"/>
        </w:trPr>
        <w:tc>
          <w:tcPr>
            <w:tcW w:w="612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5"/>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196"/>
        </w:trPr>
        <w:tc>
          <w:tcPr>
            <w:tcW w:w="612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1,105.5</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987.1</w:t>
            </w:r>
          </w:p>
        </w:tc>
        <w:tc>
          <w:tcPr>
            <w:tcW w:w="38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2,101.9</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1,929.5</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1,424.6</w:t>
            </w:r>
          </w:p>
        </w:tc>
        <w:tc>
          <w:tcPr>
            <w:tcW w:w="120" w:type="dxa"/>
            <w:vAlign w:val="bottom"/>
            <w:gridSpan w:val="2"/>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2,480.7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2,975.6</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6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jc w:val="center"/>
              <w:ind w:right="1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97"/>
        </w:trPr>
        <w:tc>
          <w:tcPr>
            <w:tcW w:w="61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143.7</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38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290.7</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292.1</w:t>
            </w:r>
          </w:p>
        </w:tc>
        <w:tc>
          <w:tcPr>
            <w:tcW w:w="0" w:type="dxa"/>
            <w:vAlign w:val="bottom"/>
          </w:tcPr>
          <w:p>
            <w:pPr>
              <w:spacing w:after="0"/>
              <w:rPr>
                <w:sz w:val="1"/>
                <w:szCs w:val="1"/>
                <w:color w:val="auto"/>
              </w:rPr>
            </w:pPr>
          </w:p>
        </w:tc>
      </w:tr>
      <w:tr>
        <w:trPr>
          <w:trHeight w:val="197"/>
        </w:trPr>
        <w:tc>
          <w:tcPr>
            <w:tcW w:w="612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7"/>
        </w:trPr>
        <w:tc>
          <w:tcPr>
            <w:tcW w:w="6120" w:type="dxa"/>
            <w:vAlign w:val="bottom"/>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95"/>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6120" w:type="dxa"/>
            <w:vAlign w:val="bottom"/>
          </w:tcPr>
          <w:p>
            <w:pPr>
              <w:ind w:left="20"/>
              <w:spacing w:after="0"/>
              <w:rPr>
                <w:sz w:val="20"/>
                <w:szCs w:val="20"/>
                <w:color w:val="auto"/>
              </w:rPr>
            </w:pPr>
            <w:r>
              <w:rPr>
                <w:rFonts w:ascii="Arial" w:cs="Arial" w:eastAsia="Arial" w:hAnsi="Arial"/>
                <w:sz w:val="14"/>
                <w:szCs w:val="14"/>
                <w:color w:val="auto"/>
              </w:rPr>
              <w:t>Adjusted interest expense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154.2</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159.1</w:t>
            </w:r>
          </w:p>
        </w:tc>
        <w:tc>
          <w:tcPr>
            <w:tcW w:w="38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311.5</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319.0</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6"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other (income) expense, net</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 / (Deduct):</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Clean energy investments pre-tax gain </w:t>
      </w:r>
      <w:r>
        <w:rPr>
          <w:rFonts w:ascii="Arial" w:cs="Arial" w:eastAsia="Arial" w:hAnsi="Arial"/>
          <w:sz w:val="18"/>
          <w:szCs w:val="18"/>
          <w:color w:val="auto"/>
          <w:vertAlign w:val="superscript"/>
        </w:rPr>
        <w:t>(c)</w:t>
      </w:r>
    </w:p>
    <w:p>
      <w:pPr>
        <w:ind w:left="240"/>
        <w:spacing w:after="0" w:line="236" w:lineRule="auto"/>
        <w:rPr>
          <w:sz w:val="20"/>
          <w:szCs w:val="20"/>
          <w:color w:val="auto"/>
        </w:rPr>
      </w:pPr>
      <w:r>
        <w:rPr>
          <w:rFonts w:ascii="Arial" w:cs="Arial" w:eastAsia="Arial" w:hAnsi="Arial"/>
          <w:sz w:val="14"/>
          <w:szCs w:val="14"/>
          <w:color w:val="auto"/>
        </w:rPr>
        <w:t xml:space="preserve">Fair Value adjustments on equity investments </w:t>
      </w:r>
      <w:r>
        <w:rPr>
          <w:rFonts w:ascii="Arial" w:cs="Arial" w:eastAsia="Arial" w:hAnsi="Arial"/>
          <w:sz w:val="18"/>
          <w:szCs w:val="18"/>
          <w:color w:val="auto"/>
          <w:vertAlign w:val="superscript"/>
        </w:rPr>
        <w:t>(e)</w:t>
      </w: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(d)</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items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89"/>
        </w:trPr>
        <w:tc>
          <w:tcPr>
            <w:tcW w:w="260" w:type="dxa"/>
            <w:vAlign w:val="bottom"/>
          </w:tcPr>
          <w:p>
            <w:pPr>
              <w:spacing w:after="0"/>
              <w:rPr>
                <w:sz w:val="16"/>
                <w:szCs w:val="16"/>
                <w:color w:val="auto"/>
              </w:rPr>
            </w:pPr>
          </w:p>
        </w:tc>
        <w:tc>
          <w:tcPr>
            <w:tcW w:w="18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290"/>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r>
      <w:tr>
        <w:trPr>
          <w:trHeight w:val="185"/>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(107.5)</w:t>
            </w:r>
          </w:p>
        </w:tc>
        <w:tc>
          <w:tcPr>
            <w:tcW w:w="920" w:type="dxa"/>
            <w:vAlign w:val="bottom"/>
            <w:gridSpan w:val="2"/>
          </w:tcPr>
          <w:p>
            <w:pPr>
              <w:jc w:val="right"/>
              <w:ind w:right="6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13.5</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(177.4)</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47.2</w:t>
            </w:r>
          </w:p>
        </w:tc>
      </w:tr>
      <w:tr>
        <w:trPr>
          <w:trHeight w:val="392"/>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19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920" w:type="dxa"/>
            <w:vAlign w:val="bottom"/>
            <w:gridSpan w:val="2"/>
          </w:tcPr>
          <w:p>
            <w:pPr>
              <w:jc w:val="right"/>
              <w:ind w:right="64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13.8</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(19.2)</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49.1</w:t>
            </w:r>
          </w:p>
        </w:tc>
      </w:tr>
      <w:tr>
        <w:trPr>
          <w:trHeight w:val="27"/>
        </w:trPr>
        <w:tc>
          <w:tcPr>
            <w:tcW w:w="2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-3681095</wp:posOffset>
            </wp:positionH>
            <wp:positionV relativeFrom="paragraph">
              <wp:posOffset>-933450</wp:posOffset>
            </wp:positionV>
            <wp:extent cx="711517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-676275</wp:posOffset>
            </wp:positionV>
            <wp:extent cx="711517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-419100</wp:posOffset>
            </wp:positionV>
            <wp:extent cx="711517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-161925</wp:posOffset>
            </wp:positionV>
            <wp:extent cx="711517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9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rPr>
              <w:t>June 30,</w:t>
            </w:r>
          </w:p>
        </w:tc>
      </w:tr>
      <w:tr>
        <w:trPr>
          <w:trHeight w:val="289"/>
        </w:trPr>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17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17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p>
      <w:pPr>
        <w:sectPr>
          <w:pgSz w:w="11900" w:h="16838" w:orient="portrait"/>
          <w:cols w:equalWidth="0" w:num="2">
            <w:col w:w="5100" w:space="720"/>
            <w:col w:w="5420"/>
          </w:cols>
          <w:pgMar w:left="320" w:top="936"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before income taxes</w:t>
            </w: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333.0</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389.3</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655.7</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916.8</w:t>
            </w:r>
          </w:p>
        </w:tc>
      </w:tr>
      <w:tr>
        <w:trPr>
          <w:trHeight w:val="203"/>
        </w:trPr>
        <w:tc>
          <w:tcPr>
            <w:tcW w:w="5820" w:type="dxa"/>
            <w:vAlign w:val="bottom"/>
          </w:tcPr>
          <w:p>
            <w:pPr>
              <w:ind w:left="20"/>
              <w:spacing w:after="0"/>
              <w:rPr>
                <w:sz w:val="20"/>
                <w:szCs w:val="20"/>
                <w:color w:val="auto"/>
              </w:rPr>
            </w:pPr>
            <w:r>
              <w:rPr>
                <w:rFonts w:ascii="Arial" w:cs="Arial" w:eastAsia="Arial" w:hAnsi="Arial"/>
                <w:sz w:val="14"/>
                <w:szCs w:val="14"/>
                <w:color w:val="auto"/>
              </w:rPr>
              <w:t>Total pre-tax non-GAAP adjustments</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744.8</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862.5</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1,532.7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1,690.8</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1,077.8</w:t>
            </w:r>
          </w:p>
        </w:tc>
        <w:tc>
          <w:tcPr>
            <w:tcW w:w="4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1,251.8</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2,188.4</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2,607.6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69.0</w:t>
            </w:r>
          </w:p>
        </w:tc>
        <w:tc>
          <w:tcPr>
            <w:tcW w:w="4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75.4</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167.0</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203.7</w:t>
            </w:r>
          </w:p>
        </w:tc>
      </w:tr>
      <w:tr>
        <w:trPr>
          <w:trHeight w:val="203"/>
        </w:trPr>
        <w:tc>
          <w:tcPr>
            <w:tcW w:w="5820" w:type="dxa"/>
            <w:vAlign w:val="bottom"/>
          </w:tcPr>
          <w:p>
            <w:pPr>
              <w:ind w:left="20"/>
              <w:spacing w:after="0"/>
              <w:rPr>
                <w:sz w:val="20"/>
                <w:szCs w:val="20"/>
                <w:color w:val="auto"/>
              </w:rPr>
            </w:pPr>
            <w:r>
              <w:rPr>
                <w:rFonts w:ascii="Arial" w:cs="Arial" w:eastAsia="Arial" w:hAnsi="Arial"/>
                <w:sz w:val="14"/>
                <w:szCs w:val="14"/>
                <w:color w:val="auto"/>
              </w:rPr>
              <w:t>Adjusted tax expense</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103.4</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111.1</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213.3</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172.4</w:t>
            </w:r>
          </w:p>
        </w:tc>
        <w:tc>
          <w:tcPr>
            <w:tcW w:w="4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186.5</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350.1</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417.0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58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221"/>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36"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___________</w:t>
      </w:r>
    </w:p>
    <w:p>
      <w:pPr>
        <w:spacing w:after="0" w:line="72" w:lineRule="exact"/>
        <w:rPr>
          <w:sz w:val="20"/>
          <w:szCs w:val="20"/>
          <w:color w:val="auto"/>
        </w:rPr>
      </w:pPr>
    </w:p>
    <w:p>
      <w:pPr>
        <w:jc w:val="both"/>
        <w:ind w:left="660" w:hanging="328"/>
        <w:spacing w:after="0" w:line="236" w:lineRule="auto"/>
        <w:tabs>
          <w:tab w:leader="none" w:pos="6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89" w:lineRule="exact"/>
        <w:rPr>
          <w:rFonts w:ascii="Arial" w:cs="Arial" w:eastAsia="Arial" w:hAnsi="Arial"/>
          <w:sz w:val="19"/>
          <w:szCs w:val="19"/>
          <w:color w:val="auto"/>
          <w:vertAlign w:val="superscript"/>
        </w:rPr>
      </w:pPr>
    </w:p>
    <w:p>
      <w:pPr>
        <w:ind w:left="660" w:hanging="328"/>
        <w:spacing w:after="0" w:line="293" w:lineRule="auto"/>
        <w:tabs>
          <w:tab w:leader="none" w:pos="660" w:val="left"/>
        </w:tabs>
        <w:numPr>
          <w:ilvl w:val="0"/>
          <w:numId w:val="12"/>
        </w:numPr>
        <w:rPr>
          <w:rFonts w:ascii="Arial" w:cs="Arial" w:eastAsia="Arial" w:hAnsi="Arial"/>
          <w:sz w:val="9"/>
          <w:szCs w:val="9"/>
          <w:color w:val="auto"/>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65" w:lineRule="exact"/>
        <w:rPr>
          <w:rFonts w:ascii="Arial" w:cs="Arial" w:eastAsia="Arial" w:hAnsi="Arial"/>
          <w:sz w:val="9"/>
          <w:szCs w:val="9"/>
          <w:color w:val="auto"/>
        </w:rPr>
      </w:pPr>
    </w:p>
    <w:p>
      <w:pPr>
        <w:ind w:left="660" w:hanging="328"/>
        <w:spacing w:after="0" w:line="226" w:lineRule="auto"/>
        <w:tabs>
          <w:tab w:leader="none" w:pos="6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Adjustment represents exclusion of activity related to Viatris' clean energy investments, the activities of which qualify for income tax credits under section 45 of the U.S. Internal Revenue Code of 1986, as amended.</w:t>
      </w:r>
    </w:p>
    <w:p>
      <w:pPr>
        <w:ind w:left="660" w:hanging="328"/>
        <w:spacing w:after="0" w:line="237" w:lineRule="auto"/>
        <w:tabs>
          <w:tab w:leader="none" w:pos="6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pacing w:after="0" w:line="57" w:lineRule="exact"/>
        <w:rPr>
          <w:rFonts w:ascii="Arial" w:cs="Arial" w:eastAsia="Arial" w:hAnsi="Arial"/>
          <w:sz w:val="19"/>
          <w:szCs w:val="19"/>
          <w:color w:val="auto"/>
          <w:vertAlign w:val="superscript"/>
        </w:rPr>
      </w:pPr>
    </w:p>
    <w:p>
      <w:pPr>
        <w:ind w:left="660" w:right="40" w:hanging="328"/>
        <w:spacing w:after="0" w:line="226" w:lineRule="auto"/>
        <w:tabs>
          <w:tab w:leader="none" w:pos="6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2023, includes gains of approximately $74.5 million as a result of remeasuring our non-marketable equity interest in Mapi and the CCPS in Biocon Biologics to fair value. For the six months ended June 30, 2023, includes gains of approximately $96.0 million as a result of remeasuring our non-marketable equity interests in Mapi and Famy Life Sciences and the CCPS in Biocon Biologics to fair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2023 U.S. GAAP Net Cash Provided by Operating Activities to Free Cash Flow</w:t>
      </w:r>
    </w:p>
    <w:p>
      <w:pPr>
        <w:spacing w:after="0" w:line="1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2023 U.S. GAAP Net Cash provided by Operating Activities to Free Cash Flow is presented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$3,100</w:t>
            </w:r>
          </w:p>
        </w:tc>
      </w:tr>
      <w:tr>
        <w:trPr>
          <w:trHeight w:val="216"/>
        </w:trPr>
        <w:tc>
          <w:tcPr>
            <w:tcW w:w="8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$(500)</w:t>
            </w:r>
          </w:p>
        </w:tc>
      </w:tr>
      <w:tr>
        <w:trPr>
          <w:trHeight w:val="199"/>
        </w:trPr>
        <w:tc>
          <w:tcPr>
            <w:tcW w:w="8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$2,700</w:t>
            </w:r>
          </w:p>
        </w:tc>
      </w:tr>
      <w:tr>
        <w:trPr>
          <w:trHeight w:val="311"/>
        </w:trPr>
        <w:tc>
          <w:tcPr>
            <w:tcW w:w="8720" w:type="dxa"/>
            <w:vAlign w:val="bottom"/>
          </w:tcPr>
          <w:p>
            <w:pPr>
              <w:spacing w:after="0"/>
              <w:rPr>
                <w:sz w:val="20"/>
                <w:szCs w:val="20"/>
                <w:color w:val="auto"/>
              </w:rPr>
            </w:pPr>
            <w:r>
              <w:rPr>
                <w:rFonts w:ascii="Arial" w:cs="Arial" w:eastAsia="Arial" w:hAnsi="Arial"/>
                <w:sz w:val="18"/>
                <w:szCs w:val="18"/>
                <w:color w:val="auto"/>
              </w:rPr>
              <w:t>___________</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03" w:lineRule="exact"/>
        <w:rPr>
          <w:sz w:val="20"/>
          <w:szCs w:val="20"/>
          <w:color w:val="auto"/>
        </w:rPr>
      </w:pPr>
    </w:p>
    <w:p>
      <w:pPr>
        <w:ind w:left="660" w:right="80" w:hanging="328"/>
        <w:spacing w:after="0" w:line="226" w:lineRule="auto"/>
        <w:tabs>
          <w:tab w:leader="none" w:pos="66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Includes the full year expected performance for the planned divestitures and excludes any potential related costs, such as taxes and transaction costs, as well as any similar costs related to the eye care acquisitions. Also excludes any acquired IPR&amp;D for unsigned deals.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2023-08-07T06:47:15Z</dcterms:created>
  <dcterms:modified xsi:type="dcterms:W3CDTF">2023-08-07T06:47:15Z</dcterms:modified>
</cp:coreProperties>
</file>