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593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930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COURY ROBERT J</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Viatris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VTRS</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03/09/2022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65"/>
        <w:spacing w:after="0"/>
        <w:rPr>
          <w:sz w:val="20"/>
          <w:szCs w:val="20"/>
          <w:color w:val="auto"/>
        </w:rPr>
      </w:pPr>
      <w:r>
        <w:rPr>
          <w:rFonts w:ascii="Arial" w:cs="Arial" w:eastAsia="Arial" w:hAnsi="Arial"/>
          <w:sz w:val="17"/>
          <w:szCs w:val="17"/>
          <w:color w:val="0000FF"/>
        </w:rPr>
        <w:t>Executive Chairman</w:t>
      </w:r>
    </w:p>
    <w:p>
      <w:pPr>
        <w:spacing w:after="0" w:line="266"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tcPr>
          <w:p>
            <w:pPr>
              <w:spacing w:after="0"/>
              <w:rPr>
                <w:sz w:val="2"/>
                <w:szCs w:val="2"/>
                <w:color w:val="auto"/>
              </w:rPr>
            </w:pPr>
          </w:p>
        </w:tc>
        <w:tc>
          <w:tcPr>
            <w:tcW w:w="352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520" w:type="dxa"/>
            <w:vAlign w:val="bottom"/>
            <w:gridSpan w:val="7"/>
            <w:vMerge w:val="continue"/>
          </w:tcPr>
          <w:p>
            <w:pPr>
              <w:spacing w:after="0"/>
              <w:rPr>
                <w:sz w:val="11"/>
                <w:szCs w:val="11"/>
                <w:color w:val="auto"/>
              </w:rPr>
            </w:pPr>
          </w:p>
        </w:tc>
        <w:tc>
          <w:tcPr>
            <w:tcW w:w="37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spacing w:after="0"/>
              <w:rPr>
                <w:sz w:val="20"/>
                <w:szCs w:val="20"/>
                <w:color w:val="auto"/>
              </w:rPr>
            </w:pPr>
            <w:r>
              <w:rPr>
                <w:rFonts w:ascii="Arial" w:cs="Arial" w:eastAsia="Arial" w:hAnsi="Arial"/>
                <w:sz w:val="17"/>
                <w:szCs w:val="17"/>
                <w:color w:val="0000FF"/>
                <w:w w:val="97"/>
              </w:rPr>
              <w:t>CANONSBURG PA</w:t>
            </w:r>
          </w:p>
        </w:tc>
        <w:tc>
          <w:tcPr>
            <w:tcW w:w="820" w:type="dxa"/>
            <w:vAlign w:val="bottom"/>
          </w:tcPr>
          <w:p>
            <w:pPr>
              <w:spacing w:after="0"/>
              <w:rPr>
                <w:sz w:val="21"/>
                <w:szCs w:val="21"/>
                <w:color w:val="auto"/>
              </w:rPr>
            </w:pPr>
          </w:p>
        </w:tc>
        <w:tc>
          <w:tcPr>
            <w:tcW w:w="1340" w:type="dxa"/>
            <w:vAlign w:val="bottom"/>
          </w:tcPr>
          <w:p>
            <w:pPr>
              <w:ind w:left="160"/>
              <w:spacing w:after="0"/>
              <w:rPr>
                <w:sz w:val="20"/>
                <w:szCs w:val="20"/>
                <w:color w:val="auto"/>
              </w:rPr>
            </w:pPr>
            <w:r>
              <w:rPr>
                <w:rFonts w:ascii="Arial" w:cs="Arial" w:eastAsia="Arial" w:hAnsi="Arial"/>
                <w:sz w:val="17"/>
                <w:szCs w:val="17"/>
                <w:color w:val="0000FF"/>
              </w:rPr>
              <w:t>15317</w:t>
            </w: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920" w:type="dxa"/>
            <w:vAlign w:val="bottom"/>
            <w:gridSpan w:val="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60" w:type="dxa"/>
            <w:vAlign w:val="bottom"/>
            <w:gridSpan w:val="2"/>
            <w:vMerge w:val="restart"/>
          </w:tcPr>
          <w:p>
            <w:pPr>
              <w:ind w:left="140"/>
              <w:spacing w:after="0"/>
              <w:rPr>
                <w:sz w:val="20"/>
                <w:szCs w:val="20"/>
                <w:color w:val="auto"/>
              </w:rPr>
            </w:pPr>
            <w:r>
              <w:rPr>
                <w:rFonts w:ascii="Arial" w:cs="Arial" w:eastAsia="Arial" w:hAnsi="Arial"/>
                <w:sz w:val="13"/>
                <w:szCs w:val="13"/>
                <w:color w:val="auto"/>
              </w:rPr>
              <w:t>(Zip)</w:t>
            </w: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680" w:type="dxa"/>
            <w:vAlign w:val="bottom"/>
            <w:gridSpan w:val="2"/>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2720" w:type="dxa"/>
            <w:vAlign w:val="bottom"/>
            <w:tcBorders>
              <w:bottom w:val="single" w:sz="8" w:color="2C2C2C"/>
            </w:tcBorders>
            <w:gridSpan w:val="6"/>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gridSpan w:val="2"/>
          </w:tcPr>
          <w:p>
            <w:pPr>
              <w:ind w:left="5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5"/>
                <w:szCs w:val="15"/>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18"/>
                <w:szCs w:val="18"/>
                <w:color w:val="auto"/>
              </w:rPr>
            </w:pPr>
          </w:p>
        </w:tc>
        <w:tc>
          <w:tcPr>
            <w:tcW w:w="2180" w:type="dxa"/>
            <w:vAlign w:val="bottom"/>
            <w:gridSpan w:val="3"/>
          </w:tcPr>
          <w:p>
            <w:pPr>
              <w:ind w:left="640"/>
              <w:spacing w:after="0"/>
              <w:rPr>
                <w:sz w:val="20"/>
                <w:szCs w:val="20"/>
                <w:color w:val="auto"/>
              </w:rPr>
            </w:pPr>
            <w:r>
              <w:rPr>
                <w:rFonts w:ascii="Arial" w:cs="Arial" w:eastAsia="Arial" w:hAnsi="Arial"/>
                <w:sz w:val="17"/>
                <w:szCs w:val="17"/>
                <w:color w:val="0000FF"/>
              </w:rPr>
              <w:t>03/09/2022</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ind w:left="120"/>
              <w:spacing w:after="0"/>
              <w:rPr>
                <w:sz w:val="20"/>
                <w:szCs w:val="20"/>
                <w:color w:val="auto"/>
              </w:rPr>
            </w:pPr>
            <w:r>
              <w:rPr>
                <w:rFonts w:ascii="Arial" w:cs="Arial" w:eastAsia="Arial" w:hAnsi="Arial"/>
                <w:sz w:val="12"/>
                <w:szCs w:val="12"/>
                <w:color w:val="0000FF"/>
                <w:w w:val="74"/>
              </w:rPr>
              <w:t>S</w:t>
            </w:r>
          </w:p>
        </w:tc>
        <w:tc>
          <w:tcPr>
            <w:tcW w:w="540" w:type="dxa"/>
            <w:vAlign w:val="bottom"/>
          </w:tcPr>
          <w:p>
            <w:pPr>
              <w:spacing w:after="0"/>
              <w:rPr>
                <w:sz w:val="18"/>
                <w:szCs w:val="18"/>
                <w:color w:val="auto"/>
              </w:rPr>
            </w:pPr>
          </w:p>
        </w:tc>
        <w:tc>
          <w:tcPr>
            <w:tcW w:w="860" w:type="dxa"/>
            <w:vAlign w:val="bottom"/>
          </w:tcPr>
          <w:p>
            <w:pPr>
              <w:jc w:val="right"/>
              <w:ind w:right="111"/>
              <w:spacing w:after="0"/>
              <w:rPr>
                <w:sz w:val="20"/>
                <w:szCs w:val="20"/>
                <w:color w:val="auto"/>
              </w:rPr>
            </w:pPr>
            <w:r>
              <w:rPr>
                <w:rFonts w:ascii="Arial" w:cs="Arial" w:eastAsia="Arial" w:hAnsi="Arial"/>
                <w:sz w:val="17"/>
                <w:szCs w:val="17"/>
                <w:color w:val="0000FF"/>
              </w:rPr>
              <w:t>250,000</w:t>
            </w:r>
          </w:p>
        </w:tc>
        <w:tc>
          <w:tcPr>
            <w:tcW w:w="500" w:type="dxa"/>
            <w:vAlign w:val="bottom"/>
          </w:tcPr>
          <w:p>
            <w:pPr>
              <w:ind w:left="120"/>
              <w:spacing w:after="0"/>
              <w:rPr>
                <w:sz w:val="20"/>
                <w:szCs w:val="20"/>
                <w:color w:val="auto"/>
              </w:rPr>
            </w:pPr>
            <w:r>
              <w:rPr>
                <w:rFonts w:ascii="Arial" w:cs="Arial" w:eastAsia="Arial" w:hAnsi="Arial"/>
                <w:sz w:val="17"/>
                <w:szCs w:val="17"/>
                <w:color w:val="0000FF"/>
              </w:rPr>
              <w:t>D</w:t>
            </w:r>
          </w:p>
        </w:tc>
        <w:tc>
          <w:tcPr>
            <w:tcW w:w="860" w:type="dxa"/>
            <w:vAlign w:val="bottom"/>
            <w:gridSpan w:val="3"/>
          </w:tcPr>
          <w:p>
            <w:pPr>
              <w:spacing w:after="0" w:line="213" w:lineRule="exact"/>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10.2762</w:t>
            </w:r>
            <w:r>
              <w:rPr>
                <w:rFonts w:ascii="Arial" w:cs="Arial" w:eastAsia="Arial" w:hAnsi="Arial"/>
                <w:sz w:val="22"/>
                <w:szCs w:val="22"/>
                <w:color w:val="008000"/>
                <w:w w:val="94"/>
                <w:vertAlign w:val="superscript"/>
              </w:rPr>
              <w:t>(1)</w:t>
            </w: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91"/>
              </w:rPr>
              <w:t>250,000</w:t>
            </w:r>
          </w:p>
        </w:tc>
        <w:tc>
          <w:tcPr>
            <w:tcW w:w="920" w:type="dxa"/>
            <w:vAlign w:val="bottom"/>
          </w:tcPr>
          <w:p>
            <w:pPr>
              <w:jc w:val="center"/>
              <w:ind w:right="34"/>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18"/>
                <w:szCs w:val="18"/>
                <w:color w:val="auto"/>
              </w:rPr>
            </w:pPr>
          </w:p>
        </w:tc>
        <w:tc>
          <w:tcPr>
            <w:tcW w:w="2180" w:type="dxa"/>
            <w:vAlign w:val="bottom"/>
            <w:gridSpan w:val="3"/>
          </w:tcPr>
          <w:p>
            <w:pPr>
              <w:ind w:left="640"/>
              <w:spacing w:after="0"/>
              <w:rPr>
                <w:sz w:val="20"/>
                <w:szCs w:val="20"/>
                <w:color w:val="auto"/>
              </w:rPr>
            </w:pPr>
            <w:r>
              <w:rPr>
                <w:rFonts w:ascii="Arial" w:cs="Arial" w:eastAsia="Arial" w:hAnsi="Arial"/>
                <w:sz w:val="17"/>
                <w:szCs w:val="17"/>
                <w:color w:val="0000FF"/>
              </w:rPr>
              <w:t>03/11/2022</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ind w:left="120"/>
              <w:spacing w:after="0"/>
              <w:rPr>
                <w:sz w:val="20"/>
                <w:szCs w:val="20"/>
                <w:color w:val="auto"/>
              </w:rPr>
            </w:pPr>
            <w:r>
              <w:rPr>
                <w:rFonts w:ascii="Arial" w:cs="Arial" w:eastAsia="Arial" w:hAnsi="Arial"/>
                <w:sz w:val="12"/>
                <w:szCs w:val="12"/>
                <w:color w:val="0000FF"/>
                <w:w w:val="74"/>
              </w:rPr>
              <w:t>S</w:t>
            </w:r>
          </w:p>
        </w:tc>
        <w:tc>
          <w:tcPr>
            <w:tcW w:w="540" w:type="dxa"/>
            <w:vAlign w:val="bottom"/>
          </w:tcPr>
          <w:p>
            <w:pPr>
              <w:spacing w:after="0"/>
              <w:rPr>
                <w:sz w:val="18"/>
                <w:szCs w:val="18"/>
                <w:color w:val="auto"/>
              </w:rPr>
            </w:pPr>
          </w:p>
        </w:tc>
        <w:tc>
          <w:tcPr>
            <w:tcW w:w="860" w:type="dxa"/>
            <w:vAlign w:val="bottom"/>
          </w:tcPr>
          <w:p>
            <w:pPr>
              <w:jc w:val="right"/>
              <w:ind w:right="111"/>
              <w:spacing w:after="0"/>
              <w:rPr>
                <w:sz w:val="20"/>
                <w:szCs w:val="20"/>
                <w:color w:val="auto"/>
              </w:rPr>
            </w:pPr>
            <w:r>
              <w:rPr>
                <w:rFonts w:ascii="Arial" w:cs="Arial" w:eastAsia="Arial" w:hAnsi="Arial"/>
                <w:sz w:val="17"/>
                <w:szCs w:val="17"/>
                <w:color w:val="0000FF"/>
              </w:rPr>
              <w:t>250,000</w:t>
            </w:r>
          </w:p>
        </w:tc>
        <w:tc>
          <w:tcPr>
            <w:tcW w:w="500" w:type="dxa"/>
            <w:vAlign w:val="bottom"/>
          </w:tcPr>
          <w:p>
            <w:pPr>
              <w:ind w:left="120"/>
              <w:spacing w:after="0"/>
              <w:rPr>
                <w:sz w:val="20"/>
                <w:szCs w:val="20"/>
                <w:color w:val="auto"/>
              </w:rPr>
            </w:pPr>
            <w:r>
              <w:rPr>
                <w:rFonts w:ascii="Arial" w:cs="Arial" w:eastAsia="Arial" w:hAnsi="Arial"/>
                <w:sz w:val="17"/>
                <w:szCs w:val="17"/>
                <w:color w:val="0000FF"/>
              </w:rPr>
              <w:t>D</w:t>
            </w:r>
          </w:p>
        </w:tc>
        <w:tc>
          <w:tcPr>
            <w:tcW w:w="860" w:type="dxa"/>
            <w:vAlign w:val="bottom"/>
            <w:gridSpan w:val="3"/>
          </w:tcPr>
          <w:p>
            <w:pPr>
              <w:spacing w:after="0" w:line="213" w:lineRule="exact"/>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10.0731</w:t>
            </w:r>
            <w:r>
              <w:rPr>
                <w:rFonts w:ascii="Arial" w:cs="Arial" w:eastAsia="Arial" w:hAnsi="Arial"/>
                <w:sz w:val="22"/>
                <w:szCs w:val="22"/>
                <w:color w:val="008000"/>
                <w:w w:val="94"/>
                <w:vertAlign w:val="superscript"/>
              </w:rPr>
              <w:t>(3)</w:t>
            </w:r>
          </w:p>
        </w:tc>
        <w:tc>
          <w:tcPr>
            <w:tcW w:w="420" w:type="dxa"/>
            <w:vAlign w:val="bottom"/>
          </w:tcPr>
          <w:p>
            <w:pPr>
              <w:spacing w:after="0"/>
              <w:rPr>
                <w:sz w:val="18"/>
                <w:szCs w:val="18"/>
                <w:color w:val="auto"/>
              </w:rPr>
            </w:pPr>
          </w:p>
        </w:tc>
        <w:tc>
          <w:tcPr>
            <w:tcW w:w="760" w:type="dxa"/>
            <w:vAlign w:val="bottom"/>
          </w:tcPr>
          <w:p>
            <w:pPr>
              <w:jc w:val="center"/>
              <w:ind w:right="397"/>
              <w:spacing w:after="0"/>
              <w:rPr>
                <w:sz w:val="20"/>
                <w:szCs w:val="20"/>
                <w:color w:val="auto"/>
              </w:rPr>
            </w:pPr>
            <w:r>
              <w:rPr>
                <w:rFonts w:ascii="Arial" w:cs="Arial" w:eastAsia="Arial" w:hAnsi="Arial"/>
                <w:sz w:val="17"/>
                <w:szCs w:val="17"/>
                <w:color w:val="0000FF"/>
              </w:rPr>
              <w:t>0</w:t>
            </w:r>
          </w:p>
        </w:tc>
        <w:tc>
          <w:tcPr>
            <w:tcW w:w="920" w:type="dxa"/>
            <w:vAlign w:val="bottom"/>
          </w:tcPr>
          <w:p>
            <w:pPr>
              <w:jc w:val="center"/>
              <w:ind w:right="34"/>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80" w:type="dxa"/>
            <w:vAlign w:val="bottom"/>
            <w:tcBorders>
              <w:top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top w:val="single" w:sz="8" w:color="2C2C2C"/>
            </w:tcBorders>
          </w:tcPr>
          <w:p>
            <w:pPr>
              <w:spacing w:after="0"/>
              <w:rPr>
                <w:sz w:val="23"/>
                <w:szCs w:val="23"/>
                <w:color w:val="auto"/>
              </w:rPr>
            </w:pP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860" w:type="dxa"/>
            <w:vAlign w:val="bottom"/>
            <w:tcBorders>
              <w:top w:val="single" w:sz="8" w:color="2C2C2C"/>
            </w:tcBorders>
          </w:tcPr>
          <w:p>
            <w:pPr>
              <w:spacing w:after="0"/>
              <w:rPr>
                <w:sz w:val="23"/>
                <w:szCs w:val="23"/>
                <w:color w:val="auto"/>
              </w:rPr>
            </w:pPr>
          </w:p>
        </w:tc>
        <w:tc>
          <w:tcPr>
            <w:tcW w:w="50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1180" w:type="dxa"/>
            <w:vAlign w:val="bottom"/>
            <w:tcBorders>
              <w:top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1,061,659</w:t>
            </w:r>
          </w:p>
        </w:tc>
        <w:tc>
          <w:tcPr>
            <w:tcW w:w="920" w:type="dxa"/>
            <w:vAlign w:val="bottom"/>
            <w:tcBorders>
              <w:top w:val="single" w:sz="8" w:color="2C2C2C"/>
            </w:tcBorders>
          </w:tcPr>
          <w:p>
            <w:pPr>
              <w:jc w:val="center"/>
              <w:ind w:right="34"/>
              <w:spacing w:after="0"/>
              <w:rPr>
                <w:sz w:val="20"/>
                <w:szCs w:val="20"/>
                <w:color w:val="auto"/>
              </w:rPr>
            </w:pPr>
            <w:r>
              <w:rPr>
                <w:rFonts w:ascii="Arial" w:cs="Arial" w:eastAsia="Arial" w:hAnsi="Arial"/>
                <w:sz w:val="17"/>
                <w:szCs w:val="17"/>
                <w:color w:val="0000FF"/>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720" w:type="dxa"/>
            <w:vAlign w:val="bottom"/>
            <w:tcBorders>
              <w:bottom w:val="single" w:sz="8" w:color="2C2C2C"/>
            </w:tcBorders>
            <w:gridSpan w:val="4"/>
          </w:tcPr>
          <w:p>
            <w:pPr>
              <w:spacing w:after="0"/>
              <w:rPr>
                <w:sz w:val="8"/>
                <w:szCs w:val="8"/>
                <w:color w:val="auto"/>
              </w:rPr>
            </w:pPr>
          </w:p>
        </w:tc>
        <w:tc>
          <w:tcPr>
            <w:tcW w:w="272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6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weighted average price of the trust's disposition of 250,000 shares of common stock in transactions ranging from $10.19 to $10.355. The reporting person undertakes to provide to the issuer, any security holder of the issuer, or the staff of the Securities and Exchange Commission, upon request, full information regarding the number of shares of common stock sold at each separate price within the range set forth in this footnote.</w:t>
      </w:r>
    </w:p>
    <w:p>
      <w:pPr>
        <w:spacing w:after="0" w:line="25" w:lineRule="exact"/>
        <w:rPr>
          <w:rFonts w:ascii="Arial" w:cs="Arial" w:eastAsia="Arial" w:hAnsi="Arial"/>
          <w:sz w:val="13"/>
          <w:szCs w:val="13"/>
          <w:color w:val="008000"/>
        </w:rPr>
      </w:pPr>
    </w:p>
    <w:p>
      <w:pPr>
        <w:ind w:left="40" w:right="28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Irrevocable trust for the benefit of the reporting person's descendants. Certain of the reporting person's siblings and adult children are the trustees of the trust. The reporting person disclaims beneficial ownership of these securities, and the filing of this report is not an admission that the reporting person is the beneficial owner of these securities for purposes of Section 16 or for any other purpose.</w:t>
      </w: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weighted average price of the trust's disposition of 250,000 shares of common stock in transactions ranging from $10.01 to $10.17. The reporting person undertakes to provide to the issuer, any security holder of the issuer, or the staff of the Securities and Exchange Commission, upon request, full information regarding the number of shares of common stock sold at each separate price within the range set forth in this footnote.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Kevin Macikowski, by</w:t>
            </w:r>
          </w:p>
        </w:tc>
        <w:tc>
          <w:tcPr>
            <w:tcW w:w="2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03/11/2022</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97543"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2022-03-11T19:04:09Z</dcterms:created>
  <dcterms:modified xsi:type="dcterms:W3CDTF">2022-03-11T19:04:09Z</dcterms:modified>
</cp:coreProperties>
</file>