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396875</wp:posOffset>
            </wp:positionH>
            <wp:positionV relativeFrom="page">
              <wp:posOffset>525780</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483235</wp:posOffset>
            </wp:positionV>
            <wp:extent cx="67633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5" w:lineRule="exact"/>
        <w:rPr>
          <w:sz w:val="24"/>
          <w:szCs w:val="24"/>
          <w:color w:val="auto"/>
        </w:rPr>
      </w:pPr>
    </w:p>
    <w:p>
      <w:pPr>
        <w:ind w:left="640" w:right="4680" w:hanging="614"/>
        <w:spacing w:after="0" w:line="316" w:lineRule="auto"/>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ind w:left="640"/>
              <w:spacing w:after="0"/>
              <w:rPr>
                <w:sz w:val="20"/>
                <w:szCs w:val="20"/>
                <w:color w:val="auto"/>
              </w:rPr>
            </w:pPr>
            <w:r>
              <w:rPr>
                <w:rFonts w:ascii="Arial" w:cs="Arial" w:eastAsia="Arial" w:hAnsi="Arial"/>
                <w:sz w:val="16"/>
                <w:szCs w:val="16"/>
                <w:b w:val="1"/>
                <w:bCs w:val="1"/>
                <w:color w:val="auto"/>
              </w:rPr>
              <w:t>For the transition period from</w:t>
            </w:r>
          </w:p>
        </w:tc>
        <w:tc>
          <w:tcPr>
            <w:tcW w:w="480" w:type="dxa"/>
            <w:vAlign w:val="bottom"/>
          </w:tcPr>
          <w:p>
            <w:pPr>
              <w:jc w:val="right"/>
              <w:ind w:right="155"/>
              <w:spacing w:after="0"/>
              <w:rPr>
                <w:sz w:val="20"/>
                <w:szCs w:val="20"/>
                <w:color w:val="auto"/>
              </w:rPr>
            </w:pPr>
            <w:r>
              <w:rPr>
                <w:rFonts w:ascii="Arial" w:cs="Arial" w:eastAsia="Arial" w:hAnsi="Arial"/>
                <w:sz w:val="16"/>
                <w:szCs w:val="16"/>
                <w:b w:val="1"/>
                <w:bCs w:val="1"/>
                <w:color w:val="auto"/>
              </w:rPr>
              <w:t>to</w:t>
            </w:r>
          </w:p>
        </w:tc>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20" w:type="dxa"/>
            <w:vAlign w:val="bottom"/>
          </w:tcPr>
          <w:p>
            <w:pPr>
              <w:jc w:val="center"/>
              <w:ind w:left="70"/>
              <w:spacing w:after="0"/>
              <w:rPr>
                <w:sz w:val="20"/>
                <w:szCs w:val="20"/>
                <w:color w:val="auto"/>
              </w:rPr>
            </w:pPr>
            <w:r>
              <w:rPr>
                <w:rFonts w:ascii="Arial" w:cs="Arial" w:eastAsia="Arial" w:hAnsi="Arial"/>
                <w:sz w:val="16"/>
                <w:szCs w:val="16"/>
                <w:b w:val="1"/>
                <w:bCs w:val="1"/>
                <w:color w:val="auto"/>
                <w:w w:val="91"/>
              </w:rPr>
              <w:t>Commission file number 001-39695</w:t>
            </w: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20" w:type="dxa"/>
            <w:vAlign w:val="bottom"/>
          </w:tcPr>
          <w:p>
            <w:pPr>
              <w:jc w:val="center"/>
              <w:ind w:left="70"/>
              <w:spacing w:after="0"/>
              <w:rPr>
                <w:sz w:val="20"/>
                <w:szCs w:val="20"/>
                <w:color w:val="auto"/>
              </w:rPr>
            </w:pPr>
            <w:r>
              <w:rPr>
                <w:rFonts w:ascii="Arial" w:cs="Arial" w:eastAsia="Arial" w:hAnsi="Arial"/>
                <w:sz w:val="32"/>
                <w:szCs w:val="32"/>
                <w:b w:val="1"/>
                <w:bCs w:val="1"/>
                <w:color w:val="auto"/>
              </w:rPr>
              <w:t>VIATRIS INC.</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jc w:val="center"/>
              <w:ind w:left="90"/>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200" w:type="dxa"/>
            <w:vAlign w:val="bottom"/>
          </w:tcPr>
          <w:p>
            <w:pPr>
              <w:ind w:left="2360"/>
              <w:spacing w:after="0"/>
              <w:rPr>
                <w:sz w:val="20"/>
                <w:szCs w:val="20"/>
                <w:color w:val="auto"/>
              </w:rPr>
            </w:pPr>
            <w:r>
              <w:rPr>
                <w:rFonts w:ascii="Arial" w:cs="Arial" w:eastAsia="Arial" w:hAnsi="Arial"/>
                <w:sz w:val="18"/>
                <w:szCs w:val="18"/>
                <w:b w:val="1"/>
                <w:bCs w:val="1"/>
                <w:color w:val="auto"/>
              </w:rPr>
              <w:t>Delaware</w:t>
            </w:r>
          </w:p>
        </w:tc>
        <w:tc>
          <w:tcPr>
            <w:tcW w:w="4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83-4364296</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400" w:type="dxa"/>
            <w:vAlign w:val="bottom"/>
            <w:gridSpan w:val="3"/>
          </w:tcPr>
          <w:p>
            <w:pPr>
              <w:ind w:left="960"/>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3380" w:type="dxa"/>
            <w:vAlign w:val="bottom"/>
            <w:gridSpan w:val="4"/>
          </w:tcPr>
          <w:p>
            <w:pPr>
              <w:jc w:val="center"/>
              <w:ind w:right="1039"/>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377"/>
        </w:trPr>
        <w:tc>
          <w:tcPr>
            <w:tcW w:w="3200" w:type="dxa"/>
            <w:vAlign w:val="bottom"/>
          </w:tcPr>
          <w:p>
            <w:pPr>
              <w:spacing w:after="0"/>
              <w:rPr>
                <w:sz w:val="24"/>
                <w:szCs w:val="24"/>
                <w:color w:val="auto"/>
              </w:rPr>
            </w:pPr>
          </w:p>
        </w:tc>
        <w:tc>
          <w:tcPr>
            <w:tcW w:w="5020" w:type="dxa"/>
            <w:vAlign w:val="bottom"/>
            <w:gridSpan w:val="3"/>
          </w:tcPr>
          <w:p>
            <w:pPr>
              <w:jc w:val="center"/>
              <w:ind w:right="99"/>
              <w:spacing w:after="0"/>
              <w:rPr>
                <w:sz w:val="20"/>
                <w:szCs w:val="20"/>
                <w:color w:val="auto"/>
              </w:rPr>
            </w:pPr>
            <w:r>
              <w:rPr>
                <w:rFonts w:ascii="Arial" w:cs="Arial" w:eastAsia="Arial" w:hAnsi="Arial"/>
                <w:sz w:val="18"/>
                <w:szCs w:val="18"/>
                <w:b w:val="1"/>
                <w:bCs w:val="1"/>
                <w:color w:val="auto"/>
                <w:w w:val="90"/>
              </w:rPr>
              <w:t>1000 Mylan Boulevard, Canonsburg, Pennsylvania, 15317</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tcPr>
          <w:p>
            <w:pPr>
              <w:jc w:val="center"/>
              <w:ind w:left="70"/>
              <w:spacing w:after="0"/>
              <w:rPr>
                <w:sz w:val="20"/>
                <w:szCs w:val="20"/>
                <w:color w:val="auto"/>
              </w:rPr>
            </w:pPr>
            <w:r>
              <w:rPr>
                <w:rFonts w:ascii="Arial" w:cs="Arial" w:eastAsia="Arial" w:hAnsi="Arial"/>
                <w:sz w:val="14"/>
                <w:szCs w:val="14"/>
                <w:i w:val="1"/>
                <w:iCs w:val="1"/>
                <w:color w:val="auto"/>
                <w:w w:val="94"/>
              </w:rPr>
              <w:t>(Address of principal executive offices)(Zip Code)</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(724) 514-1800</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tcPr>
          <w:p>
            <w:pPr>
              <w:jc w:val="center"/>
              <w:ind w:left="9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3200" w:type="dxa"/>
            <w:vAlign w:val="bottom"/>
          </w:tcPr>
          <w:p>
            <w:pPr>
              <w:ind w:left="1400"/>
              <w:spacing w:after="0"/>
              <w:rPr>
                <w:sz w:val="20"/>
                <w:szCs w:val="20"/>
                <w:color w:val="auto"/>
              </w:rPr>
            </w:pPr>
            <w:r>
              <w:rPr>
                <w:rFonts w:ascii="Arial" w:cs="Arial" w:eastAsia="Arial" w:hAnsi="Arial"/>
                <w:sz w:val="16"/>
                <w:szCs w:val="16"/>
                <w:b w:val="1"/>
                <w:bCs w:val="1"/>
                <w:color w:val="auto"/>
              </w:rPr>
              <w:t>Title of Each Class:</w:t>
            </w:r>
          </w:p>
        </w:tc>
        <w:tc>
          <w:tcPr>
            <w:tcW w:w="480" w:type="dxa"/>
            <w:vAlign w:val="bottom"/>
          </w:tcPr>
          <w:p>
            <w:pPr>
              <w:spacing w:after="0"/>
              <w:rPr>
                <w:sz w:val="24"/>
                <w:szCs w:val="24"/>
                <w:color w:val="auto"/>
              </w:rPr>
            </w:pPr>
          </w:p>
        </w:tc>
        <w:tc>
          <w:tcPr>
            <w:tcW w:w="3720" w:type="dxa"/>
            <w:vAlign w:val="bottom"/>
          </w:tcPr>
          <w:p>
            <w:pPr>
              <w:jc w:val="center"/>
              <w:ind w:left="70"/>
              <w:spacing w:after="0"/>
              <w:rPr>
                <w:sz w:val="20"/>
                <w:szCs w:val="20"/>
                <w:color w:val="auto"/>
              </w:rPr>
            </w:pPr>
            <w:r>
              <w:rPr>
                <w:rFonts w:ascii="Arial" w:cs="Arial" w:eastAsia="Arial" w:hAnsi="Arial"/>
                <w:sz w:val="16"/>
                <w:szCs w:val="16"/>
                <w:b w:val="1"/>
                <w:bCs w:val="1"/>
                <w:color w:val="auto"/>
                <w:w w:val="91"/>
              </w:rPr>
              <w:t>Trading Symbol(s)</w:t>
            </w:r>
          </w:p>
        </w:tc>
        <w:tc>
          <w:tcPr>
            <w:tcW w:w="3380" w:type="dxa"/>
            <w:vAlign w:val="bottom"/>
            <w:gridSpan w:val="4"/>
          </w:tcPr>
          <w:p>
            <w:pPr>
              <w:jc w:val="center"/>
              <w:ind w:left="79"/>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16"/>
        </w:trPr>
        <w:tc>
          <w:tcPr>
            <w:tcW w:w="3680" w:type="dxa"/>
            <w:vAlign w:val="bottom"/>
            <w:gridSpan w:val="2"/>
          </w:tcPr>
          <w:p>
            <w:pPr>
              <w:jc w:val="right"/>
              <w:ind w:right="155"/>
              <w:spacing w:after="0"/>
              <w:rPr>
                <w:sz w:val="20"/>
                <w:szCs w:val="20"/>
                <w:color w:val="auto"/>
              </w:rPr>
            </w:pPr>
            <w:r>
              <w:rPr>
                <w:rFonts w:ascii="Arial" w:cs="Arial" w:eastAsia="Arial" w:hAnsi="Arial"/>
                <w:sz w:val="16"/>
                <w:szCs w:val="16"/>
                <w:color w:val="auto"/>
              </w:rPr>
              <w:t>Common Stock, par value $0.01 per share</w:t>
            </w:r>
          </w:p>
        </w:tc>
        <w:tc>
          <w:tcPr>
            <w:tcW w:w="3720" w:type="dxa"/>
            <w:vAlign w:val="bottom"/>
          </w:tcPr>
          <w:p>
            <w:pPr>
              <w:jc w:val="center"/>
              <w:ind w:left="70"/>
              <w:spacing w:after="0"/>
              <w:rPr>
                <w:sz w:val="20"/>
                <w:szCs w:val="20"/>
                <w:color w:val="auto"/>
              </w:rPr>
            </w:pPr>
            <w:r>
              <w:rPr>
                <w:rFonts w:ascii="Arial" w:cs="Arial" w:eastAsia="Arial" w:hAnsi="Arial"/>
                <w:sz w:val="16"/>
                <w:szCs w:val="16"/>
                <w:color w:val="auto"/>
                <w:w w:val="93"/>
              </w:rPr>
              <w:t>VTRS</w:t>
            </w:r>
          </w:p>
        </w:tc>
        <w:tc>
          <w:tcPr>
            <w:tcW w:w="820" w:type="dxa"/>
            <w:vAlign w:val="bottom"/>
          </w:tcPr>
          <w:p>
            <w:pPr>
              <w:spacing w:after="0"/>
              <w:rPr>
                <w:sz w:val="18"/>
                <w:szCs w:val="18"/>
                <w:color w:val="auto"/>
              </w:rPr>
            </w:pPr>
          </w:p>
        </w:tc>
        <w:tc>
          <w:tcPr>
            <w:tcW w:w="2560" w:type="dxa"/>
            <w:vAlign w:val="bottom"/>
            <w:gridSpan w:val="3"/>
          </w:tcPr>
          <w:p>
            <w:pPr>
              <w:jc w:val="center"/>
              <w:ind w:right="579"/>
              <w:spacing w:after="0"/>
              <w:rPr>
                <w:sz w:val="20"/>
                <w:szCs w:val="20"/>
                <w:color w:val="auto"/>
              </w:rPr>
            </w:pPr>
            <w:r>
              <w:rPr>
                <w:rFonts w:ascii="Arial" w:cs="Arial" w:eastAsia="Arial" w:hAnsi="Arial"/>
                <w:sz w:val="16"/>
                <w:szCs w:val="16"/>
                <w:color w:val="auto"/>
                <w:w w:val="96"/>
              </w:rPr>
              <w:t>The NASDAQ Stock Market</w:t>
            </w:r>
          </w:p>
        </w:tc>
        <w:tc>
          <w:tcPr>
            <w:tcW w:w="0" w:type="dxa"/>
            <w:vAlign w:val="bottom"/>
          </w:tcPr>
          <w:p>
            <w:pPr>
              <w:spacing w:after="0"/>
              <w:rPr>
                <w:sz w:val="1"/>
                <w:szCs w:val="1"/>
                <w:color w:val="auto"/>
              </w:rPr>
            </w:pPr>
          </w:p>
        </w:tc>
      </w:tr>
      <w:tr>
        <w:trPr>
          <w:trHeight w:val="401"/>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820" w:type="dxa"/>
            <w:vAlign w:val="bottom"/>
          </w:tcPr>
          <w:p>
            <w:pPr>
              <w:spacing w:after="0"/>
              <w:rPr>
                <w:sz w:val="24"/>
                <w:szCs w:val="24"/>
                <w:color w:val="auto"/>
              </w:rPr>
            </w:pPr>
          </w:p>
        </w:tc>
        <w:tc>
          <w:tcPr>
            <w:tcW w:w="74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320" w:type="dxa"/>
            <w:vAlign w:val="bottom"/>
          </w:tcPr>
          <w:p>
            <w:pPr>
              <w:spacing w:after="0"/>
              <w:rPr>
                <w:sz w:val="24"/>
                <w:szCs w:val="24"/>
                <w:color w:val="auto"/>
              </w:rPr>
            </w:pPr>
          </w:p>
        </w:tc>
        <w:tc>
          <w:tcPr>
            <w:tcW w:w="150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00"/>
        </w:trPr>
        <w:tc>
          <w:tcPr>
            <w:tcW w:w="8220" w:type="dxa"/>
            <w:vAlign w:val="bottom"/>
            <w:gridSpan w:val="4"/>
          </w:tcPr>
          <w:p>
            <w:pPr>
              <w:ind w:left="46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740" w:type="dxa"/>
            <w:vAlign w:val="bottom"/>
            <w:vMerge w:val="continue"/>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No</w:t>
            </w: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20" w:type="dxa"/>
            <w:vAlign w:val="bottom"/>
            <w:gridSpan w:val="4"/>
          </w:tcPr>
          <w:p>
            <w:pPr>
              <w:ind w:left="46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74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15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jc w:val="both"/>
        <w:ind w:firstLine="445"/>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445"/>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jc w:val="both"/>
        <w:ind w:firstLine="445"/>
        <w:spacing w:after="0" w:line="27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680" w:type="dxa"/>
            <w:vAlign w:val="bottom"/>
          </w:tcPr>
          <w:p>
            <w:pPr>
              <w:spacing w:after="0"/>
              <w:rPr>
                <w:sz w:val="20"/>
                <w:szCs w:val="20"/>
                <w:color w:val="auto"/>
              </w:rPr>
            </w:pPr>
            <w:r>
              <w:rPr>
                <w:rFonts w:ascii="Arial" w:cs="Arial" w:eastAsia="Arial" w:hAnsi="Arial"/>
                <w:sz w:val="16"/>
                <w:szCs w:val="16"/>
                <w:color w:val="auto"/>
              </w:rPr>
              <w:t>Exchange Act.</w:t>
            </w:r>
          </w:p>
        </w:tc>
        <w:tc>
          <w:tcPr>
            <w:tcW w:w="21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03"/>
        </w:trPr>
        <w:tc>
          <w:tcPr>
            <w:tcW w:w="168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218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1840"/>
              <w:spacing w:after="0"/>
              <w:rPr>
                <w:sz w:val="20"/>
                <w:szCs w:val="20"/>
                <w:color w:val="auto"/>
              </w:rPr>
            </w:pPr>
            <w:r>
              <w:rPr>
                <w:rFonts w:ascii="Arial" w:cs="Arial" w:eastAsia="Arial" w:hAnsi="Arial"/>
                <w:sz w:val="16"/>
                <w:szCs w:val="16"/>
                <w:color w:val="auto"/>
              </w:rPr>
              <w:t>Accelerated filer</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218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1840"/>
              <w:spacing w:after="0"/>
              <w:rPr>
                <w:sz w:val="20"/>
                <w:szCs w:val="20"/>
                <w:color w:val="auto"/>
              </w:rPr>
            </w:pPr>
            <w:r>
              <w:rPr>
                <w:rFonts w:ascii="Arial" w:cs="Arial" w:eastAsia="Arial" w:hAnsi="Arial"/>
                <w:sz w:val="16"/>
                <w:szCs w:val="16"/>
                <w:color w:val="auto"/>
              </w:rPr>
              <w:t>Smaller reporting company</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340" w:type="dxa"/>
            <w:vAlign w:val="bottom"/>
          </w:tcPr>
          <w:p>
            <w:pPr>
              <w:ind w:left="1840"/>
              <w:spacing w:after="0"/>
              <w:rPr>
                <w:sz w:val="20"/>
                <w:szCs w:val="20"/>
                <w:color w:val="auto"/>
              </w:rPr>
            </w:pPr>
            <w:r>
              <w:rPr>
                <w:rFonts w:ascii="Arial" w:cs="Arial" w:eastAsia="Arial" w:hAnsi="Arial"/>
                <w:sz w:val="16"/>
                <w:szCs w:val="16"/>
                <w:color w:val="auto"/>
              </w:rPr>
              <w:t>Emerging growth company</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spacing w:after="0" w:line="189"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14" w:lineRule="exact"/>
        <w:rPr>
          <w:sz w:val="24"/>
          <w:szCs w:val="24"/>
          <w:color w:val="auto"/>
        </w:rPr>
      </w:pPr>
    </w:p>
    <w:p>
      <w:pPr>
        <w:ind w:right="20" w:firstLine="445"/>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460"/>
        <w:spacing w:after="0" w:line="184" w:lineRule="exact"/>
        <w:tabs>
          <w:tab w:leader="none" w:pos="726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46" w:lineRule="exact"/>
        <w:rPr>
          <w:sz w:val="24"/>
          <w:szCs w:val="24"/>
          <w:color w:val="auto"/>
        </w:rPr>
      </w:pPr>
    </w:p>
    <w:p>
      <w:pPr>
        <w:ind w:right="420" w:firstLine="445"/>
        <w:spacing w:after="0" w:line="247"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2022, the last business day of the registrant’s most recently completed second fiscal quarter, was approximately $12,662,127,991.</w:t>
      </w:r>
    </w:p>
    <w:p>
      <w:pPr>
        <w:spacing w:after="0" w:line="22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common stock outstanding, par value $0.01 per share, of the registrant as of February 21, 2023 was 1,196,813,959.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3660" w:type="dxa"/>
            <w:vAlign w:val="bottom"/>
            <w:vMerge w:val="restart"/>
          </w:tcPr>
          <w:p>
            <w:pPr>
              <w:spacing w:after="0"/>
              <w:rPr>
                <w:sz w:val="16"/>
                <w:szCs w:val="16"/>
                <w:color w:val="auto"/>
              </w:rPr>
            </w:pPr>
          </w:p>
        </w:tc>
        <w:tc>
          <w:tcPr>
            <w:tcW w:w="720" w:type="dxa"/>
            <w:vAlign w:val="bottom"/>
            <w:vMerge w:val="restart"/>
          </w:tcPr>
          <w:p>
            <w:pPr>
              <w:spacing w:after="0"/>
              <w:rPr>
                <w:sz w:val="20"/>
                <w:szCs w:val="20"/>
                <w:color w:val="auto"/>
              </w:rPr>
            </w:pPr>
            <w:r>
              <w:rPr>
                <w:rFonts w:ascii="Arial" w:cs="Arial" w:eastAsia="Arial" w:hAnsi="Arial"/>
                <w:sz w:val="16"/>
                <w:szCs w:val="16"/>
                <w:b w:val="1"/>
                <w:bCs w:val="1"/>
                <w:color w:val="auto"/>
                <w:w w:val="89"/>
              </w:rPr>
              <w:t>Document</w:t>
            </w:r>
          </w:p>
        </w:tc>
        <w:tc>
          <w:tcPr>
            <w:tcW w:w="3960" w:type="dxa"/>
            <w:vAlign w:val="bottom"/>
            <w:vMerge w:val="restart"/>
          </w:tcPr>
          <w:p>
            <w:pPr>
              <w:spacing w:after="0"/>
              <w:rPr>
                <w:sz w:val="16"/>
                <w:szCs w:val="16"/>
                <w:color w:val="auto"/>
              </w:rPr>
            </w:pPr>
          </w:p>
        </w:tc>
        <w:tc>
          <w:tcPr>
            <w:tcW w:w="26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5"/>
              </w:rPr>
              <w:t>Part of Form 10-K into Which</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6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2600" w:type="dxa"/>
            <w:vAlign w:val="bottom"/>
            <w:gridSpan w:val="2"/>
          </w:tcPr>
          <w:p>
            <w:pPr>
              <w:jc w:val="center"/>
              <w:ind w:right="20"/>
              <w:spacing w:after="0" w:line="175" w:lineRule="exact"/>
              <w:rPr>
                <w:sz w:val="20"/>
                <w:szCs w:val="20"/>
                <w:color w:val="auto"/>
              </w:rPr>
            </w:pPr>
            <w:r>
              <w:rPr>
                <w:rFonts w:ascii="Arial" w:cs="Arial" w:eastAsia="Arial" w:hAnsi="Arial"/>
                <w:sz w:val="16"/>
                <w:szCs w:val="16"/>
                <w:b w:val="1"/>
                <w:bCs w:val="1"/>
                <w:color w:val="auto"/>
                <w:w w:val="91"/>
              </w:rPr>
              <w:t>Document is Incorporated</w:t>
            </w:r>
          </w:p>
        </w:tc>
        <w:tc>
          <w:tcPr>
            <w:tcW w:w="0" w:type="dxa"/>
            <w:vAlign w:val="bottom"/>
          </w:tcPr>
          <w:p>
            <w:pPr>
              <w:spacing w:after="0"/>
              <w:rPr>
                <w:sz w:val="1"/>
                <w:szCs w:val="1"/>
                <w:color w:val="auto"/>
              </w:rPr>
            </w:pPr>
          </w:p>
        </w:tc>
      </w:tr>
      <w:tr>
        <w:trPr>
          <w:trHeight w:val="20"/>
        </w:trPr>
        <w:tc>
          <w:tcPr>
            <w:tcW w:w="8640" w:type="dxa"/>
            <w:vAlign w:val="bottom"/>
            <w:gridSpan w:val="4"/>
            <w:vMerge w:val="restart"/>
          </w:tcPr>
          <w:p>
            <w:pPr>
              <w:ind w:left="20"/>
              <w:spacing w:after="0"/>
              <w:rPr>
                <w:sz w:val="20"/>
                <w:szCs w:val="20"/>
                <w:color w:val="auto"/>
              </w:rPr>
            </w:pPr>
            <w:r>
              <w:rPr>
                <w:rFonts w:ascii="Arial" w:cs="Arial" w:eastAsia="Arial" w:hAnsi="Arial"/>
                <w:sz w:val="16"/>
                <w:szCs w:val="16"/>
                <w:color w:val="auto"/>
              </w:rPr>
              <w:t>An amendment to this Form 10-K will be filed no later than 120 days after the close of registrant’s fiscal year.</w:t>
            </w:r>
          </w:p>
        </w:tc>
        <w:tc>
          <w:tcPr>
            <w:tcW w:w="2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640" w:type="dxa"/>
            <w:vAlign w:val="bottom"/>
            <w:gridSpan w:val="4"/>
            <w:vMerge w:val="continue"/>
          </w:tcPr>
          <w:p>
            <w:pPr>
              <w:spacing w:after="0"/>
              <w:rPr>
                <w:sz w:val="17"/>
                <w:szCs w:val="17"/>
                <w:color w:val="auto"/>
              </w:rPr>
            </w:pPr>
          </w:p>
        </w:tc>
        <w:tc>
          <w:tcPr>
            <w:tcW w:w="2600" w:type="dxa"/>
            <w:vAlign w:val="bottom"/>
            <w:gridSpan w:val="2"/>
          </w:tcPr>
          <w:p>
            <w:pPr>
              <w:jc w:val="center"/>
              <w:spacing w:after="0"/>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3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rPr>
              <w:t>VIATRIS INC.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rPr>
              <w:t>INDEX TO FORM 10-K</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920" w:type="dxa"/>
            <w:vAlign w:val="bottom"/>
            <w:gridSpan w:val="9"/>
          </w:tcPr>
          <w:p>
            <w:pPr>
              <w:jc w:val="center"/>
              <w:ind w:right="2840"/>
              <w:spacing w:after="0"/>
              <w:rPr>
                <w:sz w:val="20"/>
                <w:szCs w:val="20"/>
                <w:color w:val="auto"/>
              </w:rPr>
            </w:pPr>
            <w:r>
              <w:rPr>
                <w:rFonts w:ascii="Arial" w:cs="Arial" w:eastAsia="Arial" w:hAnsi="Arial"/>
                <w:sz w:val="18"/>
                <w:szCs w:val="18"/>
                <w:b w:val="1"/>
                <w:bCs w:val="1"/>
                <w:color w:val="auto"/>
                <w:w w:val="90"/>
              </w:rPr>
              <w:t>For the Year Ended December 31, 2022</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5460" w:type="dxa"/>
            <w:vAlign w:val="bottom"/>
            <w:gridSpan w:val="8"/>
            <w:vMerge w:val="restart"/>
          </w:tcPr>
          <w:p>
            <w:pPr>
              <w:jc w:val="center"/>
              <w:ind w:right="4520"/>
              <w:spacing w:after="0"/>
              <w:rPr>
                <w:sz w:val="20"/>
                <w:szCs w:val="20"/>
                <w:color w:val="auto"/>
              </w:rPr>
            </w:pPr>
            <w:r>
              <w:rPr>
                <w:rFonts w:ascii="Arial" w:cs="Arial" w:eastAsia="Arial" w:hAnsi="Arial"/>
                <w:sz w:val="18"/>
                <w:szCs w:val="18"/>
                <w:b w:val="1"/>
                <w:bCs w:val="1"/>
                <w:color w:val="auto"/>
                <w:w w:val="98"/>
              </w:rPr>
              <w:t>PART I</w:t>
            </w: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460" w:type="dxa"/>
            <w:vAlign w:val="bottom"/>
            <w:gridSpan w:val="8"/>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Pr>
          <w:p>
            <w:pPr>
              <w:spacing w:after="0" w:line="190" w:lineRule="exact"/>
              <w:rPr>
                <w:sz w:val="20"/>
                <w:szCs w:val="20"/>
                <w:color w:val="auto"/>
              </w:rPr>
            </w:pPr>
            <w:r>
              <w:rPr>
                <w:rFonts w:ascii="Arial" w:cs="Arial" w:eastAsia="Arial" w:hAnsi="Arial"/>
                <w:sz w:val="18"/>
                <w:szCs w:val="18"/>
                <w:color w:val="0000FF"/>
                <w:w w:val="84"/>
              </w:rPr>
              <w:t>Business</w:t>
            </w:r>
          </w:p>
        </w:tc>
        <w:tc>
          <w:tcPr>
            <w:tcW w:w="8140" w:type="dxa"/>
            <w:vAlign w:val="bottom"/>
            <w:gridSpan w:val="16"/>
          </w:tcPr>
          <w:p>
            <w:pPr>
              <w:spacing w:after="0"/>
              <w:rPr>
                <w:sz w:val="16"/>
                <w:szCs w:val="16"/>
                <w:color w:val="auto"/>
              </w:rPr>
            </w:pPr>
          </w:p>
        </w:tc>
        <w:tc>
          <w:tcPr>
            <w:tcW w:w="1200" w:type="dxa"/>
            <w:vAlign w:val="bottom"/>
            <w:gridSpan w:val="5"/>
          </w:tcPr>
          <w:p>
            <w:pPr>
              <w:jc w:val="right"/>
              <w:ind w:right="20"/>
              <w:spacing w:after="0" w:line="190" w:lineRule="exact"/>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sz w:val="20"/>
                <w:szCs w:val="20"/>
                <w:color w:val="auto"/>
              </w:rPr>
            </w:pPr>
            <w:r>
              <w:rPr>
                <w:rFonts w:ascii="Arial" w:cs="Arial" w:eastAsia="Arial" w:hAnsi="Arial"/>
                <w:sz w:val="18"/>
                <w:szCs w:val="18"/>
                <w:color w:val="0000FF"/>
                <w:w w:val="87"/>
              </w:rPr>
              <w:t>Risk Factors</w:t>
            </w:r>
          </w:p>
        </w:tc>
        <w:tc>
          <w:tcPr>
            <w:tcW w:w="7880" w:type="dxa"/>
            <w:vAlign w:val="bottom"/>
            <w:gridSpan w:val="14"/>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7"/>
          </w:tcPr>
          <w:p>
            <w:pPr>
              <w:spacing w:after="0"/>
              <w:rPr>
                <w:sz w:val="20"/>
                <w:szCs w:val="20"/>
                <w:color w:val="auto"/>
              </w:rPr>
            </w:pPr>
            <w:r>
              <w:rPr>
                <w:rFonts w:ascii="Arial" w:cs="Arial" w:eastAsia="Arial" w:hAnsi="Arial"/>
                <w:sz w:val="18"/>
                <w:szCs w:val="18"/>
                <w:color w:val="0000FF"/>
                <w:w w:val="89"/>
              </w:rPr>
              <w:t>Unresolved Staff Comments</w:t>
            </w:r>
          </w:p>
        </w:tc>
        <w:tc>
          <w:tcPr>
            <w:tcW w:w="6740" w:type="dxa"/>
            <w:vAlign w:val="bottom"/>
            <w:gridSpan w:val="10"/>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7"/>
          </w:tcPr>
          <w:p>
            <w:pPr>
              <w:spacing w:after="0"/>
              <w:rPr>
                <w:sz w:val="20"/>
                <w:szCs w:val="20"/>
                <w:color w:val="auto"/>
              </w:rPr>
            </w:pPr>
            <w:r>
              <w:rPr>
                <w:rFonts w:ascii="Arial" w:cs="Arial" w:eastAsia="Arial" w:hAnsi="Arial"/>
                <w:sz w:val="18"/>
                <w:szCs w:val="18"/>
                <w:color w:val="0000FF"/>
              </w:rPr>
              <w:t>Properties</w:t>
            </w:r>
          </w:p>
        </w:tc>
        <w:tc>
          <w:tcPr>
            <w:tcW w:w="6740" w:type="dxa"/>
            <w:vAlign w:val="bottom"/>
            <w:gridSpan w:val="10"/>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8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8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506"/>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gridSpan w:val="8"/>
          </w:tcPr>
          <w:p>
            <w:pPr>
              <w:jc w:val="center"/>
              <w:ind w:right="4540"/>
              <w:spacing w:after="0"/>
              <w:rPr>
                <w:sz w:val="20"/>
                <w:szCs w:val="20"/>
                <w:color w:val="auto"/>
              </w:rPr>
            </w:pPr>
            <w:r>
              <w:rPr>
                <w:rFonts w:ascii="Arial" w:cs="Arial" w:eastAsia="Arial" w:hAnsi="Arial"/>
                <w:sz w:val="18"/>
                <w:szCs w:val="18"/>
                <w:b w:val="1"/>
                <w:bCs w:val="1"/>
                <w:color w:val="auto"/>
                <w:w w:val="99"/>
              </w:rPr>
              <w:t>PART II</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780" w:type="dxa"/>
            <w:vAlign w:val="bottom"/>
            <w:gridSpan w:val="17"/>
          </w:tcPr>
          <w:p>
            <w:pPr>
              <w:spacing w:after="0" w:line="190" w:lineRule="exact"/>
              <w:rPr>
                <w:sz w:val="20"/>
                <w:szCs w:val="20"/>
                <w:color w:val="auto"/>
              </w:rPr>
            </w:pPr>
            <w:r>
              <w:rPr>
                <w:rFonts w:ascii="Arial" w:cs="Arial" w:eastAsia="Arial" w:hAnsi="Arial"/>
                <w:sz w:val="18"/>
                <w:szCs w:val="18"/>
                <w:color w:val="0000FF"/>
                <w:w w:val="98"/>
              </w:rPr>
              <w:t>Market for Registrant’s Common Equity, Related Stockholder Matters and Issuer Purchases of Equity Securities</w:t>
            </w:r>
          </w:p>
        </w:tc>
        <w:tc>
          <w:tcPr>
            <w:tcW w:w="1200" w:type="dxa"/>
            <w:vAlign w:val="bottom"/>
            <w:gridSpan w:val="5"/>
          </w:tcPr>
          <w:p>
            <w:pPr>
              <w:jc w:val="right"/>
              <w:ind w:right="20"/>
              <w:spacing w:after="0" w:line="190" w:lineRule="exact"/>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6"/>
          </w:tcPr>
          <w:p>
            <w:pPr>
              <w:spacing w:after="0"/>
              <w:rPr>
                <w:sz w:val="20"/>
                <w:szCs w:val="20"/>
                <w:color w:val="auto"/>
              </w:rPr>
            </w:pPr>
            <w:r>
              <w:rPr>
                <w:rFonts w:ascii="Arial" w:cs="Arial" w:eastAsia="Arial" w:hAnsi="Arial"/>
                <w:sz w:val="18"/>
                <w:szCs w:val="18"/>
                <w:color w:val="0000FF"/>
              </w:rPr>
              <w:t>[Reserved]</w:t>
            </w:r>
          </w:p>
        </w:tc>
        <w:tc>
          <w:tcPr>
            <w:tcW w:w="7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4"/>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1"/>
          </w:tcPr>
          <w:p>
            <w:pPr>
              <w:spacing w:after="0"/>
              <w:rPr>
                <w:sz w:val="20"/>
                <w:szCs w:val="20"/>
                <w:color w:val="auto"/>
              </w:rPr>
            </w:pPr>
            <w:r>
              <w:rPr>
                <w:rFonts w:ascii="Arial" w:cs="Arial" w:eastAsia="Arial" w:hAnsi="Arial"/>
                <w:sz w:val="18"/>
                <w:szCs w:val="18"/>
                <w:color w:val="0000FF"/>
              </w:rPr>
              <w:t>Financial Statements and Supplementary Data</w:t>
            </w:r>
          </w:p>
        </w:tc>
        <w:tc>
          <w:tcPr>
            <w:tcW w:w="4480" w:type="dxa"/>
            <w:vAlign w:val="bottom"/>
            <w:gridSpan w:val="6"/>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80" w:type="dxa"/>
            <w:vAlign w:val="bottom"/>
            <w:gridSpan w:val="17"/>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2320" w:type="dxa"/>
            <w:vAlign w:val="bottom"/>
            <w:gridSpan w:val="3"/>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5"/>
          </w:tcPr>
          <w:p>
            <w:pPr>
              <w:spacing w:after="0"/>
              <w:rPr>
                <w:sz w:val="20"/>
                <w:szCs w:val="20"/>
                <w:color w:val="auto"/>
              </w:rPr>
            </w:pPr>
            <w:r>
              <w:rPr>
                <w:rFonts w:ascii="Arial" w:cs="Arial" w:eastAsia="Arial" w:hAnsi="Arial"/>
                <w:sz w:val="18"/>
                <w:szCs w:val="18"/>
                <w:color w:val="0000FF"/>
              </w:rPr>
              <w:t>Other Information</w:t>
            </w:r>
          </w:p>
        </w:tc>
        <w:tc>
          <w:tcPr>
            <w:tcW w:w="7020" w:type="dxa"/>
            <w:vAlign w:val="bottom"/>
            <w:gridSpan w:val="12"/>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4900" w:type="dxa"/>
            <w:vAlign w:val="bottom"/>
            <w:gridSpan w:val="12"/>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3880" w:type="dxa"/>
            <w:vAlign w:val="bottom"/>
            <w:gridSpan w:val="5"/>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144</w:t>
            </w:r>
          </w:p>
        </w:tc>
        <w:tc>
          <w:tcPr>
            <w:tcW w:w="0" w:type="dxa"/>
            <w:vAlign w:val="bottom"/>
          </w:tcPr>
          <w:p>
            <w:pPr>
              <w:spacing w:after="0"/>
              <w:rPr>
                <w:sz w:val="1"/>
                <w:szCs w:val="1"/>
                <w:color w:val="auto"/>
              </w:rPr>
            </w:pPr>
          </w:p>
        </w:tc>
      </w:tr>
      <w:tr>
        <w:trPr>
          <w:trHeight w:val="506"/>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gridSpan w:val="3"/>
          </w:tcPr>
          <w:p>
            <w:pPr>
              <w:jc w:val="center"/>
              <w:ind w:right="660"/>
              <w:spacing w:after="0"/>
              <w:rPr>
                <w:sz w:val="20"/>
                <w:szCs w:val="20"/>
                <w:color w:val="auto"/>
              </w:rPr>
            </w:pPr>
            <w:r>
              <w:rPr>
                <w:rFonts w:ascii="Arial" w:cs="Arial" w:eastAsia="Arial" w:hAnsi="Arial"/>
                <w:sz w:val="18"/>
                <w:szCs w:val="18"/>
                <w:b w:val="1"/>
                <w:bCs w:val="1"/>
                <w:color w:val="auto"/>
              </w:rPr>
              <w:t>PART III</w:t>
            </w:r>
          </w:p>
        </w:tc>
        <w:tc>
          <w:tcPr>
            <w:tcW w:w="388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8780" w:type="dxa"/>
            <w:vAlign w:val="bottom"/>
            <w:gridSpan w:val="17"/>
          </w:tcPr>
          <w:p>
            <w:pPr>
              <w:spacing w:after="0" w:line="190" w:lineRule="exact"/>
              <w:rPr>
                <w:sz w:val="20"/>
                <w:szCs w:val="20"/>
                <w:color w:val="auto"/>
              </w:rPr>
            </w:pPr>
            <w:r>
              <w:rPr>
                <w:rFonts w:ascii="Arial" w:cs="Arial" w:eastAsia="Arial" w:hAnsi="Arial"/>
                <w:sz w:val="18"/>
                <w:szCs w:val="18"/>
                <w:color w:val="0000FF"/>
              </w:rPr>
              <w:t>Directors, Executive Officers and Corporate Governance</w:t>
            </w:r>
          </w:p>
        </w:tc>
        <w:tc>
          <w:tcPr>
            <w:tcW w:w="1200" w:type="dxa"/>
            <w:vAlign w:val="bottom"/>
            <w:gridSpan w:val="5"/>
          </w:tcPr>
          <w:p>
            <w:pPr>
              <w:jc w:val="right"/>
              <w:ind w:right="20"/>
              <w:spacing w:after="0" w:line="190" w:lineRule="exact"/>
              <w:rPr>
                <w:sz w:val="20"/>
                <w:szCs w:val="20"/>
                <w:color w:val="auto"/>
              </w:rPr>
            </w:pPr>
            <w:r>
              <w:rPr>
                <w:rFonts w:ascii="Arial" w:cs="Arial" w:eastAsia="Arial" w:hAnsi="Arial"/>
                <w:sz w:val="18"/>
                <w:szCs w:val="18"/>
                <w:color w:val="0000FF"/>
              </w:rPr>
              <w:t>145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6"/>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gridSpan w:val="4"/>
          </w:tcPr>
          <w:p>
            <w:pPr>
              <w:spacing w:after="0"/>
              <w:rPr>
                <w:sz w:val="18"/>
                <w:szCs w:val="18"/>
                <w:color w:val="auto"/>
              </w:rPr>
            </w:pPr>
          </w:p>
        </w:tc>
        <w:tc>
          <w:tcPr>
            <w:tcW w:w="4700" w:type="dxa"/>
            <w:vAlign w:val="bottom"/>
            <w:gridSpan w:val="7"/>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780" w:type="dxa"/>
            <w:vAlign w:val="bottom"/>
            <w:gridSpan w:val="17"/>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5"/>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500" w:type="dxa"/>
            <w:vAlign w:val="bottom"/>
            <w:gridSpan w:val="2"/>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3"/>
          </w:tcPr>
          <w:p>
            <w:pPr>
              <w:spacing w:after="0"/>
              <w:rPr>
                <w:sz w:val="20"/>
                <w:szCs w:val="20"/>
                <w:color w:val="auto"/>
              </w:rPr>
            </w:pPr>
            <w:r>
              <w:rPr>
                <w:rFonts w:ascii="Arial" w:cs="Arial" w:eastAsia="Arial" w:hAnsi="Arial"/>
                <w:sz w:val="18"/>
                <w:szCs w:val="18"/>
                <w:color w:val="0000FF"/>
              </w:rPr>
              <w:t>Principal Accounting Fees and Services</w:t>
            </w:r>
          </w:p>
        </w:tc>
        <w:tc>
          <w:tcPr>
            <w:tcW w:w="3340" w:type="dxa"/>
            <w:vAlign w:val="bottom"/>
            <w:gridSpan w:val="4"/>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145</w:t>
            </w:r>
          </w:p>
        </w:tc>
        <w:tc>
          <w:tcPr>
            <w:tcW w:w="0" w:type="dxa"/>
            <w:vAlign w:val="bottom"/>
          </w:tcPr>
          <w:p>
            <w:pPr>
              <w:spacing w:after="0"/>
              <w:rPr>
                <w:sz w:val="1"/>
                <w:szCs w:val="1"/>
                <w:color w:val="auto"/>
              </w:rPr>
            </w:pPr>
          </w:p>
        </w:tc>
      </w:tr>
      <w:tr>
        <w:trPr>
          <w:trHeight w:val="506"/>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gridSpan w:val="8"/>
          </w:tcPr>
          <w:p>
            <w:pPr>
              <w:jc w:val="center"/>
              <w:ind w:right="4540"/>
              <w:spacing w:after="0"/>
              <w:rPr>
                <w:sz w:val="20"/>
                <w:szCs w:val="20"/>
                <w:color w:val="auto"/>
              </w:rPr>
            </w:pPr>
            <w:r>
              <w:rPr>
                <w:rFonts w:ascii="Arial" w:cs="Arial" w:eastAsia="Arial" w:hAnsi="Arial"/>
                <w:sz w:val="18"/>
                <w:szCs w:val="18"/>
                <w:b w:val="1"/>
                <w:bCs w:val="1"/>
                <w:color w:val="auto"/>
              </w:rPr>
              <w:t>PART IV</w:t>
            </w: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8780" w:type="dxa"/>
            <w:vAlign w:val="bottom"/>
            <w:gridSpan w:val="17"/>
          </w:tcPr>
          <w:p>
            <w:pPr>
              <w:spacing w:after="0" w:line="190" w:lineRule="exact"/>
              <w:rPr>
                <w:sz w:val="20"/>
                <w:szCs w:val="20"/>
                <w:color w:val="auto"/>
              </w:rPr>
            </w:pPr>
            <w:r>
              <w:rPr>
                <w:rFonts w:ascii="Arial" w:cs="Arial" w:eastAsia="Arial" w:hAnsi="Arial"/>
                <w:sz w:val="18"/>
                <w:szCs w:val="18"/>
                <w:color w:val="0000FF"/>
              </w:rPr>
              <w:t>Exhibits and Consolidated Financial Statement Schedules</w:t>
            </w:r>
          </w:p>
        </w:tc>
        <w:tc>
          <w:tcPr>
            <w:tcW w:w="1200" w:type="dxa"/>
            <w:vAlign w:val="bottom"/>
            <w:gridSpan w:val="5"/>
          </w:tcPr>
          <w:p>
            <w:pPr>
              <w:jc w:val="right"/>
              <w:ind w:right="20"/>
              <w:spacing w:after="0" w:line="190" w:lineRule="exact"/>
              <w:rPr>
                <w:sz w:val="20"/>
                <w:szCs w:val="20"/>
                <w:color w:val="auto"/>
              </w:rPr>
            </w:pPr>
            <w:r>
              <w:rPr>
                <w:rFonts w:ascii="Arial" w:cs="Arial" w:eastAsia="Arial" w:hAnsi="Arial"/>
                <w:sz w:val="18"/>
                <w:szCs w:val="18"/>
                <w:color w:val="0000FF"/>
              </w:rPr>
              <w:t>146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0000FF"/>
              </w:rPr>
              <w:t>154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43"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Unless the context requires otherwise, references to “Viatris,” “the Company,” “we,” “us” or “our” in this 2022 Form 10-K (defined below) refer to Viatris Inc. and its subsidiaries. We also have used several other terms in this 2022 Form 10-K, most of which are explained or defined below. Some amounts in this Form 10-K may not add due to rounding.</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Amended and Restated 2003 Long-Term Incentive Plan</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2020 Incentive 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2020 Stock Incentive Plan</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The revolving credit facility available pursuant to the revolving credit</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agreement, dated as of June 16, 2020, by and among Viatris, certain</w:t>
            </w:r>
          </w:p>
        </w:tc>
        <w:tc>
          <w:tcPr>
            <w:tcW w:w="280" w:type="dxa"/>
            <w:vAlign w:val="bottom"/>
          </w:tcPr>
          <w:p>
            <w:pPr>
              <w:spacing w:after="0"/>
              <w:rPr>
                <w:sz w:val="15"/>
                <w:szCs w:val="15"/>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7"/>
              </w:rPr>
              <w:t>lenders and issuing banks from time to time party thereto and Bank of</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2020 Revolving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America, N.A., as administrative agent and repaid in full in July 2021</w:t>
            </w:r>
          </w:p>
        </w:tc>
        <w:tc>
          <w:tcPr>
            <w:tcW w:w="280" w:type="dxa"/>
            <w:vAlign w:val="bottom"/>
          </w:tcPr>
          <w:p>
            <w:pPr>
              <w:spacing w:after="0"/>
              <w:rPr>
                <w:sz w:val="20"/>
                <w:szCs w:val="20"/>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$4.0 billion revolving facility dated as of July 1, 2021, by and among</w:t>
            </w:r>
          </w:p>
        </w:tc>
        <w:tc>
          <w:tcPr>
            <w:tcW w:w="280" w:type="dxa"/>
            <w:vAlign w:val="bottom"/>
          </w:tcPr>
          <w:p>
            <w:pPr>
              <w:spacing w:after="0"/>
              <w:rPr>
                <w:sz w:val="14"/>
                <w:szCs w:val="14"/>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Viatris, certain lenders and issuing banks from time to time party thereto</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2021 Revolving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A streamlined NDA process in which the applicant relies upon one or more</w:t>
            </w:r>
          </w:p>
        </w:tc>
        <w:tc>
          <w:tcPr>
            <w:tcW w:w="280" w:type="dxa"/>
            <w:vAlign w:val="bottom"/>
          </w:tcPr>
          <w:p>
            <w:pPr>
              <w:spacing w:after="0"/>
              <w:rPr>
                <w:sz w:val="14"/>
                <w:szCs w:val="14"/>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investigations conducted by someone other than the applicant and for</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505(b)(2)</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which the applicant has not obtained right of reference.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AbbVie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AbbVie Inc.</w:t>
            </w:r>
          </w:p>
        </w:tc>
        <w:tc>
          <w:tcPr>
            <w:tcW w:w="280" w:type="dxa"/>
            <w:vAlign w:val="bottom"/>
          </w:tcPr>
          <w:p>
            <w:pPr>
              <w:spacing w:after="0"/>
              <w:rPr>
                <w:sz w:val="19"/>
                <w:szCs w:val="19"/>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Patient Protection and Affordable Care Act, as amended by the Health</w:t>
            </w:r>
          </w:p>
        </w:tc>
        <w:tc>
          <w:tcPr>
            <w:tcW w:w="280" w:type="dxa"/>
            <w:vAlign w:val="bottom"/>
          </w:tcPr>
          <w:p>
            <w:pPr>
              <w:spacing w:after="0"/>
              <w:rPr>
                <w:sz w:val="18"/>
                <w:szCs w:val="18"/>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Care and Education and Reconciliation Act</w:t>
            </w:r>
          </w:p>
        </w:tc>
        <w:tc>
          <w:tcPr>
            <w:tcW w:w="280" w:type="dxa"/>
            <w:vAlign w:val="bottom"/>
          </w:tcPr>
          <w:p>
            <w:pPr>
              <w:spacing w:after="0"/>
              <w:rPr>
                <w:sz w:val="22"/>
                <w:szCs w:val="22"/>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information to investors - EBITDA (defined below) is further</w:t>
            </w:r>
          </w:p>
        </w:tc>
        <w:tc>
          <w:tcPr>
            <w:tcW w:w="280" w:type="dxa"/>
            <w:vAlign w:val="bottom"/>
          </w:tcPr>
          <w:p>
            <w:pPr>
              <w:spacing w:after="0"/>
              <w:rPr>
                <w:sz w:val="15"/>
                <w:szCs w:val="15"/>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89"/>
              </w:rPr>
              <w:t>adjusted for share-based compensation expense, litigation settlements, and</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Adjusted EBITDA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contingencies, net, restructuring and other special items</w:t>
            </w:r>
          </w:p>
        </w:tc>
        <w:tc>
          <w:tcPr>
            <w:tcW w:w="280" w:type="dxa"/>
            <w:vAlign w:val="bottom"/>
          </w:tcPr>
          <w:p>
            <w:pPr>
              <w:spacing w:after="0"/>
              <w:rPr>
                <w:sz w:val="20"/>
                <w:szCs w:val="20"/>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Abbreviated New Drug Application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Active pharmaceutical ingredient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ARV</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Antiretroviral medicines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Codification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Aspen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Aspen Global Incorporated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Update</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BEAT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 Erosion Anti-Abuse Tax</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Limited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Biologics Limited, a majority owned subsidiary of Biocon</w:t>
            </w:r>
          </w:p>
        </w:tc>
        <w:tc>
          <w:tcPr>
            <w:tcW w:w="280" w:type="dxa"/>
            <w:vAlign w:val="bottom"/>
          </w:tcPr>
          <w:p>
            <w:pPr>
              <w:spacing w:after="0"/>
              <w:rPr>
                <w:sz w:val="19"/>
                <w:szCs w:val="19"/>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5"/>
              </w:rPr>
              <w:t>The transaction between Viatris and Biocon Biologics pursuant to which</w:t>
            </w:r>
          </w:p>
        </w:tc>
        <w:tc>
          <w:tcPr>
            <w:tcW w:w="280" w:type="dxa"/>
            <w:vAlign w:val="bottom"/>
          </w:tcPr>
          <w:p>
            <w:pPr>
              <w:spacing w:after="0"/>
              <w:rPr>
                <w:sz w:val="16"/>
                <w:szCs w:val="16"/>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Viatris contributed its biosimilars portfolio, composed of the Biocon</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collaboration programs, biosimilars to Humira®, Enbrel®, and Eylea®, as</w:t>
            </w:r>
          </w:p>
        </w:tc>
        <w:tc>
          <w:tcPr>
            <w:tcW w:w="280" w:type="dxa"/>
            <w:vAlign w:val="bottom"/>
          </w:tcPr>
          <w:p>
            <w:pPr>
              <w:spacing w:after="0"/>
              <w:rPr>
                <w:sz w:val="17"/>
                <w:szCs w:val="17"/>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 Transaction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well as related assets and liabilities to Biocon Biologics</w:t>
            </w:r>
          </w:p>
        </w:tc>
        <w:tc>
          <w:tcPr>
            <w:tcW w:w="280" w:type="dxa"/>
            <w:vAlign w:val="bottom"/>
          </w:tcPr>
          <w:p>
            <w:pPr>
              <w:spacing w:after="0"/>
              <w:rPr>
                <w:sz w:val="22"/>
                <w:szCs w:val="22"/>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The transaction agreement between Viatris and Biocon Biologics, dated</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February 27, 2022, relating to the Biocon Biologics Transaction, as</w:t>
            </w:r>
          </w:p>
        </w:tc>
        <w:tc>
          <w:tcPr>
            <w:tcW w:w="280" w:type="dxa"/>
            <w:vAlign w:val="bottom"/>
          </w:tcPr>
          <w:p>
            <w:pPr>
              <w:spacing w:after="0"/>
              <w:rPr>
                <w:sz w:val="15"/>
                <w:szCs w:val="15"/>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amended by that certain Amendment No. 1 to Transaction Agreement,</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dated November 28, 2022</w:t>
            </w:r>
          </w:p>
        </w:tc>
        <w:tc>
          <w:tcPr>
            <w:tcW w:w="280" w:type="dxa"/>
            <w:vAlign w:val="bottom"/>
          </w:tcPr>
          <w:p>
            <w:pPr>
              <w:spacing w:after="0"/>
              <w:rPr>
                <w:sz w:val="20"/>
                <w:szCs w:val="20"/>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Biogen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Biogen MA Inc. and Biogen International GmbH, collectively</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Business Combination Agreement, dated as of July 29, 2019, as amended</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from time to time, among Viatris, Mylan, Pfizer and certain of their</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Business Combination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Coronavirus Aid, Relief, and Economic Security Act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CCPS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Compulsory convertible preferred shares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cGMP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Current Good Manufacturing Practices</w:t>
            </w:r>
          </w:p>
        </w:tc>
        <w:tc>
          <w:tcPr>
            <w:tcW w:w="280" w:type="dxa"/>
            <w:vAlign w:val="bottom"/>
          </w:tcPr>
          <w:p>
            <w:pPr>
              <w:spacing w:after="0"/>
              <w:rPr>
                <w:sz w:val="19"/>
                <w:szCs w:val="19"/>
                <w:color w:val="auto"/>
              </w:rPr>
            </w:pPr>
          </w:p>
        </w:tc>
      </w:tr>
      <w:tr>
        <w:trPr>
          <w:trHeight w:val="844"/>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Used to define the three equity method investments the Company has in</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limited liability companies that own refined coal production plants whose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clean energy investments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activities qualify for income tax credits under Section 45 of the Code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and Markets Authority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U.S. Internal Revenue Code of 1986,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Refers to Mylan combining with Pfizer's Upjohn Business in a Reverse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Combination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Trust transaction to form Viatris on November 16, 2020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The $1.65 billion unsecured commercial paper program entered into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2"/>
              </w:rPr>
              <w:t>November 16, 2020 by Viatris, as issuer, Mylan Inc., Utah Acquisition Sub</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Commercial Paper Program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Inc. and Mylan II B.V., as guarantors, and certain dealers from time to time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Chronic obstructive pulmonary disease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COSO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Committee of Sponsoring Organizations of the Treadway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Novel coronavirus disease of 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Unsecured, short-term commercial paper notes issued pursuant to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CP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Commercial Paper Program</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Drug Enforcement Agency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Developed Markets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North America and Europe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DGCL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 General Corporation Law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Pfizer's distribution to Pfizer stockholders all the issued and outstanding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Distribution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 of Upjohn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Department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DRIP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Dividend Reinvestment and Share Purchase Plan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provide information to investors - U.S. GAAP net earnings (loss) adjusted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Medicines Agency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Viatris’ business segment that includes, but is not limited to, our operations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primarily in the following markets: Parts of Asia, the Middle East, South</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Emerging Markets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Central America, Africa, and Eastern Europe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Abbott Laboratories’ non-U.S. developed markets specialty and branded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EPD Business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generics business, prior to its acquisition by Mylan in February 2015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ERP system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Enterprise resource planning system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Famy Life Sciences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Famy Life Sciences Private Limited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FKB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Fujifilm Kyowa Kirin Biologics Co.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4"/>
              </w:rPr>
              <w:t>This annual report on Form 10-K for the fiscal year ended December 31,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 10-K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Federal Trade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GDPR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EU’s General Data Protection Regulation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GILTI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intangible low-taxed income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7"/>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6"/>
                <w:szCs w:val="16"/>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Greater China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China, Taiwan and Hong Kong</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 drugs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Hatch-Waxman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Drug Price Competition and Patent Term Restoration Act of 1984</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Health Insurance Portability and Accountability Act of 1996 and the</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HIPAA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Information Technology for Economic and Clinical Health Act</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Human immunodeficiency virus infection and acquired immune deficiency</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HIV/AIDS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syndrome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 NonProprietary Name</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 Partes review</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Internal Revenue Service</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Viatris’ business segment that includes our operations in the following</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JANZ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markets: Japan, Australia and New Zealand</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Long-acting muscarinic antagonist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London Interbank Offered Rate</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Lilly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Loss of exclusivity</w:t>
            </w:r>
          </w:p>
        </w:tc>
        <w:tc>
          <w:tcPr>
            <w:tcW w:w="280" w:type="dxa"/>
            <w:vAlign w:val="bottom"/>
          </w:tcPr>
          <w:p>
            <w:pPr>
              <w:spacing w:after="0"/>
              <w:rPr>
                <w:sz w:val="19"/>
                <w:szCs w:val="19"/>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maximum consolidated leverage ratio financial covenant requiring</w:t>
            </w:r>
          </w:p>
        </w:tc>
        <w:tc>
          <w:tcPr>
            <w:tcW w:w="280" w:type="dxa"/>
            <w:vAlign w:val="bottom"/>
          </w:tcPr>
          <w:p>
            <w:pPr>
              <w:spacing w:after="0"/>
              <w:rPr>
                <w:sz w:val="18"/>
                <w:szCs w:val="18"/>
                <w:color w:val="auto"/>
              </w:rPr>
            </w:pPr>
          </w:p>
        </w:tc>
      </w:tr>
      <w:tr>
        <w:trPr>
          <w:trHeight w:val="216"/>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maintenance of a maximum ratio of consolidated total indebtedness as of</w:t>
            </w:r>
          </w:p>
        </w:tc>
        <w:tc>
          <w:tcPr>
            <w:tcW w:w="280" w:type="dxa"/>
            <w:vAlign w:val="bottom"/>
          </w:tcPr>
          <w:p>
            <w:pPr>
              <w:spacing w:after="0"/>
              <w:rPr>
                <w:sz w:val="18"/>
                <w:szCs w:val="18"/>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end of any quarter to consolidated EBITDA for the trailing four</w:t>
            </w:r>
          </w:p>
        </w:tc>
        <w:tc>
          <w:tcPr>
            <w:tcW w:w="280" w:type="dxa"/>
            <w:vAlign w:val="bottom"/>
          </w:tcPr>
          <w:p>
            <w:pPr>
              <w:spacing w:after="0"/>
              <w:rPr>
                <w:sz w:val="17"/>
                <w:szCs w:val="17"/>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 Leverage Ratio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quarters as defined in the related credit agreements from time to time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Multidistrict litigation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Momenta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Momenta Pharmaceuticals,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Pharmaceuticals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and its subsidiaries</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2.125% Senior Notes due 2025 issued by Mylan Inc., which are fully</w:t>
            </w:r>
          </w:p>
        </w:tc>
        <w:tc>
          <w:tcPr>
            <w:tcW w:w="280" w:type="dxa"/>
            <w:vAlign w:val="bottom"/>
          </w:tcPr>
          <w:p>
            <w:pPr>
              <w:spacing w:after="0"/>
              <w:rPr>
                <w:sz w:val="14"/>
                <w:szCs w:val="14"/>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and unconditionally guaranteed on a senior unsecured basis by Mylan II</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Inc. Euro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B.V., Viatris Inc. and Utah Acquisition Sub Inc.</w:t>
            </w:r>
          </w:p>
        </w:tc>
        <w:tc>
          <w:tcPr>
            <w:tcW w:w="280" w:type="dxa"/>
            <w:vAlign w:val="bottom"/>
          </w:tcPr>
          <w:p>
            <w:pPr>
              <w:spacing w:after="0"/>
              <w:rPr>
                <w:sz w:val="20"/>
                <w:szCs w:val="20"/>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4.200% Senior Notes due 2023, 3.125% Senior Notes due 2023,</w:t>
            </w:r>
          </w:p>
        </w:tc>
        <w:tc>
          <w:tcPr>
            <w:tcW w:w="280" w:type="dxa"/>
            <w:vAlign w:val="bottom"/>
          </w:tcPr>
          <w:p>
            <w:pPr>
              <w:spacing w:after="0"/>
              <w:rPr>
                <w:sz w:val="14"/>
                <w:szCs w:val="14"/>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9"/>
              </w:rPr>
              <w:t>4.550% Senior Notes due 2028, 5.400% Senior Notes due 2043 and</w:t>
            </w:r>
          </w:p>
        </w:tc>
        <w:tc>
          <w:tcPr>
            <w:tcW w:w="280" w:type="dxa"/>
            <w:vAlign w:val="bottom"/>
          </w:tcPr>
          <w:p>
            <w:pPr>
              <w:spacing w:after="0"/>
              <w:rPr>
                <w:sz w:val="16"/>
                <w:szCs w:val="16"/>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5.200% Senior Notes due 2048 issued by Mylan Inc., which are fully and</w:t>
            </w:r>
          </w:p>
        </w:tc>
        <w:tc>
          <w:tcPr>
            <w:tcW w:w="280" w:type="dxa"/>
            <w:vAlign w:val="bottom"/>
          </w:tcPr>
          <w:p>
            <w:pPr>
              <w:spacing w:after="0"/>
              <w:rPr>
                <w:sz w:val="15"/>
                <w:szCs w:val="15"/>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unconditionally guaranteed on a senior unsecured basis by Mylan II B.V.,</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Inc. U.S. Dollar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and Utah Acquisition Sub Inc.</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Securitization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Securitization LLC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c>
          <w:tcPr>
            <w:tcW w:w="280" w:type="dxa"/>
            <w:vAlign w:val="bottom"/>
          </w:tcPr>
          <w:p>
            <w:pPr>
              <w:spacing w:after="0"/>
              <w:rPr>
                <w:sz w:val="19"/>
                <w:szCs w:val="19"/>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NCDs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noncommunicable diseases</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NCEs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Chemical Entities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drug application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Insurance of Japan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Services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NOLs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Operating Losses</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note securitization facility entered into in August 2022 for borrowings</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Note Securitization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 to $200 million and expiring in August 2023</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OECD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Organisation for Economic Co-operation and Development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Over-the-counter</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Oyster Point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Oyster Point Pharma, Inc.</w:t>
            </w:r>
          </w:p>
        </w:tc>
        <w:tc>
          <w:tcPr>
            <w:tcW w:w="280" w:type="dxa"/>
            <w:vAlign w:val="bottom"/>
          </w:tcPr>
          <w:p>
            <w:pPr>
              <w:spacing w:after="0"/>
              <w:rPr>
                <w:sz w:val="19"/>
                <w:szCs w:val="19"/>
                <w:color w:val="auto"/>
              </w:rPr>
            </w:pPr>
          </w:p>
        </w:tc>
      </w:tr>
      <w:tr>
        <w:trPr>
          <w:trHeight w:val="857"/>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PBM</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Pharmacy benefit managers</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PCAOB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Public Company Accounting Oversight Board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Pfizer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PMS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Pharmascience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PPACA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Patient Protection and Affordable Care Act</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9"/>
              </w:rPr>
              <w:t>401(k) retirement plan with a profit sharing component for non-union</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Profit Sharing 401(k) 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represented employees</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awards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Patent Trial and Appeal Board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Quality consistency evaluation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The $400 million accounts receivable entered into in August 2020 and</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Receivables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expiring in April 2025</w:t>
            </w:r>
          </w:p>
        </w:tc>
        <w:tc>
          <w:tcPr>
            <w:tcW w:w="280" w:type="dxa"/>
            <w:vAlign w:val="bottom"/>
          </w:tcPr>
          <w:p>
            <w:pPr>
              <w:spacing w:after="0"/>
              <w:rPr>
                <w:sz w:val="21"/>
                <w:szCs w:val="21"/>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The 1.125% Senior Notes due 2022, 1.650% Senior Notes due 2025,</w:t>
            </w:r>
          </w:p>
        </w:tc>
        <w:tc>
          <w:tcPr>
            <w:tcW w:w="280" w:type="dxa"/>
            <w:vAlign w:val="bottom"/>
          </w:tcPr>
          <w:p>
            <w:pPr>
              <w:spacing w:after="0"/>
              <w:rPr>
                <w:sz w:val="16"/>
                <w:szCs w:val="16"/>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2.300% Senior Notes due 2027, 2.700% Senior Notes due 2030, 3.850%</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8"/>
              </w:rPr>
              <w:t>Senior Notes due 2040 and 4.000% Senior Notes due 2050 originally</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4"/>
              </w:rPr>
              <w:t>issued on October 29, 2021 registered with the SEC in exchange for the</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corresponding Unregistered Upjohn U.S. Dollar Notes in a similar</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5"/>
              </w:rPr>
              <w:t>aggregate principal amount and with terms substantially identical to the</w:t>
            </w:r>
          </w:p>
        </w:tc>
        <w:tc>
          <w:tcPr>
            <w:tcW w:w="280" w:type="dxa"/>
            <w:vAlign w:val="bottom"/>
          </w:tcPr>
          <w:p>
            <w:pPr>
              <w:spacing w:after="0"/>
              <w:rPr>
                <w:sz w:val="17"/>
                <w:szCs w:val="17"/>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corresponding Unregistered Upjohn U.S. Dollar Notes and fully and</w:t>
            </w:r>
          </w:p>
        </w:tc>
        <w:tc>
          <w:tcPr>
            <w:tcW w:w="280" w:type="dxa"/>
            <w:vAlign w:val="bottom"/>
          </w:tcPr>
          <w:p>
            <w:pPr>
              <w:spacing w:after="0"/>
              <w:rPr>
                <w:sz w:val="16"/>
                <w:szCs w:val="16"/>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unconditionally guaranteed by Mylan Inc., Mylan II B.V. and Utah</w:t>
            </w:r>
          </w:p>
        </w:tc>
        <w:tc>
          <w:tcPr>
            <w:tcW w:w="280" w:type="dxa"/>
            <w:vAlign w:val="bottom"/>
          </w:tcPr>
          <w:p>
            <w:pPr>
              <w:spacing w:after="0"/>
              <w:rPr>
                <w:sz w:val="17"/>
                <w:szCs w:val="17"/>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Upjohn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Acquisition Sub Inc.</w:t>
            </w:r>
          </w:p>
        </w:tc>
        <w:tc>
          <w:tcPr>
            <w:tcW w:w="280" w:type="dxa"/>
            <w:vAlign w:val="bottom"/>
          </w:tcPr>
          <w:p>
            <w:pPr>
              <w:spacing w:after="0"/>
              <w:rPr>
                <w:sz w:val="22"/>
                <w:szCs w:val="22"/>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Pfizer’s proprietary dry powder inhaler delivery platform</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Restoration 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Company’s 401(k) Restoration Plan</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Company’s nonvested restricted stock and restricted stock unit awards,</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Restricted Stock Awards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including PSUs</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Revance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Revance Therapeutics,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Racketeer Influenced and Corrupt Organizations Act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ROU asset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Right-of-use asset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Company's unvested restricted stock unit awards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Sanofi-Aventis U.S., LLC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Appreciation Rights</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Southern District of New York</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Securities and Exchange Commission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Act of 1933, as amended</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Upjohn U.S. Dollar Notes, the Utah U.S. Dollar Notes and the Mylan</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Senior U.S. Dollar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 U.S. Dollar Notes, collectively</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Pfizer's transfer to Upjohn of substantially all the assets and liabilities</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Separation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comprising the Upjohn Business</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Separation and Distribution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 awards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options and SARs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Tax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December 2017 U.S. Tax Cuts and Jobs Act</w:t>
            </w:r>
          </w:p>
        </w:tc>
        <w:tc>
          <w:tcPr>
            <w:tcW w:w="280" w:type="dxa"/>
            <w:vAlign w:val="bottom"/>
          </w:tcPr>
          <w:p>
            <w:pPr>
              <w:spacing w:after="0"/>
              <w:rPr>
                <w:sz w:val="19"/>
                <w:szCs w:val="19"/>
                <w:color w:val="auto"/>
              </w:rPr>
            </w:pPr>
          </w:p>
        </w:tc>
      </w:tr>
      <w:tr>
        <w:trPr>
          <w:trHeight w:val="85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The agreement entered into by Pfizer and Viatris in connection with the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2"/>
              </w:rPr>
              <w:t>Separation and the Distribution that governs the parties’ respective rights,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responsibilities and obligations with respect to taxes, including taxes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arising in the ordinary course of business and taxes, if any, incurred as a</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result of any failure of the Distribution or certain related transactions to</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Tax Matters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qualify as tax-free transactions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Teva Pharmaceutical Industries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Theravance Biopharma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Theravance Biopharma,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Transition services agreement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1.125% Senior Notes due 2022, 1.650% Senior Notes due 2025,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2.300% Senior Notes due 2027, 2.700% Senior Notes due 2030, 3.850%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Senior Notes due 2040 and 4.000% Senior Notes due 2050 originally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issued on June 22, 2020 by Upjohn Inc. (now Viatris Inc.) in a private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offering exempt from the registration requirements of the Securities Act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Unregistered 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fully and unconditionally guaranteed by Mylan Inc., Mylan II B.V.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Upjohn Inc., a wholly owned subsidiary of Pfizer prior to the Distribution,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that combined with Mylan and was renamed Viatris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that, in connection with the Combination, was separated from Pfizer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 Business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combined with Mylan to form Viatris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Select geographic markets that were part of the Combination that are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smaller in nature and in which we had no established infrastructure prior to</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 Distributor Markets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or following the Combination and that the Company intends to divest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Senior unsecured notes denominated in euros and issued by Upjohn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 Euro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Finance B.V. pursuant to an indenture dated June 23, 2020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 Senior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Upjohn U.S. Dollar Notes together with the Upjohn Euro Notes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Senior unsecured notes denominated in U.S. dollars and originally issued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1"/>
              </w:rPr>
              <w:t>by Upjohn Inc. or Viatris Inc. pursuant to an indenture dated June 22, 2020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fully and unconditionally guaranteed by Mylan Inc., Mylan II B.V.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URP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Universal reimbursement pricing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The $600 million delayed draw term loan credit agreement, dated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2"/>
              </w:rPr>
              <w:t>June 16, 2020 by and among Viatris, Mizuho Bank, Ltd. and MUFG Bank,</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USD Term Loan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Ltd., as administrative agent, and repaid in full in July 2021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Utah Acquisition Sub Inc., a Delaware corporation and an indirect wholly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Utah Acquisition Sub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owned subsidiary of Viatris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2.250% Senior Notes due 2024 and 3.125% Senior Notes due 2028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Euro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3.950% Senior Notes due 2026 and 5.250% Senior Notes due 2046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Department of Veterans Affairs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VBP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Volume-based procurement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Viatris Inc., formerly known as Upjohn Inc. prior to the completion of the</w:t>
            </w:r>
          </w:p>
        </w:tc>
        <w:tc>
          <w:tcPr>
            <w:tcW w:w="280" w:type="dxa"/>
            <w:vAlign w:val="bottom"/>
          </w:tcPr>
          <w:p>
            <w:pPr>
              <w:spacing w:after="0"/>
              <w:rPr>
                <w:sz w:val="16"/>
                <w:szCs w:val="16"/>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Viatris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w:t>
            </w:r>
          </w:p>
        </w:tc>
        <w:tc>
          <w:tcPr>
            <w:tcW w:w="280" w:type="dxa"/>
            <w:vAlign w:val="bottom"/>
          </w:tcPr>
          <w:p>
            <w:pPr>
              <w:spacing w:after="0"/>
              <w:rPr>
                <w:sz w:val="21"/>
                <w:szCs w:val="2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Viatris Board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board of directors of Viatris Inc.</w:t>
            </w:r>
          </w:p>
        </w:tc>
        <w:tc>
          <w:tcPr>
            <w:tcW w:w="280" w:type="dxa"/>
            <w:vAlign w:val="bottom"/>
          </w:tcPr>
          <w:p>
            <w:pPr>
              <w:spacing w:after="0"/>
              <w:rPr>
                <w:sz w:val="21"/>
                <w:szCs w:val="2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Viatris Bylaws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amended and restated bylaws of Viatris Inc.</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Viatris Charter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Amended and restated certificate of incorporation of Viatris Inc.</w:t>
            </w:r>
          </w:p>
        </w:tc>
        <w:tc>
          <w:tcPr>
            <w:tcW w:w="280" w:type="dxa"/>
            <w:vAlign w:val="bottom"/>
          </w:tcPr>
          <w:p>
            <w:pPr>
              <w:spacing w:after="0"/>
              <w:rPr>
                <w:sz w:val="19"/>
                <w:szCs w:val="19"/>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World Health Organization</w:t>
            </w:r>
          </w:p>
        </w:tc>
        <w:tc>
          <w:tcPr>
            <w:tcW w:w="280" w:type="dxa"/>
            <w:vAlign w:val="bottom"/>
          </w:tcPr>
          <w:p>
            <w:pPr>
              <w:spacing w:after="0"/>
              <w:rPr>
                <w:sz w:val="21"/>
                <w:szCs w:val="21"/>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The ¥40 billion term loan agreement dated as of July 1, 2021, by and</w:t>
            </w:r>
          </w:p>
        </w:tc>
        <w:tc>
          <w:tcPr>
            <w:tcW w:w="280" w:type="dxa"/>
            <w:vAlign w:val="bottom"/>
          </w:tcPr>
          <w:p>
            <w:pPr>
              <w:spacing w:after="0"/>
              <w:rPr>
                <w:sz w:val="16"/>
                <w:szCs w:val="16"/>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among Viatris, MUFG Bank, Ltd. and Mizuho Bank, Ltd., as</w:t>
            </w:r>
          </w:p>
        </w:tc>
        <w:tc>
          <w:tcPr>
            <w:tcW w:w="280" w:type="dxa"/>
            <w:vAlign w:val="bottom"/>
          </w:tcPr>
          <w:p>
            <w:pPr>
              <w:spacing w:after="0"/>
              <w:rPr>
                <w:sz w:val="17"/>
                <w:szCs w:val="17"/>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YEN Term Loan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administrative agent</w:t>
            </w:r>
          </w:p>
        </w:tc>
        <w:tc>
          <w:tcPr>
            <w:tcW w:w="280" w:type="dxa"/>
            <w:vAlign w:val="bottom"/>
          </w:tcPr>
          <w:p>
            <w:pPr>
              <w:spacing w:after="0"/>
              <w:rPr>
                <w:sz w:val="22"/>
                <w:szCs w:val="22"/>
                <w:color w:val="auto"/>
              </w:rPr>
            </w:pPr>
          </w:p>
        </w:tc>
      </w:tr>
      <w:tr>
        <w:trPr>
          <w:trHeight w:val="85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Viatris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Viatris’ seasoned management team is focused on ensuring that the Company is optimally structured and efficiently resourced to deliver sustainable value to patients, shareholders, customers and other key stakeholders. With a global workforce of approximately 37,000,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and complex generics, including biosimilars prior to the Biocon Biologics Transaction.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192" w:lineRule="exact"/>
        <w:rPr>
          <w:sz w:val="20"/>
          <w:szCs w:val="20"/>
          <w:color w:val="auto"/>
        </w:rPr>
      </w:pPr>
    </w:p>
    <w:p>
      <w:pPr>
        <w:ind w:right="40" w:firstLine="648"/>
        <w:spacing w:after="0" w:line="308" w:lineRule="auto"/>
        <w:rPr>
          <w:sz w:val="20"/>
          <w:szCs w:val="20"/>
          <w:color w:val="auto"/>
        </w:rPr>
      </w:pPr>
      <w:r>
        <w:rPr>
          <w:rFonts w:ascii="Arial" w:cs="Arial" w:eastAsia="Arial" w:hAnsi="Arial"/>
          <w:sz w:val="16"/>
          <w:szCs w:val="16"/>
          <w:color w:val="auto"/>
        </w:rPr>
        <w:t>On November 16, 2020, Viatris, formerly known as Upjohn, Mylan and Pfizer consummated the combination of Mylan with the Upjohn Business through a Reverse Morris Trust transaction. As a result of the Combination, Viatris held the combined Upjohn Business and Mylan business and Mylan</w:t>
      </w:r>
    </w:p>
    <w:p>
      <w:pPr>
        <w:ind w:right="20"/>
        <w:spacing w:after="0" w:line="259" w:lineRule="auto"/>
        <w:rPr>
          <w:sz w:val="20"/>
          <w:szCs w:val="20"/>
          <w:color w:val="auto"/>
        </w:rPr>
      </w:pPr>
      <w:r>
        <w:rPr>
          <w:rFonts w:ascii="Arial" w:cs="Arial" w:eastAsia="Arial" w:hAnsi="Arial"/>
          <w:sz w:val="18"/>
          <w:szCs w:val="18"/>
          <w:color w:val="auto"/>
        </w:rPr>
        <w:t xml:space="preserve">ceased to exist as a separate legal entity after merging with and into Mylan II B.V., an indirect wholly owned subsidiary of Viatris. In accordance with </w:t>
      </w:r>
      <w:r>
        <w:rPr>
          <w:rFonts w:ascii="Arial" w:cs="Arial" w:eastAsia="Arial" w:hAnsi="Arial"/>
          <w:sz w:val="18"/>
          <w:szCs w:val="18"/>
          <w:i w:val="1"/>
          <w:iCs w:val="1"/>
          <w:color w:val="auto"/>
        </w:rPr>
        <w:t>ASC</w:t>
      </w:r>
      <w:r>
        <w:rPr>
          <w:rFonts w:ascii="Arial" w:cs="Arial" w:eastAsia="Arial" w:hAnsi="Arial"/>
          <w:sz w:val="18"/>
          <w:szCs w:val="18"/>
          <w:color w:val="auto"/>
        </w:rPr>
        <w:t xml:space="preserve"> </w:t>
      </w:r>
      <w:r>
        <w:rPr>
          <w:rFonts w:ascii="Arial" w:cs="Arial" w:eastAsia="Arial" w:hAnsi="Arial"/>
          <w:sz w:val="18"/>
          <w:szCs w:val="18"/>
          <w:i w:val="1"/>
          <w:iCs w:val="1"/>
          <w:color w:val="auto"/>
        </w:rPr>
        <w:t>805, Business Combinations</w:t>
      </w:r>
      <w:r>
        <w:rPr>
          <w:rFonts w:ascii="Arial" w:cs="Arial" w:eastAsia="Arial" w:hAnsi="Arial"/>
          <w:sz w:val="18"/>
          <w:szCs w:val="18"/>
          <w:color w:val="auto"/>
        </w:rPr>
        <w:t>, Mylan is considered the accounting acquirer of the Upjohn Business and all historical financial information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prior to November 16, 2020 represents Mylan’s historical results and the Company’s thereafter. Refer to Note 4 </w:t>
      </w:r>
      <w:r>
        <w:rPr>
          <w:rFonts w:ascii="Arial" w:cs="Arial" w:eastAsia="Arial" w:hAnsi="Arial"/>
          <w:sz w:val="18"/>
          <w:szCs w:val="18"/>
          <w:i w:val="1"/>
          <w:iCs w:val="1"/>
          <w:color w:val="auto"/>
        </w:rPr>
        <w:t>Acquisitions and Other Transactions</w:t>
      </w:r>
      <w:r>
        <w:rPr>
          <w:rFonts w:ascii="Arial" w:cs="Arial" w:eastAsia="Arial" w:hAnsi="Arial"/>
          <w:sz w:val="18"/>
          <w:szCs w:val="18"/>
          <w:color w:val="auto"/>
        </w:rPr>
        <w:t xml:space="preserve"> included in Part II. Item 8 of this Form 10-K for more information.</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the separation of the Upjohn Business from the remainder of Pfizer’s businesses, the legacy Upjohn Business historically received support services from Pfizer. In connection with the Separation and Combination, Viatris entered into several agreements with Pfizer or its subsidiaries, including among others, transition services and the manufacturing and supply agreements, which in general provide for the performance of certain services or obligations by each of Pfizer and Viatris for the benefit of each other for initial transitional periods following the Combination. By the end of 2022, the Company had exited substantially all transition services with Pfizer.</w:t>
      </w:r>
    </w:p>
    <w:p>
      <w:pPr>
        <w:spacing w:after="0" w:line="21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February 2022, the Company announced plans for certain strategic actions, anchored by a significant global reshaping initiative designed to unlock trapped value and provide the financial flexibility required to deliver on its vision. The Company also announced that it had entered into a strategic transaction with Biocon Biologics to create what it expects to be a vertically integrated global biosimilars leader, as well as potential plans to divest other select assets no longer considered core to our future strategy to help reshape the Company.</w:t>
      </w:r>
    </w:p>
    <w:p>
      <w:pPr>
        <w:spacing w:after="0" w:line="21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27, 2022, Viatris entered into a definitive agreement with Biocon Biologics to contribute its biosimilars portfolio to Biocon Biologics. The transaction subsequently closed on November 29, 2022.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Viatris also is entitled to $335 million of additional cash payments in 2024. In addition, Viatris and Biocon Biologics have agreed to a closing working capital target of $250 million. An amount of cash equal to all or a portion of the closing working capital target may become payable to Biocon Biologics in connection with certain events in the future, depending on the valuations attributable to such events. Upon closing of the transaction, the Company recognized a gain on sale of approximately $1.75 billion and has not recognized the results of the business in its consolidated financial statements subsequent to November 29, 2022.</w:t>
      </w:r>
    </w:p>
    <w:p>
      <w:pPr>
        <w:spacing w:after="0" w:line="2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term of the transition services agreement is generally up to two years. Under the transition services agreement, Viatris is entitled to be reimbursed for its costs (subject to certain caps) plus a markup.</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November 2022, the Company provided an update on the strategic priorities announced in February 2022, including identifying the following businesses no longer considered core to its future strategy that the Company intends to divest:</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API (while retaining some selective development API capabilities);</w:t>
      </w:r>
    </w:p>
    <w:p>
      <w:pPr>
        <w:spacing w:after="0" w:line="157" w:lineRule="exact"/>
        <w:rPr>
          <w:rFonts w:ascii="Arial" w:cs="Arial" w:eastAsia="Arial" w:hAnsi="Arial"/>
          <w:sz w:val="18"/>
          <w:szCs w:val="18"/>
          <w:color w:val="auto"/>
        </w:rPr>
      </w:pPr>
    </w:p>
    <w:p>
      <w:pPr>
        <w:ind w:left="660" w:right="4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Women’s health care, primarily related to our oral and injectable contraceptives. This does not include all of our women’s health care related products; as an example, our Xulane® product in the U.S. is excluded; and</w:t>
      </w:r>
    </w:p>
    <w:p>
      <w:pPr>
        <w:spacing w:after="0" w:line="108"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Upjohn Distributor Markets.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2023, the Company completed the acquisition of Oyster Point for approximately $425 million in cash, which includes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per share paid to Oyster Point stockholders through a tender offer and the repayment of the principal amount of certain debt of Oyster Point.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upfront cash consideration, each Oyster Point stockholder received one non-tradeable contingent value right representing up to an additional $2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or approximately $60 million in the aggregate, contingent upon Oyster Point achieving certain metrics based upon full year 2022 performance,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expected to be determined by the end of the first quarter of 2023. Oyster Point is a commercial-stage biopharmaceutical company focused 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discovery, development, and commercialization of first-in-class pharmaceutical therapies to treat ophthalmic diseases.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November 7, 2022, the Company entered into a definitive agreement to acquire the remaining equity shares of Famy Life Sciences, a private-owned research company with a complementary portfolio of ophthalmology therapies under development, for a consideration of $281 million. The Company had previously entered into a Master Development Agreement with Famy Life Sciences on December 20, 2019 to grant the Company rights with respect to acquiring certain pharmaceutical products and had additionally acquired shares representing approximately 13.5% equity interest in Famy Life Sciences for $25.0 million during the year ended December 31, 2020. The transaction to acquire the remaining equity shares of Famy Life Sciences closed during the first quarter of 2023.</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Ophthalmology is one of the key therapeutic areas of focus that the Company announced in February 2022. With the combination of Viatris' global commercial footprint, R&amp;D and regulatory capabilities and supply chain, along with Oyster Point's deep knowledge of the ophthalmology space from a clinical, medical, regulatory and commercial perspective—including a commercial asset, Tyrvaya®, for the treatment of dry eye disease—and Famy Life Sciences' Phase III-ready pipeline, the Company believes it has the foundation to create a leading global ophthalmology franchise, accelerating efforts to address the unmet needs of patients with ophthalmic disease and the eye care professionals who treat them. The Eye Care division within the company will be led by former Oyster Point CEO, Jeff Nau Ph.D.</w:t>
      </w:r>
    </w:p>
    <w:p>
      <w:pPr>
        <w:spacing w:after="0" w:line="21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Unless otherwise indicated, industry data included in this Item 1 are sourced from IQVIA Holdings Inc. and are for the twelve months ended November 2022. Viatris product and other company data included in this Item 1 are from internal sources and are as of November 30,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Upjohn was incorporated in Delaware on February 14, 2019 as a wholly-owned subsidiary of Pfizer to operate the Upjohn Business. Effective as of November 16, 2020, Upjohn changed its name to “Viatris Inc.” and became the parent entity of the combined Upjohn Business and Mylan business.</w:t>
      </w:r>
    </w:p>
    <w:p>
      <w:pPr>
        <w:spacing w:after="0" w:line="12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Upjohn Business was a global, primarily off-patent branded and generic established medicines business, which included 20 primarily off-patent oral solid dose legacy brands, such as Lyrica®, Lipitor®, Celebrex® and Viagra®.</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Mylan was founded in 1961 as a privately-owned company and grew over time into one of the largest manufacturers of generic drugs in the U.S. Mylan became a publicly traded company in 1973. Mylan’s strategy then led to many acquisitions which have played a significant role in the evolution of the company, including Matrix Laboratories Limited (2007); Merck KGaA’s generic and specialty pharmaceutical business (2007); the EPD Business (2015) and Meda AB (publ.) (2016). These acquisitions assisted in creating robust research, manufacturing, supply chain and commercial platforms on a global scale; substantially expanding its portfolio of medicines; diversifying by geography, product type and channel; maintaining its commitment to quality; and cultivating its global workforce.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the consummation of the Combination, the Viatris management team has been focused on ensuring that the Company is optimally structured and efficiently resourced to deliver sustainable value to patients, shareholders, customers and other stakeholders.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Operations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Viatris, we see healthcare not as it is, but as it should be. We act courageously and are uniquely positioned to be a source of stability in a world</w:t>
      </w:r>
    </w:p>
    <w:p>
      <w:pPr>
        <w:spacing w:after="0" w:line="55" w:lineRule="exact"/>
        <w:rPr>
          <w:sz w:val="20"/>
          <w:szCs w:val="20"/>
          <w:color w:val="auto"/>
        </w:rPr>
      </w:pPr>
    </w:p>
    <w:p>
      <w:pPr>
        <w:ind w:right="920"/>
        <w:spacing w:after="0" w:line="266" w:lineRule="auto"/>
        <w:rPr>
          <w:sz w:val="20"/>
          <w:szCs w:val="20"/>
          <w:color w:val="auto"/>
        </w:rPr>
      </w:pPr>
      <w:r>
        <w:rPr>
          <w:rFonts w:ascii="Arial" w:cs="Arial" w:eastAsia="Arial" w:hAnsi="Arial"/>
          <w:sz w:val="18"/>
          <w:szCs w:val="18"/>
          <w:color w:val="auto"/>
        </w:rPr>
        <w:t xml:space="preserve">of evolving healthcare needs. Viatris empowers people worldwide to live healthier at every stage of life. We do so via </w:t>
      </w:r>
      <w:r>
        <w:rPr>
          <w:rFonts w:ascii="Arial" w:cs="Arial" w:eastAsia="Arial" w:hAnsi="Arial"/>
          <w:sz w:val="18"/>
          <w:szCs w:val="18"/>
          <w:b w:val="1"/>
          <w:bCs w:val="1"/>
          <w:color w:val="auto"/>
        </w:rPr>
        <w:t>Access</w:t>
      </w:r>
      <w:r>
        <w:rPr>
          <w:rFonts w:ascii="Arial" w:cs="Arial" w:eastAsia="Arial" w:hAnsi="Arial"/>
          <w:sz w:val="18"/>
          <w:szCs w:val="18"/>
          <w:color w:val="auto"/>
        </w:rPr>
        <w:t xml:space="preserve">, </w:t>
      </w:r>
      <w:r>
        <w:rPr>
          <w:rFonts w:ascii="Arial" w:cs="Arial" w:eastAsia="Arial" w:hAnsi="Arial"/>
          <w:sz w:val="18"/>
          <w:szCs w:val="18"/>
          <w:b w:val="1"/>
          <w:bCs w:val="1"/>
          <w:color w:val="auto"/>
        </w:rPr>
        <w:t>Leadership</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Partnership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14350"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Viatris provides high-quality, trusted medicines, regardless of geography or circumstance. </w:t>
      </w:r>
      <w:r>
        <w:rPr>
          <w:rFonts w:ascii="Arial" w:cs="Arial" w:eastAsia="Arial" w:hAnsi="Arial"/>
          <w:sz w:val="18"/>
          <w:szCs w:val="18"/>
          <w:color w:val="auto"/>
        </w:rPr>
        <w:t>We are committed to improving access to high-quality medicines while working to ensure a reliable supply so patients can get the treatments they need, when and where they need them. Our global portfolio, supported by our science, medical and manufacturing expertise, delivers global iconic and key brands, complex generics, including biosimilars prior to the Biocon Biologics Transaction, generics and OTC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see access as fundamental to empowering people worldwide to live healthier at every stage of life—a powerful concept in challenging times.</w:t>
      </w:r>
    </w:p>
    <w:p>
      <w:pPr>
        <w:spacing w:after="0" w:line="275"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It begins with our efforts to sustainably deliver high-quality medicines and health solutions at scale to people, regardless of geography or circumstance. As a healthcare company born during a global pandemic, Viatris was formed to bridge the traditional divide between generics and brands, aiming to combine the best of both, to more holistically address healthcare needs globally. With an extensive portfolio of medicines to meet nearly every health need, a one-of-a-kind global supply chain designed to reach more people with health solutions when and where they need them, and the scientific expertise to address some of the world’s most enduring health challenges, access takes on deeper meaning at Viatris.</w:t>
      </w:r>
    </w:p>
    <w:p>
      <w:pPr>
        <w:spacing w:after="0" w:line="188"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From our unique vantage point, we touch all of life’s moments, from birth to end of life, acute conditions to chronic diseases. We see across multiple therapeutic areas to the person at the center of their own unique health journey. We are focused on meeting individual needs, whether with a generic medicine, an improved version of an existing medicine, or a truly novel therapeutic solution.</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Ultimately, we know we are stronger together. Both as a company and as a global community. Our pursuit of access is relentless. Because health matters everywhere.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company, Viatris:</w:t>
      </w:r>
    </w:p>
    <w:p>
      <w:pPr>
        <w:spacing w:after="0" w:line="221" w:lineRule="exact"/>
        <w:rPr>
          <w:sz w:val="20"/>
          <w:szCs w:val="20"/>
          <w:color w:val="auto"/>
        </w:rPr>
      </w:pPr>
    </w:p>
    <w:p>
      <w:pPr>
        <w:ind w:left="660" w:right="60" w:hanging="328"/>
        <w:spacing w:after="0" w:line="294"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Covers a broad range of therapeutic areas</w:t>
      </w:r>
      <w:r>
        <w:rPr>
          <w:rFonts w:ascii="Arial" w:cs="Arial" w:eastAsia="Arial" w:hAnsi="Arial"/>
          <w:sz w:val="16"/>
          <w:szCs w:val="16"/>
          <w:color w:val="auto"/>
        </w:rPr>
        <w:t>. We produce medicines for patients across a broad range of major therapeutic areas. From</w:t>
      </w:r>
      <w:r>
        <w:rPr>
          <w:rFonts w:ascii="Arial" w:cs="Arial" w:eastAsia="Arial" w:hAnsi="Arial"/>
          <w:sz w:val="16"/>
          <w:szCs w:val="16"/>
          <w:b w:val="1"/>
          <w:bCs w:val="1"/>
          <w:color w:val="auto"/>
        </w:rPr>
        <w:t xml:space="preserve"> </w:t>
      </w:r>
      <w:r>
        <w:rPr>
          <w:rFonts w:ascii="Arial" w:cs="Arial" w:eastAsia="Arial" w:hAnsi="Arial"/>
          <w:sz w:val="16"/>
          <w:szCs w:val="16"/>
          <w:color w:val="auto"/>
        </w:rPr>
        <w:t>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While we intend to maintain our broad range of therapeutic areas, we have, as previously announced, identified three core, global therapeutic areas – ophthalmology (as evidenced by the Oyster Point and Famy Life Sciences’ acquisitions), gastrointestinal, and dermatology – that we believe particularly fit our own internal capabilities while leveraging our global platform.</w:t>
      </w:r>
    </w:p>
    <w:p>
      <w:pPr>
        <w:spacing w:after="0" w:line="159" w:lineRule="exact"/>
        <w:rPr>
          <w:rFonts w:ascii="Arial" w:cs="Arial" w:eastAsia="Arial" w:hAnsi="Arial"/>
          <w:sz w:val="16"/>
          <w:szCs w:val="16"/>
          <w:color w:val="auto"/>
        </w:rPr>
      </w:pPr>
    </w:p>
    <w:p>
      <w:pPr>
        <w:ind w:left="660" w:right="1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Helps ease the burden of noncommunicable diseases. </w:t>
      </w:r>
      <w:r>
        <w:rPr>
          <w:rFonts w:ascii="Arial" w:cs="Arial" w:eastAsia="Arial" w:hAnsi="Arial"/>
          <w:sz w:val="18"/>
          <w:szCs w:val="18"/>
          <w:color w:val="auto"/>
        </w:rPr>
        <w:t>According to the WHO, NCDs, such as ischemic heart disease, stroke, diabetes,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cancers and chronic obstructive pulmonary disease, are among the leading causes of death globally. NCDs affect people of every age, gender and socioeconomic status in every corner of the world, and pose a heavy burden on individuals, families and communities. To overcome this global public health threat, patients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worldwide need a partner they can trust – one that not only believes everyone deserves good health, but also has the portfolio, experience and expertise to make this belief a reality.</w:t>
      </w:r>
    </w:p>
    <w:p>
      <w:pPr>
        <w:spacing w:after="0" w:line="166" w:lineRule="exact"/>
        <w:rPr>
          <w:sz w:val="20"/>
          <w:szCs w:val="20"/>
          <w:color w:val="auto"/>
        </w:rPr>
      </w:pPr>
    </w:p>
    <w:p>
      <w:pPr>
        <w:ind w:left="660" w:right="160" w:hanging="328"/>
        <w:spacing w:after="0" w:line="294"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Helps hearts stay healthier. </w:t>
      </w:r>
      <w:r>
        <w:rPr>
          <w:rFonts w:ascii="Arial" w:cs="Arial" w:eastAsia="Arial" w:hAnsi="Arial"/>
          <w:sz w:val="16"/>
          <w:szCs w:val="16"/>
          <w:color w:val="auto"/>
        </w:rPr>
        <w:t>According to the WHO, coronary heart disease is the number one cause of death globally. Viatris collaborates with</w:t>
      </w:r>
      <w:r>
        <w:rPr>
          <w:rFonts w:ascii="Arial" w:cs="Arial" w:eastAsia="Arial" w:hAnsi="Arial"/>
          <w:sz w:val="16"/>
          <w:szCs w:val="16"/>
          <w:b w:val="1"/>
          <w:bCs w:val="1"/>
          <w:color w:val="auto"/>
        </w:rPr>
        <w:t xml:space="preserve"> </w:t>
      </w:r>
      <w:r>
        <w:rPr>
          <w:rFonts w:ascii="Arial" w:cs="Arial" w:eastAsia="Arial" w:hAnsi="Arial"/>
          <w:sz w:val="16"/>
          <w:szCs w:val="16"/>
          <w:color w:val="auto"/>
        </w:rPr>
        <w:t>many organizations to help prevent, diagnose, and treat many cardiovascular illnesses. Our deep experience in emerging and developed markets affords a tried-and-true method of achieving high impact across the patient experience, from awareness to adherence. In close collaboration with governments, healthcare providers, technology partners and patients, we at Viatris work to nurture healthcare systems that can adapt and respond to patients’ ever-changing needs. We continue to collaborate with medical associations, patient advocacy groups and academia to develop innovative, integrated solutions and programs to help strengthen both the delivery and quality of healthcare.</w:t>
      </w:r>
    </w:p>
    <w:p>
      <w:pPr>
        <w:spacing w:after="0" w:line="159" w:lineRule="exact"/>
        <w:rPr>
          <w:rFonts w:ascii="Arial" w:cs="Arial" w:eastAsia="Arial" w:hAnsi="Arial"/>
          <w:sz w:val="16"/>
          <w:szCs w:val="16"/>
          <w:color w:val="auto"/>
        </w:rPr>
      </w:pPr>
    </w:p>
    <w:p>
      <w:pPr>
        <w:ind w:left="660" w:right="120" w:hanging="328"/>
        <w:spacing w:after="0" w:line="298"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Fights infectious disease</w:t>
      </w:r>
      <w:r>
        <w:rPr>
          <w:rFonts w:ascii="Arial" w:cs="Arial" w:eastAsia="Arial" w:hAnsi="Arial"/>
          <w:sz w:val="16"/>
          <w:szCs w:val="16"/>
          <w:color w:val="auto"/>
        </w:rPr>
        <w:t>. We are also a global leader in treating infectious diseases such as HIV/AIDS, hepatitis, and tuberculosis, and offer an</w:t>
      </w:r>
      <w:r>
        <w:rPr>
          <w:rFonts w:ascii="Arial" w:cs="Arial" w:eastAsia="Arial" w:hAnsi="Arial"/>
          <w:sz w:val="16"/>
          <w:szCs w:val="16"/>
          <w:b w:val="1"/>
          <w:bCs w:val="1"/>
          <w:color w:val="auto"/>
        </w:rPr>
        <w:t xml:space="preserve"> </w:t>
      </w:r>
      <w:r>
        <w:rPr>
          <w:rFonts w:ascii="Arial" w:cs="Arial" w:eastAsia="Arial" w:hAnsi="Arial"/>
          <w:sz w:val="16"/>
          <w:szCs w:val="16"/>
          <w:color w:val="auto"/>
        </w:rPr>
        <w:t>extensive portfolio across these disease states. While many important strides have been made to treat these illnesses, there is still more to be done in countries where lack of access to therapeutics, preventative treatment and diagnostics often result in patients not receiving proper care, and those where HIV transmission continues thirty years into the epidemic. From manufacturing a pediatric-friendly antiretroviral used to treat HIV-positive infants to providing HIV self-tests in some low- and middle-income countries, we are innovating to help patients.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Increasingly Innovative and Differentiated Pipeline</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confidence in the future delivery of our pipeline is rooted in our strong historic development programs and list of firsts, including the first FDA approvals of the generic version of Allergan's Restasis® and the generic version of Symbicort®, Breyna™. In addition, we are working on many other programs, including the potential to be first to market for our generics of Abilify Maintena®, Injectafer®, Invega Trinza®, Ozempic®, Sandostin® LAR Depot, Venofer® and Wegovy™. We are also working with our partners on novel and complex products such as our BOTOX® (onabotulinumtoxinA) biosimilar and Glatiramer Acetate Depot, a long-acting injection version of the approved glatiramer acetate.</w:t>
      </w:r>
    </w:p>
    <w:p>
      <w:pPr>
        <w:spacing w:after="0" w:line="17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While we will continue to diligently pursue important generics opportunities, we will increasingly focus on limited-competition complex and novel products targeting gaps in care, all with a first-to-market emphasis and serving our mission of patient access. Complex product categories are critical to patient health and are growing at a rapid pace. Our goal is to enhance our proven scientific capabilities and current global platform, including our Global Healthcare Gateway®, to create a durable and higher-margin portfolio of products. And that means further expanding beyond our current scope into more innovative products, including NCEs and global 505(b)(2) products. As previously mentioned, while we intend to maintain our broad range of therapeutic areas, we have identified three core, global therapeutic areas – ophthalmology, gastrointestinal and dermatology – that we believe particularly fit our own internal capabilities while leveraging our global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14350" cy="488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w:t>
      </w:r>
    </w:p>
    <w:p>
      <w:pPr>
        <w:spacing w:after="0" w:line="22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b w:val="1"/>
          <w:bCs w:val="1"/>
          <w:color w:val="auto"/>
        </w:rPr>
        <w:t xml:space="preserve">Viatris is advancing sustainable operations and innovative solutions to improve patient health. </w:t>
      </w:r>
      <w:r>
        <w:rPr>
          <w:rFonts w:ascii="Arial" w:cs="Arial" w:eastAsia="Arial" w:hAnsi="Arial"/>
          <w:sz w:val="18"/>
          <w:szCs w:val="18"/>
          <w:color w:val="auto"/>
        </w:rPr>
        <w:t>Viatris is committed to providing steady</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in a world that is constantly evolving. We take that commitment seriously and know that advancing sustainable operations and innovative solutions to improve patient health requires strong global leadership. We know what it takes to reach more patients with more products, and believe that Viatris is uniquely positioned to make a difference through our:</w:t>
      </w:r>
    </w:p>
    <w:p>
      <w:pPr>
        <w:spacing w:after="0" w:line="180" w:lineRule="exact"/>
        <w:rPr>
          <w:sz w:val="20"/>
          <w:szCs w:val="20"/>
          <w:color w:val="auto"/>
        </w:rPr>
      </w:pPr>
    </w:p>
    <w:p>
      <w:pPr>
        <w:ind w:left="660" w:right="20" w:hanging="328"/>
        <w:spacing w:after="0" w:line="273"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Powerful global operating platform</w:t>
      </w:r>
      <w:r>
        <w:rPr>
          <w:rFonts w:ascii="Arial" w:cs="Arial" w:eastAsia="Arial" w:hAnsi="Arial"/>
          <w:sz w:val="17"/>
          <w:szCs w:val="17"/>
          <w:color w:val="auto"/>
        </w:rPr>
        <w:t>, which combines what we believe to be best-in-class manufacturing and supply chain capabilities.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our global operations and supply chain to be a reliable and flexible partner for access across the world, constantly adapting to an ever-evolving landscape. Viatris operates approximately 40 manufacturing sites worldwide that produce oral solid doses, injectables, complex dosage forms and APIs on five different continents. Together with a global, flexible and diverse supply chain, our platform strives to mitigate risks of disruption and ensure supply reliability. Our efforts to build a responsive global network have helped us maintain a reliable supply of much needed medicines during the COVID-19 pandemic. We are committed to advancing responsible and sustainable operations and work diligently to minimize our environmental footprint across the Viatris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network while safeguarding access to medicine. As discussed above, our API business (other than some selective development API capabilities) is one of the assets we intend to divest.</w:t>
      </w:r>
    </w:p>
    <w:p>
      <w:pPr>
        <w:spacing w:after="0" w:line="193" w:lineRule="exact"/>
        <w:rPr>
          <w:sz w:val="20"/>
          <w:szCs w:val="20"/>
          <w:color w:val="auto"/>
        </w:rPr>
      </w:pPr>
    </w:p>
    <w:p>
      <w:pPr>
        <w:ind w:left="660" w:right="240" w:hanging="328"/>
        <w:spacing w:after="0" w:line="28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Robust global technical resources</w:t>
      </w:r>
      <w:r>
        <w:rPr>
          <w:rFonts w:ascii="Arial" w:cs="Arial" w:eastAsia="Arial" w:hAnsi="Arial"/>
          <w:sz w:val="18"/>
          <w:szCs w:val="18"/>
          <w:color w:val="auto"/>
        </w:rPr>
        <w:t>, including thousands of scientists, regulatory experts and medical and product safety professionals working</w:t>
      </w:r>
      <w:r>
        <w:rPr>
          <w:rFonts w:ascii="Arial" w:cs="Arial" w:eastAsia="Arial" w:hAnsi="Arial"/>
          <w:sz w:val="18"/>
          <w:szCs w:val="18"/>
          <w:b w:val="1"/>
          <w:bCs w:val="1"/>
          <w:color w:val="auto"/>
        </w:rPr>
        <w:t xml:space="preserve"> </w:t>
      </w:r>
      <w:r>
        <w:rPr>
          <w:rFonts w:ascii="Arial" w:cs="Arial" w:eastAsia="Arial" w:hAnsi="Arial"/>
          <w:sz w:val="18"/>
          <w:szCs w:val="18"/>
          <w:color w:val="auto"/>
        </w:rPr>
        <w:t>around the world on innovative therapies and solutions for patients everywhere.</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Strong global commercial team</w:t>
      </w:r>
      <w:r>
        <w:rPr>
          <w:rFonts w:ascii="Arial" w:cs="Arial" w:eastAsia="Arial" w:hAnsi="Arial"/>
          <w:sz w:val="18"/>
          <w:szCs w:val="18"/>
          <w:color w:val="auto"/>
        </w:rPr>
        <w:t>, including sales team members and marketing professionals whose goal is to ensure that products are shipped to</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around the globe.</w:t>
      </w:r>
    </w:p>
    <w:p>
      <w:pPr>
        <w:spacing w:after="0" w:line="161" w:lineRule="exact"/>
        <w:rPr>
          <w:rFonts w:ascii="Arial" w:cs="Arial" w:eastAsia="Arial" w:hAnsi="Arial"/>
          <w:sz w:val="18"/>
          <w:szCs w:val="18"/>
          <w:color w:val="auto"/>
        </w:rPr>
      </w:pPr>
    </w:p>
    <w:p>
      <w:pPr>
        <w:ind w:left="660" w:right="20" w:hanging="328"/>
        <w:spacing w:after="0" w:line="28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Diverse and differentiated global portfolio </w:t>
      </w:r>
      <w:r>
        <w:rPr>
          <w:rFonts w:ascii="Arial" w:cs="Arial" w:eastAsia="Arial" w:hAnsi="Arial"/>
          <w:sz w:val="17"/>
          <w:szCs w:val="17"/>
          <w:color w:val="auto"/>
        </w:rPr>
        <w:t>includes products in more than 10 major therapeutic areas, including both infectious diseases and</w:t>
      </w:r>
      <w:r>
        <w:rPr>
          <w:rFonts w:ascii="Arial" w:cs="Arial" w:eastAsia="Arial" w:hAnsi="Arial"/>
          <w:sz w:val="17"/>
          <w:szCs w:val="17"/>
          <w:b w:val="1"/>
          <w:bCs w:val="1"/>
          <w:color w:val="auto"/>
        </w:rPr>
        <w:t xml:space="preserve"> </w:t>
      </w:r>
      <w:r>
        <w:rPr>
          <w:rFonts w:ascii="Arial" w:cs="Arial" w:eastAsia="Arial" w:hAnsi="Arial"/>
          <w:sz w:val="17"/>
          <w:szCs w:val="17"/>
          <w:color w:val="auto"/>
        </w:rPr>
        <w:t>NCDs and medicines that treat the top 10 of the WHO’s leading causes of death globally. We are a leading supplier of medicines to the HIV/AIDS community around the world, with a legacy of providing access to high-quality and affordable ARVs in more than 100 countries.</w:t>
      </w:r>
    </w:p>
    <w:p>
      <w:pPr>
        <w:spacing w:after="0" w:line="16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Viatris’ global leadership in all of these areas uniquely positions us to efficiently and effectively serve patients regardless of geography or circumstance. Together, with our commitment to provide access to a sustainable, affordable, and diverse portfolio of high-quality medicines and our goal to be a Partner of Choice® for companies big and small, Viatris works to improve access and meet evolving healthcare needs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14350" cy="488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w:t>
      </w:r>
    </w:p>
    <w:p>
      <w:pPr>
        <w:spacing w:after="0" w:line="2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b w:val="1"/>
          <w:bCs w:val="1"/>
          <w:color w:val="auto"/>
        </w:rPr>
        <w:t xml:space="preserve">Leveraging our collective expertise to connect people to products and services. </w:t>
      </w:r>
      <w:r>
        <w:rPr>
          <w:rFonts w:ascii="Arial" w:cs="Arial" w:eastAsia="Arial" w:hAnsi="Arial"/>
          <w:sz w:val="16"/>
          <w:szCs w:val="16"/>
          <w:color w:val="auto"/>
        </w:rPr>
        <w:t>Partnerships and collaborations are critical, as are policies and</w:t>
      </w:r>
      <w:r>
        <w:rPr>
          <w:rFonts w:ascii="Arial" w:cs="Arial" w:eastAsia="Arial" w:hAnsi="Arial"/>
          <w:sz w:val="16"/>
          <w:szCs w:val="16"/>
          <w:b w:val="1"/>
          <w:bCs w:val="1"/>
          <w:color w:val="auto"/>
        </w:rPr>
        <w:t xml:space="preserve"> </w:t>
      </w:r>
      <w:r>
        <w:rPr>
          <w:rFonts w:ascii="Arial" w:cs="Arial" w:eastAsia="Arial" w:hAnsi="Arial"/>
          <w:sz w:val="16"/>
          <w:szCs w:val="16"/>
          <w:color w:val="auto"/>
        </w:rPr>
        <w:t>strong healthcare systems that allow for healthy competitive environments. We have a strong history of partnering with other pharmaceutical companies, nonprofit organizations, government agencies, policymakers, trade associations and alliances, industry researchers and patient advocacy groups to promote sustainable access to treatment, build more resilient healthcare systems and drive these issues within our industry on global, regional and local levels. We hold leadership roles in several industry associations and actively engage with more than 100 groups worldwide to this end. Many of our collaborations focus on access to medicine; public awareness and disease screening; and healthcare professional education and support.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Healthcare Gateway® Built to Fuel Growth and Partnerships</w:t>
      </w:r>
    </w:p>
    <w:p>
      <w:pPr>
        <w:spacing w:after="0" w:line="270" w:lineRule="exact"/>
        <w:rPr>
          <w:sz w:val="20"/>
          <w:szCs w:val="20"/>
          <w:color w:val="auto"/>
        </w:rPr>
      </w:pPr>
    </w:p>
    <w:p>
      <w:pPr>
        <w:ind w:right="20" w:firstLine="648"/>
        <w:spacing w:after="0" w:line="299" w:lineRule="auto"/>
        <w:rPr>
          <w:sz w:val="20"/>
          <w:szCs w:val="20"/>
          <w:color w:val="auto"/>
        </w:rPr>
      </w:pPr>
      <w:r>
        <w:rPr>
          <w:rFonts w:ascii="Arial" w:cs="Arial" w:eastAsia="Arial" w:hAnsi="Arial"/>
          <w:sz w:val="16"/>
          <w:szCs w:val="16"/>
          <w:color w:val="auto"/>
        </w:rPr>
        <w:t>Our Global Healthcare Gateway® is open for business. This was evidenced by the fact the Oyster Point and Famy Life Sciences acquisitions were sourced through the Global Healthcare Gateway®. Through our Global Healthcare Gateway®—a platform that allows partners to access our many established strengths to reach patients they may not have the resources to reach on their own—we connect more people with even more products and</w:t>
      </w:r>
    </w:p>
    <w:p>
      <w:pPr>
        <w:spacing w:after="0" w:line="1"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services. We are actively engaging with potential partners to help them accelerate possibilities of using their own healthcare assets to reach more patients by leveraging our unique global platform – our R&amp;D, supply chain, manufacturing, regulatory, commercial and legal expertise. With the global platforms and infrastructure supporting our innovative Global Healthcare Gateway®, we are enhancing our capital allocation approach to business development, and our organic and inorganic R&amp;D investments through a focused governance structure to ensure the highest level of strategic decision-making.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Other Partner Agreements</w:t>
      </w:r>
    </w:p>
    <w:p>
      <w:pPr>
        <w:spacing w:after="0" w:line="229"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color w:val="auto"/>
        </w:rPr>
        <w:t>We periodically enter into commercial licensing and other partner agreements with other pharmaceutical companies for the development, manufacture, marketing and/or sale of pharmaceutical products. Doing so helps us share risks and costs, leverage strengths and scale up commercialization, but usually requires us to also share future profits. The result often is that medicines become available sooner and to a significantly larger group of patients.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Our significant licensing and other partner agreements are primarily focused on the development, manufacturing, supply and commercialization of multiple, high-value generic compounds and respiratory products, among other complex products. Refer to Note 19 </w:t>
      </w:r>
      <w:r>
        <w:rPr>
          <w:rFonts w:ascii="Arial" w:cs="Arial" w:eastAsia="Arial" w:hAnsi="Arial"/>
          <w:sz w:val="18"/>
          <w:szCs w:val="18"/>
          <w:i w:val="1"/>
          <w:iCs w:val="1"/>
          <w:color w:val="auto"/>
        </w:rPr>
        <w:t>Licensing and Other Partner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Agreements </w:t>
      </w:r>
      <w:r>
        <w:rPr>
          <w:rFonts w:ascii="Arial" w:cs="Arial" w:eastAsia="Arial" w:hAnsi="Arial"/>
          <w:sz w:val="18"/>
          <w:szCs w:val="18"/>
          <w:color w:val="auto"/>
        </w:rPr>
        <w:t>included in Part II. Item 8 of this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Viatris has developed an end-to-end experience across the total product life cycle, which includes global regulatory licensing, launch, growth and post-approval lifecycle management. Our research, development and medical platform seeks to maximize the impact of our existing portfolio by examining whether there is an opportunity for new indications, label extensions, formulations, and market registrations for our products. We also use our platform to determine whether there is an opportunity to integrate new products into our portfolio.</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manufacturing of APIs and finished dosage forms is currently performed by a combination of internal and external manufacturing operations. Internally, many of the products we produce are currently vertically integrated; meaning we manufacture both the APIs and finished dosage forms related to those products. Occasionally, however, resources we need are available from only a single supplier. As a result, we supplement our production footprint through arrangements with other manufacturers. However, as discussed above, our API business is one of the assets we intend to divest as we continue to move up the value chain and focus on more complex and innovative products to build a more durable, higher-margin portfolio. We expect to retain some selective development API capabilities and to continue to have access to adequate API supplies through our arrangements with other manufacturers.</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Company’s significant manufacturing, warehousing and distribution activities are located primarily in the U.S., Puerto Rico, Singapore, India, Australia, China, and certain E.U. countries, including Ireland. In addition, we maintain administrative facilities around the world. While many of these key facilities are owned, Viatris also leases certain facilities from third parties.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all our facilities are in good operating condition, the machinery and equipment are well-maintained, the facilities are suitable for their intended purposes and they have capacities adequate for the current operations.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Facilities and records related to our products are subject to periodic inspection by the FDA, the EMA and other regulatory authorities in jurisdictions where our products are marketed. In addition, authorities often conduct pre-approval plant inspections to determine whether our systems and processes comply with current GMP and other regulations, and clinical-trial reviews to evaluate regulatory compliance and data integrity. Our suppliers, contract manufacturers, clinical trial partners and other business partners are subject to similar regulations and periodic inspections. The Company remains committed to maintaining the highest quality manufacturing standards at its facilities around the world and to continuous assessment and improvement in a time of evolving industry dynamics and regulatory expectations.</w:t>
      </w:r>
    </w:p>
    <w:p>
      <w:pPr>
        <w:spacing w:after="0" w:line="19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are committed to advancing sustainable operations and innovative solutions to improve patient health. This means we focus on responsible conduct and have global policies and procedures to support our work. Environmental and human health are interconnected, a relationship underscored by climate change and water stress. We work systematically and diligently to minimize our environmental footprint while seeking to safeguard stable access to medicine. In 2022, we launched Viatris’ initial sustainability goals in the areas of access to medicine and health; diversity, equity &amp; inclusion; and the environment: climate change, water risk assessments and waste management. Our near-term science-based emissions reduction targets for scope 1, 2 and 3 have been validated and approved by the Science Based Target initiative (SBTi). The SBTi classified Viatris' scope 1 and 2 target ambition and has determined that it is in line with a 1.5°C trajectory, a worldwide goal of limiting global warming. During 2022, we also completed a climate scenario analysis to help us identify and manage risk and opportunities regarding climate impacts. While it is very hard to predict accurately the future costs associated with compliance with environmental laws, this is not expected to require significant capital expenditures and has not had, and is not expected to have, a material adverse effect on our operations or competitive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customers include retail and pharmacy establishments, wholesalers and distributors, payers, insurers and governments, and institutions such as hospitals; among others. See “Channel Types” below for more information about our customers.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displays the percentage of consolidated net sales to our largest customers during the years ended December 31, 2022,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43"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Percentage of Consolidated Net Sales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McKesson Corporation</w:t>
            </w:r>
          </w:p>
        </w:tc>
        <w:tc>
          <w:tcPr>
            <w:tcW w:w="8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AmerisourceBergen Corporation</w:t>
            </w:r>
          </w:p>
        </w:tc>
        <w:tc>
          <w:tcPr>
            <w:tcW w:w="4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296"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7"/>
          <w:szCs w:val="17"/>
          <w:color w:val="auto"/>
        </w:rPr>
        <w:t>We serve our customers through a team of highly-skilled sales and marketing professionals, all of whom are focused on establishing Viatris as our customers’ partner of choice. To best meet customers’ needs, the Company manages its business on a geographic basis.</w:t>
      </w:r>
    </w:p>
    <w:p>
      <w:pPr>
        <w:spacing w:after="0" w:line="14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addition to being dynamic, the pharmaceutical industry is complex. How it functions, how it is regulated and how it provides patients access varies by location. Similarly, competition is affected by many factors. Examples of factors include innovation and development, timely approval of prescription drugs by health authorities, manufacturing capabilities, product quality, marketing effectiveness, portfolio size, customer service, consumer acceptance, product price, political stability and the availability of funding for healthcare.</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Certain parts of our business also are affected by seasonality, e.g., due to the timing and severity of peak cough, cold and flu incidence, which can cause variability in sales trends for some of our products. While seasonality may affect quarterly comparisons within a fiscal year, it generally is not material to our annual consolidated results.</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these and other reasons, the Company’s sales and marketing efforts vary accordingly by product, market and channel type, each of which is described below.</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Application of Critical Accounting Policies</w:t>
      </w:r>
      <w:r>
        <w:rPr>
          <w:rFonts w:ascii="Arial" w:cs="Arial" w:eastAsia="Arial" w:hAnsi="Arial"/>
          <w:sz w:val="18"/>
          <w:szCs w:val="18"/>
          <w:color w:val="auto"/>
        </w:rPr>
        <w:t xml:space="preserve"> section in Part II. Item 7 of this Form 10-K for more information related to customer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We offer a broad and diverse range of treatment options across all our therapeutic areas, with many categories containing several products in a range of dosage forms, formulations and delivery systems that allow physicians to tailor care for optimal treatment.</w:t>
      </w:r>
    </w:p>
    <w:p>
      <w:pPr>
        <w:spacing w:after="0" w:line="15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As the Company looks to the future, its goal is to leverage its proven scientific capabilities to create a durable and higher-margin portfolio of products. Viatris intends to continue building the pipeline and focusing on products with greater complexity while also investing in the lifecycle management of certain key products in our current portfolio. The Company also expects to expand further beyond its current scope into more innovative products, including NCEs and global 505(b)(2)s. While Viatris intends to maintain its broad range of therapeutic areas, it has identified three core, global therapeutic areas – ophthalmology, gastrointestinal, dermatology — that it believes particularly fit its internal capabilities while leveraging its global platform. The Company is further enhancing its commercial and scientific capabilities as needed for this future portfolio and intends to increase its R&amp;D investment as well as inorganically grow via business development through its Global Healthcare Gateway®.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Viatris currently markets prescription brand drugs, generic drugs, complex generic drugs, and APIs.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Brand drugs </w:t>
      </w:r>
      <w:r>
        <w:rPr>
          <w:rFonts w:ascii="Arial" w:cs="Arial" w:eastAsia="Arial" w:hAnsi="Arial"/>
          <w:sz w:val="17"/>
          <w:szCs w:val="17"/>
          <w:color w:val="auto"/>
        </w:rPr>
        <w:t>typically are prescription pharmaceuticals that are sufficiently novel as to be protected by patents or other forms of exclusivity. As</w:t>
      </w:r>
      <w:r>
        <w:rPr>
          <w:rFonts w:ascii="Arial" w:cs="Arial" w:eastAsia="Arial" w:hAnsi="Arial"/>
          <w:sz w:val="17"/>
          <w:szCs w:val="17"/>
          <w:i w:val="1"/>
          <w:iCs w:val="1"/>
          <w:color w:val="auto"/>
        </w:rPr>
        <w:t xml:space="preserve"> </w:t>
      </w:r>
      <w:r>
        <w:rPr>
          <w:rFonts w:ascii="Arial" w:cs="Arial" w:eastAsia="Arial" w:hAnsi="Arial"/>
          <w:sz w:val="17"/>
          <w:szCs w:val="17"/>
          <w:color w:val="auto"/>
        </w:rPr>
        <w:t>such, these drugs, which bear trade names, may be produced and sold only by those owning the rights, subject to certain challenges that other companies may make. Developing new medicines can take years and significant investment. Only a few promising therapies ever enter clinical trials. Fewer still are approved for sale by health authorities, at which point marketing to healthcare providers and consumers begins. Because patents and exclusivities last many years, they serve as an incentive to developers. During the periods protected, developers often recoup their investments and earn a profit. In many high-income countries, the brand business often is characterized by higher margins on lower volumes - especially as compared with generic manufacturers. Viatris has numerous branded drugs, including iconic brands, as well as several global</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key brands to help patients manage their health. Brand drugs include branded generics which are off-patent products that are sold under an approved proprietary name for marketing purposes. Brand products often become branded generics once patent protections or other forms of exclusivity expire. Branded generic products are common in many countries outside the U.S., including emerging markets. Brand and branded generic products are more sensitive to promotion than are unbranded generic products. They therefore represent the primary focus of most of our sales representatives and product-level marketing activity. Our OTC products, which are sold directly to consumers without a prescription and without reimbursement, are generally sold under a brand name. As discussed above, our OTC business is one of the assets we intend to divest.</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Generic drugs </w:t>
      </w:r>
      <w:r>
        <w:rPr>
          <w:rFonts w:ascii="Arial" w:cs="Arial" w:eastAsia="Arial" w:hAnsi="Arial"/>
          <w:sz w:val="16"/>
          <w:szCs w:val="16"/>
          <w:color w:val="auto"/>
        </w:rPr>
        <w:t>are therapeutically equivalent versions of brand drugs. Generics generally become available once the patents and other exclusivities</w:t>
      </w:r>
      <w:r>
        <w:rPr>
          <w:rFonts w:ascii="Arial" w:cs="Arial" w:eastAsia="Arial" w:hAnsi="Arial"/>
          <w:sz w:val="16"/>
          <w:szCs w:val="16"/>
          <w:i w:val="1"/>
          <w:iCs w:val="1"/>
          <w:color w:val="auto"/>
        </w:rPr>
        <w:t xml:space="preserve"> </w:t>
      </w:r>
      <w:r>
        <w:rPr>
          <w:rFonts w:ascii="Arial" w:cs="Arial" w:eastAsia="Arial" w:hAnsi="Arial"/>
          <w:sz w:val="16"/>
          <w:szCs w:val="16"/>
          <w:color w:val="auto"/>
        </w:rPr>
        <w:t>on their branded counterparts expire. The generics business is generally characterized by lower margins on higher volumes of a relatively large number of products. Our generic medicines work in the same way and provide the same clinical benefits as their as their brand-name counterparts and may cost less, providing patients and the healthcare system important savings and medicine options which we believe are essential to making healthcare accessible. The manufacturing of generic medicines is held to the same standards of GMP by health authorities as the manufacturing of branded medicines. National health authorities inspect our facilities around the world to ensure that generic manufacturing, packaging and testing sites pass the same quality standards as those of brand drugs. Gx products typically are sold under their INNs. INNs facilitate the identification of pharmaceutical substances or APIs. Each INN is unique and globally recognized. A nonproprietary name also is known as a generic name.</w:t>
      </w:r>
    </w:p>
    <w:p>
      <w:pPr>
        <w:spacing w:after="0" w:line="165"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i w:val="1"/>
          <w:iCs w:val="1"/>
          <w:color w:val="auto"/>
        </w:rPr>
        <w:t xml:space="preserve">Complex generic drugs </w:t>
      </w:r>
      <w:r>
        <w:rPr>
          <w:rFonts w:ascii="Arial" w:cs="Arial" w:eastAsia="Arial" w:hAnsi="Arial"/>
          <w:sz w:val="18"/>
          <w:szCs w:val="18"/>
          <w:color w:val="auto"/>
        </w:rPr>
        <w:t>are generic medicines that could have a complex active ingredient, complex formulation, complex route of delivery or</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drug device combinations. Viatris offers a number of these important medicines to patients, including our Wixela Inhub®, the first generic of ADVAIR DISKUS® and glatiramer acetate injection, a generic version of Copaxone®, for example.</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While we will continue to diligently pursue important generics opportunities, we will increasingly focus on limited-competition complex and novel products targeting gaps in care, all with a first-to-market emphasis and serving our mission of patient access. We believe complex products categories are critical to patient health and are growing at a rapid pace.</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APIs </w:t>
      </w:r>
      <w:r>
        <w:rPr>
          <w:rFonts w:ascii="Arial" w:cs="Arial" w:eastAsia="Arial" w:hAnsi="Arial"/>
          <w:sz w:val="18"/>
          <w:szCs w:val="18"/>
          <w:color w:val="auto"/>
        </w:rPr>
        <w:t>are responsible for the therapeutic effects of medicines. We are one of the world’s largest producers of APIs, providing them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100 countries. We are the leading producer of API used in generic ARVs, which treat HIV/AIDS. We also produce API for products in the following areas: antibacterial; central nervous system agents; antihistamines/antiasthmatics; cardiovascular, antivirals; antidiabetics; antifungals; and proton pump inhibitors. Our APIs are sold through a dedicated sales and marketing team primarily to pharmaceutical companies throughout the world. As discussed above, our API business is one of the assets we intend to divest. We expect to retain some selective development API capabilities and to continue to have access to adequate API supplies through our arrangements with other manufacturers. Viatris invests significant sums in R&amp;D and in manufacturing capacity.</w:t>
      </w:r>
    </w:p>
    <w:p>
      <w:pPr>
        <w:spacing w:after="0" w:line="2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also often incur substantial litigation expense as a result of defending or challenging brand patents or exclusivities, which is described further in Note 20 included in Part II. Item 8 of this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 Types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Viatris focuses its sales and marketing efforts on the people who make key decisions around pharmaceutical prescribing, dispensing or buying. Decision-makers vary by country or region, reflecting law and custom, giving rise to different types of pharmaceutical markets. Many countries feature a mix of or hybrids of various market types, though the Company may focus on just one type in a particular country.</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prescription</w:t>
      </w:r>
      <w:r>
        <w:rPr>
          <w:rFonts w:ascii="Arial" w:cs="Arial" w:eastAsia="Arial" w:hAnsi="Arial"/>
          <w:sz w:val="18"/>
          <w:szCs w:val="18"/>
          <w:color w:val="auto"/>
        </w:rPr>
        <w:t xml:space="preserve"> markets, physicians decide which medicines patients will take. Pharmacies then dispense the products as directed. Drug companies employ sales forces to educate doctors about the clinical benefits of their products. Representatives call on individual doctors or group practices; the process is known as detailing. Examples of countries served by Viatris that are mainly prescription markets are the U.S. brand business, Japan, China, Turkey, Poland and Mexico.</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substitution</w:t>
      </w:r>
      <w:r>
        <w:rPr>
          <w:rFonts w:ascii="Arial" w:cs="Arial" w:eastAsia="Arial" w:hAnsi="Arial"/>
          <w:sz w:val="18"/>
          <w:szCs w:val="18"/>
          <w:color w:val="auto"/>
        </w:rPr>
        <w:t xml:space="preserve"> markets, pharmacists generally are authorized (and in some cases required) by law to dispense an unbranded or branded generic, if available, in place of a brand-name medicine, or vice versa. Drug companies may use sales forces in these markets too, with representatives calling on and educating pharmacy personnel about their organization and products. Examples of countries served by Viatris that are mainly substitution markets are France, Italy, Spain, Portugal and Australia.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tender</w:t>
      </w:r>
      <w:r>
        <w:rPr>
          <w:rFonts w:ascii="Arial" w:cs="Arial" w:eastAsia="Arial" w:hAnsi="Arial"/>
          <w:sz w:val="17"/>
          <w:szCs w:val="17"/>
          <w:color w:val="auto"/>
        </w:rPr>
        <w:t xml:space="preserve"> markets, payers, such as governments or insurance companies, negotiate the lowest price for a drug (or group of drugs) on behalf of their constituents or members. In exchange, the chosen supplier’s product is placed on the payer’s formulary, or list of covered prescriptions. Often, a supplier’s drug is the only one available in an entire class of drugs. Large sales forces are not needed to reach these decision-makers. Examples of generic markets served by Viatris that are mainly tender markets are New Zealand, Sweden, South Africa, as well as Germany.</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distribution</w:t>
      </w:r>
      <w:r>
        <w:rPr>
          <w:rFonts w:ascii="Arial" w:cs="Arial" w:eastAsia="Arial" w:hAnsi="Arial"/>
          <w:sz w:val="18"/>
          <w:szCs w:val="18"/>
          <w:color w:val="auto"/>
        </w:rPr>
        <w:t xml:space="preserve"> markets, retailers and wholesalers make drug-purchasing decisions. Large sales forces are not needed to reach the decision-makers representing these organizations. Note, however, that pharmacists operating in distribution markets also may be authorized to make substitution decisions when dispensing medicines. Examples of countries served by Viatris that are mainly distribution markets are the U.S. generics business, the U.K. and Norway.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allocation of our sales and marketing resources reflects the characteristics of these different market types.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the case of OTC products, consumers are the decision-makers. OTC products are commonly sold via retail channels, such as pharmacies, drugstores and supermarkets. This makes their sale and marketing comparable to other retail businesses, with broad advertising and trade-channel promotion. Consumers often are loyal to well-known OTC brands. For this reason, suppliers of OTC products, Viatris included, must invest the time and resources needed to build strong OTC brand names. As disclosed previously, the OTC business is no longer considered core to our future strategy, and we plan to divest it.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Channel Types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Viatris’ products make their way to patients through a variety of intermediaries, or channels.</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Pharmaceutical wholesalers/distributors </w:t>
      </w:r>
      <w:r>
        <w:rPr>
          <w:rFonts w:ascii="Arial" w:cs="Arial" w:eastAsia="Arial" w:hAnsi="Arial"/>
          <w:sz w:val="17"/>
          <w:szCs w:val="17"/>
          <w:color w:val="auto"/>
        </w:rPr>
        <w:t>purchase prescription medicines and other medical products directly from manufacturers for storage in</w:t>
      </w:r>
      <w:r>
        <w:rPr>
          <w:rFonts w:ascii="Arial" w:cs="Arial" w:eastAsia="Arial" w:hAnsi="Arial"/>
          <w:sz w:val="17"/>
          <w:szCs w:val="17"/>
          <w:i w:val="1"/>
          <w:iCs w:val="1"/>
          <w:color w:val="auto"/>
        </w:rPr>
        <w:t xml:space="preserve"> </w:t>
      </w:r>
      <w:r>
        <w:rPr>
          <w:rFonts w:ascii="Arial" w:cs="Arial" w:eastAsia="Arial" w:hAnsi="Arial"/>
          <w:sz w:val="17"/>
          <w:szCs w:val="17"/>
          <w:color w:val="auto"/>
        </w:rPr>
        <w:t>warehouses and distribution centers. The distributors then fill orders placed by healthcare providers and other authorized buyers.</w:t>
      </w:r>
    </w:p>
    <w:p>
      <w:pPr>
        <w:spacing w:after="0" w:line="14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i w:val="1"/>
          <w:iCs w:val="1"/>
          <w:color w:val="auto"/>
        </w:rPr>
        <w:t xml:space="preserve">Pharmaceutical retailers </w:t>
      </w:r>
      <w:r>
        <w:rPr>
          <w:rFonts w:ascii="Arial" w:cs="Arial" w:eastAsia="Arial" w:hAnsi="Arial"/>
          <w:sz w:val="18"/>
          <w:szCs w:val="18"/>
          <w:color w:val="auto"/>
        </w:rPr>
        <w:t>purchase products directly from manufacturers or wholesalers/distributors. They then sell them to consumers in</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relatively small quantities for personal use.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Institutional pharmacies </w:t>
      </w:r>
      <w:r>
        <w:rPr>
          <w:rFonts w:ascii="Arial" w:cs="Arial" w:eastAsia="Arial" w:hAnsi="Arial"/>
          <w:sz w:val="18"/>
          <w:szCs w:val="18"/>
          <w:color w:val="auto"/>
        </w:rPr>
        <w:t>address the unique needs of hospitals, nursing homes and other such venues. Among the services provided are specialized</w:t>
      </w:r>
      <w:r>
        <w:rPr>
          <w:rFonts w:ascii="Arial" w:cs="Arial" w:eastAsia="Arial" w:hAnsi="Arial"/>
          <w:sz w:val="18"/>
          <w:szCs w:val="18"/>
          <w:i w:val="1"/>
          <w:iCs w:val="1"/>
          <w:color w:val="auto"/>
        </w:rPr>
        <w:t xml:space="preserve"> </w:t>
      </w:r>
      <w:r>
        <w:rPr>
          <w:rFonts w:ascii="Arial" w:cs="Arial" w:eastAsia="Arial" w:hAnsi="Arial"/>
          <w:sz w:val="18"/>
          <w:szCs w:val="18"/>
          <w:color w:val="auto"/>
        </w:rPr>
        <w:t>packaging, including for injectables and unit-dose products, for controlled administration.</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Mail-order and e-commerce pharmacies </w:t>
      </w:r>
      <w:r>
        <w:rPr>
          <w:rFonts w:ascii="Arial" w:cs="Arial" w:eastAsia="Arial" w:hAnsi="Arial"/>
          <w:sz w:val="18"/>
          <w:szCs w:val="18"/>
          <w:color w:val="auto"/>
        </w:rPr>
        <w:t>receive prescriptions by mail, fax, phone or the internet at a central location; process them in large,</w:t>
      </w:r>
      <w:r>
        <w:rPr>
          <w:rFonts w:ascii="Arial" w:cs="Arial" w:eastAsia="Arial" w:hAnsi="Arial"/>
          <w:sz w:val="18"/>
          <w:szCs w:val="18"/>
          <w:i w:val="1"/>
          <w:iCs w:val="1"/>
          <w:color w:val="auto"/>
        </w:rPr>
        <w:t xml:space="preserve"> </w:t>
      </w:r>
      <w:r>
        <w:rPr>
          <w:rFonts w:ascii="Arial" w:cs="Arial" w:eastAsia="Arial" w:hAnsi="Arial"/>
          <w:sz w:val="18"/>
          <w:szCs w:val="18"/>
          <w:color w:val="auto"/>
        </w:rPr>
        <w:t>mostly automated centers; and mail the drugs to the consumer.</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Specialty pharmacies </w:t>
      </w:r>
      <w:r>
        <w:rPr>
          <w:rFonts w:ascii="Arial" w:cs="Arial" w:eastAsia="Arial" w:hAnsi="Arial"/>
          <w:sz w:val="18"/>
          <w:szCs w:val="18"/>
          <w:color w:val="auto"/>
        </w:rPr>
        <w:t>focus on managing the handling and service requirements associated with high-cost and more-complex drug therapies,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those used to treat patients with rare or serious diseases.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including biosimilars prior to the Biocon Biologics Transaction,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Developed Markets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Developed Markets segment comprises our operations primarily in North America and Europe. The Company’s business in North America is driven mainly by our operations in the U.S., where we are one of the largest providers of prescription medicines. The U.S. pharmaceutical industry is very competitive, and the primary means of competition are innovation and development, timely FDA approval, manufacturing capabilities, product quality, marketing, portfolio size, customer service, reputation and price. We rely on cost-effective manufacturing processes to meet the rapidly changing needs of our customers around a reliable, high quality supply of generic pharmaceutical products. Europe, where many governments provide healthcare at a low direct cost to consumers and regulate pharmaceutical prices or patient reimbursement levels,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continues to be a highly competitive market, especially in terms of pricing, quality standards, service levels and product portfolio. Our leadership position in a number of countries provides us a platform to fulfill the needs of patients, physicians, pharmacies, customers and payors.</w:t>
      </w:r>
    </w:p>
    <w:p>
      <w:pPr>
        <w:spacing w:after="0" w:line="14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Significant products sold by the Developed Markets segment include Lyrica®, Lipitor®, Creon®, Influvac®, Wixela Inhub®, EpiPen® Auto-Injector, Fraxiparine®, and Yupelri®.</w:t>
      </w:r>
    </w:p>
    <w:p>
      <w:pPr>
        <w:spacing w:after="0" w:line="18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New product launches are an important growth driver. Important recent launches include SEMGLEE®, cyclosporine ophthalmic emulsion, and lenalidomide in the U.S.</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While our U.S. customer base is extensive, it increasingly comprises a small number of very large firms as the pharmaceutical industry has undergone and continues to undergo tremendous change and consolidation. We believe Viatris is well positioned to serve such customers in the Developed Markets due to the scale we have built in terms of R&amp;D, manufacturing, and portfolio breadth.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Greater China</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Greater China segment includes our operations in mainland China, Taiwan and Hong Kong. Since the closing of the Combination, the Viatris Greater China portfolio is predominantly branded LOE products.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China, the recent healthcare reform measures are aimed at controlling the overall healthcare costs, while providing better and broader care to the population. Healthcare spending is expected to increase in-line with GDP growth. The VBP policy for LOE molecules is now in its fourth year and includes more than 290 molecules. All major Viatris brands are included in the VBP molecule lists. We have re-balanced our business to expand our focus on the retail pharmacy and e-commerce channels while maintaining our presence in the hospital channel. Healthcare consumerism, increased spending power, and demand for premium medical products have generated strong growth in these new channels and partially absorbed the reductions seen in hospital channel due to VBP. Additional pricing and volume pressure for pharmaceutical products sold in the hospital channels is expected to continue during 2023 and could negatively impact our results of operations. For additional information, see “Risk Factors - </w:t>
      </w:r>
      <w:r>
        <w:rPr>
          <w:rFonts w:ascii="Arial" w:cs="Arial" w:eastAsia="Arial" w:hAnsi="Arial"/>
          <w:sz w:val="17"/>
          <w:szCs w:val="17"/>
          <w:i w:val="1"/>
          <w:iCs w:val="1"/>
          <w:color w:val="auto"/>
        </w:rPr>
        <w:t>We have and may continue to experience</w:t>
      </w:r>
      <w:r>
        <w:rPr>
          <w:rFonts w:ascii="Arial" w:cs="Arial" w:eastAsia="Arial" w:hAnsi="Arial"/>
          <w:sz w:val="17"/>
          <w:szCs w:val="17"/>
          <w:color w:val="auto"/>
        </w:rPr>
        <w:t xml:space="preserve"> </w:t>
      </w:r>
      <w:r>
        <w:rPr>
          <w:rFonts w:ascii="Arial" w:cs="Arial" w:eastAsia="Arial" w:hAnsi="Arial"/>
          <w:sz w:val="17"/>
          <w:szCs w:val="17"/>
          <w:i w:val="1"/>
          <w:iCs w:val="1"/>
          <w:color w:val="auto"/>
        </w:rPr>
        <w:t>pressure on the pricing of and reimbursements for certain of our products due to pricing controls, social or government pressure to lower the cost of drugs, and consolidation across the supply chain.</w:t>
      </w:r>
      <w:r>
        <w:rPr>
          <w:rFonts w:ascii="Arial" w:cs="Arial" w:eastAsia="Arial" w:hAnsi="Arial"/>
          <w:sz w:val="17"/>
          <w:szCs w:val="17"/>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products within the Greater China segment include Lipitor®, Norvasc®, and Viagra®.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JANZ</w:t>
      </w:r>
    </w:p>
    <w:p>
      <w:pPr>
        <w:spacing w:after="0" w:line="2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JANZ segment consists of our operations in Japan, Australia and New Zealand. In Japan, the NHI regulates the pricing of pharmaceutical products to healthcare providers. The Company sells products in Japan primarily through a network of wholesalers who then sell the products to doctors, hospitals and pharmacies. In Australia, the healthcare system is a mix of public and private healthcare sectors, with Medicare, Australia’s public healthcare system, covering most of the country’s medical costs. The Department of Health oversees healthcare governance, law, and policy while the various state and territory governments administer the system. Most prescription pharmaceutical products are subsidized under the pharmaceutical benefits scheme by the federal government. Pricing of reimbursed pharmaceutical products is regulated by the government and funded via the Medicare levy and through company and patient contributions. The Company sells products primarily through the wholesale system, while promoting its products to both physicians and pharmacists.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products within the JANZ segment include AMITIZA®, Lipacreon®, Lyrica®, Norvasc®, and Effexor®.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Markets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Emerging Markets segment encompasses our presence in more than 125 countries with developing markets and emerging economies including in Asia, Africa, Eastern Europe, Latin America and the Middle East as well as the Company’s ARV franchise. With healthcare at various stages of development across these markets, we believe we are positioned to not only leverage our large geographical footprint to maximize the similarities between these markets, but also tailor solutions to meet local need. There is demand in this segment for better healthcare to serve a growing population and economic expansion. Many countries in this segment are brand-conscious with generic penetration rates lower than developed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our products sold in the segment are Lipitor®, Lyrica®, Norvasc®, Celebrex®, and ARVs.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included in Part II. Item 8 of this Form 10-K for more information about our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Regulation by governmental authorities is a significant factor in the R&amp;D, manufacture, marketing, sales and distribution of pharmaceuticals. Our products are subject to robust developmental studies which include analytical determinations of strength, quality, purity as well as rigorous safety and efficacy determinations using preclinical, pharmacokinetic studies and clinical evaluations to gather data to support regulatory review and approval. This body of work results in extensive data and scientific information that is incorporated into a given product’s regulatory dossier. Manufacturing is conducted under exacting conditions governed by extensive regulation including strict in-process and finished pharmaceutical products specifications and controls. Post-approval activities, such as advertising and promotion, pharmacovigilance, post-marketing regulatory commitments, and pharmacopeial monographs, are subject to extensive regulation and controls as well.</w:t>
      </w:r>
    </w:p>
    <w:p>
      <w:pPr>
        <w:spacing w:after="0" w:line="20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lengthy process of developing products and obtaining required approvals and the continuing need for post-approval compliance with applicable statutes and regulations require the expenditure of substantial resources. Regulatory approval, if and when obtained, may be limited in scope. Further, approved drugs, as well as their manufacturers, are subject to ongoing post-marketing review and inspection, which can lead to the discovery of previously unknown attributes of the products or the manufacturing or quality control procedures used in their production, which may impact the marketing of the products or result in restrictions on their manufacture, sale or use or in their withdrawal from the market.</w:t>
      </w:r>
    </w:p>
    <w:p>
      <w:pPr>
        <w:spacing w:after="0" w:line="17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Any failure or delay by us, our suppliers of manufactured drug product, collaborators or licensees, in obtaining and maintaining regulatory approvals could adversely affect the marketing of our products and our ability to receive product revenue, license revenue or profit-sharing payments.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Regulatory Requirements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business is subject to a wide range of various other federal, state, non-governmental, and local agency rules and regulations. They focus on fraud and corruption, pricing and reimbursement, data privacy, and the environment, among many other considerations. For more information about certain of these regulations and the associated risks we face, see Part I. Item 1A. “Risk Factors”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Our R&amp;D organization, which includes developers and regulatory and clinical experts, work collaboratively across our different R&amp;D centers around the world, which include technology-focused development sites and global R&amp;D centers.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research, development and clinical platform, which includes regulatory activities, seeks to deliver new product opportunities across all of our categories and markets and to evaluate opportunities to expand the scope of our existing product portfolio with a focus on development activities. Our product pipeline includes a variety of dosage forms, including oral solid dosage forms, transdermals, injectables, inhalation, and other delivery systems. While committed to generics and specialty products, over the last several years, a greater portion of our investments has been focused on complex or difficult-to-formulate products, such as biosimilars and modified release injectables, rather than on commodity products, such as conventional oral solid dosage forms. For example, we are working on a number of programs including the potential to be first to market for our generics of Abilify Maintena®, Injectafer®, Invega Trinza®, Ozempic®, Sandostin® LAR Depot, Venofer® and Wegovy™. We are also working with our partners on novel and/or complex products such as our biosimilar to BOTOX® (onabotulinumtoxinA) and Glatiramer Acetate Depot, a long-acting injection version of the approved glatiramer acetate. As previously mentioned, to facilitate our future growth, we expect to expand our current scope of development into more innovative products, including NCEs and global 505(b)(2) products with a particular focus on three therapeutic areas: ophthalmology, gastrointestinal and dermatology and intend to increase our R&amp;D investment as well as inorganically grow via business development through our Global Healthcare Gateway®.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consider the protection of our intellectual property rights to be extremely valuable, and we act to protect them from infringement by third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an extensive trademark portfolio totaling more than 35,000 trademarks filed globally and routinely apply to register key brand-name, generic, branded generic, and trade names in numerous countries around the world. Our registered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trademarks are renewable indefinitely, and these registrations are properly maintained in accordance with the laws of the countries in which they are registered.</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We also have an extensive patent portfolio and actively file for patent protection in various countries to protect our brand-name, generic, branded generic, and OTC products, including processes for making and using them. We have more than 3,100 patents filed globally. For additional information, see Part I. Item 1A “Risk Factors - </w:t>
      </w:r>
      <w:r>
        <w:rPr>
          <w:rFonts w:ascii="Arial" w:cs="Arial" w:eastAsia="Arial" w:hAnsi="Arial"/>
          <w:sz w:val="18"/>
          <w:szCs w:val="18"/>
          <w:i w:val="1"/>
          <w:iCs w:val="1"/>
          <w:color w:val="auto"/>
        </w:rPr>
        <w:t>We rely on the effectiveness of our patents, confidentiality agreements and other measures to protect our 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rights</w:t>
      </w:r>
      <w:r>
        <w:rPr>
          <w:rFonts w:ascii="Arial" w:cs="Arial" w:eastAsia="Arial" w:hAnsi="Arial"/>
          <w:sz w:val="18"/>
          <w:szCs w:val="18"/>
          <w:color w:val="auto"/>
        </w:rPr>
        <w:t>” of this Form 10-K.</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Further, we have well-established safeguards in place to protect our proprietary know-how and trade secrets, both of which we consider extremely valuable to our intellectual property portfolio.</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look for intellectual property licensing opportunities to or from third parties, related not only to our existing products, but as a means for expanding our product portfolio.</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rely on the aforementioned types of intellectual property, as well as our copyrights, trade dress, regulatory exclusivities and contractual protections, to establish a broad scope of intellectual property rights for our product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people, our culture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approximately 37,000 diverse colleagues are fueled by a shared passion, purpose, and genuine care for the patients we serve.</w:t>
      </w:r>
    </w:p>
    <w:p>
      <w:pPr>
        <w:spacing w:after="0" w:line="266"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To us, that means empowering patients worldwide to live healthier at every stage of life. It also means empowering our colleagues to be the best they can be every day. This is our mindset as we build our performance-driven, highly engaging and inclusive culture: “The Viatris Way”. Since the launch of Viatris in November 2020, the Company believes it has taken great strides to create an employee experience and culture where colleagues are encouraged to reach their full potential. We have had several accomplishments that lay the foundation for the kind of company we want to be, including:</w:t>
      </w:r>
    </w:p>
    <w:p>
      <w:pPr>
        <w:spacing w:after="0" w:line="225" w:lineRule="exact"/>
        <w:rPr>
          <w:sz w:val="20"/>
          <w:szCs w:val="20"/>
          <w:color w:val="auto"/>
        </w:rPr>
      </w:pPr>
    </w:p>
    <w:p>
      <w:pPr>
        <w:ind w:left="660" w:right="8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recognized on the Forbes® 2022 World’s Best Employers list for the second year in a row, inclusion on lists such as Fortune's Change the World, Newsweek's America's Most Responsible Companies, Capital Magazine's Best Employers in France, a Great Place to Work® certification in India, HR Asia's Best Companies to Work for in Asia (Taiwan), and Top Employers Institute’s certification as one of the 101 top employers in China;</w:t>
      </w:r>
    </w:p>
    <w:p>
      <w:pPr>
        <w:spacing w:after="0" w:line="78" w:lineRule="exact"/>
        <w:rPr>
          <w:rFonts w:ascii="Arial" w:cs="Arial" w:eastAsia="Arial" w:hAnsi="Arial"/>
          <w:sz w:val="18"/>
          <w:szCs w:val="18"/>
          <w:color w:val="auto"/>
        </w:rPr>
      </w:pPr>
    </w:p>
    <w:p>
      <w:pPr>
        <w:ind w:left="660" w:right="22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2022, we conducted our first-ever Viatris Voice Survey with approximately 89% of our employees from around the world sharing their perspectives on: Engagement; Diversity, Equity &amp; Inclusion (“DE&amp;I”); Health &amp; Well-Being; and Transformation &amp; Change. The survey also marked a milestone in our commitment to creating our culture The Viatris Way: one that is performance-driven, highly engaging, and inclusive; and</w:t>
      </w:r>
    </w:p>
    <w:p>
      <w:pPr>
        <w:spacing w:after="0" w:line="7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Diverse perspectives drive innovation and our ability to make a difference in the world. We continue to progress on our commitment to DE&amp;I aiming to engage at least 90% of all colleagues globally in DE&amp;I foundational learning in 2023, and by forming our inaugural Employee Resource Groups (“ERGs”). We have four forming ERGs including: EmpoWer advocating for an ecosystem that empowers women to reach their full potential; VIVID supporting LGBTQ+ employees and allies; Black colleagues; and, Caregivers.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Talent, learning and development</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6"/>
          <w:szCs w:val="16"/>
          <w:color w:val="auto"/>
        </w:rPr>
        <w:t xml:space="preserve">Supporting our colleagues in their learning and development can make a difference in the lives of our patients around the world. We provide the tools and resources to help colleagues achieve their performance and development goals. We are committed to continuously anticipating, developing and acquiring new capabilities. We have an extensive learning and development portfolio of resources and programs and we are introducing new focused development programs and resources via our new </w:t>
      </w:r>
      <w:r>
        <w:rPr>
          <w:rFonts w:ascii="Arial" w:cs="Arial" w:eastAsia="Arial" w:hAnsi="Arial"/>
          <w:sz w:val="16"/>
          <w:szCs w:val="16"/>
          <w:i w:val="1"/>
          <w:iCs w:val="1"/>
          <w:color w:val="auto"/>
        </w:rPr>
        <w:t>Viatris Development Principles: Develop, Invest, Diversify, Innovate, Build and Achieve</w:t>
      </w:r>
      <w:r>
        <w:rPr>
          <w:rFonts w:ascii="Arial" w:cs="Arial" w:eastAsia="Arial" w:hAnsi="Arial"/>
          <w:sz w:val="16"/>
          <w:szCs w:val="16"/>
          <w:color w:val="auto"/>
        </w:rPr>
        <w: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 equity and inclusion</w:t>
      </w:r>
    </w:p>
    <w:p>
      <w:pPr>
        <w:spacing w:after="0" w:line="2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Understanding and embracing what makes individuals unique is essential to Viatris’ mission. The diversity we foster within our teams can be one of our greatest strengths in redefining healthcare not as it is, but as it should be. In 2022, we established initial goals in DE&amp;I in the areas of foundational learning, and increasing diversity in management for women,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Black and Hispanic/LatinX employees. We look forward to reporting out on our actions and progress going forward in our annual Sustainability Report.</w:t>
      </w:r>
    </w:p>
    <w:p>
      <w:pPr>
        <w:spacing w:after="0" w:line="27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Viatris strives to create a positive, productive work environment where integrity, dignity and mutual respect for all are valued. We are an equal opportunity employer and discrimination and harassment are strictly prohibited. Together, we are building a highly inclusive organization and our goal is to provide a safe, supportive community where employees feel they belong and can use their unique experiences, perspectives and skills to make a difference in the lives of others. Our ERGs bring colleagues together to listen and learn from each other and raise awareness to change our company and communities for the better, and our Viatris Voice Survey demonstrates positive results in colleague sentiment for engagement and DE&amp;I in addition to other areas of strength.</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Safety</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cultivate a culture of health and safety throughout our global workforce by ensuring that our colleagues and contractors are made aware of issues relevant to their work and providing them with the personal protective equipment and knowledge required to perform their jobs safely. Further, we work to ensure that our systems and processes are designed to identify and reduce health and safety risks or impacts on the communities in which we operate.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well-being and safety</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Viatris is also committed to providing a safe and healthy workplace for our employees, contractors and visitors. In addressing the COVID-19 pandemic and helping meet urgent global health needs, tens of thousands of dedicated Viatris employees across the world have worked to help ensure a stable supply of much needed treatments.</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Because protecting the health and safety of our workforce remains paramount, we continue to align with government directives and the advice of relevant international, national and local health authorities at every Viatris facility around the world. Many of our colleagues are working in manufacturing facilities, where we have continued to take extra precautions to protect our site personnel and operations. In 2021, we issued principles in support of hybrid-remote work to guide the development of local policies where possible. We offer a wide range of benefits and programs that are locally customized to meet the unique needs of employees, and regularly offer advice and support to our employees including providing resources that support well-being for our colleagues around the world.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 Reports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Viatris maintains a website at Viatris.com where you can find certain reports and associated amendments that the Company files with the SEC in accordance with the Exchange Act. These filings will include our annual reports on Form 10-K, quarterly reports on Form 10-Q, current reports on Form 8-K and any amendments to those reports.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make this information available on our website free of charge, as soon as reasonably practicable after we electronically file such material with, or furnish it to, the SEC. The contents of our website are not incorporated by reference in this Annual Report on Form 10-K and shall not be deemed “filed” under the Exchange Act.</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SEC also maintains a website (www.sec.gov) that contains reports, proxy and information statements, and other information regarding issuers that file electronically with the SEC.</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We operate in a complex and rapidly changing environment that involves risks, many of which are beyond our control. Our business, financial condition, results of operations, cash flows, ability to pay dividends, and/or stock price could be materially affected by any of these risks, if they occur, or by other factors not currently known to us, or not currently considered to be material. These risk factors should be read in conjunction with the other information in this Form 10-K, as well as our other filings with the SEC.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risk factors are organized into five categories: Strategic, Operational, Compliance, Finance and General.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229"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Below is a summary of some of the more significant risks and uncertainties we face. This summary is not exhaustive and is qualified by reference to the full set of risk factors set forth in Part I, Item 1A.</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Strategic Risks</w:t>
      </w:r>
    </w:p>
    <w:p>
      <w:pPr>
        <w:spacing w:after="0" w:line="11" w:lineRule="exact"/>
        <w:rPr>
          <w:rFonts w:ascii="Arial" w:cs="Arial" w:eastAsia="Arial" w:hAnsi="Arial"/>
          <w:sz w:val="18"/>
          <w:szCs w:val="18"/>
          <w:color w:val="auto"/>
        </w:rPr>
      </w:pPr>
    </w:p>
    <w:p>
      <w:pPr>
        <w:ind w:left="1300" w:right="160" w:hanging="320"/>
        <w:spacing w:after="0" w:line="241"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may not realize the intended benefits of, or achieve the intended goals or outlooks with respect to, our strategic initiatives, including divestitures, acquisitions or other potential transactions.</w:t>
      </w:r>
    </w:p>
    <w:p>
      <w:pPr>
        <w:spacing w:after="0" w:line="1" w:lineRule="exact"/>
        <w:rPr>
          <w:rFonts w:ascii="Arial" w:cs="Arial" w:eastAsia="Arial" w:hAnsi="Arial"/>
          <w:sz w:val="18"/>
          <w:szCs w:val="18"/>
          <w:color w:val="auto"/>
        </w:rPr>
      </w:pPr>
    </w:p>
    <w:p>
      <w:pPr>
        <w:ind w:left="1300" w:right="720" w:hanging="320"/>
        <w:spacing w:after="0" w:line="250"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integration of acquired businesses, as well as our global restructuring program have presented and may in the future present significant challenges.</w:t>
      </w:r>
    </w:p>
    <w:p>
      <w:pPr>
        <w:ind w:left="1300" w:right="60" w:hanging="320"/>
        <w:spacing w:after="0" w:line="265" w:lineRule="auto"/>
        <w:tabs>
          <w:tab w:leader="none" w:pos="129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There are risks and uncertainties associated with the sale of our biosimilars business, one or more of which could have a material adverse effect on our business, financial condition, results of operations, cash flows, ability to pay dividends or stock price.</w:t>
      </w:r>
    </w:p>
    <w:p>
      <w:pPr>
        <w:ind w:left="1300" w:right="620" w:hanging="320"/>
        <w:spacing w:after="0" w:line="265" w:lineRule="auto"/>
        <w:tabs>
          <w:tab w:leader="none" w:pos="1296" w:val="left"/>
        </w:tabs>
        <w:numPr>
          <w:ilvl w:val="1"/>
          <w:numId w:val="9"/>
        </w:numPr>
        <w:rPr>
          <w:rFonts w:ascii="Arial" w:cs="Arial" w:eastAsia="Arial" w:hAnsi="Arial"/>
          <w:sz w:val="17"/>
          <w:szCs w:val="17"/>
          <w:color w:val="auto"/>
        </w:rPr>
      </w:pPr>
      <w:r>
        <w:rPr>
          <w:rFonts w:ascii="Arial" w:cs="Arial" w:eastAsia="Arial" w:hAnsi="Arial"/>
          <w:sz w:val="17"/>
          <w:szCs w:val="17"/>
          <w:color w:val="auto"/>
        </w:rPr>
        <w:t>We have and may continue to experience pressure on the pricing of and reimbursements for certain of our products due to pricing controls, social or government pressure to lower the cost of drugs, and consolidation across the supply chain.</w:t>
      </w: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have significant operations globally, which exposes us to the risks inherent in conducting our business internationally.</w:t>
      </w:r>
    </w:p>
    <w:p>
      <w:pPr>
        <w:spacing w:after="0" w:line="9" w:lineRule="exact"/>
        <w:rPr>
          <w:rFonts w:ascii="Arial" w:cs="Arial" w:eastAsia="Arial" w:hAnsi="Arial"/>
          <w:sz w:val="18"/>
          <w:szCs w:val="18"/>
          <w:color w:val="auto"/>
        </w:rPr>
      </w:pPr>
    </w:p>
    <w:p>
      <w:pPr>
        <w:ind w:left="1300" w:right="540" w:hanging="320"/>
        <w:spacing w:after="0" w:line="250"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Charges to earnings resulting from acquisitions could have a material adverse effect on our business, financial condition, results of operations, cash flows, ability to pay dividends and/or stock price.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Operational Risks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Current and changing economic conditions, including inflation, may adversely affect our industry, business, partners and suppliers.</w:t>
      </w:r>
    </w:p>
    <w:p>
      <w:pPr>
        <w:spacing w:after="0" w:line="20" w:lineRule="exact"/>
        <w:rPr>
          <w:rFonts w:ascii="Arial" w:cs="Arial" w:eastAsia="Arial" w:hAnsi="Arial"/>
          <w:sz w:val="17"/>
          <w:szCs w:val="17"/>
          <w:color w:val="auto"/>
        </w:rPr>
      </w:pPr>
    </w:p>
    <w:p>
      <w:pPr>
        <w:ind w:left="1300" w:right="280" w:hanging="320"/>
        <w:spacing w:after="0" w:line="250"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pharmaceutical industry is heavily regulated, and we face significant costs and uncertainties associated with our efforts to comply with applicable laws and regulations.</w:t>
      </w:r>
    </w:p>
    <w:p>
      <w:pPr>
        <w:ind w:left="1300" w:right="120" w:hanging="320"/>
        <w:spacing w:after="0" w:line="250"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spacing w:after="0" w:line="1" w:lineRule="exact"/>
        <w:rPr>
          <w:rFonts w:ascii="Arial" w:cs="Arial" w:eastAsia="Arial" w:hAnsi="Arial"/>
          <w:sz w:val="18"/>
          <w:szCs w:val="18"/>
          <w:color w:val="auto"/>
        </w:rPr>
      </w:pPr>
    </w:p>
    <w:p>
      <w:pPr>
        <w:ind w:left="1300" w:right="600" w:hanging="320"/>
        <w:spacing w:after="0" w:line="250"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we are unable to successfully introduce new products in a timely manner, our future revenue and profitability may be adversely affected.</w:t>
      </w: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expend a significant amount of resources on R&amp;D efforts that may not lead to successful product introductions.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Even if our products in development receive regulatory approval, such products may not achieve expected levels of market acceptance.</w:t>
      </w:r>
    </w:p>
    <w:p>
      <w:pPr>
        <w:spacing w:after="0" w:line="32" w:lineRule="exact"/>
        <w:rPr>
          <w:rFonts w:ascii="Arial" w:cs="Arial" w:eastAsia="Arial" w:hAnsi="Arial"/>
          <w:sz w:val="16"/>
          <w:szCs w:val="16"/>
          <w:color w:val="auto"/>
        </w:rPr>
      </w:pPr>
    </w:p>
    <w:p>
      <w:pPr>
        <w:jc w:val="both"/>
        <w:ind w:left="1300" w:hanging="320"/>
        <w:spacing w:after="0" w:line="250"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spacing w:after="0" w:line="1" w:lineRule="exact"/>
        <w:rPr>
          <w:rFonts w:ascii="Arial" w:cs="Arial" w:eastAsia="Arial" w:hAnsi="Arial"/>
          <w:sz w:val="18"/>
          <w:szCs w:val="18"/>
          <w:color w:val="auto"/>
        </w:rPr>
      </w:pPr>
    </w:p>
    <w:p>
      <w:pPr>
        <w:ind w:left="1300" w:right="500" w:hanging="320"/>
        <w:spacing w:after="0" w:line="254"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have a limited number of manufacturing facilities and certain third-party suppliers produce a substantial portion of our API and products, some of which require a highly exacting and complex manufacturing process.</w:t>
      </w:r>
    </w:p>
    <w:p>
      <w:pPr>
        <w:ind w:left="1300" w:hanging="320"/>
        <w:spacing w:after="0"/>
        <w:tabs>
          <w:tab w:leader="none" w:pos="1300" w:val="left"/>
        </w:tabs>
        <w:numPr>
          <w:ilvl w:val="1"/>
          <w:numId w:val="9"/>
        </w:numPr>
        <w:rPr>
          <w:rFonts w:ascii="Arial" w:cs="Arial" w:eastAsia="Arial" w:hAnsi="Arial"/>
          <w:sz w:val="22"/>
          <w:szCs w:val="22"/>
          <w:color w:val="auto"/>
        </w:rPr>
      </w:pPr>
      <w:r>
        <w:rPr>
          <w:rFonts w:ascii="Arial" w:cs="Arial" w:eastAsia="Arial" w:hAnsi="Arial"/>
          <w:sz w:val="18"/>
          <w:szCs w:val="18"/>
          <w:color w:val="auto"/>
        </w:rPr>
        <w:t>Our future success is highly dependent on our ability to attract, motivate and retain key personnel.</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Compliance Risks</w:t>
      </w:r>
    </w:p>
    <w:p>
      <w:pPr>
        <w:spacing w:after="0" w:line="20" w:lineRule="exact"/>
        <w:rPr>
          <w:rFonts w:ascii="Arial" w:cs="Arial" w:eastAsia="Arial" w:hAnsi="Arial"/>
          <w:sz w:val="18"/>
          <w:szCs w:val="18"/>
          <w:color w:val="auto"/>
        </w:rPr>
      </w:pPr>
    </w:p>
    <w:p>
      <w:pPr>
        <w:ind w:left="1300" w:right="20" w:hanging="320"/>
        <w:spacing w:after="0" w:line="232"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18"/>
          <w:szCs w:val="18"/>
          <w:color w:val="auto"/>
        </w:rPr>
        <w:t>We are subject to the U.S. Foreign Corrupt Practices Act, the U.K. Bribery Act, Chinese anti-corruption laws and similar worldwide anti-corruption laws, which impose restrictions on certain conduct and may carry substantial fines and penalties.</w:t>
      </w:r>
    </w:p>
    <w:p>
      <w:pPr>
        <w:spacing w:after="0" w:line="1" w:lineRule="exact"/>
        <w:rPr>
          <w:rFonts w:ascii="Arial" w:cs="Arial" w:eastAsia="Arial" w:hAnsi="Arial"/>
          <w:sz w:val="22"/>
          <w:szCs w:val="22"/>
          <w:color w:val="auto"/>
        </w:rPr>
      </w:pPr>
    </w:p>
    <w:p>
      <w:pPr>
        <w:jc w:val="both"/>
        <w:ind w:left="1300" w:hanging="320"/>
        <w:spacing w:after="0" w:line="239" w:lineRule="auto"/>
        <w:tabs>
          <w:tab w:leader="none" w:pos="1323"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ind w:left="1300" w:hanging="320"/>
        <w:spacing w:after="0" w:line="249" w:lineRule="auto"/>
        <w:tabs>
          <w:tab w:leader="none" w:pos="1323"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are involved in various legal proceedings and certain government inquiries and may experience unfavorable outcomes of such proceedings or inquiries.</w:t>
      </w: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We are increasingly dependent on IT and our systems and infrastructure face certain risks, including cybersecurity and data leakage risks.</w:t>
      </w:r>
    </w:p>
    <w:p>
      <w:pPr>
        <w:spacing w:after="0" w:line="32" w:lineRule="exact"/>
        <w:rPr>
          <w:rFonts w:ascii="Arial" w:cs="Arial" w:eastAsia="Arial" w:hAnsi="Arial"/>
          <w:sz w:val="16"/>
          <w:szCs w:val="16"/>
          <w:color w:val="auto"/>
        </w:rPr>
      </w:pPr>
    </w:p>
    <w:p>
      <w:pPr>
        <w:ind w:left="660" w:hanging="328"/>
        <w:spacing w:after="0" w:line="23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Finance Risks</w:t>
      </w: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There can be no guarantee that we will continue to pay dividends or repurchase shares under our stock buyback program.</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300" w:hanging="320"/>
        <w:spacing w:after="0" w:line="262" w:lineRule="auto"/>
        <w:tabs>
          <w:tab w:leader="none" w:pos="13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maintain competitive financial flexibility and our corporate tax rate which could adversely affect us and our shareholders.</w:t>
      </w:r>
    </w:p>
    <w:p>
      <w:pPr>
        <w:spacing w:after="0" w:line="20" w:lineRule="exact"/>
        <w:rPr>
          <w:rFonts w:ascii="Arial" w:cs="Arial" w:eastAsia="Arial" w:hAnsi="Arial"/>
          <w:sz w:val="18"/>
          <w:szCs w:val="18"/>
          <w:color w:val="auto"/>
        </w:rPr>
      </w:pPr>
    </w:p>
    <w:p>
      <w:pPr>
        <w:ind w:left="1300" w:right="280" w:hanging="320"/>
        <w:spacing w:after="0" w:line="254" w:lineRule="auto"/>
        <w:tabs>
          <w:tab w:leader="none" w:pos="1296" w:val="left"/>
        </w:tabs>
        <w:numPr>
          <w:ilvl w:val="0"/>
          <w:numId w:val="10"/>
        </w:numPr>
        <w:rPr>
          <w:rFonts w:ascii="Arial" w:cs="Arial" w:eastAsia="Arial" w:hAnsi="Arial"/>
          <w:sz w:val="21"/>
          <w:szCs w:val="21"/>
          <w:color w:val="auto"/>
        </w:rPr>
      </w:pPr>
      <w:r>
        <w:rPr>
          <w:rFonts w:ascii="Arial" w:cs="Arial" w:eastAsia="Arial" w:hAnsi="Arial"/>
          <w:sz w:val="17"/>
          <w:szCs w:val="17"/>
          <w:color w:val="auto"/>
        </w:rPr>
        <w:t>Currency fluctuations and changes in exchange rates have impacted and could continue to adversely affect our business, financial condition, results of operations, cash flows, ability to pay dividends and/or stock price. 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spacing w:after="0" w:line="2" w:lineRule="exact"/>
        <w:rPr>
          <w:rFonts w:ascii="Arial" w:cs="Arial" w:eastAsia="Arial" w:hAnsi="Arial"/>
          <w:sz w:val="21"/>
          <w:szCs w:val="21"/>
          <w:color w:val="auto"/>
        </w:rPr>
      </w:pPr>
    </w:p>
    <w:p>
      <w:pPr>
        <w:jc w:val="both"/>
        <w:ind w:left="1300" w:hanging="320"/>
        <w:spacing w:after="0" w:line="250" w:lineRule="auto"/>
        <w:tabs>
          <w:tab w:leader="none" w:pos="13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Viatris has suffered and in the future could suffer additional losses due to impairment charges.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Risks</w:t>
      </w:r>
    </w:p>
    <w:p>
      <w:pPr>
        <w:spacing w:after="0" w:line="25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may not realize the intended benefits of, or achieve the intended goals or outlooks with respect to, our strategic initiatives, including divestitures, acquisitions or other potential transactions.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Viatris has announced various strategic initiatives, transactions and business arrangements, including our two-phased strategic vision. In Phase 1 of this strategy, we have been focused on reducing debt, maintaining an investment grade credit rating and returning capital to shareholders. In preparation for the second phase, the Company has completed certain transactions, including the Biocon Biologics Transaction, and has announced plans for certain other strategic actions, such as its intent to divest certain businesses no longer considered to be core to its future strategy, including OTC, women’s health care (primarily related to our oral and injectable contraceptives), API (while retaining some selective API capabilities) and Upjohn Distributor Markets. The Company anticipates a period of renewed growth and leadership in this second phase as it intends to move up the value chain by focusing on more complex and innovative products to build a more durable higher margin portfolio.</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Implementing these and other strategic initiatives has included and may in the future include divestitures, acquisitions, asset purchases, partnerships, collaborations, joint ventures, product rationalization and other investments. These transactions and arrangements have been and may in the future be material both from a strategic and financial perspective. These initiatives, whether we are able to complete them or not, have been and may continue to be complex, time-consuming or expensive, may divert managements’ attention, and expose us to operational ineffectiveness. We may miscalculate the risks associated with our strategic initiatives at the time they are made or not have the resources or ability to access all the relevant information to evaluate them properly, including with regard to the potential of R&amp;D pipelines, manufacturing issues, compliance issues, or the outcome of</w:t>
      </w:r>
    </w:p>
    <w:p>
      <w:pPr>
        <w:jc w:val="both"/>
        <w:spacing w:after="0" w:line="243" w:lineRule="auto"/>
        <w:rPr>
          <w:sz w:val="20"/>
          <w:szCs w:val="20"/>
          <w:color w:val="auto"/>
        </w:rPr>
      </w:pPr>
      <w:r>
        <w:rPr>
          <w:rFonts w:ascii="Arial" w:cs="Arial" w:eastAsia="Arial" w:hAnsi="Arial"/>
          <w:sz w:val="18"/>
          <w:szCs w:val="18"/>
          <w:color w:val="auto"/>
        </w:rPr>
        <w:t>ongoing legal and other proceedings. More complex products are more difficult, costly and time-consuming to develop, receive regulatory approval for and bring to market. There can be no assurance that we will be able to achieve all of our intended goals or outlooks with respect to such strategies within the anticipated timeframes or at all, fully realize the expected benefits of any such transactions or arrangements, or successfully manage base business erosion or grow in future periods.</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Divestitures, product rationalizations or asset sales have resulted and could continue to result in asset impairments or decreased revenues and cash flows, or reduce the size or scope of our business, our market share in particular markets or our opportunities and ability to compete with respect to certain markets, therapeutic areas or products. We may not be successful in separating underperforming or non-core assets, which could negatively impact our ongoing operations, future earnings and future goals and outlooks. Certain divestitures also have resulted and may in the future result in continued financial exposure to the divested assets or businesses, such as through guarantees, or other financial arrangements, continued supply and services arrangements, continued provision of corporate functions to the divested business, stranded costs, or potential litigation. In addition, we may not be able to obtain the required regulatory approvals for a planned divestiture, or may be unable to dispose of businesses that we intend to divest on satisfactory or commercially reasonable terms or within our anticipated timeline, in part because of competition from other companies in pursuing similar transactions in the pharmaceutical industry. We may also not be able to realize the anticipated benefits from such transactions, such as realizing the anticipated proceeds, deploying the proceeds to pay down our outstanding indebtedness and/or fund other important initiatives, and maintaining employee morale and retaining key management and other employees to provide the transition services and to operate our retained business.</w:t>
      </w:r>
    </w:p>
    <w:p>
      <w:pPr>
        <w:spacing w:after="0" w:line="19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have also entered into strategic alliances with partners, including through our Global Healthcare Gateway®, to develop, manufacture, market and/or distribute certain products, and/or certain components of our products, in various markets. We have entered into and may in the future enter into agreements with our collaboration partners that provide for certain services, as well as cross manufacturing, development and licensing arrangements. We commit substantial effort, funds and other resources to these various alliances and collaborations. There is a risk that the investments made by us in these alliances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and collaborative arrangements will not generate financial returns. While we believe our relationships with our partners generally are successful, disputes or conflicting priorities and regulatory or legal intervention could be a source of delay or uncertainty as to the expected benefits of the obligations.</w:t>
      </w:r>
    </w:p>
    <w:p>
      <w:pPr>
        <w:spacing w:after="0" w:line="1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overall execution of our strategic initiatives may result in material unanticipated problems, expenses, liabilities, competitive responses, operational inefficiencies, adverse tax consequences, impairment or restructuring charges, loss of customer relationships, difficulty attracting and retaining qualified employees, and diversion of management’s and/or employee’s attention, among other potential adverse consequences. In addition, we may have to terminate a strategic alliance, agreement or arrangement, or our partners may be unable to fulfill their collaboration.</w:t>
      </w:r>
    </w:p>
    <w:p>
      <w:pPr>
        <w:spacing w:after="0" w:line="21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Any of the risks described above could have a material adverse effect on our reputation, business, financial condition, results of operations, cash flows, ability to pay dividends and/or stock price.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integration of acquired businesses, as well as our global restructuring program, have presented and may in the future present significant challenges.</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combination of two or more independent businesses, including, for example, the Combination and our recent acquisitions of Oyster Point and Famy Life Sciences, is a complex, costly and time-consuming process and there is a significant degree of difficulty inherent in the integration process. These difficulties may include:</w:t>
      </w:r>
    </w:p>
    <w:p>
      <w:pPr>
        <w:spacing w:after="0" w:line="21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diversion of management’s attention from the ongoing operations of Viatris to integration and restructuring matters;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challenge of integrating the employees and business cultures;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retaining existing customers and suppliers, or obtaining new customers and suppliers;</w:t>
      </w:r>
    </w:p>
    <w:p>
      <w:pPr>
        <w:spacing w:after="0" w:line="1"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risks associated with managing a larger and more complex company;</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loss of institutional knowledge;</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challenge and cost of integrating manufacturing, logistics, information technology, communications and other systems;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potential difficulty retaining key personnel and other employees;</w:t>
      </w:r>
    </w:p>
    <w:p>
      <w:pPr>
        <w:spacing w:after="0" w:line="4" w:lineRule="exact"/>
        <w:rPr>
          <w:rFonts w:ascii="Arial" w:cs="Arial" w:eastAsia="Arial" w:hAnsi="Arial"/>
          <w:sz w:val="20"/>
          <w:szCs w:val="20"/>
          <w:color w:val="auto"/>
        </w:rPr>
      </w:pPr>
    </w:p>
    <w:p>
      <w:pPr>
        <w:ind w:left="660" w:hanging="328"/>
        <w:spacing w:after="0" w:line="242"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challenges in reducing reliance on transition services, including difficulties in hiring employees or finding suitable replacements, prior to the expiration of any period in which such services are provided; and</w:t>
      </w:r>
    </w:p>
    <w:p>
      <w:pPr>
        <w:ind w:left="640" w:hanging="308"/>
        <w:spacing w:after="0" w:line="22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reducing costs associated with transition services, including managing the amount for replacement costs.</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7"/>
          <w:szCs w:val="17"/>
          <w:color w:val="auto"/>
        </w:rPr>
        <w:t>Viatris has also undertaken a significant global restructuring program in order to achieve specified synergies and ensure the Company is optimally structured and efficiently resourced to deliver sustainable value to patients, shareholders, customers, and other stakeholders. The process of integrating operations and implementing restructuring initiatives could cause an interruption of, or loss of momentum in, the activities of one or more of Viatris’ businesses. These integration and restructuring processes are ongoing and members of Viatris’ senior management are required to devote considerable amounts of time to these processes, which could decrease the time they have to manage and service Viatris’ businesses, and develop new products or strategies. Even if the integration and global restructuring program are successful, we may not achieve anticipated synergies, growth opportunities and other financial and operating benefits within the timeline we anticipate, or at all.</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Any quantification of synergies expected to result from a transaction or restructuring activities is based on significant estimates and assumptions that are subjective in nature and inherently uncertain. Realization of any benefits and synergies from acquired businesses or our global restructuring program could be affected by a number of factors beyond our control, including, without limitation, general economic conditions, increased operating costs, regulatory developments, and the other risks described in these risk factors. In addition, our ability to achieve our synergy targets depends in large part on the successful implementation of the initiatives under our global restructuring program, which may not achieve their intended goals. The amount of synergies actually realized, if any, and the time periods in which any such synergies are realized, could differ materially from our current expectations and estimates. In addition, if key personnel and other employees depart because of issues relating to the uncertainty and difficulty of integration or restructuring activities, Viatris may not realize the anticipated benefits of these activities. If integration activities or our global restructuring program are unsuccessful, if the estimated costs are higher than anticipated, or if we are unable to realize the anticipated synergies and other benefits, there could be a material adverse effect on Viatris’ business, financial condition, results of operations, cash flows, ability to pay dividends and/or stock price.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are risks and uncertainties associated with the sale of our biosimilars business, one or more of which could have a material adverse effect on our business, financial condition, results of operations, cash flows, ability to pay dividends or stock price.</w:t>
      </w:r>
    </w:p>
    <w:p>
      <w:pPr>
        <w:spacing w:after="0" w:line="17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connection with the closing of the transaction with Biocon Biologics, we entered into a transition services agreement pursuant to which we will provide services to Biocon Biologics, including commercialization services substantially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same as we historically provided to our biosimilar business. Our obligations under the transition services agreement may result in additional expenses that are borne by us during and after the exit from the transition services agreement, may create stranded costs, or may divert our focus and resources that would otherwise be invested into maintaining or growing our retained business. If Biocon Biologics is not prepared to operate the business independently at the end of the negotiated transition period, we may need to provide transition services for a longer than anticipated period of time, which would increase these risks. Furthermore, a significant portion of the consideration that we received in the Biocon Biologics Transaction is in the form of equity in Biocon Biologics, which is currently a privately held Indian company. Although we have negotiated certain “downside” protection regarding the value of that equity in the Biocon Agreement and related documents, such protection does not guarantee any particular liquidity event or our ability to monetize our equity and, even if we are able to successfully liquidate our equity, the downside protection may be inadequate to guarantee a minimum return that we or investors expect. In addition, we believe the success of the Biocon Biologics business will be highly dependent upon the successful transition of the business to Biocon Biologics, including no major disruption in services provided under the transition services agreement. If this transition is not successful, it would have a significant impact on the value of the equity we will own in Biocon Biologics and could negatively impact our business or financial condition. Because our former biosimilars business was commingled with Viatris’ other businesses, the financial information for the biosimilars business is being carved-out of Viatris’ financial and other systems, and will impact the reporting of our results of operations, financial condition, and cash flows. This process increases the risk of errors in the presentation of our financial results in conformity with U.S. GAAP.</w:t>
      </w:r>
    </w:p>
    <w:p>
      <w:pPr>
        <w:spacing w:after="0" w:line="19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also agreed to indemnify Biocon Biologics and certain of its representatives against certain losses suffered as a result of certain breaches of our representations, warranties, covenants and agreements in the Biocon Agreement and related documents. Any event that results in a right for Biocon Biologics to seek indemnity from us could result in substantial liability to us and could adversely affect our financial position and results of operations.</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Any of the risks described above could have a material adverse effect on our business, financial condition, results of operations, cash flows, ability to pay dividends and/or stock price.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and may continue to experience pressure on the pricing of and reimbursements for certain of our products due to pricing controls, social or government pressure to lower the cost of drugs, and consolidation across the supply chain.</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We operate in a challenging environment, with significant pressures on the pricing of our products and on our ability to obtain and maintain satisfactory rates of reimbursement for our products by governments, insurers and other payors. We face numerous cost-containment measures by governments and other payors, including certain government-imposed industry-wide price reductions, mandatory rebates or pricing, international reference pricing (i.e., the practice of a country linking its regulated medicine prices to those of other countries), VBP, tender systems, shifting of the payment burden to patients through higher co-payments, and requirements for increased transparency on pricing, all of which may have an adverse impact on the pricing of our products. In addition, rising rates of inflation have increase and may continue to increase pressure on governments, insurers and other payors to implement additional cost containment measures.</w:t>
      </w:r>
    </w:p>
    <w:p>
      <w:pPr>
        <w:spacing w:after="0" w:line="20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Many markets in which we operate have implemented or may implement tender systems for generic pharmaceuticals in an effort to lower prices. Under such tender systems, manufacturers submit bids which establish prices for generic pharmaceutical products. Upon winning the tender, the winning company will receive a preferential reimbursement for a period of time. If our bids do not win, we may not be able to participate in the given market or may lose out on market share. In addition, if customers to whom we supply API do not win their tender bids, the amount of API that we sell to them may be reduced. While criteria other than price can be included in tenders, tender systems often select the lowest bid, which often results in companies underbidding one another by proposing low pricing in order to win the tender. Other markets may also consider the implementation of a tender system, and even if a tender system or other price controls are ultimately not implemented, the anticipation of such could result in price reductions.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EU, U.K.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cross-border trade. In addition to the impacts of these government-sponsored healthcare systems, in the EU, U.K. and other international markets, certain governmental agencies have or are considering enacting further measures to decrease the costs of providing healthcare, including government mandated price reductions and/or other forms of price controls, including retrospective “clawback” price reductions.</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China, pricing pressures have increased in recent years, and the Chinese government has also increased its focus on patient access and reimbursement for pharmaceutical medicines. For example, in 2013, China began to implement a QCE process for post-LOE products to improve the quality of domestically manufactured generic drugs, primarily by requiring such</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drugs to pass a test to assess their bioequivalence to a qualified reference drug (typically the originator drug).In addition, since 2018, China's National Healthcare Security Administration, in conjunction with relevant departments, has been promoting a centralized VBP policy for drugs, which has become standard practice and subjects many drugs to a competitive bidding process. Molecules subject to the VBP bidding process have seen significant price cuts, with some bidders reducing the price of their products by as much as 96% as they attempt to secure volumes on the Chinese pharmaceutical market. We expect pricing pressures on our products included in the VBP bidding process to continue to increase as a result of this policy. We have failed, and may continue to fail, to win bids due to various factors, including uncompetitive bidding prices. In addition, the URP policy will cap reimbursement of molecules at their VBP tender winning price. URP will create additional pricing and volume pressure for pharmaceutical products that are subject to the program and is expected to negatively impact our results of operations.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Demand for our products also depends in part on the extent to which reimbursements are available. In the U.S., third-party payors increasingly challenge the pricing of pharmaceutical products. These trends and other trends toward managed healthcare, the vertical consolidation among insurers, PBMs and pharmacies, and legislative healthcare reform create significant uncertainties regarding the future levels of payment, price or reimbursement for pharmaceutical products. Further, any payment, price or reimbursement may be reduced in the future to the point that market demand for our products and/or our profitability declines. Changes to Medicare and/or state Medicaid programs, or changes required in the way in which Medicare payment rates are set, the design of the Medicare Part D and Part B benefits, and/or the way Medicare or Medicaid rebates are calculated, could adversely affect the payment we receive for our products. In order to control expenditures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has also been increasing U.S. federal and state legislative and enforcement interest with respect to drug pricing, as well as from international organizations like the United Nations, WHO and Organization for Economic Cooperation and Development, in addition to intense publicity and scrutiny regarding such matters, including publicity and pressure resulting from prices charged by competitors and peer companies for new products as well as price increases by competitors and peer companies on older products that some have deemed excessive.</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7"/>
          <w:szCs w:val="17"/>
          <w:color w:val="auto"/>
        </w:rPr>
        <w:t>In addition, there have been executive orders, legislation, and legislative and regulatory proposals, including in connection with government programs such as Medicare, concerning drug prices and related issues, including the perceived need to bring more transparency to drug pricing, reviewing the relationship between pricing and manufacturer patient programs, and reforming government program reimbursement methodologies for drugs. Some states have also signed into law programs that compel manufacturers to provide certain medicines at free or reduced costs to certain patients, and additional states are exploring such programs. Although we expect to see continued focus in regulating pricing, we cannot predict what, if any, additional legislative or regulatory developments may transpire at the state or country level, or what the ultimate impact may be.</w:t>
      </w:r>
    </w:p>
    <w:p>
      <w:pPr>
        <w:spacing w:after="0" w:line="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the U.S., certain of these pressures are further compounded by increasing consolidation among wholesalers, retailer drug chains, PBMs, private insurers, managed care organizations and other private payors, which can increase their negotiating power. Please also refer to “</w:t>
      </w:r>
      <w:r>
        <w:rPr>
          <w:rFonts w:ascii="Arial" w:cs="Arial" w:eastAsia="Arial" w:hAnsi="Arial"/>
          <w:sz w:val="16"/>
          <w:szCs w:val="16"/>
          <w:i w:val="1"/>
          <w:iCs w:val="1"/>
          <w:color w:val="auto"/>
        </w:rPr>
        <w:t>A significant portion of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is derived from sales to a limited number of customers.”</w:t>
      </w:r>
    </w:p>
    <w:p>
      <w:pPr>
        <w:spacing w:after="0" w:line="19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The numerous cost-containment measures by governments and other payors, failing to win tenders, the implementation of price control systems, adverse legislation and regulation, the consolidation of our customers, or continued social or government pressure to lower the cost of pharmaceutical products could have a material adverse impact on our business, reputation, financial condition, results of operations, cash flows, ability to pay dividends and/or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legislation could have a material adverse effect on our business.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recent years, there have been numerous initiatives on the federal and state levels for comprehensive reforms affecting the payment for, the availability of and reimbursement for, healthcare services in the U.S., and it is likely that Congress and state legislatures and health agencies will continue to focus on healthcare reform in the future.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2022, President Biden signed into law the Inflation Reduction Act, which includes numerous Medicare reforms that will affect reimbursement for certain pharmaceuticals covered by Medicare and modify the Part D and Part B program structure, including shifting the liability for certain prescription drug costs shared between Medicare, pharmaceutical manufacturers, and Part D plans. These reforms include government price negotiation for certain high-spend, single-source Medicare drugs, out-of-pocket caps for Medicare beneficiaries using insulin products, and the application of inflation-based rebates for certain Medicare drugs.</w:t>
      </w:r>
    </w:p>
    <w:p>
      <w:pPr>
        <w:spacing w:after="0" w:line="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unable to predict the future course of federal or state healthcare legislation or reform or the outcome of challenges to such laws or reforms once passed. Significant additional reforms to the U.S. healthcare system, including changes to the ACA, Medicare and Medicaid, or changes to other laws or regulatory frameworks in other markets in which we operate,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that reduce our revenues or increase our costs could have a material adverse effect on our business, financial condition, results of operations, cash flows, ability to pay dividends and/or stock price.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operations globally, which exposes us to the risks inherent in conducting our business internationally.</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operations extend to numerous countries globally and therefore are subject to the risks inherent in this geographic scope. These risks include, but are not limited to:</w:t>
      </w:r>
    </w:p>
    <w:p>
      <w:pPr>
        <w:spacing w:after="0" w:line="15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impact of the COVID-19 pandemic;</w:t>
      </w:r>
    </w:p>
    <w:p>
      <w:pPr>
        <w:spacing w:after="0" w:line="23" w:lineRule="exact"/>
        <w:rPr>
          <w:rFonts w:ascii="Arial" w:cs="Arial" w:eastAsia="Arial" w:hAnsi="Arial"/>
          <w:sz w:val="18"/>
          <w:szCs w:val="18"/>
          <w:color w:val="auto"/>
        </w:rPr>
      </w:pPr>
    </w:p>
    <w:p>
      <w:pPr>
        <w:ind w:left="660" w:hanging="328"/>
        <w:spacing w:after="0" w:line="250" w:lineRule="auto"/>
        <w:tabs>
          <w:tab w:leader="none" w:pos="648" w:val="left"/>
        </w:tabs>
        <w:numPr>
          <w:ilvl w:val="0"/>
          <w:numId w:val="12"/>
        </w:numPr>
        <w:rPr>
          <w:rFonts w:ascii="Arial" w:cs="Arial" w:eastAsia="Arial" w:hAnsi="Arial"/>
          <w:sz w:val="19"/>
          <w:szCs w:val="19"/>
          <w:color w:val="auto"/>
        </w:rPr>
      </w:pPr>
      <w:r>
        <w:rPr>
          <w:rFonts w:ascii="Arial" w:cs="Arial" w:eastAsia="Arial" w:hAnsi="Arial"/>
          <w:sz w:val="17"/>
          <w:szCs w:val="17"/>
          <w:color w:val="auto"/>
        </w:rPr>
        <w:t>compliance with the national and local laws, regulations and customs of countries in which we do business, including, but not limited to, data privacy and protection, environmental and social regulations, import/export and enforcement of intellectual property protections;</w:t>
      </w:r>
    </w:p>
    <w:p>
      <w:pPr>
        <w:ind w:left="66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less established legal and regulatory regimes in certain jurisdictions, including China, where the interpretation and enforcement of laws, rules and regulations may involve uncertainties and can be inconsistent;</w:t>
      </w: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that litigation, administrative and court proceedings may be protracted, expensive and unpredictable;</w:t>
      </w:r>
    </w:p>
    <w:p>
      <w:pPr>
        <w:spacing w:after="0" w:line="3" w:lineRule="exact"/>
        <w:rPr>
          <w:rFonts w:ascii="Arial" w:cs="Arial" w:eastAsia="Arial" w:hAnsi="Arial"/>
          <w:sz w:val="20"/>
          <w:szCs w:val="20"/>
          <w:color w:val="auto"/>
        </w:rPr>
      </w:pPr>
    </w:p>
    <w:p>
      <w:pPr>
        <w:ind w:left="660" w:hanging="328"/>
        <w:spacing w:after="0" w:line="235"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that governments in certain jurisdictions may favor local businesses and make it more difficult for foreign businesses to operate on an equal footing;</w:t>
      </w: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increased uncertainties related to the enforcement of contracts with certain parties;</w:t>
      </w:r>
    </w:p>
    <w:p>
      <w:pPr>
        <w:spacing w:after="0" w:line="3" w:lineRule="exact"/>
        <w:rPr>
          <w:rFonts w:ascii="Arial" w:cs="Arial" w:eastAsia="Arial" w:hAnsi="Arial"/>
          <w:sz w:val="20"/>
          <w:szCs w:val="20"/>
          <w:color w:val="auto"/>
        </w:rPr>
      </w:pPr>
    </w:p>
    <w:p>
      <w:pPr>
        <w:jc w:val="both"/>
        <w:ind w:left="660" w:hanging="328"/>
        <w:spacing w:after="0" w:line="23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compliance with a variety of U.S. laws including, but not limited to, trade controls or sanctions, regulations put forth by the U.S. Treasury’s Office of Foreign Assets Control, the Iran Threat Reduction and Syria Human Rights Act of 2012 and rules relating to the use of certain “conflict minerals” under Section 1502 of the Dodd-Frank Wall Street Reform and the Consumer Protection Act;</w:t>
      </w:r>
    </w:p>
    <w:p>
      <w:pPr>
        <w:spacing w:after="0" w:line="1" w:lineRule="exact"/>
        <w:rPr>
          <w:rFonts w:ascii="Arial" w:cs="Arial" w:eastAsia="Arial" w:hAnsi="Arial"/>
          <w:sz w:val="20"/>
          <w:szCs w:val="20"/>
          <w:color w:val="auto"/>
        </w:rPr>
      </w:pPr>
    </w:p>
    <w:p>
      <w:pPr>
        <w:jc w:val="both"/>
        <w:ind w:left="660" w:hanging="328"/>
        <w:spacing w:after="0" w:line="22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sanctions and our interpretation of those sanctions, trade controls, supply chain and staffing challenges as a result of the ongoing conflict between Russia and Ukraine that have impacted and may continue to impact our ability to market or sell pharmaceuticals in either country or subject us to increased government scrutiny. In addition, a significant escalation or expansion of the conflict’s current scope may have a negative impact on our operations and financial results in future periods;</w:t>
      </w:r>
    </w:p>
    <w:p>
      <w:pPr>
        <w:ind w:left="660" w:hanging="328"/>
        <w:spacing w:after="0" w:line="24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regulations, and practices affecting the pharmaceutical industry and the healthcare system, including but not limited to imports, exports, manufacturing, quality, cost, pricing, reimbursement, approval, inspection, and delivery of healthcare;</w:t>
      </w:r>
    </w:p>
    <w:p>
      <w:pPr>
        <w:spacing w:after="0" w:line="1" w:lineRule="exact"/>
        <w:rPr>
          <w:rFonts w:ascii="Arial" w:cs="Arial" w:eastAsia="Arial" w:hAnsi="Arial"/>
          <w:sz w:val="18"/>
          <w:szCs w:val="18"/>
          <w:color w:val="auto"/>
        </w:rPr>
      </w:pPr>
    </w:p>
    <w:p>
      <w:pPr>
        <w:ind w:left="660" w:hanging="328"/>
        <w:spacing w:after="0" w:line="244"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changes in policies designed to promote foreign investment, including significant tax incentives, liberalized import and export duties, and preferential rules on foreign investment and repatriation;</w:t>
      </w:r>
    </w:p>
    <w:p>
      <w:pPr>
        <w:spacing w:after="0" w:line="1"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increased EU and U.S. scrutiny of overseas pharmaceutical manufacturing, including executive orders, agency rule making and policy proposals related to increasing domestic production of pharmaceutical products and API;</w:t>
      </w:r>
    </w:p>
    <w:p>
      <w:pPr>
        <w:ind w:left="640" w:hanging="308"/>
        <w:spacing w:after="0" w:line="22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differing local product preferences and product requirements;</w:t>
      </w:r>
    </w:p>
    <w:p>
      <w:pPr>
        <w:spacing w:after="0" w:line="4" w:lineRule="exact"/>
        <w:rPr>
          <w:rFonts w:ascii="Arial" w:cs="Arial" w:eastAsia="Arial" w:hAnsi="Arial"/>
          <w:sz w:val="20"/>
          <w:szCs w:val="20"/>
          <w:color w:val="auto"/>
        </w:rPr>
      </w:pPr>
    </w:p>
    <w:p>
      <w:pPr>
        <w:jc w:val="both"/>
        <w:ind w:left="660" w:hanging="328"/>
        <w:spacing w:after="0"/>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adverse changes in the economies in which we or our partners and suppliers operate as a result of a slowdown in overall growth, a change in government or economic policies, or financial, political, or social change or instability in such countries that affects the markets in which we operate, particularly emerging markets;</w:t>
      </w: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changes in employment or labor laws, or wage increases in the countries in which we or our partners and suppliers operate;</w:t>
      </w:r>
    </w:p>
    <w:p>
      <w:pPr>
        <w:spacing w:after="0" w:line="3"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local, regional and global restrictions on banking and commercial activities in certain markets, especially emerging markets;</w:t>
      </w:r>
    </w:p>
    <w:p>
      <w:pPr>
        <w:spacing w:after="0" w:line="1"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longer payment cycles and increased exposure to counterparty risk;</w:t>
      </w:r>
    </w:p>
    <w:p>
      <w:pPr>
        <w:spacing w:after="0" w:line="4" w:lineRule="exact"/>
        <w:rPr>
          <w:rFonts w:ascii="Arial" w:cs="Arial" w:eastAsia="Arial" w:hAnsi="Arial"/>
          <w:sz w:val="20"/>
          <w:szCs w:val="20"/>
          <w:color w:val="auto"/>
        </w:rPr>
      </w:pPr>
    </w:p>
    <w:p>
      <w:pPr>
        <w:ind w:left="640" w:hanging="308"/>
        <w:spacing w:after="0" w:line="222"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volatility in international financial markets and increased foreign currency risk;</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inflation or hyperinflation in certain markets, including Turkey;</w:t>
      </w:r>
    </w:p>
    <w:p>
      <w:pPr>
        <w:spacing w:after="0" w:line="7" w:lineRule="exact"/>
        <w:rPr>
          <w:rFonts w:ascii="Arial" w:cs="Arial" w:eastAsia="Arial" w:hAnsi="Arial"/>
          <w:sz w:val="18"/>
          <w:szCs w:val="18"/>
          <w:color w:val="auto"/>
        </w:rPr>
      </w:pPr>
    </w:p>
    <w:p>
      <w:pPr>
        <w:jc w:val="both"/>
        <w:ind w:left="660" w:hanging="328"/>
        <w:spacing w:after="0" w:line="241"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changes resulting from the formal withdrawal of the U.K. from the EU, commonly referred to as Brexit, including those related to additional trade agreements, tariffs and customs regulations and currency fluctuations, which could materially impact the way we conduct our operations in those markets;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supply disruptions and increases in energy and transportation costs;</w:t>
      </w:r>
    </w:p>
    <w:p>
      <w:pPr>
        <w:spacing w:after="0" w:line="4" w:lineRule="exact"/>
        <w:rPr>
          <w:rFonts w:ascii="Arial" w:cs="Arial" w:eastAsia="Arial" w:hAnsi="Arial"/>
          <w:sz w:val="20"/>
          <w:szCs w:val="20"/>
          <w:color w:val="auto"/>
        </w:rPr>
      </w:pPr>
    </w:p>
    <w:p>
      <w:pPr>
        <w:ind w:left="660" w:hanging="328"/>
        <w:spacing w:after="0" w:line="242"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increased tariffs on the import or export of our products or API, including on imports from China to the U.S. as a result of the escalation of trade tensions between the countries or otherwise;</w:t>
      </w:r>
    </w:p>
    <w:p>
      <w:pPr>
        <w:ind w:left="66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burdens to comply with multiple, changing and potentially conflicting laws, regulations and disclosure requirements, including those relating to environmental, social and governance matters, carbon emissions, health and safety, labor and human rights;</w:t>
      </w:r>
    </w:p>
    <w:p>
      <w:pPr>
        <w:ind w:left="66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natural or man-made disasters, including droughts, floods, earthquakes, hurricanes and the impact of climate change in the countries in which we or our partners and suppliers operate;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ind w:left="660" w:hanging="328"/>
        <w:spacing w:after="0" w:line="245"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local disturbances, the outbreak of highly contagious diseases or other health epidemics (such as COVID-19),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w:t>
      </w:r>
    </w:p>
    <w:p>
      <w:pPr>
        <w:spacing w:after="0" w:line="21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political or social stability in and/or diplomatic relations between any countries in which we or our partners and suppliers do business could meaningfully deteriorate.</w:t>
      </w:r>
    </w:p>
    <w:p>
      <w:pPr>
        <w:spacing w:after="0" w:line="18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occurrence of any one or more of the above risks could have a material adverse effect on our business, financial condition, results of operations, cash flows, ability to pay dividends and/or stock price.</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Charges to earnings resulting from acquisitions could have a material adverse effect on our business, financial condition, results of operations, cash flows, ability to pay dividends and/or stock price</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Under U.S. GAAP provisions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201" w:lineRule="exact"/>
        <w:rPr>
          <w:sz w:val="20"/>
          <w:szCs w:val="20"/>
          <w:color w:val="auto"/>
        </w:rPr>
      </w:pPr>
    </w:p>
    <w:p>
      <w:pPr>
        <w:ind w:left="660" w:hanging="328"/>
        <w:spacing w:after="0" w:line="245"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ind w:left="640" w:hanging="308"/>
        <w:spacing w:after="0" w:line="225"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liabilities assumed in purchase accounting;</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impairment of goodwill or intangible assets, including acquired IPR&amp;D;</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amortization of intangible assets acquired;</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a reduction in the useful lives of intangible assets acquired;</w:t>
      </w:r>
    </w:p>
    <w:p>
      <w:pPr>
        <w:spacing w:after="0" w:line="1" w:lineRule="exact"/>
        <w:rPr>
          <w:rFonts w:ascii="Arial" w:cs="Arial" w:eastAsia="Arial" w:hAnsi="Arial"/>
          <w:sz w:val="20"/>
          <w:szCs w:val="20"/>
          <w:color w:val="auto"/>
        </w:rPr>
      </w:pPr>
    </w:p>
    <w:p>
      <w:pPr>
        <w:jc w:val="both"/>
        <w:ind w:left="660" w:hanging="328"/>
        <w:spacing w:after="0" w:line="239"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identification of or changes to assumed contingent liabilities, including, but not limited to, litigation reserves,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spacing w:after="0" w:line="1"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significant costs to restructure our operations and to reduce our cost structure, including cost related to severance payments, plant shutdowns and costs to achieve anticipated synergies; and</w:t>
      </w:r>
    </w:p>
    <w:p>
      <w:pPr>
        <w:ind w:left="640" w:hanging="308"/>
        <w:spacing w:after="0" w:line="225"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charges to our operating results resulting from expenses incurred to effect the acquisition.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significant portion of these adjustments could be accounted for as expenses that will decrease our net income and earnings per share for the periods in which those costs are incurred.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particular, the amount of goodwill and identifiable intangible assets in our consolidated balance sheets is significant as a result of our acquisitions and other transactions, and may increase further following future potential acquisitions, and we may, from time to time, sell assets that we determine are not critical to our strategy or execution, including our OTC, women’s health care and API businesses. These and other future events or decisions may also lead to asset impairments and/or related charges. Certain non-cash impairments may result from a change in our strategic goals, business direction or other factors relating to the overall business environment. Any such charges could cause a material adverse effect on our business, financial condition, results of operations, cash flows, ability to pay dividends and/or stock price.</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IP-infringing versions of our products or of diverted or stolen products could have a negative impact on our reputation and our business.</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pharmaceutical drug supply is vulnerable to illegal counterfeiting and the presence of counterfeit or IP-infringing products in a growing number of markets, including widespread sales over the internet.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Third parties may illegally distribute and sell counterfeit or IP-infringing versions of our products that do not meet our rigorous manufacturing and testing standards. Counterfeit products are frequently unsafe or ineffective and can be potentially life-threatening. Counterfeit medicines may contain harmful substances, the wrong API, an incorrect dose of API or no API at all, depriving patients of the therapeutic benefit of such medicines. However, to distributors and users, counterfeit products may be visually indistinguishable from the authentic version.</w:t>
      </w:r>
    </w:p>
    <w:p>
      <w:pPr>
        <w:spacing w:after="0" w:line="1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Reports of adverse reactions to counterfeit or IP-infringing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could result in improper storage or compromise product integrity and therefore adversely impact patient safety, our reputation, and our business.</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Loss of sales or revenues, as well as public loss of confidence in the integrity of pharmaceutical products as a result of counterfeiting, diversion, or theft could have a material adverse effect on our business, reputation, financial condition, results of operations, cash flows, ability to pay dividends and/or stock price.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vigorous competition that threatens the commercial acceptance and pricing of our products</w:t>
      </w:r>
      <w:r>
        <w:rPr>
          <w:rFonts w:ascii="Arial" w:cs="Arial" w:eastAsia="Arial" w:hAnsi="Arial"/>
          <w:sz w:val="18"/>
          <w:szCs w:val="18"/>
          <w:color w:val="auto"/>
        </w:rPr>
        <w:t>.</w:t>
      </w:r>
    </w:p>
    <w:p>
      <w:pPr>
        <w:spacing w:after="0" w:line="23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7"/>
          <w:szCs w:val="17"/>
          <w:color w:val="auto"/>
        </w:rPr>
        <w:t>The pharmaceutical industry is highly competitive. We face competition from other pharmaceutical manufacturers globally, some of whom are significantly larger than us and have stronger, more well-established reputations than us. Our competitors may be able to develop products and processes competitive with or superior to our own for many reasons, including but not limited to the possibility that they may have:</w:t>
      </w:r>
    </w:p>
    <w:p>
      <w:pPr>
        <w:spacing w:after="0" w:line="17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proprietary processes or delivery systems;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larger or more productive R&amp;D and marketing staff;</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larger or more efficient production capabilities in a particular therapeutic area;</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more experience in preclinical testing and human clinical trials;</w:t>
      </w:r>
    </w:p>
    <w:p>
      <w:pPr>
        <w:spacing w:after="0" w:line="1"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more products;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more experience in developing new drugs; or</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greater financial resources.</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7"/>
          <w:szCs w:val="17"/>
          <w:color w:val="auto"/>
        </w:rPr>
        <w:t>We also face increasing competition from lower-cost generic products and other branded products, including our ARV products. Many of our products are not protected by patent rights or have limited patent life and will soon lose patent protection. Loss of patent protection for a product typically is followed promptly with the launch of generic products. As a result, sales of many of these products may decline or stop growing over time, and may decline faster than has been projected. For example, Perforomist® lost exclusivity and experienced generic competition in June 2021, the compound patent for Celebrex in Japan expired in November 2019 with generics entering the market in June 2020, and Lyrica’s pediatric exclusivity in the United States expired in June 2019 and patent exclusivity expired in Japan in July 2022. In addition, several companies have filed ANDAs seeking regulatory approval in the United States to market a generic version of our Yupelri product prior to the expiration of certain patents. We may not be successful in managing competition from non-branded generics or other alternatives, or in generally managing revenues after loss of exclusivity, and our business may be materially adversely affected.</w:t>
      </w:r>
    </w:p>
    <w:p>
      <w:pPr>
        <w:spacing w:after="0" w:line="20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color w:val="auto"/>
        </w:rPr>
        <w:t>Generic competitors are also becoming more aggressive in terms of pricing in many of the regions in which Viatris operates. In China, for example, we face strong competition from certain generic manufacturers, which have resulted and may in the future result in price cuts and volume loss on some of Viatris’ branded products. In many emerging markets, we face increased competition and contracting markets for certain of our ARV products, primarily related to competing therapies. We also face competition in the United States, the EU and other mature markets that have a robust generics market and favorable regulatory conditions for generics. In addition, legislative proposals emerge from time to time in various jurisdictions to further encourage the early and rapid approval of generic drugs. Any such proposal that is enacted into law could increase competition and worsen this negative effect on our branded sales.</w:t>
      </w:r>
    </w:p>
    <w:p>
      <w:pPr>
        <w:spacing w:after="0" w:line="21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In addition, certain of our products also face potential competition from products that may be developed in the future that could render our products uncompetitive or obsolete. For example, companies may develop medicines that treat the same indications targeted by our products, and these medicines could be more effective than our products or patients and physicians could prefer these medicines over our medicines. The introduction of these new competing products could also have a negative impact on product sales.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related factors that could affect our business include:</w:t>
      </w:r>
    </w:p>
    <w:p>
      <w:pPr>
        <w:spacing w:after="0" w:line="225" w:lineRule="exact"/>
        <w:rPr>
          <w:sz w:val="20"/>
          <w:szCs w:val="20"/>
          <w:color w:val="auto"/>
        </w:rPr>
      </w:pPr>
    </w:p>
    <w:p>
      <w:pPr>
        <w:ind w:left="660" w:hanging="328"/>
        <w:spacing w:after="0" w:line="25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Competitors’ products may be safer, more effective, more effectively marketed or sold, or have lower prices or better performance features than ours;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60" w:right="20" w:hanging="328"/>
        <w:spacing w:after="0" w:line="245"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PBMs and other pharmaceutical manufacturers may utilize contracting strategies that could decrease utilization of or otherwise negatively impact our products;</w:t>
      </w: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Vertical integration of pharmacies and large purchasing organizations or consolidation among distribution outlets; and</w:t>
      </w:r>
    </w:p>
    <w:p>
      <w:pPr>
        <w:spacing w:after="0" w:line="4" w:lineRule="exact"/>
        <w:rPr>
          <w:rFonts w:ascii="Arial" w:cs="Arial" w:eastAsia="Arial" w:hAnsi="Arial"/>
          <w:sz w:val="20"/>
          <w:szCs w:val="20"/>
          <w:color w:val="auto"/>
        </w:rPr>
      </w:pPr>
    </w:p>
    <w:p>
      <w:pPr>
        <w:jc w:val="both"/>
        <w:ind w:left="660" w:hanging="328"/>
        <w:spacing w:after="0"/>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Our sales have suffered and may suffer in the future as a result of changes in consumer demand for our products, including those related to fluctuations in consumer buying patterns tied to seasonality or other factors, willingness of customers to switch among products of different pharmaceutical manufacturers, importation by consumers or the introduction of new products by competitors.</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occurrence of any of the above risks could have an adverse effect on our business, financial condition, results of operations, cash flows, ability to pay dividends and/or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relatively small group of products may represent a significant portion of our revenues, net sales, gross profit, or net earnings from time to time.</w:t>
      </w:r>
    </w:p>
    <w:p>
      <w:pPr>
        <w:spacing w:after="0" w:line="2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Sales of a limited number of our products from time to time represent a significant portion of our revenues, net sales, gross profit, and net earnings. For the years ended December 31, 2022 and 2021, Viatris’ top ten products in terms of sales, in the aggregate, represented approximately 33%, respectively, of the Company’s net sales. If the volume or pricing of our largest selling products declines in the future, our business, financial condition, results of operations, cash flows, and/or share price could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and changing economic conditions, including inflation, may adversely affect our industry, business, partners and suppliers.</w:t>
      </w:r>
    </w:p>
    <w:p>
      <w:pPr>
        <w:spacing w:after="0" w:line="2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global economy continues to experience significant volatility, and the economic environment may become less favorable. For example, if the U.S. government defaults on its debt, or the U.S. Treasury takes measures to avoid such a default, or if there is an assumption that such an event may occur, this could have a negative impact on general economic conditions, including the liquidity of and access to the capital markets. A sovereign debt default, economic volatility, governmental financial restructuring efforts and evolving deficit and spending reduction programs could negatively impact the global economy and the pharmaceutical industry. This has led, or could lead, to reduced consumer and customer spending, reduced or eliminated governmental or third-party payor coverage or reimbursement or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or if governments or third-party payors reduce or eliminate coverage or reimbursement amounts for pharmaceuticals or impose price or other controls adversely impacting the price or availability of pharmaceuticals (whether for generics, branded products or both). Reduced consumer and customer spending, reduced government or third-party payor coverage or reimbursement, or new government controls, may drive us and our competitors to decrease prices, may reduce the ability of customers to pay, or may result in reduced demand for our products.</w:t>
      </w:r>
    </w:p>
    <w:p>
      <w:pPr>
        <w:spacing w:after="0" w:line="20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In addition, accelerating rates of inflation are expected to continue in the near future and have resulted, and may continue to result, in increased costs of labor, raw materials, other supplies and freight and distribution costs, among others. For the pharmaceutical industry and the healthcare systems in the markets in which we participate, regulatory restrictions and the pricing dynamics of our products generally make it difficult to pass on such costs to customers. Inflation has resulted and may continue to result in higher interest rates and increased costs of capital. In particular, during 2022, the global economy has been impacted by high levels of inflation and rising energy costs, which has resulted in significant economic volatility. As a result, central banks have and continue to tighten their monetary policies and increase interest rates. These macroeconomic pressures combined with the volatility in foreign exchange rates, including the strengthening of the U.S. dollar versus the other currencies in which we operate, negatively impacted our results of operations. While inflationary and other macroeconomic pressures may ease, we continue to experience higher costs and we expect that this will likely continue throughout 2023, thereby negatively impacting our results of operations.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occurrence of any of the above risks could have a material adverse effect on our industry, business, financial condition, results of operations, cash flows, ability to pay dividends and/or stock price.</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comply with applicable environmental and occupational health and safety laws and regulations worldwide could adversely impact our business, financial condition, results of operations, cash flows, ability to pay dividends and/or stock price.</w:t>
      </w:r>
    </w:p>
    <w:p>
      <w:pPr>
        <w:spacing w:after="0" w:line="2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are subject globally to various laws and regulations concerning, among other things, the environment, climate change, water, waste, chemicals and employee health and safety. These requirements include regulation of the handling,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manufacture, transportation, storage, use and disposal of materials and wastes, including the discharge of regulated materials and emissions into the environment. We are also subject to related permitting, record-keeping, reporting and registration requirements.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regulations and permits and (ii) regulatory enforcement actions or claims for personal injury and property damage against us. If environmental discharge occurs, or if we discover contamination caused by third parties, including by prior owners and operators of properties we acquire or lease, or by neighboring properties or other offsite sources, we could be liable for cleanup or remediation obligations, damages and fines or have relevant permits, authorizations or registrations modified or revoked, regardless of our responsibility for such contamination. In addition, any non-compliance with environmental and occupational health and safety laws and regulations and permits, or emissions into the environment, whether actual or perceived, may result in significant reputational damage. The substantial unexpected costs we may incur could have a material adverse effect on our business, financial condition, results of operations, cash flows, ability to pay dividends and/or stock price. Environmental and occupational health and safety laws and regulations are also complex and subject to change, and our related capital expenditures and costs for compliance may increase substantially in the future as a result of such changes, the development and manufacturing of a new product or increased development or manufacturing activities at any of our facilities. We may be required to expend significant funds and our manufacturing activities could be delayed or suspended or we may lose the ability to purchase or use certain materials, or face restrictions on the amounts of materials we may use or purchase, which could have a material adverse effect on our business, financial condition, results of operations, cash flows, ability to pay dividends and/or stock price.</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pharmaceutical industry is heavily regulated, and we face significant costs and uncertainties associated with our efforts to comply with applicable laws and regulations.</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The pharmaceutical industry is subject to regulation by various governmental authorities in the jurisdictions in which we operate, including the U.S., EU, China and India. For instance, we must comply with applicable laws and requirements of the FDA and other regulatory agencies, including foreign authorities, with respect to the research, development, manufacture, quality, safety, effectiveness, approval, labeling, tracking, tracing, authentication, storage, record-keeping, reporting, pharmacovigilance, sale, distribution, import, export, marketing, advertising, and promotion of pharmaceutical products. We are committed to conducting our business, including the sale and marketing of our products, in compliance with all applicable laws and regulations. These laws and regulations, however, are numerous, complex and continue to evolve, and it is possible that a governmental authority may challenge our activities, or that an employee or agent could violate these laws and regulations without our knowledge. Failure to comply with these laws and regulations could result in a range of consequences, including, but not limited to, fines, penalties, disgorgement, exclusion from U.S. federal healthcare reimbursement programs, unanticipated compliance expenditures, suspension of review of applications or other submissions, rejection or delay in approval of applications, recall or seizure of products, total or partial suspension of production and/or distribution, our inability to sell products, the return by customers of our products, injunctions, and/or criminal prosecution. Under certain circumstances, a regulator may also have the authority to revoke or vary previously granted drug approvals.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safety profile of any product will continue to be closely monitored by the FDA and comparable foreign regulatory authorities after approval. If such regulatory authorities become aware of new safety information about any of our marketed or investigational products, those authorities may require further inspections, enhancements to manufacturing controls,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several other such regulations in other countries that require us to develop electronic systems to serialize, track, trace and authenticate units of our products through the supply chain and distribution system. Compliance with these regulations has in the past and may in the future result in increased expenses for us or impose greater administrative burdens on our organization, and failure to meet these requirements could result in fines or other penalties.</w:t>
      </w:r>
    </w:p>
    <w:p>
      <w:pPr>
        <w:spacing w:after="0" w:line="15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In recent years, the regulatory framework in China regarding the pharmaceutical industry has undergone significant changes and Chinese authorities have become increasingly vigilant in enforcing laws in the pharmaceutical industry. We believe that Viatris’ strategies regarding pharmaceutical research, development, manufacturing and commercialization in China are currently aligned with the Chinese government’s policies, but they may in the future diverge, requiring a change in such strategies. For example, in order to comply with foreign ownership restrictions and meet regulatory licensing, and cybersecurity requirements, we conduct some of our business in China through variable interest entities. Although we believe these structures and activities related to our VIEs comply with existing laws and regulations in China, they involve unique risks and uncertainties, including that China may from time to time consider and implement additional changes in their legislative, regulatory, licensing, or other requirements that could subject us to penalties and impact these structures and activities. Any such change may result in increased compliance costs to us or cause delays in or prevent the successful research, development, manufacturing or commercialization of our products in China, result in the loss of required licenses and permits or the suspension or termination of Viatris’ activities in China.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FDA and comparable foreign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and with our own quality standards requires substantial expenditures of time, money, and effort in multiple areas, including training of personnel, record-keeping, production, and quality control and quality assurance. The FDA and other comparable regulatory authorities, including foreign authorities, periodically inspect our 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could result in the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spacing w:after="0" w:line="18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Our business could be adversely affected if any regulatory body were to delay, withhold, or withdraw approval of an application; require a recall or other adverse product action; require one of our manufacturing facilities to cease or limit production; or suspend, vary, or withdraw related marketing authorization. Delay and cost in obtaining FDA or other regulatory approval to manufacture at a different facility also could have a material adverse effect on our business.</w:t>
      </w:r>
    </w:p>
    <w:p>
      <w:pPr>
        <w:spacing w:after="0" w:line="19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Although we have established internal quality and regulatory compliance programs and policies, there is no guarantee that these programs and policies, as currently designed, will meet regulatory agency standards in the future or will prevent instances of non-compliance with applicable laws and regulations. Additionally, despite our compliance efforts, from time to time we or our partners receive notices of manufacturing and quality-related observations following inspections by regulatory authorities around the world, as well as official agency correspondence regarding compliance. For example, the FDA issued warning letters relating to valsartan API and nitrosamine impurities to our API manufacturer Mylan Laboratories Limited Unit 8 in 2019. We provided thorough responses to the FDA regarding the issues identified and remediation is ongoing. We and our partners have in the past and may in the future receive similar observations and correspondence. If we are unable to resolve these observations and address regulatory concerns in a timely fashion, our business, financial condition, results of operations, cash flows, ability to pay dividends and/or stock price could be materially adversely affected.</w:t>
      </w:r>
    </w:p>
    <w:p>
      <w:pPr>
        <w:spacing w:after="0" w:line="2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utilize controlled substances in certain of our current products and products in development, and therefore must meet the requirements of the Controlled Substances Act of 1970 and the related regulations administered by the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annually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In addition, some states have passed laws and regulations imposing assessments on the sale or distribution of certain controlled substances, and other states are considering and may implement similar laws and regulations in the future.</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occurrence of any of the above risks could have a material adverse effect on our business, financial condition, results of operations, cash flows, ability to pay dividends and/or stock price.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r>
        <w:rPr>
          <w:rFonts w:ascii="Arial" w:cs="Arial" w:eastAsia="Arial" w:hAnsi="Arial"/>
          <w:sz w:val="18"/>
          <w:szCs w:val="18"/>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competitors, both branded and generic, often pursue strategies that could prevent or delay generic alternatives to branded products. These strategies include, but are not limited to:</w:t>
      </w:r>
    </w:p>
    <w:p>
      <w:pPr>
        <w:spacing w:after="0" w:line="198" w:lineRule="exact"/>
        <w:rPr>
          <w:sz w:val="20"/>
          <w:szCs w:val="20"/>
          <w:color w:val="auto"/>
        </w:rPr>
      </w:pPr>
    </w:p>
    <w:p>
      <w:pPr>
        <w:ind w:left="660" w:hanging="328"/>
        <w:spacing w:after="0" w:line="245"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entering into agreements whereby other generic companies will begin to market an authorized generic, which is the approved brand-name drug without the brand-name on its label, at the same time or after generic competition initially enters the market;</w:t>
      </w:r>
    </w:p>
    <w:p>
      <w:pPr>
        <w:ind w:left="640" w:hanging="308"/>
        <w:spacing w:after="0" w:line="225" w:lineRule="auto"/>
        <w:tabs>
          <w:tab w:leader="none" w:pos="6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launching their own authorized generic product prior to or at the same time or after generic competition initially enters the market;</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pricing a branded product at a discount equivalent to generic pricing;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60" w:hanging="328"/>
        <w:spacing w:after="0" w:line="245"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filing frivolous petitions with the FDA or other regulatory bodies seeking to prevent or delay approvals, including timing the frivolous filings so as to thwart generic competition by causing delays of our product approvals;</w:t>
      </w:r>
    </w:p>
    <w:p>
      <w:pPr>
        <w:ind w:left="660" w:right="20" w:hanging="328"/>
        <w:spacing w:after="0" w:line="23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contracting strategies among pharmaceutical manufacturers and PBMs that could decrease generic or biosimilar utilization and negatively impact our product launches;</w:t>
      </w:r>
    </w:p>
    <w:p>
      <w:pPr>
        <w:ind w:left="660" w:hanging="328"/>
        <w:spacing w:after="0" w:line="23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seeking to establish regulatory and legal obstacles that would make it more difficult to demonstrate bioequivalence or to meet other requirements for approval, and/or to prevent regulatory agency review of applications;</w:t>
      </w: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initiating legislative or other efforts to limit the substitution of generic versions of brand pharmaceuticals;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6"/>
          <w:szCs w:val="16"/>
          <w:color w:val="auto"/>
        </w:rPr>
        <w:t>filing suits for patent infringement and other claims that may delay or prevent regulatory approval, manufacture, and/or sale of generic products;</w:t>
      </w:r>
    </w:p>
    <w:p>
      <w:pPr>
        <w:spacing w:after="0" w:line="11" w:lineRule="exact"/>
        <w:rPr>
          <w:rFonts w:ascii="Arial" w:cs="Arial" w:eastAsia="Arial" w:hAnsi="Arial"/>
          <w:sz w:val="18"/>
          <w:szCs w:val="18"/>
          <w:color w:val="auto"/>
        </w:rPr>
      </w:pPr>
    </w:p>
    <w:p>
      <w:pPr>
        <w:ind w:left="660" w:hanging="328"/>
        <w:spacing w:after="0" w:line="242"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introducing “next-generation” products prior to the expiration of market exclusivity for the reference product, which often materially reduces the demand for the generic or the reference product for which we seek regulatory approval;</w:t>
      </w:r>
    </w:p>
    <w:p>
      <w:pPr>
        <w:ind w:left="660" w:right="20" w:hanging="328"/>
        <w:spacing w:after="0" w:line="23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persuading regulatory bodies to withdraw the approval of brand-name drugs for which the patents are about to expire and converting the market to another product of the brand company on which longer patent protection exists;</w:t>
      </w:r>
    </w:p>
    <w:p>
      <w:pPr>
        <w:ind w:left="640" w:hanging="308"/>
        <w:spacing w:after="0"/>
        <w:tabs>
          <w:tab w:leader="none" w:pos="640" w:val="left"/>
        </w:tabs>
        <w:numPr>
          <w:ilvl w:val="0"/>
          <w:numId w:val="19"/>
        </w:numPr>
        <w:rPr>
          <w:rFonts w:ascii="Arial" w:cs="Arial" w:eastAsia="Arial" w:hAnsi="Arial"/>
          <w:sz w:val="19"/>
          <w:szCs w:val="19"/>
          <w:color w:val="auto"/>
        </w:rPr>
      </w:pPr>
      <w:r>
        <w:rPr>
          <w:rFonts w:ascii="Arial" w:cs="Arial" w:eastAsia="Arial" w:hAnsi="Arial"/>
          <w:sz w:val="17"/>
          <w:szCs w:val="17"/>
          <w:color w:val="auto"/>
        </w:rPr>
        <w:t>obtaining extensions of market exclusivity by conducting clinical trials of brand drugs in pediatric populations or by other methods; and</w:t>
      </w:r>
    </w:p>
    <w:p>
      <w:pPr>
        <w:spacing w:after="0" w:line="15" w:lineRule="exact"/>
        <w:rPr>
          <w:rFonts w:ascii="Arial" w:cs="Arial" w:eastAsia="Arial" w:hAnsi="Arial"/>
          <w:sz w:val="19"/>
          <w:szCs w:val="19"/>
          <w:color w:val="auto"/>
        </w:rPr>
      </w:pPr>
    </w:p>
    <w:p>
      <w:pPr>
        <w:ind w:left="640" w:hanging="308"/>
        <w:spacing w:after="0" w:line="235" w:lineRule="auto"/>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seeking to obtain new patents on drugs for which patent protection is about to expire.</w:t>
      </w:r>
    </w:p>
    <w:p>
      <w:pPr>
        <w:spacing w:after="0" w:line="21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the U.S., some companies have lobbied Congress for amendments to Hatch-Waxman Act that would give them additional advantages over generic competitors. For example, although the term of a company’s drug patent can be extended to reflect a portion of the time an NDA (which is filed in the U.S. with the FDA when approval is sought to market a newly developed branded product and, in certain instances, for a new dosage form, a new delivery system or a new indication for a previously approved drug) is under regulatory review, some companies have proposed extending the patent term by a full year for each year spent in clinical trials rather than the one-half year that is currently permitted.</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proposals like these in the U.S., EU,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ability to pay dividends and/or stock price.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introduce new products in a timely manner, our future revenue and profitability may be adversely affected.</w:t>
      </w:r>
    </w:p>
    <w:p>
      <w:pPr>
        <w:spacing w:after="0" w:line="25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Our future revenues and profitability will depend, in part, upon our ability to successfully and timely develop, license, or otherwise acquire and commercialize new products. Product development is inherently risky, especially for new drugs for which safety and efficacy have not been established and/or the market is not yet fully developed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As Viatris focuses more on complex products, the development and commercialization process requires substantial time, effort and financial resources. We, or a partner, may not be successful in developing or commercializing such products on a timely basis, or at all, and such products may be less likely or take longer to receive regulatory approval, which could adversely affect our business, financial condition, results of operations, cash flows, ability to pay dividends and/or stock price.</w:t>
      </w:r>
    </w:p>
    <w:p>
      <w:pPr>
        <w:spacing w:after="0" w:line="2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Before any prescription drug product, including generic drug products, can be marketed, marketing authorization approval is required by the relevant regulatory authorities and/or national regulatory agencies (for example, the FDA in the U.S., the EMA in the EU and other regulatory authorities). The process of obtaining regulatory approval to manufacture and market new branded and generic pharmaceutical products is rigorous, time consuming, costly, and inherently unpredictable. In addition, these regulatory agencies may be delayed in reviewing and approving products as a result of lapsed or insufficient funding, insufficient staffing, travel or work restrictions (including as a result of the COVID-19 pandemic), or other factors beyond our control. Any delay in regulatory approval could impact the commercial or financial success of a product.</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products that we may develop, license or otherwise acquire. Moreover, if we obtain regulatory approval for a drug, it may be limited, for example, with respect to the indicated uses and delivery methods for which the drug may be marketed, or may include warnings, precautions or contraindications in the labeling, which could restrict our potential market for the drug. A regulatory approval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In the event that regulatory approval is denied or delayed, we could be exposed to the risk of this inventory becoming obsolete.</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 the U.S., the Hatch-Waxman Act provides for a period of 180 days of generic marketing exclusivity for a “first applicant,” that is the first submitted ANDA (which is filed in the U.S. with the FDA when approval is sought to market a generic equivalent of a drug product previously approved under an NDA and listed in the FDA publication entitled Approved Drug Products with Therapeutic Equivalence Evaluations, popularly known as the “Orange Book” or for a new dosage strength for a drug previously approved under an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the EU and other countries and regions, there is no exclusivity period for the first generic product. The European Commission or national regulatory agencies may grant marketing authorizations to any number of generics.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navigate our products through the approval process in a timely manner, there could be an adverse effect on our product introduction plans, business, financial condition, results of operations, cash flows, ability to pay dividends and/or stock price.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expend a significant amount of resources on R&amp;D efforts that may not lead to successful product introductions.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Much of our development effort is focused on technically difficult-to-formulate products and/or products that require advanced manufacturing technology. We conduct R&amp;D primarily to enable us to gain approval for, manufacture, and market pharmaceuticals in accordance with applicable laws and regulations. We also partner with third parties to develop products. Typically, expenses related to the development of innovative or complex compounds and the filing of marketing authorization applications for innovative and complex compounds (such as NDAs in the U.S.) are significantly greater than those expenses associated with the development of and filing of marketing authorization applications for most generic products (such as ANDAs in the U.S. and abridged applications in Europe). As we continue to move up the value chain and develop new and/or more complex products, our related expenses will likely increase. Because of the inherent risk associated with R&amp;D efforts in our industry, including the high cost and uncertainty of conducting clinical trials (where required) particularly with respect to new and/or complex drugs, our, or a partner’s, R&amp;D and IPR&amp;D expenditures may not result in the successful introduction of new pharmaceutical products approved by the relevant regulatory bodies.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We or our partners may experience delays in our ongoing or future clinical trials, and we do not know whether planned clinical trials will begin or enroll subjects on time, need to be redesigned, or be completed on schedule, if at all.</w:t>
      </w:r>
    </w:p>
    <w:p>
      <w:pPr>
        <w:spacing w:after="0" w:line="1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products as a result of those efforts, there could be a material adverse effect on our business, financial condition, results of operations, cash flows, ability to pay dividends and/or stock price.</w:t>
      </w:r>
    </w:p>
    <w:p>
      <w:pPr>
        <w:spacing w:after="0" w:line="19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Public health outbreaks, epidemics and pandemics, including the COVID-19 pandemic, have had and could continue to have a material adverse effect on our business, financial condition, results of operations, cash flows and/or stock price and may impact our ability to pay dividends.</w:t>
      </w:r>
    </w:p>
    <w:p>
      <w:pPr>
        <w:spacing w:after="0" w:line="1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7"/>
          <w:szCs w:val="17"/>
          <w:color w:val="auto"/>
        </w:rPr>
        <w:t>Public health outbreaks, epidemics and pandemics, including the COVID-19 pandemic, have had and could continue to have a material adverse effect on our business, including our workforce, suppliers, vendors, business partners, distribution channels, customers and patients. Both the outbreak, and continued spread of COVID-19 and actions to slow its spread have created and continue to create significant uncertainty, economic volatility and disruption, supply chain disruption, and increased unemployment, which have impacted and may continue to impact our business operations and workforce. In addition, recovery from the pandemic may not proceed as anticipated, and may have unpredictable impacts on demand for our products, our workforce and our business operations. All of these factors could have a material adverse impact on our workforce, business operations, financial condition, results of operations, cash flows and/or stock price and may impact our ability to pay dividends.</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COVID-19 and related responsive measures have also made, and may continue to make, it difficult for us, our partners or suppliers to source and manufacture products in, and to export our products from, certain affected areas. If there is an increase in reported illnesses or quarantining at any of our or our partners’ facilities, including critical manufacturing sites, it is possible that such facilities may need to close for an extended period of time. In addition, we have faced, and may continue to face, delays or difficulty sourcing certain products or raw materials, including APIs. Even if we are able to find alternate sources for such products or raw materials, they may cost more. In addition, we have experienced and may continue to experience increased shipping and freight costs, as well as delays in shipping. These factors have materially adversely affected and could continue to materially adversely affect our ability to produce, ship, and supply products, which could negatively impact our customer relationships, business, financial condition, results of operations, cash flows, ability to pay dividends and/or stock price, or result in negative publicity and reputational harm.</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Health regulatory agencies globally have in the past, with respect to the COVID-19 pandemic, and may in the future also experience disruptions in their operations and greater regulatory uncertainty as a result of public health outbreaks. The FDA and comparable foreign regulatory agencies have experienced and may in the future experience slower response times or reduced resources and, as a result, review of regulatory submissions, inspections, approval of new products and other timelines important to our business may be materially impacted, which could delay our new product launches and have a material adverse effect on our business. In addition, as a result of changes in the provision of healthcare, we have experienced, and could continue to experience, unpredictable fluctuations in demand for certain of our products.</w:t>
      </w:r>
    </w:p>
    <w:p>
      <w:pPr>
        <w:spacing w:after="0" w:line="21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continuing impact of the COVID-19 pandemic could lead to our customers or suppliers having liquidity problems that could negatively impact our ability to collect cash on our receivables and/or negatively impact our ability to get inventory and materials. If there are further disruptions or turmoil in the financial markets or customer or supplier liquidity issues, or if rating agencies lower our credit ratings, it could adversely affect our ability to access the debt markets, our cost of funds, and other terms for new debt, which could negatively impact our results of operations and financial position.</w:t>
      </w:r>
    </w:p>
    <w:p>
      <w:pPr>
        <w:spacing w:after="0" w:line="150"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color w:val="auto"/>
        </w:rPr>
        <w:t>The extent to which the COVID-19 pandemic or other public health outbreaks will continue to impact us depends on numerous evolving factors and future developments that we are not currently able to predict and may also exacerbate other risks discussed in these risk factors, any of which could have a material adverse effect on us, our business, financial condition, results of operations, cash flows, ability to pay dividends and/or stock price.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products in development receive regulatory approval, such products may not achieve expected levels of market acceptance</w:t>
      </w:r>
      <w:r>
        <w:rPr>
          <w:rFonts w:ascii="Arial" w:cs="Arial" w:eastAsia="Arial" w:hAnsi="Arial"/>
          <w:sz w:val="17"/>
          <w:szCs w:val="17"/>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Even if we are able to obtain regulatory approvals for our new products, the success of those products is dependent upon market acceptance.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Levels of market acceptance for our products could be impacted by several factors,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availability, perceived advantages, and relative safety and efficacy of alternative products from our competitors;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degree to which the approved labeling supports promotional initiatives for commercial success;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prices of our products relative to those of our competitors;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timing of our market entry;</w:t>
      </w:r>
    </w:p>
    <w:p>
      <w:pPr>
        <w:spacing w:after="0" w:line="1"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effectiveness of our marketing, sales, and distribution strategy and operations; and</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other competitor actions, including legal actions.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ability to pay dividends and/or stock price.</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Market perceptions of us are very important to our business, especially market perceptions of our company, products, brands and the safety and quality of our products and brands. Viatris believes that maintaining and enhancing certain of its brands is important and often provides certain competitive advantages. If we, our partners and suppliers, or our products or brands suffer from negative publicity, are subject to market withdrawal or recall or are proven to be, or are claimed to be, ineffective or harmful to consumers, then this could have a material adverse effect on our reputation and business.</w:t>
      </w:r>
    </w:p>
    <w:p>
      <w:pPr>
        <w:spacing w:after="0" w:line="20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Viatris’ sales and marketing efforts are anchored by promoting its products to physicians, pharmacists, eye care professionals, clinics and hospitals. Therefore, Viatris’ sales and marketing force, whether in-house sales representatives or third-party commercial partners, must possess a relatively high level of technical knowledge, up-to-date understanding of industry trends and expertise in the relevant therapeutic areas and products, as well as promotion and communication skills. Marketing, advertising and promotions may be expensive and may not achieve their intended benefits. If Viatris is unable to effectively train its in-house sales representatives and third-party commercial partners or monitor and evaluate their marketing performances, our sales and marketing may be less successful than desired. In addition, fewer in-person sales and marketing efforts, or other similar limitations, may result in less successful sales and marketing activities.</w:t>
      </w:r>
    </w:p>
    <w:p>
      <w:pPr>
        <w:spacing w:after="0" w:line="20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Given our dependence on market perception and sales and marketing efforts, negative publicity associated with product or brand quality, patient illness, or other adverse effects resulting from, or perceived to be resulting from, our products or brands, or our partners’ and suppliers’ manufacturing facilities, or an inability to increase or maintain the effectiveness and efficiency of our sales and marketing activities could have a material adverse effect on our reputation, business, financial condition, results of operations, cash flows, ability to pay dividends and/or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revenues is derived from sales to a limited number of customers.</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A significant portion of our revenues is derived from sales to a limited number of customers. For the years ended December 31, 2022 and 2021, Viatris’ top three customers in terms of net sales, in the aggregate, represented approximately 26% and 23%, respectively, of the Company’s consolidated total net sales. If we were to experience a significant reduction in or loss of business with one or more such customers, or if one or more such customers were to experience difficulty in paying us on a timely basis, our business, financial condition, results of operations, cash flows, ability to pay dividends and/or stock price could be materially adversely affected.</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addition, a significant amount of our sales are to a relatively small number of drug wholesalers and retail drug chains. These customers represent an essential part of the distribution chain of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retail and wholesale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ability to pay dividends and/or stock price.</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a limited number of manufacturing facilities and certain third-party suppliers produce a substantial portion of our API and products, some of which require a highly exacting and complex manufacturing process.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 substantial portion of our capacity, as well as our current production, is attributable to a limited number of manufacturing facilities and certain third-party suppliers. A significant disruption at any such facilities within our internal or third-party supply chain, even on a short-term basis, whether due to the failure of a third-party supplier to fulfill the terms of their agreement with us, labor disruption, adverse quality or compliance observation, other regulatory action, infringement of brand or other third-party intellectual property rights, natural disaster, civil or political unrest, export or import restrictions, or other events could impair our ability to produce and ship products to the market on a timely basis and could, among other consequences, subject us to exposure to claims from customers. Any of these events could have a material adverse effect on our reputation, business, financial condition, results of operations, cash flows, ability to pay dividends and/or stock price. The adverse effects of any of these events could be exacerbated as a result of our previously announced global restructuring program, which includes the closing, downsizing or divesting of a number of facilities globally. If we or our third-party suppliers’ face significant manufacturing issues, this could lead to shutdowns, delays or product shortages, or to our being entirely unable to supply certain products to customers for an extended period of time. In addition, our facilities may be required to close for periods of time, be required to staff at reduced capacity, or suffer other manufacturing delays as the result of an outbreak of disease, epidemic or pandemic, such as the COVID-19 pandemic, in or near any of our facilities. Such shortages, delays or shutdowns have led and could continue to lead to significant losses of sales revenue,</w:t>
      </w:r>
    </w:p>
    <w:p>
      <w:pPr>
        <w:spacing w:after="0" w:line="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third-party litigation, or negative publicity. See also “</w:t>
      </w:r>
      <w:r>
        <w:rPr>
          <w:rFonts w:ascii="Arial" w:cs="Arial" w:eastAsia="Arial" w:hAnsi="Arial"/>
          <w:sz w:val="18"/>
          <w:szCs w:val="18"/>
          <w:i w:val="1"/>
          <w:iCs w:val="1"/>
          <w:color w:val="auto"/>
        </w:rPr>
        <w:t>The pharmaceutical industry is heavily regulated, and we face significant costs and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associated with our efforts to comply with applicable laws and regulations.”</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purchase certain API and other materials and supplies that we use in our manufacturing operations, as well as certain finished products, from many different foreign and domestic suppliers. The price of API and other materials and supplies is subject to volatility, including as a result of global supply chain disruptions and rates of inflation.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which could lead to our or our partners’ and suppliers’ inability to supply sufficient quantities of our products to meet market demand. We have announced our intention to divest our API business during 2023, which may make us more vulnerable to API supply shortages and price volatility. In addition, quality deficiencies in the products which we or our suppliers provide, or at our or their manufacturing facilities, have in the past and could in the future adversely impact our manufacturing and supply capabilities, cause supply interruptions, or lead to voluntary market withdrawals or product recalls. For example, the EU has implemented particularly stringent regulations with respect to manufacturing standards for API imported into Europe that place the certification requirement on the regulatory bodies of the exporting countries. An increase in the price, or an interruption in the supply, of a single-sourced or any other raw material, including the relevant API, or in the supply of finished product, could have a material adverse effect on our business, financial condition, results of operations, cash flows, ability to pay dividends and/or stock price.</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addition, the manufacture of some of our products is a highly exacting and complex process, due in part to strict regulatory requirements. Problems may arise during manufacturing at our or our third-party suppliers’ facilities for a variety of reasons, including, among others, equipment malfunction, failure to follow specific protocols and procedures, problems with raw materials, natural disasters, power outages, labor disputes or other civil unrest, cybersecurity or compliance issues, and environmental, health and safety issues, laws, regulations and permits. If problems arise during the production of a batch of product, that batch of product may have to be discarded. This could, among other things, lead to increased costs, contractual penalties,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or one of our suppliers experience any of the problems described above, such problems could have a material adverse effect on our reputation,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is highly dependent on our ability to attract, motivate and retain key personnel.</w:t>
      </w:r>
    </w:p>
    <w:p>
      <w:pPr>
        <w:spacing w:after="0" w:line="2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Given the size, complexity and global reach of our business, it is important that we attract, motivate and retain qualified management and other key employees in order to develop and commercialize new products, manage our business, and compete effectively. Our ability to do so also depends in part on how well we maintain a strong, diverse and inclusive workplace culture that is attractive to employees. Competition for qualified personnel in the pharmaceutical industry is intense. Current or prospective Viatris employees may have changing expectations around workplace flexibility, and a failure to meet these evolving expectations may result in reduced ability to attract and retain talent. In addition, current or prospective Viatris employees may experience uncertainty about their future roles at the Company as a result of our strategic initiatives, acquisitions, integration activities or restructuring program. As a result, we may lose key personnel or may be unable to attract, retain and motivate qualified individuals, or the associated costs may increase. If we fail to attract, develop, incentivize and retain key scientific, technical, commercial, regulatory, information security/privacy, or management personnel, this could lead to loss of customers, business disruption, and a decline in revenues, adversely affect the progress of pipeline products, or otherwise adversely affect our operations. Additionally, while we work to ensure that we have effective plans in place for management succession throughout the organization, any anticipated or unanticipated management transition could create uncertainty, which could disrupt or result in changes to our strategy and have a negative impact on our business. If we are unsuccessful in retaining our key employees or enforcing certain post-employment contractual provisions such as confidentiality or non-competition provisions, it may have a material adverse impact on our business, financial condition, results of operations, cash flows, ability to pay dividends and/or stock price.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Risks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the U.S. Foreign Corrupt Practices Act, the U.K. Bribery Act, Chinese anti-corruption laws and similar worldwide anti-corruption laws, which impose restrictions on certain conduct and may carry substantial fines and penalties.</w:t>
      </w:r>
    </w:p>
    <w:p>
      <w:pPr>
        <w:spacing w:after="0" w:line="15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are subject to the U.S. Foreign Corrupt Practices Act, the U.K. Bribery Act, Chinese anti-corruption laws and similar anti-corruption laws in other jurisdictions. These laws generally prohibit companies and their intermediaries from engaging in bribery or making other prohibited payments to government officials for the purpose of obtaining or retaining business, and some have record keeping requirements. The failure to comply with these laws could result in substantial criminal and/or monetary penalties, or subject us to costly and time consuming government oversight. We operate in jurisdictions that have experienced corruption, bribery, pay-offs and other similar practices from time-to-time and, in certain circumstances, such practices may be local custom. We have implemented and trained relevant employees and third party agents regarding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reputational harm and other consequences that could have a material adverse effect on our business, financial condition, results of operations, cash flows, ability to pay dividends and/or stock price.</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API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research, supply, production, distribution, testing, packaging or other processes. Litigation often involves significant expense and can delay or prevent introduction or sale of our generic products. If patents are held valid and infringed by our products in a particular jurisdiction, we and/or our supplier(s) or partner(s) may need to cease manufacturing and other activities, including but not limited to selling in that jurisdiction. We may also need to pay damages, surrender or withdraw the product, or destroy existing stock in that jurisdiction.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There also may be situations where we use our business judgment and decide to market and sell products directly or through third parties, notwithstanding the fact that allegations of patent infringement(s) and other third-party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An adverse decision in a case such as this, or a judicial order preventing us or our suppliers and partners from manufacturing, marketing, selling, and/or other activities necessary to the manufacture and distribution of our products, could result in substantial penalties, and/or have a material adverse effect on our business, financial condition, results of operations, cash flows, ability to pay dividends and/or stock price.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the effectiveness of our patents, trademarks, confidentiality agreements and other measures to protect our intellectual property rights.</w:t>
      </w:r>
    </w:p>
    <w:p>
      <w:pPr>
        <w:spacing w:after="0" w:line="2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Our ability to commercialize any branded product successfully will largely depend upon our or any partner’s or supplier’s ability to obtain, maintain and enforce patents and trademarks of sufficient scope to lawfully prevent third parties from developing and/or marketing infringing products. In the absence of adequate intellectual property protections or other barriers to entry, competitors may adversely affect our branded products business by independently developing and/or marketing substantially equivalent products. It is also possible that we could incur substantial costs if we initiate litigation against others to protect or enforce our intellectual property rights.</w:t>
      </w:r>
    </w:p>
    <w:p>
      <w:pPr>
        <w:spacing w:after="0" w:line="1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We may submit patent filings covering the API, formulation, methods of making, and/or methods of using for our branded products and branded product candidates. We may not be issued patents based on patent applications already filed or that we file in the future. Further, due to other factors that affect patentability, and if patents are issued, they may be insufficient in scope to protect our branded products from generic competition, as generics may be able to design around our patents.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or institute post-grant review, inter partes review, interference proceedings, or other challenges to our patents or patent applications. Although many of our products do not have patent protection, we continue to take steps to defend our patents for certain of our products.</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addition, branded products often have market viability based upon the goodwill of the product name, which typically is the subject of a trademark registration or filing. Our branded products may therefore also be subject to risks related to the loss of a trademark or patent or to competition from generic or other branded products. Challenges can come from other businesses, individuals or governments, and governments could require compulsory licensing of our intellectual property. Any challenge to, or invalidation or circumvention of, our intellectual property (including patents or patent applications, copyrights and trademark protection) would be costly, would require significant time and attention of our management, and could cause a material adverse effect on our business, financial condition, results of operations, cash flows, ability to pay dividends and/or stock price.</w:t>
      </w:r>
    </w:p>
    <w:p>
      <w:pPr>
        <w:spacing w:after="0" w:line="1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also rely on trade secrets, unpatented proprietary know-how, trade dress, regulatory exclusivity and continuing technological innovation that we seek to protect, in part by confidentiality agreements with licensees, suppliers, employees and consultants. These measures may not provide adequate protection for our unpatented technology. If these agreements are breached, it is possible that we will not have adequate remedies. Disputes may arise concerning the ownership of intellectual property or the applicability of confidentiality agreements. Furthermore, our trade secrets and proprietary technology may otherwise become known or be independently developed by our competitors or we may not be able to maintain the confidentiality of information relating to such products.</w:t>
      </w:r>
    </w:p>
    <w:p>
      <w:pPr>
        <w:spacing w:after="0" w:line="20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Our ability to enforce intellectual property rights also depends on the laws of individual countries, each country’s practices with respect to enforcement of intellectual property rights, and the extent to which certain countries may seek to engage in policies or practices that may weaken its intellectual property framework (e.g., a policy of routine compulsory licensing, or threat of compulsory licensing, of pharmaceutical intellectual property). If we are unable to adequately protect our technology, trade secrets or proprietary know-how, or enforce our intellectual property rights, this could cause a material adverse effect on our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Our reporting and payment obligations related to our participation in U.S. federal healthcare programs, including Medicare, Medicaid and the VA, are complex and often involve subjective decisions that could change as a result of new business circumstances, new regulations or agency guidance, or advice of legal counsel. Any failure to comply with those obligations could subject us to investigation, penalties, and sanctions.</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U.S. 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payments—and even in the absence of any such ambiguity—a governmental authority may take a position contrary to a position we have taken, and may impose or pursue civil and/or criminal sanctions. Governmental agencies may also make changes in program interpretations, requirements or conditions of participation, some of which may have implications for amounts previously estimated or paid. There can be no assurance that our submissions will not be found by Centers for Medicare &amp; Medicaid Services or the VA to be incomplete or incorrect. Any failure to comply with the above laws and regulations, and any such penalties or sanctions could have a material adverse effect on our business, financial condition, results of operations, cash flows, ability to pay dividends and/or stock price.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involved in various legal proceedings and certain government inquiries and may experience unfavorable outcomes of such proceedings or inquiries.</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We are or may be involved in various legal proceedings and certain government inquiries or investigations, including, but not limited to, patent infringement, product liability, personal injury, securities fraud, claims with respect to the manufacture, sale marketing and distribution of opioid products, antitrust matters, breach of contract, and claims involving Medicare, Medicaid and/or VA reimbursements, or laws relating to sales, marketing, and pricing practices. These proceedings may involve claims for, or the possibility of, fines and penalties involving substantial amounts of money or other relief, including but not limited to civil or criminal fines and penalties and exclusion from participation in various government healthcare-related programs.</w:t>
      </w:r>
    </w:p>
    <w:p>
      <w:pPr>
        <w:spacing w:after="0" w:line="15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Viatris is subject to investigations and extensive regulation by government agencies in the United States, China and other developed markets and emerging markets in which we operate. Criminal charges, substantial fines and/or civil penalties, limitations on Viatris’ ability to conduct business in applicable jurisdictions, as well as reputational harm and increased public interest in the matter could result from government investigations. With respect to government enforcement of state and federal laws, including antitrust laws, as well as private plaintiff litigation of so-called “pay for delay” patent settlements, large verdicts, settlements or government fines are possible, especially in the U.S. and EU. Additionally, some state legislatures have and the U.S. federal government or additional state legislatures could, enact legislation to limit patent settlements between pharmaceutical companies and deem such patent agreements as anticompetitive. These changes could impact our ability to launch generic products prior to the originator’s patent expiry.</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 – including certain specified competition law matters – to the extent they arise from conduct during the pre-Distribution period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has agreed to indemnify the Company for liabilities arising out of such matters. If Pfizer were to dispute its retention of these matters, or if there is an</w:t>
      </w:r>
    </w:p>
    <w:p>
      <w:pPr>
        <w:spacing w:after="0" w:line="3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adverse outcome in the matters that Pfizer has agreed to retain, this could have an adverse impact on Viatris. In addition, Viatris has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If any of these legal proceedings or inquiries were to result in an adverse outcome, the impact could have a material adverse effect on our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Emerging developments in the U.S. legal landscape relative to the liability of pharmaceutical manufacturers for certain product liabilities claims could increase our exposure to litigation costs and damages, including in connection with third party defense and indemnification demands. Moreover, although we maintain a combination of self-insurance and commercial insurance, no reasonable amount of insurance can fully protect against all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condition, results of operations, cash flows, ability to pay dividends and/or stock price.</w:t>
      </w:r>
    </w:p>
    <w:p>
      <w:pPr>
        <w:spacing w:after="0" w:line="17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ability to pay dividends and/or stock price.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Refer to Note 20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included in Part II, Item 8 in this Form 10-K for further discussion of certain proceedings and litigation matters.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increasingly dependent on IT and our systems and infrastructure face certain risks, including cybersecurity and data leakage risks.</w:t>
      </w:r>
    </w:p>
    <w:p>
      <w:pPr>
        <w:spacing w:after="0" w:line="23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color w:val="auto"/>
        </w:rPr>
        <w:t>Significant disruptions to our IT systems or breaches of information security could adversely affect our business. We are increasingly dependent on sophisticated IT systems and infrastructure to operate our business. The number of new vulnerabilities identified to these systems combined with the increased number of systems that reach end of life each year creates an opportunity for successful malicious attacks. Such attacks are increasingly sophisticated and are made by groups and individuals with a wide range of motives and expertise, including state and quasi-state actors, criminal groups, “hackers” and others. Evolving work conditions, including work from home protocols, may be less secure and have introduced operational risk, including increased cybersecurity risk. For example, groups and individuals have sought to exploit remote working environments to initiate hacking, phishing, and social engineering attempts and malware attacks.</w:t>
      </w:r>
    </w:p>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7"/>
          <w:szCs w:val="17"/>
          <w:color w:val="auto"/>
        </w:rPr>
        <w:t>We and our suppliers, partners, customers and vendors have in the past and will likely continue to experience attacks on and compromises of our systems. Although we do not believe such incidents have had a significant impact on us to date, there is no guarantee that a future incident will be detected and remediated in a timely manner, or that it would not have a material adverse impact on our business, reputation, financial conditions, cash flows or results of operations. Any security breach or other disruption to our or our vendors’ IT infrastructure could also interfere with or disrupt our business operations, including our manufacturing, distribution, R&amp;D, sales and/or marketing activities. While we continue to invest in the monitoring, protection and resilience of our data security systems, there can be no assurances that our efforts will detect, prevent, or fully recover systems or data from all breakdowns, service interruptions, attacks and/or breaches.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outsource significant elements of our operations to third parties and provide IT and security services to some partners under transition services agreements. Some of these third parties are outside the U.S., including significant elements of our IT infrastructure, and as a result we are managing many independent vendor relationships with third parties who may or could have access to our confidential information. The overall increase in supply chain attacks on companies generally, and our interdependency on third party suppliers increases the potential for supply disruptions and service IT outages. In addition to our reliance upon third parties to provide IT and information security services, the market for such services continues to contract and converge, increasing both the challenges in identifying competent providers and the impact of a breach incident with any single vendor. 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vulnerable to security breaches from inadvertent or intentional actions by our employees, partners or vendors, or from attacks by malicious third parties. Maintaining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and costly to protect. While we have taken steps to identify and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or material non-public information that could adversely affect our business operations or result in the loss, misappropriation, and/or unauthorized access, use or disclosure of, or the prevention of access to,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 breach of our or our vendors’ security measures or the accidental loss, inadvertent disclosure, unapproved dissemination, misappropriation or misuse of trade secrets, proprietary information, or other confidential information, whether as a result of theft, hacking, fraud, trickery, phishing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ability to pay dividends and/or stock price.</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Insurance may be insufficient or may not cover the financial, legal, business or reputational losses that may result from a breakdown, breach, cyber-attack or other compromise of or interruption to our IT systems or confidential and other sensitive information. We also cannot ensure that any limitation of liability or indemnity provisions in our contracts, including with vendors and service providers, for a security lapse or breach or other security incident would be enforceable or adequate or would otherwise protect us from any liabilities or damages with respect to any particular claim.</w:t>
      </w:r>
    </w:p>
    <w:p>
      <w:pPr>
        <w:spacing w:after="0" w:line="20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are subject to data privacy and security laws and regulations in many different jurisdictions and countries where we do business, and our or our vendors’ inability to comply could result in fines, penalties, or reputational damage, and could impact the way we operate our business.</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We are subject to federal, state and international data privacy and security laws and regulations governing the collection, use, disclosure, transmission and protection of personal information, including health-related information. As the legislative and regulatory landscape for data privacy and security continues to evolve around the world, there has been an increasing focus on data privacy and security matters that may affect our business.</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the U.S., federal laws include HIPAA, which governs the use, disclosure, and security of protected health information by HIPAA covered entities and business associates. Several U.S. states have enacted or proposed broad data privacy laws and regulations governing the confidentiality, security, use and disclosure of personal information, which may impose greater restrictions than federal data privacy and security laws and regulations and provide transparency and privacy rights for their citizens. We may also be subject to other state data privacy and security breach notification laws, state health information privacy laws, and federal and state consumer protection laws such as the federal Controlling the Assault of Non-Solicited Pornography and Marketing (CAN-SPAM) Act, which impose requirements for the collection, use, disclosure, transmission and protection of personal information. Each of these laws are subject to varying interpretations by courts and regulatory or government agencies, creating complex compliance issues for us. If we, or the third-party vendors on which we rely, fail to comply with applicable laws and regulations we could be subject to fines, penalties or sanctions, including criminal penalties.</w:t>
      </w:r>
    </w:p>
    <w:p>
      <w:pPr>
        <w:spacing w:after="0" w:line="18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Outside of the U.S., the EU’s and U.K.’s GDPR and local implementing regulations impose significant compliance obligations on our organization. The GDPR contains data protection requirements in the EU and U.K. and imposes a framework of obligations and restrictions governing the collection, processing, and the transmission of personal information to jurisdictions outside of the EU and U.K. The GDPR affords individuals with a series of privacy rights related to the collection, processing, and transmission of their personal information. The GDPR imposes significant compliance obligations, including required processes and policies governing our collection, transmission, processing and use of individuals personal information. In addition, the GDPR includes significant penalties for non-compliance, with fines up to the higher of €20 million or 4% of total annual worldwide revenue. In general, GDPR, and other data protection laws and regulations, could require adaptation of our technologies or practices to satisfy local country data protection requirements and standards.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Other countries in which we operate have, or are developing, laws and regulations governing the collection, use, securing and transmission of personal information as well that may affect our business or require us to adapt our technologies or practices. If we, or the third-party vendors on which we rely, fail to comply with applicable laws and regulations we could be subject to fines, penalties or sanctions, including criminal penalties.</w:t>
      </w:r>
    </w:p>
    <w:p>
      <w:pPr>
        <w:spacing w:after="0" w:line="21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Similar initiatives could increase the cost of developing, implementing or maintaining our IT systems, require us to allocate more resources to compliance initiatives or increase our costs. In addition, a failure by us, or our third-party vendors, to comply with applicable data privacy and security laws may lead to government enforcement actions and private litigation, which could result in financial, legal, business, and reputational harm to us and could have a material adverse effect on the way we operate our business, our financial condition, results of operations, cash flows, ability to pay dividends and/or stock price.</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Increasing scrutiny and evolving expectations from customers, regulators, governments, investors, lenders, employees, and other stakeholders with respect to our environmental, social and governance practices may impose additional costs on us or expose us to new or additional risks.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Companies are facing increasing expectations and scrutiny from customers, regulators, governments, investors, lenders, employees and other</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stakeholders related to their environmental, social and governance practices and disclosure. Investor advocacy groups, investment funds and influential investors are also increasingly focused on these practices, especially as they relate to the environment, climate change, health and safety, supply chain management, diversity, labor conditions and human rights, both in our own operations and in our supply chain. New government regulations could also result in new or more stringent forms of environmental, social and governance oversight, including increased greenhouse gas limitations, and the expansion of mandatory and voluntary reporting, diligence, and disclosure regarding environmental, social and governance matters. Failure to adapt to or comply with government regulations, regulatory requirements or investor or stakeholder expectations and standards could negatively impact our reputation, ability to do business with certain partners, access to investors and capital, and our stock price, and could lead to novel forms of litigation, including shareholder litigation and governmental investigations or enforcement actions related to environmental, social and governance matters.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addition, a growing number of our customers, including certain government purchasers, have adopted, or may adopt, procurement policies that include social and environmental requirements, including, for example, requirements to monitor and conduct third party audits, or these customers may seek to include such provisions in their procurement contract terms and conditions. These social and environmental responsibility provisions and initiatives are subject to change, vary from jurisdiction to jurisdiction, and certain elements may be difficult and/or cost prohibitive for us to comply with given the inherent complexity of our external supply chain and the global scope of our operations. In certain circumstances, in order to meet the requirements or standards of our customers, we may be obligated to implement additional processes, modify our sourcing practices or make other operational choices which may require additional investments of time and resources, increase our costs or result in inefficiencies. Alternatively, we may be ineligible to participate in bids or tenders in certain markets, which may result in lost sales and revenues or decrease patient access to medicine.</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2022, we launched Viatris’ initial sustainability goals in the areas of access; diversity, equity &amp; inclusion; and the environment: climate change, water and waste. Achievement of these goals depends on our development and execution of various operational strategies relating to each discrete target. The development and execution of these strategies and achievements of our targets, including our near-term science based emissions reductions targets for scope 1, 2 and 3, are subject to risk and uncertainties, many of which are outside of our control. There are no assurances that we will be able to successfully develop or execute our environmental, social and governance strategies and achieve our environmental, social and governance targets.</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Any of the factors mentioned above, or the perception that we or our suppliers or contract manufacturers have not responded appropriately to the growing concern for such issues, regardless of whether we are legally required to do so, may damage our reputation and have a material adverse effect on our business, employees relations, access to investors and capital, financial condition, results of operations, cash flows, ability to pay dividends and/or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subject to risks related to climate change.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effects of global climate change present risks to our business. Extreme weather, natural disasters, power outages, or other conditions caused by climate change could adversely impact our supply chain and the availability and cost of raw materials, water supply, and other components required for the operation of our business, or result in the delay and/or disruption of our ability to deliver products. Such conditions could also result in physical damage to our or our partners’ products, plants and distribution centers, our ability to operate in certain areas, as well as the infrastructure and facilities of hospitals, medical care facilities and other customers. Our programs to plan for and mitigate risk and build resilience to the impacts of climate change may not be successful, and the cost of implementing such programs may be significant. Current or future insurance arrangements may not provide protection for costs that may arise from such events, particularly if such events are catastrophic in nature or occur in combination. In addition, regulations intended to limit greenhouse gas emissions or water usage, such as carbon pricing, taxes on emissions, fuel and energy, or to mitigate the impacts of climate change may become more prevalent, which could increase our operating costs and the costs charged by suppliers. These events could have a material adverse effect on the way we operate our business, including the resiliency of our supply chain, our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Finance Risks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guarantee that we will continue to pay dividends or repurchase shares under our stock buyback program.</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Although Viatris currently intends to continue to pay quarterly dividends to its stockholders, there is no assurance that Viatris will declare and pay, or have the ability to declare and pay, any dividends on its common stock in the future. Whether dividends will be paid, and the amount and frequency of any such dividend payments, will depend upon a number of factors, including Viatris’ results of operations, cash flows, financial position, competitive or commercial developments, contractual or statutory restrictions and any other factors considered relevant by the Viatris Board. Such payments, and the amount and frequency thereof, are also subject to the other risks set forth in these risk factors. In addition, although the Board of Directors has authorized a stock buyback program of up to $1 billion, which the Company began executing on in 2023, there is no guarantee with respect to the timing or amount of any future share repurchases, or that we will repurchase the full amount authorized under our current stock buyback program. Other factors, including changes in tax or securities laws, such as the U.S. Inflation Reduction Act of 2022 which imposes a corporate excise tax of 1% on net stock repurchases beginning in 2023, could also impact our stock repurchases. A stock buyback program could affect our stock price and increase volatility, and any announcement of a pause in, or termination of, a stock buyback program may result in a decrease in our stock price. Payment of a cash dividend or stock repurchases will reduce the amount of cash available to the Company for other activities, including repayment of debt, investment in the business or other capital expenditures. If we are unable to, or choose not to, pay a quarterly dividend or repurchase shares under our stock buyback program, this may have a negative impact on the perception of the Company as an investment opportunity by shareholders or investment analysts, which may in turn negatively impact our stock price.</w:t>
      </w: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intercompany terms of cross border arrangements that we have among our subsidiaries are determined to be inappropriate or ineffective, our tax liability may increase.</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have potential tax exposures resulting from the varying application of statutes, regulations, and interpretations which include exposures on intercompany terms of cross-border arrangements among our subsidiaries (including intercompany loans, sales, and services agreements) in relation to various aspects of our business, including manufacturing, marketing, sales, and delivery functions. Although we believe our cross-border arrangements among our subsidiaries are based upon internationally accepted standards and applicable law, tax authorities in various jurisdictions may disagree with and subsequently challenge the amount of profits taxed in their country, which may result in increased tax liability, including accrued interest and penalties, which would cause our tax expense to increase and could have a material adverse effect on our business, financial condition, results of operations, cash flows, ability to pay dividends and/or stock price.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competitive financial flexibility and our corporate tax rate which could adversely affect us and our shareholders.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We believe that our structure and operations give us the ability to achieve competitive financial flexibility and a competitive worldwide effective corporate tax rate. We must make material assumptions underlying our expected tax rates, including regarding the effect of certain internal reorganization transactions, intercompany transactions, and divestitures. We cannot give any assurance as to what our effective tax rate will be, however, because of, among other reasons, uncertainty regarding the tax policies of the jurisdictions where we operate, potential changes of laws and interpretations thereof, and the potential for tax audits or challenges. Our actual effective tax rate may vary from our expectation and that variance may be material. For example, in 2022 the U.S. Inflation Reduction Act was signed into law which, among other things, provides for a corporate alternative minimum tax of 15% beginning in 2023 on adjusted financial statement income and an excise tax of 1% on corporate stock repurchases. Moreover, the rate of tax we pay in other jurisdictions may increase significantly should those jurisdictions follow through on statements that they will adopt the OECD Pillar Two Global Anti-Base Erosion rules. We are continuing to evaluate the impact of these laws, and other proposed changes in corporate tax laws, which may significantly increase our global tax liabilities. In addition, the tax laws of other jurisdictions could change in the future, and such changes could cause a material change in our effective tax rate.</w:t>
      </w:r>
    </w:p>
    <w:p>
      <w:pPr>
        <w:spacing w:after="0" w:line="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Any of the factors discussed above could materially increase our overall effective income tax rate, income tax expense and cash taxes paid and could have a material adverse effect on our business, financial condition, results of operations, cash flows, ability to pay dividends and/or stock price.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and changes in income tax laws and tax rulings may have a significant adverse impact on our effective tax rate and income tax expense.</w:t>
      </w:r>
    </w:p>
    <w:p>
      <w:pPr>
        <w:spacing w:after="0" w:line="1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We are subject to income taxes in many jurisdictions. Significant analysis and judgment are required in determining our worldwide provision for income taxes. In the ordinary course of business, there are many transactions and calculations where the ultimate tax determination is uncertain. We are currently subject to tax audits, investigations and litigations in several jurisdictions, and may be subject to other audits, investigations or litigations in the future. The final determination of any tax audits or related litigation could be materially different from our income tax provisions and accruals.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Additionally, changes in the effective tax rate as a result of a change in the mix of earnings in countries with differing statutory tax rates, changes in our overall profitability, changes in the valuation of deferred tax assets and liabilities, changes in tax laws or in their application, the results of audits and the examination of previously filed tax returns and related challenges and assessments by taxing authorities, and continuing assessments of our tax exposures could impact our tax liabilities, income tax expense and cash taxes paid, which could have a material adverse effect on our business, financial condition, results of operations, cash flows, ability to pay dividends and/or stock price.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Viatris may be subject to significant U.S. tax liabilities or be obligated to indemnify Pfizer for any such tax liability imposed on Pfizer in connection with the Combination.</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In connection with the Combination, Pfizer received a private letter ruling and opinion of counsel, each to the effect that, for U.S. federal income tax purposes, the Distribution, together with certain related transactions, would qualify as a tax-free “reorganization” and the Distribution would qualify as a tax-free distribution. If the Distribution were determined not to have qualified for tax-free treatment, Pfizer would generally be subject to tax as if it sold the Viatris common stock in a transaction taxable to Pfizer, which could result in a material tax liability that, under certain circumstances, Viatris may be required to indemnify Pfizer against pursuant to the Tax Matters Agreement. If Viatris was required to indemnify Pfizer for taxes resulting from the Distribution or certain aspects of the Separation, that indemnification obligation could be substantial and could have a material adverse effect on Viatris, including with respect to our business, financial condition and results of operations.</w:t>
      </w:r>
    </w:p>
    <w:p>
      <w:pPr>
        <w:spacing w:after="0" w:line="21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Currency fluctuations and changes in exchange rates have impacted and could continue to adversely affect our business, financial condition, results of operations, cash flows, ability to pay dividends and/or stock price.</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Although we report our financial results in U.S. Dollars, a significant portion of our revenues, indebtedness and other liabilities and our costs are denominated in non-U.S. currencies, including among others the Chinese Renminbi, Euro, Swedish Krona, Indian Rupee, Korean Won, Japanese Yen, Australian Dollar, Canadian Dollar, British Pound Sterling, South African Rand and Brazilian Real. Our financial condition, results of operations and cash flows, have in the past been and may in the future be adversely affected by certain movements in currency exchange rates. Defaults or restructurings in other countries could have a similar adverse impact on our financial condition, results of operations and cash flows. In addition, there remains significant international pressure on the Chinese government to adopt a more flexible currency policy, including from the U.S. government, which designated China as a “currency manipulator” in August 2019 and subsequently removed such designation in January 2020, which could result in greater fluctuation of the Renminbi against the U.S. dollar.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addition, Viatris also faces risks arising from currency devaluations and the imposition of cash repatriation restrictions and exchange controls. Currency devaluations result in a diminished value of funds denominated in the currency of the country instituting the devaluation. Cash repatriation restrictions and exchange controls may limit our ability to convert foreign currencies into U.S. dollars or to remit dividends and other payments by our foreign subsidiaries or businesses located in or conducted within a country imposing restrictions or controls. For example, in China the conversion of currency in the “capital account” (e.g., capital items such as direct investments or loans) requires the approval of, or registration or filing with, relevant governmental authorities in China, which could materially and adversely affect the ability of our Chinese operating subsidiaries and affiliated companies to obtain foreign currencies through equity or debt financing or for capital expenditures, therefore impeding our overall business operations in China. While we currently have no need, and do not intend, to repatriate or convert cash held in countries that have significant restrictions or controls in place, should we need to do so to fund our operations, we may be unable to repatriate or convert such cash, or be unable to do so without incurring substantial costs.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occurrence of any of the above risks could cause a material adverse effect on our business, financial condition, results of operations, cash flows, ability to pay dividends and/or stock price.</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r>
        <w:rPr>
          <w:rFonts w:ascii="Arial" w:cs="Arial" w:eastAsia="Arial" w:hAnsi="Arial"/>
          <w:sz w:val="17"/>
          <w:szCs w:val="17"/>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level of indebtedness could have important consequences, including but not limited to:</w:t>
      </w:r>
    </w:p>
    <w:p>
      <w:pPr>
        <w:spacing w:after="0" w:line="225" w:lineRule="exact"/>
        <w:rPr>
          <w:sz w:val="20"/>
          <w:szCs w:val="20"/>
          <w:color w:val="auto"/>
        </w:rPr>
      </w:pPr>
    </w:p>
    <w:p>
      <w:pPr>
        <w:ind w:left="5540" w:right="4720" w:hanging="5208"/>
        <w:spacing w:after="0" w:line="1034"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6"/>
          <w:szCs w:val="16"/>
          <w:color w:val="auto"/>
        </w:rPr>
        <w:t>increasing our vulnerability to general adverse economic and industry conditions;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-378460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ind w:left="660" w:hanging="328"/>
        <w:spacing w:after="0" w:line="241"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18"/>
          <w:szCs w:val="18"/>
          <w:color w:val="auto"/>
        </w:rPr>
        <w:t>requiring us to dedicate a substantial portion of our cash flow from operations to make debt service payments, or repay debt as it matures, thereby reducing the availability of cash flow to fund working capital, capital expenditures, acquisitions and investments, dividend payments and other general corporate purposes;</w:t>
      </w:r>
    </w:p>
    <w:p>
      <w:pPr>
        <w:spacing w:after="0" w:line="2"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18"/>
          <w:szCs w:val="18"/>
          <w:color w:val="auto"/>
        </w:rPr>
        <w:t>limiting our flexibility in planning for, or reacting to, challenges and opportunities, and changes in our businesses and the markets in which we operate;</w:t>
      </w:r>
    </w:p>
    <w:p>
      <w:pPr>
        <w:ind w:left="660" w:hanging="328"/>
        <w:spacing w:after="0" w:line="244"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18"/>
          <w:szCs w:val="18"/>
          <w:color w:val="auto"/>
        </w:rPr>
        <w:t>limiting our ability to obtain additional financing to fund our working capital, capital expenditures, acquisitions and debt service requirements and other financing needs;</w:t>
      </w:r>
    </w:p>
    <w:p>
      <w:pPr>
        <w:spacing w:after="0" w:line="1" w:lineRule="exact"/>
        <w:rPr>
          <w:rFonts w:ascii="Arial" w:cs="Arial" w:eastAsia="Arial" w:hAnsi="Arial"/>
          <w:sz w:val="20"/>
          <w:szCs w:val="20"/>
          <w:color w:val="auto"/>
        </w:rPr>
      </w:pPr>
    </w:p>
    <w:p>
      <w:pPr>
        <w:ind w:left="660" w:right="20" w:hanging="328"/>
        <w:spacing w:after="0" w:line="23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18"/>
          <w:szCs w:val="18"/>
          <w:color w:val="auto"/>
        </w:rPr>
        <w:t>increasing our vulnerability to increases in interest rates in general related to any of our indebtedness that bears interest at floating rates or when refinancing maturing debt at higher rates;</w:t>
      </w:r>
    </w:p>
    <w:p>
      <w:pPr>
        <w:ind w:left="660" w:hanging="328"/>
        <w:spacing w:after="0" w:line="23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18"/>
          <w:szCs w:val="18"/>
          <w:color w:val="auto"/>
        </w:rPr>
        <w:t>increasing our exposure to currency fluctuations, since a significant portion of our indebtedness is denominated in currencies other than the U.S. dollar, such as our Euro and Japanese yen denominated debt; and</w:t>
      </w:r>
    </w:p>
    <w:p>
      <w:pPr>
        <w:ind w:left="640" w:hanging="308"/>
        <w:spacing w:after="0" w:line="225" w:lineRule="auto"/>
        <w:tabs>
          <w:tab w:leader="none" w:pos="640" w:val="left"/>
        </w:tabs>
        <w:numPr>
          <w:ilvl w:val="0"/>
          <w:numId w:val="22"/>
        </w:numPr>
        <w:rPr>
          <w:rFonts w:ascii="Arial" w:cs="Arial" w:eastAsia="Arial" w:hAnsi="Arial"/>
          <w:sz w:val="20"/>
          <w:szCs w:val="20"/>
          <w:color w:val="auto"/>
        </w:rPr>
      </w:pPr>
      <w:r>
        <w:rPr>
          <w:rFonts w:ascii="Arial" w:cs="Arial" w:eastAsia="Arial" w:hAnsi="Arial"/>
          <w:sz w:val="18"/>
          <w:szCs w:val="18"/>
          <w:color w:val="auto"/>
        </w:rPr>
        <w:t>placing us at a competitive disadvantage to our competitors that have less debt.</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ability to service our indebtedness will depend on our future operating performance and financial results, which will be subject, in part, to factors beyond our control, including interest rates, general economic, financial and business conditions and the impacts of the COVID-19 pandemic. If we do not have sufficient cash flow to service our indebtedness, including the repayment of significant near-term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Viatris expects to maintain an investment grade credit rating, a downgrade in the credit rating of Viatris or any indebtedness of Viatris or its subsidiaries could increase the cost of further borrowings or refinancings of such indebtedness, limit access to sources of financing in the future or lead to other adverse consequences.</w:t>
      </w:r>
    </w:p>
    <w:p>
      <w:pPr>
        <w:spacing w:after="0" w:line="17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Our credit facilities, senior unsecured notes, commercial paper program,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ability to pay dividends and/or stock price.</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If we incur additional debt, the risks described above could intensify. If global credit markets contract, future debt financing may not be available to us when required or may not be available on acceptable terms or at all,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ability to pay dividends and/or stock price.</w:t>
      </w:r>
    </w:p>
    <w:p>
      <w:pPr>
        <w:spacing w:after="0" w:line="20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1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certain critical accounting estimates, including litigation related contingencies based on estimates of probable future costs, actual costs in the future could be substantially in excess of those reserves. Also, any new or revised accounting standards may require adjustments to previously issued financial statements. Any such changes could result in corresponding changes to the amounts of liabilities, revenues, expenses and income and could have a material adverse effect on our business, financial condition, results of operations, cash flows, ability to pay dividends and/or stock price.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maintain adequate internal controls and be able to provide an assertion as to the effectiveness of such controls on an annual basis.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In 2022, we completed the transition of certain support services from Pfizer, as well as certain subsidiaries, to a new ERP system. While we believe that this new system and the related changes to internal controls will ultimately strengthen our internal control over financial reporting, there are inherent risks in implementing any new ERP system. If we fail to maintain the adequacy of our internal controls, we may not be able to ensure that we can conclude on an ongoing basis that we have effective internal control over financial reporting.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ability to pay dividends and/or stock price.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Viatris has suffered and in the future could suffer additional losses due to impairment charges.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7"/>
          <w:szCs w:val="17"/>
          <w:color w:val="auto"/>
        </w:rPr>
        <w:t>Viatris has significant amounts of goodwill and intangible assets on its balance sheet. Viatris tests goodwill for impairment during the second quarter of every fiscal year, and on an interim date should events or changes in circumstances indicate the carrying value of goodwill may not be recoverable in accordance with ASC 350 “Goodwill and Other Intangible Assets.” If the fair value of a reporting unit is revised downward due to declines in business performance or other factors, an impairment under ASC 350 could result and a non-cash charge could be required. Viatris tests intangible assets with indefinite lives for impairment on an annual basis and intangible assets with finite lives for impairment whenever events or changes in circumstances indicate the carrying amount of an asset may not be recoverable. This assessment of the recoverability of intangible assets could result in an impairment and a non-cash charge could be required. In addition, we have announced plans to market for sale certain businesses and assets that we no longer consider to be core to our future business strategy. We have incurred and may in the future incur significant impairment charges or losses related to the sale of those businesses or assets. For instance, in 2022 we recorded approximately $370 million of charges related to the Upjohn Distributor Markets classified as held for sale. Such impairments or losses have in the past and could in the future materially affect Viatris’ reported net earnings, business, financial condition, results of operations, cash flows, ability to pay dividends and/or stock price.</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Viatris may be adversely affected by disruptions in the credit markets, including disruptions that reduce customers’ access to credit and increase the costs to customers of obtaining credit.</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credit markets have historically been volatile and therefore it is not possible to predict the ability of Viatris’ customers to access short-term financing and other forms of capital. If a disruption in the credit markets were to occur, Viatris could be unable to refinance its outstanding indebtedness on reasonable terms or at all. Such a disruption could also pose a risk to Viatris’ business if customers or suppliers are unable to obtain financing to meet their payment or delivery obligations. In addition, customers may decide to downsize, defer or cancel contracts which could negatively affect our revenue.</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 Viatris had approximately $305 million of floating rate debt as of December 31, 2022. A one percentage point increase in the average interest rate of this debt would increase the combined interest expense by approximately $3.1 million per year. Accordingly, a spike in interest rates could adversely affect our results of operations and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Viatris has certain material obligations relating to defined benefit pension and termination benefit programs.</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Viatris has certain material pension and post-employment benefit obligations associated with acquired businesses in both the U.S. and foreign countries. Our obligations under these plans are significant and future funding obligations are subject to increased interest rates on asset and liability calculations. Each of these liabilities and the related future payment obligations could restrict cash available for Viatris’ operations, capital expenditures, acquisitions, dividend payments and other requirements, and may materially affect Viatris’ financial condition and liquidity.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and the value of your investment could materially decline.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Investors who hold shares of Viatris common stock may not be able to sell their shares at or above the price at which they acquired them. The price of Viatris’ common stock has in the past and may continue to fluctuate materially from time to time, including as a result of the other risks described herein, and we cannot predict the price of our common stock at any given time. In addition, the stock market in general, including the market for pharmaceutical companies, has experienced significant price and volume fluctuations which may materially harm the market price of our common stock, regardless of our operating performance. In addition, the price of our common stock may be affected by the valuations and recommendations of the analysts who cover us, and if our results do not meet the analysts’ forecasts and expectations, the price of our common stock could decline as a result of analysts lowering their valuations and recommendations or otherwise. Following periods of volatility in the market and/or in the price of a company’s stock, securities class-action litigation actions have been instituted against companies (including Viatris) and may be instituted against us in the future. Such litigation may result in substantial costs and diversion of management’s attention and resources, which could have a material adverse effect on our business, financial condition, results of operations, cash flows, ability to pay dividends and/or stock price. In addition, if we or our stockholders offer or sell shares of our common stock or securities convertible into or exchangeable or exercisable for shares of our common stock, this or the possibility thereof, may depress the future trading price of our common stock and the voting power of our then existing stockholders may be diluted if such a transaction were to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expansion of social media platforms presents new risks and challenges.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To the extent that we seek to use social media tools as a means to communicate about our products and/or business, there are uncertainties as to the rules that apply to such communications, or as to the interpretations that authorities will apply to the rules that exist. As a result, despite our efforts to monitor evolving social media communication guidelines and comply with applicable rules, there is risk that our use of social media for such purposes may cause us to be found in violation of them. Our employees may knowingly or inadvertently make use of social media tools in ways that may not be aligned with our social media strategy, may give rise to liability, or could lead to the loss of material non-public information, trade secrets or other intellectual property, or public exposure of personal information (including sensitive personal information) of our employees, clinical trial patients, customers, and others. In addition, negative posts or comments about us on any social media website could damage our reputation. Any of the above risks could have a material adverse effect on our business, reputation, financial condition, results of operations, cash flows, and/or stock price.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the Viatris Charter and Viatris Bylaws and of applicable law may prevent or delay an acquisition of Viatris, which could decrease the trading price of Viatris common stock.</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Viatris Charter, Viatris Bylaws and Delaware law contain provisions that may have the effect of deterring takeovers by making such takeovers more expensive to the acquiror and by encouraging prospective acquirors to negotiate with the Viatris Board rather than to attempt a hostile takeover. These provisions include the division of the Viatris Board into three classes of directors until the 2023 annual meeting of Viatris stockholders, which could have the effect of making the replacement of incumbent directors more time-consuming and difficult, rules regarding how stockholders may present proposals or nominate directors for election at stockholder meetings and the right of the Viatris Board to issue preferred stock without stockholder approval. Delaware law also imposes some restrictions on mergers and other business combinations between Viatris and any holder of 15% or more of Viatris’ outstanding common stock.</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These provisions are intended to protect Viatris’ stockholders from coercive or otherwise unfair takeover tactics by requiring potential acquirors to negotiate with the Viatris Board and by providing the Viatris Board with more time to assess any acquisition proposal. These provisions are not intended to make Viatris immune from takeovers. However, these provisions apply even if the offer may be considered beneficial by some stockholders and could delay or prevent an acquisition that the Viatris Board determines is not in the best interests of Viatris and its stockholders. Accordingly, if the Viatris Board determines that a potential business combination transaction is not in the best interests of Viatris and its stockholders, but certain stockholders believe that such a transaction would be beneficial to Viatris and its stockholders, such stockholders may elect to sell their shares in Viatris and the trading price of Viatris common stock could decrease. These and other provisions of the Viatris Charter, the Viatris Bylaws and the DGCL could have the effect of delaying, deferring or preventing a proxy contest, tender offer, merger or other change in control, which may have a material adverse effect on Viatris’ business, financial condition, results of operations, cash flows, ability to pay dividends and/or stock price.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Viatris Charter designates the Court of Chancery of the State of Delaware, or, if such court lacks subject matter jurisdiction, another state court of the State of Delaware (or, if no state court located within the State of Delaware has jurisdiction, the federal district court for the District of Delaware), as the sole and exclusive forum for certain types of actions and proceedings that may be initiated by Viatris’ stockholders, which could discourage lawsuits against Viatris and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Viatris Charter provides that unless Viatris, through approval of the Viatris Board, otherwise consents in writing, the Court of Chancery of the State of Delaware or, if and only if the Court of Chancery of the State of Delaware dismisses such action for lack of subject matter jurisdiction, another state court sitting in the State of Delaware (or, if no state court located within the State of Delaware has jurisdiction, the federal district court for the District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as each may be amended from time to time, any action or proceeding asserting a claim against Viatris or any of its directors, officers or other employees governed by the internal affairs doctrine or any action or proceeding as to which the DGCL (as it may be amended from time to time) confers jurisdiction on the Court of Chancery of the State of Delaware.</w:t>
      </w:r>
    </w:p>
    <w:p>
      <w:pPr>
        <w:spacing w:after="0" w:line="18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To the fullest extent permitted by law, this exclusive forum provision will apply to state and federal law claims, including claims under the federal securities laws, including the Securities Act and the Exchange Act. However, Viatris stockholders will not be deemed to have waived Viatris’ compliance with the federal securities laws and the rules and regulations thereunder.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the Viatris Charter to be inapplicable or unenforceable.</w:t>
      </w:r>
    </w:p>
    <w:p>
      <w:pPr>
        <w:spacing w:after="0" w:line="16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This exclusive forum provision may limit the ability of Viatris’ stockholders to bring a claim in a judicial forum that such stockholders find favorable for disputes with Viatris or its directors or officers, which may discourage such lawsuits against Viatris or its directors or officers. Alternatively, if a court were to find this exclusive forum provision inapplicable to, or unenforceable in respect of, one or more of the specified types of actions or proceedings described above, Viatris may incur additional costs associated with resolving such matters in other jurisdictions or forums, which could materially and adversely affect Viatris’ business, financial condition, results of operations, cash flows, ability to pay dividends and/or stock price.</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business and operations could be negatively affected by pressures from outside of the control of the company, including, but not limited to, shareholder actions, government regulations and disclosure requirements, and other market dynamics, which could cause us to incur significant expenses, hinder execution of our business strategy and negatively impact our share price.</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recent years, shareholder actions, government regulations and disclosure requirements, and other market dynamics, involving corporate governance, environmental and social matters, human capital, strategic direction and operations have become increasingly prevalent. Shareholder challenges or more extensive government regulation or intervention in these areas, may create a significant distraction or burden for our management and employees, negatively impact our ability to execute our business plans, require our management to expend significant time and resources, create uncertainties with respect to our financial position and operations, adversely affect our ability to attract and retain key employees or result in loss of potential business opportunities with our current and potential customers and business partners. In addition, such actions, regulation and intervention may cause significant fluctuations in our share price based on temporary or speculative market perceptions, uncertainties or other factors that do not necessarily reflect the underlying fundamentals and prospects of our business, which could cause the market value of our common stock to decline.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properties, refer to Item 1 “Business” in Part I of this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information regarding legal proceedings, refer to Note 20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Item 8 in Part II of this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traded on the NASDAQ Stock Market under the symbol “VTRS”.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21, 2023, there were approximately 108,736 holders of record of shares of Viatris common stock.</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paid quarterly dividends of $0.12 per share on the Company’s issued and outstanding common stock on March 16, 2022, June 16, 2022, September 16, 2022 and December 16, 2022. On February 24, 2023, the Company’s Board of Directors declared a quarterly cash dividend of $0.12 per share on the Company’s issued and outstanding common stock, which will be payable on March 17, 2023 to shareholders of record as of the close of business on March 9, 2023.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paid quarterly cash dividends of $0.11 per share on the Company’s issued and outstanding common stock on June 16, 2021, September 16, 2021 and December 16, 2021. The Company did not pay any dividends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16" w:lineRule="exact"/>
        <w:rPr>
          <w:sz w:val="20"/>
          <w:szCs w:val="20"/>
          <w:color w:val="auto"/>
        </w:rPr>
      </w:pPr>
    </w:p>
    <w:p>
      <w:pPr>
        <w:ind w:right="340" w:firstLine="648"/>
        <w:spacing w:after="0" w:line="255" w:lineRule="auto"/>
        <w:rPr>
          <w:sz w:val="20"/>
          <w:szCs w:val="20"/>
          <w:color w:val="auto"/>
        </w:rPr>
      </w:pPr>
      <w:r>
        <w:rPr>
          <w:rFonts w:ascii="Arial" w:cs="Arial" w:eastAsia="Arial" w:hAnsi="Arial"/>
          <w:sz w:val="17"/>
          <w:szCs w:val="17"/>
          <w:color w:val="auto"/>
        </w:rPr>
        <w:t>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ordinary shareholders received one share of Viatris common stock for every one share of Mylan ordinary share held. The graph below compares Viatris Inc.’s cumulative total shareholder return on common stock with the cumulative total returns of the S&amp;P 500 index and the Dow Jones US Pharmaceuticals index. The graph tracks the performance of a $100 investment in our common stock and in each index (with the reinvestment of all dividends) from November 16, 2020 to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140335</wp:posOffset>
            </wp:positionV>
            <wp:extent cx="5023485" cy="3883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2348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hanging="148"/>
        <w:spacing w:after="0"/>
        <w:tabs>
          <w:tab w:leader="none" w:pos="480" w:val="left"/>
        </w:tabs>
        <w:numPr>
          <w:ilvl w:val="0"/>
          <w:numId w:val="23"/>
        </w:numPr>
        <w:rPr>
          <w:rFonts w:ascii="Arial" w:cs="Arial" w:eastAsia="Arial" w:hAnsi="Arial"/>
          <w:sz w:val="11"/>
          <w:szCs w:val="11"/>
          <w:color w:val="auto"/>
        </w:rPr>
      </w:pPr>
      <w:r>
        <w:rPr>
          <w:rFonts w:ascii="Arial" w:cs="Arial" w:eastAsia="Arial" w:hAnsi="Arial"/>
          <w:sz w:val="18"/>
          <w:szCs w:val="18"/>
          <w:color w:val="auto"/>
        </w:rPr>
        <w:t>$100 invested on November 16, 2020 in stock or October 31, 2020 in index, including reinvestment of dividends.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November 16,</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9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0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r>
      <w:tr>
        <w:trPr>
          <w:trHeight w:val="229"/>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Viatris Inc.</w:t>
            </w:r>
          </w:p>
        </w:tc>
        <w:tc>
          <w:tcPr>
            <w:tcW w:w="5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r>
      <w:tr>
        <w:trPr>
          <w:trHeight w:val="230"/>
        </w:trPr>
        <w:tc>
          <w:tcPr>
            <w:tcW w:w="900" w:type="dxa"/>
            <w:vAlign w:val="bottom"/>
          </w:tcPr>
          <w:p>
            <w:pPr>
              <w:ind w:left="20"/>
              <w:spacing w:after="0"/>
              <w:rPr>
                <w:sz w:val="20"/>
                <w:szCs w:val="20"/>
                <w:color w:val="auto"/>
              </w:rPr>
            </w:pPr>
            <w:r>
              <w:rPr>
                <w:rFonts w:ascii="Arial" w:cs="Arial" w:eastAsia="Arial" w:hAnsi="Arial"/>
                <w:sz w:val="18"/>
                <w:szCs w:val="18"/>
                <w:color w:val="auto"/>
              </w:rPr>
              <w:t>S&amp;P 500</w:t>
            </w:r>
          </w:p>
        </w:tc>
        <w:tc>
          <w:tcPr>
            <w:tcW w:w="5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148.28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121.43</w:t>
            </w: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Dow Jones U.S. Pharmaceuticals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w:t>
            </w:r>
          </w:p>
        </w:tc>
      </w:tr>
      <w:tr>
        <w:trPr>
          <w:trHeight w:val="527"/>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tcPr>
          <w:p>
            <w:pPr>
              <w:ind w:left="80"/>
              <w:spacing w:after="0"/>
              <w:rPr>
                <w:sz w:val="20"/>
                <w:szCs w:val="20"/>
                <w:color w:val="auto"/>
              </w:rPr>
            </w:pPr>
            <w:r>
              <w:rPr>
                <w:rFonts w:ascii="Arial" w:cs="Arial" w:eastAsia="Arial" w:hAnsi="Arial"/>
                <w:sz w:val="18"/>
                <w:szCs w:val="18"/>
                <w:b w:val="1"/>
                <w:bCs w:val="1"/>
                <w:color w:val="auto"/>
              </w:rPr>
              <w:t>[Reserved]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Viatris Inc. and</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subsidiaries for the periods presented. Unless context requires otherwise, the “Company,” “Viatris,” “our” or “we” refer to Viatris Inc. and its subsidiaries.</w:t>
      </w:r>
    </w:p>
    <w:p>
      <w:pPr>
        <w:spacing w:after="0" w:line="23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This discussion and analysis should be read in conjunction with the consolidated financial statements and the related notes to consolidated financial statements included in Part II, Item 8 in this Form 10-K, and our other SEC filings and public disclosures.</w:t>
      </w:r>
    </w:p>
    <w:p>
      <w:pPr>
        <w:spacing w:after="0" w:line="157"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This Form 10-K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6" w:lineRule="exact"/>
        <w:rPr>
          <w:sz w:val="20"/>
          <w:szCs w:val="20"/>
          <w:color w:val="auto"/>
        </w:rPr>
      </w:pPr>
    </w:p>
    <w:p>
      <w:pPr>
        <w:ind w:left="660" w:right="300" w:hanging="328"/>
        <w:spacing w:after="0" w:line="23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realize the intended benefits of, or achieve the intended goals or outlooks with respect to, its strategic initiatives;</w:t>
      </w:r>
    </w:p>
    <w:p>
      <w:pPr>
        <w:ind w:left="660" w:right="8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acquisitions, divestitures, or its global restructuring program, within the expected timeframe or at all;</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charges or other losses related to the divestiture or sale of businesses or assets;</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ind w:left="660" w:right="60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ind w:left="660" w:right="10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recent and potential tax reform in the U.S.);</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ind w:left="660" w:right="72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spacing w:after="0" w:line="1" w:lineRule="exact"/>
        <w:rPr>
          <w:rFonts w:ascii="Arial" w:cs="Arial" w:eastAsia="Arial" w:hAnsi="Arial"/>
          <w:sz w:val="18"/>
          <w:szCs w:val="18"/>
          <w:color w:val="auto"/>
        </w:rPr>
      </w:pPr>
    </w:p>
    <w:p>
      <w:pPr>
        <w:ind w:left="660" w:right="70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ind w:left="660" w:right="30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1" w:lineRule="exact"/>
        <w:rPr>
          <w:rFonts w:ascii="Arial" w:cs="Arial" w:eastAsia="Arial" w:hAnsi="Arial"/>
          <w:sz w:val="18"/>
          <w:szCs w:val="18"/>
          <w:color w:val="auto"/>
        </w:rPr>
      </w:pPr>
    </w:p>
    <w:p>
      <w:pPr>
        <w:ind w:left="660" w:right="32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ind w:left="660" w:right="560" w:hanging="328"/>
        <w:spacing w:after="0" w:line="23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an acquisition or divestiture;</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ind w:left="660" w:right="4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inflation rates and global exchange rates; and</w:t>
      </w:r>
    </w:p>
    <w:p>
      <w:pPr>
        <w:spacing w:after="0" w:line="1" w:lineRule="exact"/>
        <w:rPr>
          <w:rFonts w:ascii="Arial" w:cs="Arial" w:eastAsia="Arial" w:hAnsi="Arial"/>
          <w:sz w:val="18"/>
          <w:szCs w:val="18"/>
          <w:color w:val="auto"/>
        </w:rPr>
      </w:pPr>
    </w:p>
    <w:p>
      <w:pPr>
        <w:ind w:left="660" w:right="280" w:hanging="328"/>
        <w:spacing w:after="0" w:line="23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30"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in this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10-K and shall not be deemed “filed” under the Securities Exchange Act of 1934, as amended. Viatris undertakes no obligation to update any statements herein for revisions or changes after the filing date of this Form 10-K other than as required by law.</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Mylan is considered the accounting acquirer of the Upjohn Business and all historical financial information of the Company prior to November 16, 2020 represents Mylan’s historical results and the Company’s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Viatris’ seasoned management team is focused on ensuring that the Company is optimally structured and efficiently resourced to deliver sustainable value to patients, shareholders, customers and other key stakeholders. With a global workforce of approximately 37,000,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and complex generics, including biosimilars prior to the Biocon Biologics Transaction.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19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including biosimilars prior to the Biocon Biologics Transaction,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1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24"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Ophthalmology Acquisitions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2023, the Company completed the acquisition of Oyster Point for approximately $425 million in cash, which includes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per share paid to Oyster Point stockholders through a tender offer and the repayment of the principal amount of certain debt of Oyster Point.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upfront cash consideration, each Oyster Point stockholder received one non-tradeable contingent value right representing up to an additional $2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or approximately $60 million in the aggregate, contingent upon Oyster Point achieving certain metrics based upon full year 2022 performance,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expected to be determined by the end of the first quarter of 2023. Oyster Point is a commercial-stage biopharmaceutical company focused 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discovery, development, and commercialization of first-in-class pharmaceutical therapies to treat ophthalmic diseases.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November 7, 2022, the Company entered into a definitive agreement to acquire the remaining equity shares of Famy Life Sciences, a private-owned research company with a complementary portfolio of ophthalmology therapies under development, for a consideration of $281 million. The Company had previously entered into a Master Development Agreement with Famy Life Sciences on December 20, 2019 to grant the Company rights with respect to acquiring certain pharmaceutical products and had additionally acquired shares representing approximately 13.5% equity interest in Famy Life Sciences for $25.0 million during the year ended December 31, 2020. The transaction to acquire the remaining equity shares of Famy Life Sciences closed during the first quarter of 2023.</w:t>
      </w:r>
    </w:p>
    <w:p>
      <w:pPr>
        <w:spacing w:after="0" w:line="21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6"/>
          <w:szCs w:val="16"/>
          <w:color w:val="auto"/>
        </w:rPr>
        <w:t xml:space="preserve">The accounting impact of the Oyster Point and Famy Life Sciences acquisitions and the results of the operations for Oyster Point and Famy Life Sciences will be included in our consolidated financial statements beginning in the first quarter of 2023. Refer to Note 4 </w:t>
      </w:r>
      <w:r>
        <w:rPr>
          <w:rFonts w:ascii="Arial" w:cs="Arial" w:eastAsia="Arial" w:hAnsi="Arial"/>
          <w:sz w:val="16"/>
          <w:szCs w:val="16"/>
          <w:i w:val="1"/>
          <w:iCs w:val="1"/>
          <w:color w:val="auto"/>
        </w:rPr>
        <w:t>Acquisitions and Other</w:t>
      </w:r>
    </w:p>
    <w:p>
      <w:pPr>
        <w:spacing w:after="0"/>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included in Part II. Item 8 of this Form 10-K for more information.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2022, the Company did not repurchase any shares of common stock under the share repurchase program. In January and February 2023, the Company repurchased approximately 21.2 million shares of common stock at a cost of approximately $250 million. The share repurchase program does not obligate the Company to acquire any particular amount of common stock.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International Operations</w:t>
      </w:r>
    </w:p>
    <w:p>
      <w:pPr>
        <w:spacing w:after="0" w:line="21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The ongoing conflict between Russia and Ukraine did not have a material impact on our business as the combined total revenues for both countries were approximately 1% of consolidated total revenues during the years ended December 31, 2022 and 2021. However, trade controls, sanctions, supply chain and staffing challenges and other economic considerations related to the conflict have impacted our operations in these markets and may negatively impact our financial results in future periods. In addition, a significant escalation or expansion of the conflict’s current scope may have a negative impact on our operations and financial results in future periods. For a further discussion of the risks we encounter in our business, including the risks of conducting our business internationally, please refer to </w:t>
      </w:r>
      <w:r>
        <w:rPr>
          <w:rFonts w:ascii="Arial" w:cs="Arial" w:eastAsia="Arial" w:hAnsi="Arial"/>
          <w:sz w:val="17"/>
          <w:szCs w:val="17"/>
          <w:i w:val="1"/>
          <w:iCs w:val="1"/>
          <w:color w:val="auto"/>
        </w:rPr>
        <w:t>Risk Factors in</w:t>
      </w:r>
      <w:r>
        <w:rPr>
          <w:rFonts w:ascii="Arial" w:cs="Arial" w:eastAsia="Arial" w:hAnsi="Arial"/>
          <w:sz w:val="17"/>
          <w:szCs w:val="17"/>
          <w:color w:val="auto"/>
        </w:rPr>
        <w:t xml:space="preserve"> Part I, Item 1A of this Form 10-K.</w:t>
      </w:r>
    </w:p>
    <w:p>
      <w:pPr>
        <w:spacing w:after="0" w:line="20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Under ASC 830, Foreign Currency Matters (“ASC 830”), a highly inflationary economy is one that has cumulative inflation of approximately 100% or more over a three-year period. Effective April 1, 2022, we classified Turkey as highly inflationary and began to utilize the U.S. dollar as our functional currency in Turkey, which historically utilized the Turkish lira as the functional currency. Application of the guidance in ASC 830 did not have a material impact on our consolidated financial statements for the year ended December 31, 2022. The impacted net sales for the year ended December 31, 2022 and total assets at December 31, 2022 represented less than 1% of our consolidated net sales and total assets, respectively.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Biocon Biologics Transaction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February 27, 2022, Viatris entered into a definitive agreement with Biocon Biologics to contribute its biosimilars portfolio to Biocon Biologics. The transaction subsequently closed on November 29, 2022, creating what Viatris expects to be a unique fully vertically integrated global biosimilars leader.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Viatris also is entitled to $335 million of additional cash payments in 2024. In addition, Viatris and Biocon Biologics have agreed to a closing working capital target of $250 million. An amount of cash equal to all or a portion of the closing working capital target may become payable to</w:t>
      </w:r>
    </w:p>
    <w:p>
      <w:pPr>
        <w:spacing w:after="0" w:line="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Biocon Biologics in connection with certain events in the future, depending on the valuations attributable to such events. Upon closing of the transaction, the Company recognized a gain on sale of approximately $1.75 billion and has not recognized the results of the business in its consolidated financial statements subsequent to November 29, 2022.</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term of the transition services agreement is generally up to two years. Under the transition services agreement, Viatris is entitled to be reimbursed for its costs (subject to certain caps) plus a markup.</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Restructuring Program</w:t>
      </w:r>
    </w:p>
    <w:p>
      <w:pPr>
        <w:spacing w:after="0" w:line="21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of the Coronavirus Pandemic</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through potential prevention and treatment efforts, supporting the communities in which we operate and maintaining the health of our overall business. In addressing the COVID-19 pandemic and helping meet urgent global health needs, tens of thousands of dedicated Viatris employees across the world have worked to help ensure a stable supply of much needed treatments.</w:t>
      </w:r>
    </w:p>
    <w:p>
      <w:pPr>
        <w:spacing w:after="0" w:line="211"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Because protecting the health and safety of our workforce remains paramount, we continue to align with government directives and the advice of relevant international, national and local health authorities at every Viatris facility around the world. As a result, some of our customer facing field personnel continue on a remote engagement model to ensure continued support for healthcare professionals, patient care and access to needed products and we have continued to take extra precautions at our manufacturing facilities to protect our site personnel and operations. All of our manufacturing facilities, and those of our key global partners, are currently operational and, at this time, we are not experiencing any significant disruptions.</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global spread of COVID-19 has created and continues to create volatility, uncertainty and economic disruption affecting the markets we serve, including impacts on supply chain partners, third-party manufacturers, logistics providers and other vendors. The extent to which the COVID-19 pandemic will impact our business, operations and financial results in future periods will depend on numerous evolving factors that are beyond our control and that we may not be able to accurately predict, and could adversely impact our financial condition and results of operations in future periods. Due to the Company’s ability to generate significant cash flows from operations, combined with our access to borrowing facilities and capital markets, we believe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and will maintain, the ability to meet foreseeable liquidity needs</w:t>
      </w:r>
      <w:r>
        <w:rPr>
          <w:rFonts w:ascii="Arial" w:cs="Arial" w:eastAsia="Arial" w:hAnsi="Arial"/>
          <w:sz w:val="21"/>
          <w:szCs w:val="21"/>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table below is a summary of the Company’s financial results for the year ended December 31, 2022 compared to the prior year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3,347.7</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77"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are discussed further in this Part II. Item 7 under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Compared to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2022 Currency</w:t>
            </w:r>
          </w:p>
        </w:tc>
        <w:tc>
          <w:tcPr>
            <w:tcW w:w="120" w:type="dxa"/>
            <w:vAlign w:val="bottom"/>
          </w:tcPr>
          <w:p>
            <w:pPr>
              <w:spacing w:after="0"/>
              <w:rPr>
                <w:sz w:val="11"/>
                <w:szCs w:val="11"/>
                <w:color w:val="auto"/>
              </w:rPr>
            </w:pPr>
          </w:p>
        </w:tc>
        <w:tc>
          <w:tcPr>
            <w:tcW w:w="104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1"/>
              </w:rPr>
              <w:t>2022 Constant</w:t>
            </w:r>
          </w:p>
        </w:tc>
        <w:tc>
          <w:tcPr>
            <w:tcW w:w="1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Constant Currency</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95"/>
              <w:spacing w:after="0" w:line="145"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line="202" w:lineRule="exact"/>
              <w:rPr>
                <w:sz w:val="20"/>
                <w:szCs w:val="20"/>
                <w:color w:val="auto"/>
              </w:rPr>
            </w:pPr>
            <w:r>
              <w:rPr>
                <w:rFonts w:ascii="Arial" w:cs="Arial" w:eastAsia="Arial" w:hAnsi="Arial"/>
                <w:sz w:val="14"/>
                <w:szCs w:val="14"/>
                <w:b w:val="1"/>
                <w:bCs w:val="1"/>
                <w:color w:val="auto"/>
                <w:w w:val="91"/>
              </w:rPr>
              <w:t xml:space="preserve">Impact </w:t>
            </w:r>
            <w:r>
              <w:rPr>
                <w:rFonts w:ascii="Arial" w:cs="Arial" w:eastAsia="Arial" w:hAnsi="Arial"/>
                <w:sz w:val="18"/>
                <w:szCs w:val="18"/>
                <w:b w:val="1"/>
                <w:bCs w:val="1"/>
                <w:color w:val="auto"/>
                <w:w w:val="91"/>
                <w:vertAlign w:val="superscript"/>
              </w:rPr>
              <w:t>(1)</w:t>
            </w:r>
          </w:p>
        </w:tc>
        <w:tc>
          <w:tcPr>
            <w:tcW w:w="120" w:type="dxa"/>
            <w:vAlign w:val="bottom"/>
          </w:tcPr>
          <w:p>
            <w:pPr>
              <w:spacing w:after="0"/>
              <w:rPr>
                <w:sz w:val="17"/>
                <w:szCs w:val="17"/>
                <w:color w:val="auto"/>
              </w:rPr>
            </w:pPr>
          </w:p>
        </w:tc>
        <w:tc>
          <w:tcPr>
            <w:tcW w:w="104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7"/>
                <w:szCs w:val="17"/>
                <w:color w:val="auto"/>
              </w:rPr>
            </w:pPr>
          </w:p>
        </w:tc>
        <w:tc>
          <w:tcPr>
            <w:tcW w:w="1300" w:type="dxa"/>
            <w:vAlign w:val="bottom"/>
          </w:tcPr>
          <w:p>
            <w:pPr>
              <w:jc w:val="right"/>
              <w:ind w:right="182"/>
              <w:spacing w:after="0" w:line="202"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9,768.9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10,428.7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10,435.5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32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1,863.2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17,813.6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17,454.0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Other revenues </w:t>
            </w:r>
            <w:r>
              <w:rPr>
                <w:rFonts w:ascii="Arial" w:cs="Arial" w:eastAsia="Arial" w:hAnsi="Arial"/>
                <w:sz w:val="9"/>
                <w:szCs w:val="9"/>
                <w:b w:val="1"/>
                <w:bCs w:val="1"/>
                <w:color w:val="auto"/>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9"/>
                <w:szCs w:val="9"/>
                <w:b w:val="1"/>
                <w:bCs w:val="1"/>
                <w:color w:val="auto"/>
              </w:rPr>
              <w:t>(4)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17,886.3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17,501.5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right="20" w:hanging="328"/>
        <w:spacing w:after="0" w:line="227" w:lineRule="auto"/>
        <w:tabs>
          <w:tab w:leader="none" w:pos="64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2022, other revenues in Developed Markets, JANZ, and Emerging Markets were approximately $21.8 million, $1.4 million, and $21.4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which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year ended December 31, 2022, the Company reported total revenues of $16.26 billion, compared to $17.89 billion for the comparable prior year period, representing a decrease of $1.62 billion, or 9%. Total revenues include both net sales and other revenues from third parties. Net sales for the year ended December 31, 2022 were $16.22 billion, compared to $17.81 billion for the comparable prior year period, representing a decrease of $1.60 billion, or 9%. Other revenues for the year ended December 31, 2022 were $44.6 million, compared to $72.7 million for the comparable prior year period, a decrease of $28.1 million.</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decrease in net sales was primarily driven by the unfavorable impact of foreign currency translation of approximately $1.24 billion, or 7%, primarily reflecting changes in the U.S. Dollar as compared to the currencies of subsidiaries in countries within the EU, Japan and India. On a constant currency basis, the decrease in net sales was approximately $359.6 million, or 2% for the year ended December 31, 2022 compared to the prior year period. This decrease was partially due to approximately $63.5 million related to the year over year impact of the sale of the biosimilars business on November 29, 2022. The decrease was also due to competition on certain key U.S. products representing a decline of approximately $188 million, and approximately $591 million as a result of other base business erosion. The decrease in net sales from existing products was partially offset by approximately $483.1 million of new product sales, primarily in the U.S. New product sales include new products launched in 2022 and the carryover impact of new products, including business development, launched within the last twelve months.</w:t>
      </w:r>
    </w:p>
    <w:p>
      <w:pPr>
        <w:spacing w:after="0" w:line="20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33% for the years ended December 31, 2022 and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sales from Developed Markets decreased by $659.8 million or 6% during the year ended December 31, 2022 when compared to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decrease was primarily the result of unfavorable impact of foreign currency translation of approximately $666.6 million, or 6%. Constant currency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by approximately $6.8 million, or less than 1%, when compared to the prior year. Net sales within North America totaled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$4.34 billion and net sales within Europe totaled approximately $5.43 billion. The increase in constant currency net sales was driven by new product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lenalidomide, unbranded insulin glargine and Semglee®, and cyclosporine ophthalmic emulsion in the U.S., and higher volumes of existing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in Europe. This increase was partially offset by the year over year impact of the sale of the biosimilars business, and lower net sales of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in the U.S., including Miacalcin®, Wixela Inhub® and Perforomist®, as a result of lower pricing and, to a lesser extent, volumes due to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Net sales from Greater China decreased by $11.6 million, or less than 1%, for the year ended December 31, 2022 when compared to the prior year. This decrease was primarily the result of the unfavorable impact of foreign currency translation of approximately $73.8 million, or 3%. Constant currency net sales increased by approximately $62.2 million, or 3%, when compared to the prior year, driven primarily by increased volumes of existing products.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Net sales from JANZ decreased by $395.0 million or 19% for the year ended December 31, 2022 when compared to the prior year. This decrease was primarily the result of the unfavorable impact of foreign currency translation of approximately $230.8 million, or 11%. Constant currency net sales decreased by approximately $164.2 million, or 8%, when compared to the prior year. The decrease was primarily due to lower net sales of existing products mainly driven by lower pricing in Japan as a result of government price reductions and additional competition, and lower volumes of existing products in Australia. These decreases were partially offset by higher volumes of existing products in Japan, including for Celebrex®.</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sales from Emerging Markets decreased by $529.1 million or 17% for the year ended December 31, 2022 when compared to the prior year. This decrease was partially driven by the unfavorable impact of foreign currency translation of approximately $264.7 million, or 8%. Constant currency net sales decreased by approximately $264.4 million, or 8%, when compared to the prior year. This decrease was primarily driven by lower volumes of COVID-19 related products in India, primarily remdesivir and ambisome, and lower sales of ARV products as a result of competitive market conditions. These decreases were partially offset by higher volumes in certain markets in Asia.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 xml:space="preserve">Cost of sales decreased from $12.31 billion for the year ended December 31, 2021 to $9.77 billion for the year ended December 31, 2022. Cost of sales was primarily impacted by purchase accounting related amortization of the step-up in the fair value of acquired inventory of $1.19 billion in the prior year period, lower restructuring costs in the current year related to the 2020 restructuring program versus the prior year period, and lower costs associated with other special items, which are described further in the section titled </w:t>
      </w:r>
      <w:r>
        <w:rPr>
          <w:rFonts w:ascii="Arial" w:cs="Arial" w:eastAsia="Arial" w:hAnsi="Arial"/>
          <w:sz w:val="17"/>
          <w:szCs w:val="17"/>
          <w:i w:val="1"/>
          <w:iCs w:val="1"/>
          <w:color w:val="auto"/>
        </w:rPr>
        <w:t>Use of Non-GAAP Financial Measures</w:t>
      </w:r>
      <w:r>
        <w:rPr>
          <w:rFonts w:ascii="Arial" w:cs="Arial" w:eastAsia="Arial" w:hAnsi="Arial"/>
          <w:sz w:val="17"/>
          <w:szCs w:val="17"/>
          <w:color w:val="auto"/>
        </w:rPr>
        <w:t>.</w:t>
      </w:r>
    </w:p>
    <w:p>
      <w:pPr>
        <w:spacing w:after="0" w:line="17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Gross profit for the year ended December 31, 2022 was $6.50 billion and gross margins were 40%. For the year ended December 31, 2021, gross profit was $5.58 billion and gross margins were 31%. This change is primarily related to the decrease in cost of sales. Adjusted gross margins were approximately 59% for the year ended December 31, 2022, essentially flat when compared to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between cost of sales, as reported under U.S. GAAP, and adjusted cost of sales and adjusted gross margin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compared to the year ended December 31, 2021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3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12,310.8</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Deduct: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amortization and other related items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(4,039.7)</w:t>
            </w: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Acquisition and divestiture related costs</w:t>
            </w:r>
          </w:p>
        </w:tc>
        <w:tc>
          <w:tcPr>
            <w:tcW w:w="34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related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6,681.0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7,387.2</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9,581.7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10,499.1</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
        </w:trPr>
        <w:tc>
          <w:tcPr>
            <w:tcW w:w="83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60" w:hanging="332"/>
        <w:spacing w:after="0" w:line="220" w:lineRule="auto"/>
        <w:tabs>
          <w:tab w:leader="none" w:pos="335"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R&amp;D expense for the year ended December 31, 2022 was $662.2 million, compared to $681.0 million for the prior year, a decrease of $18.8 million. This decrease was primarily due to the impact of synergies. Certain reclassifications were made to conform the prior period consolidated financial statements to the current period presentation. Upfront and milestone-related charges in connection with collaboration and licensing arrangements previously presented in R&amp;D expense are now presented in Acquired IPR&amp;D.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Acquired IPR&amp;D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Acquired IPR&amp;D expense for the year ended December 31, 2022 was $36.4 million, compared to $70.1 million for the prior year, a decrease of $33.7 million. The decrease was primarily due to an upfront licensing payment in the prior year of $40.0 million for the development of an ophthalmic product. This was partially offset by an upfront licensing payment of $20.0 million to Calliditas Therapeutics AB related to Nefecon® recorded during the current year.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SG&amp;A expense for the year ended December 31, 2022 was $4.18 billion, compared to $4.53 billion for the prior year, a decrease of $350.1 million. The decrease was primarily due to lower restructuring costs of approximately $322.8 million related to the 2020 restructuring program and the impact of synergies. Partially offsetting these decreases were higher integration costs as a result of transitioning certain support services from Pfizer, costs incurred in conjunction with the Biocon Biologics Transaction, and a goodwill impairment charge of $117.0 million related to the potential divestiture of the Upjohn Distributor Markets.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includes the (gains) losses recognized in litigation settlements and other contingencies, net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respectively: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adjustment (primarily related to Respiratory Delivery Platform)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Litigation settlements in 2021 included a $264.0 million charge for the EpiPen® related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Interest expense for the year ended December 31, 2022 totaled $592.4 million, compared to $636.2 million for the year ended December 31, 2021, a decrease of $43.8 million. The decrease is primarily due to the impact of debt repayments.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Other (income) expense, net includes gains and losses from divestitures, equity affiliates, foreign exchange, expense (income) related to post-employment benefit plans, TSA income, and interest and dividend income. Other income, net for the year ended December 31, 2022 totaled $1.79 billion, compared to $5.8 million for the year ended December 31, 2021. The increase was primarily driven by the gain from the Biocon Biologics Transaction of $1.75 billion and income of $17.7 million related to reimbursement for transition services provided to Biocon Biologics subsequent to the closing of the Biocon Biologics Transaction. The costs related to the transition services are included in SG&amp;A and R&amp;D. In addition, the prior year was negatively impacted by losses of $61.9 million from the Company’s clean energy investments, which did not recur in 2022 as all of the clean energy investments wound down operations at the end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the year ended December 31, 2022, the Company recognized an income tax provision of $734.6 million, compared to an income tax provision of $604.7 million for the prior year, a change in the provision of $129.9 million. The income tax provision for the year ended December 31, 2022 was negatively impacted by the gain from the Biocon Biologics Transaction. The income tax provision for the year ended December 31, 2021 was negatively impacted by the tax rates applied to the reversal of intercompany profit in inventory reserve which was recorded on the opening balance sheet as part of the Combination. This reserve eliminates the profit in inventory related to intercompany transactions and changes to this reserve occur as products are sold to third parties. Also impacting the income tax provision for both periods was the changing mix of income earned in jurisdictions with differing tax rates.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Compared to 2020</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Discussions of 2020 items and year-to-year comparisons between 2021 and 2020 are not included in this Form 10-K, and can be found in “Management’s Discussion and Analysis of Financial Condition and Results of Operations” in Part II, Item 7 of the Company’s Annual Report on Form 10-K for the year ended December 31, 2021.</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Adjusted net earnings is a non-GAAP financial measure and provides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impairment of long-lived assets, acquisition and divestiture related and other special items to determine adjusted EBITDA. These adjustments are generally permitted under our credit agreement in calculating adjusted EBITDA for determining compliance with our debt covenants.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EBITDA include: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and impairments of goodwill. For the acquisition of businesses accounted for under the provisions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Beginning in 2022, upfront and milestone-related R&amp;D expenses related to collaboration and licensing arrangements made prior to regulatory approval of a development product are no longer excluded from adjusted net earnings and adjusted EBITDA. For purposes of comparability, the prior years’ non-GAAP financial measures have been updated to reflect this change. For the years ended December 31, 2021 and 2020, this resulted in a decrease in adjusted EBITDA of $70.1 million and $42.5 million, respectively, and a decrease in adjusted net earnings of $57.8 million and $34.6 million, respectively.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Adjustments, Including Contingent Consideration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impact of changes to the fair value of assets and liabilities, including contingent and deferred consideration, and the related accretion income or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Share-based compensation expense is excluded from adjusted cost of sales,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and Divestiture Related, and Other Special Items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62" w:lineRule="exact"/>
        <w:rPr>
          <w:sz w:val="20"/>
          <w:szCs w:val="20"/>
          <w:color w:val="auto"/>
        </w:rPr>
      </w:pPr>
    </w:p>
    <w:p>
      <w:pPr>
        <w:ind w:left="980" w:right="520" w:hanging="324"/>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21"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acquisition and divestitures related remediation and integration and planning costs, as well as other costs associated with acquisitions and divestitures such as advisory and legal fees, certain financing related costs, certain reimbursements related to the Company’s obligation to reimburse Pfizer for certain financing and transaction related costs under the BCA and SDA, certain other TSA related set-up and exit costs, and other business transformation and/or optimization initiatives, which are not part of a formal restructuring program, including employee separation and post-employment costs;</w:t>
      </w:r>
    </w:p>
    <w:p>
      <w:pPr>
        <w:spacing w:after="0" w:line="2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8"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Gains or losses from divestitures, including impairments of held of sale assets; and</w:t>
      </w:r>
    </w:p>
    <w:p>
      <w:pPr>
        <w:spacing w:after="0" w:line="63"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changes related to uncertain tax positions and certain impacts related to the Combination are excluded from adjusted cost of sales and adjusted net earnings. In addition, tax adjustments to adjusted earnings are recorded to present items on an after-tax basis consistent with the presentation of adjusted net earnings.</w:t>
      </w:r>
    </w:p>
    <w:p>
      <w:pPr>
        <w:spacing w:after="0" w:line="184" w:lineRule="exact"/>
        <w:rPr>
          <w:sz w:val="20"/>
          <w:szCs w:val="20"/>
          <w:color w:val="auto"/>
        </w:rPr>
      </w:pPr>
    </w:p>
    <w:p>
      <w:pPr>
        <w:ind w:right="160" w:firstLine="648"/>
        <w:spacing w:after="0" w:line="340" w:lineRule="auto"/>
        <w:rPr>
          <w:sz w:val="20"/>
          <w:szCs w:val="20"/>
          <w:color w:val="auto"/>
        </w:rPr>
      </w:pPr>
      <w:r>
        <w:rPr>
          <w:rFonts w:ascii="Arial" w:cs="Arial" w:eastAsia="Arial" w:hAnsi="Arial"/>
          <w:sz w:val="15"/>
          <w:szCs w:val="15"/>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net earnings and adjusted EBITDA because it believes it is helpful to understanding the underlying, ongoing operational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Charges and gains related to legal matters, such as those discussed in Note 20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II. Item 8 of this Form 10-K are generally excluded from adjusted net earnings and adjusted EBITDA. Normal, ongoing defense costs of the Company made in the normal course of our business are not excluded.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between net earnings (loss) as reported under U.S. GAAP, and adjusted net earnings for the periods shown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accounting related amortization (primarily included in cost of sales)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Impairment of goodwill related to assets held for sale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Litigation settlements and other contingencies,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(primarily amortization of premiums and discounts on long 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Clean energy investments pre-tax loss</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and divestiture related costs (primarily included in SG&amp;A)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Biocon Biologics gain on divestiture (included in other (income) expense,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3"/>
                <w:szCs w:val="23"/>
                <w:color w:val="auto"/>
                <w:vertAlign w:val="superscript"/>
              </w:rPr>
              <w:t>(c)</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special items included 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Research and development expense </w:t>
            </w:r>
            <w:r>
              <w:rPr>
                <w:rFonts w:ascii="Arial" w:cs="Arial" w:eastAsia="Arial" w:hAnsi="Arial"/>
                <w:sz w:val="23"/>
                <w:szCs w:val="23"/>
                <w:color w:val="auto"/>
                <w:vertAlign w:val="superscript"/>
              </w:rPr>
              <w: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8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Selling, general and administrative expense </w:t>
            </w:r>
            <w:r>
              <w:rPr>
                <w:rFonts w:ascii="Arial" w:cs="Arial" w:eastAsia="Arial" w:hAnsi="Arial"/>
                <w:sz w:val="23"/>
                <w:szCs w:val="23"/>
                <w:color w:val="auto"/>
                <w:vertAlign w:val="superscript"/>
              </w:rPr>
              <w:t>(f)</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the above items and other income tax related items </w:t>
            </w:r>
            <w:r>
              <w:rPr>
                <w:rFonts w:ascii="Arial" w:cs="Arial" w:eastAsia="Arial" w:hAnsi="Arial"/>
                <w:sz w:val="23"/>
                <w:szCs w:val="23"/>
                <w:color w:val="auto"/>
                <w:vertAlign w:val="superscript"/>
              </w:rPr>
              <w:t>(g)</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earnings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for the year ended December 31, 2022 include the following:</w:t>
      </w:r>
    </w:p>
    <w:p>
      <w:pPr>
        <w:spacing w:after="0" w:line="117" w:lineRule="exact"/>
        <w:rPr>
          <w:sz w:val="20"/>
          <w:szCs w:val="20"/>
          <w:color w:val="auto"/>
        </w:rPr>
      </w:pPr>
    </w:p>
    <w:p>
      <w:pPr>
        <w:ind w:left="660" w:hanging="328"/>
        <w:spacing w:after="0" w:line="263" w:lineRule="auto"/>
        <w:tabs>
          <w:tab w:leader="none" w:pos="533" w:val="left"/>
        </w:tabs>
        <w:numPr>
          <w:ilvl w:val="0"/>
          <w:numId w:val="28"/>
        </w:numPr>
        <w:rPr>
          <w:rFonts w:ascii="Arial" w:cs="Arial" w:eastAsia="Arial" w:hAnsi="Arial"/>
          <w:sz w:val="9"/>
          <w:szCs w:val="9"/>
          <w:color w:val="auto"/>
        </w:rPr>
      </w:pPr>
      <w:r>
        <w:rPr>
          <w:rFonts w:ascii="Arial" w:cs="Arial" w:eastAsia="Arial" w:hAnsi="Arial"/>
          <w:sz w:val="18"/>
          <w:szCs w:val="18"/>
          <w:color w:val="auto"/>
        </w:rPr>
        <w:t>For the year ended December 31, 2022, charges include an intangible asset charge of approximately $172.9 million to write down the disposal group to fair value, less cost to sell, and a related goodwill impairment charge of $117.0 million for the potential divestiture of the Upjohn Distributor Markets.</w:t>
      </w:r>
    </w:p>
    <w:p>
      <w:pPr>
        <w:spacing w:after="0" w:line="21" w:lineRule="exact"/>
        <w:rPr>
          <w:rFonts w:ascii="Arial" w:cs="Arial" w:eastAsia="Arial" w:hAnsi="Arial"/>
          <w:sz w:val="9"/>
          <w:szCs w:val="9"/>
          <w:color w:val="auto"/>
        </w:rPr>
      </w:pPr>
    </w:p>
    <w:p>
      <w:pPr>
        <w:ind w:left="540" w:hanging="208"/>
        <w:spacing w:after="0"/>
        <w:tabs>
          <w:tab w:leader="none" w:pos="540" w:val="left"/>
        </w:tabs>
        <w:numPr>
          <w:ilvl w:val="0"/>
          <w:numId w:val="28"/>
        </w:numPr>
        <w:rPr>
          <w:rFonts w:ascii="Arial" w:cs="Arial" w:eastAsia="Arial" w:hAnsi="Arial"/>
          <w:sz w:val="9"/>
          <w:szCs w:val="9"/>
          <w:color w:val="auto"/>
        </w:rPr>
      </w:pPr>
      <w:r>
        <w:rPr>
          <w:rFonts w:ascii="Arial" w:cs="Arial" w:eastAsia="Arial" w:hAnsi="Arial"/>
          <w:sz w:val="17"/>
          <w:szCs w:val="17"/>
          <w:color w:val="auto"/>
        </w:rPr>
        <w:t>Acquisition and divestiture related costs consist primarily of transaction costs including legal and consulting fees and integration activities.</w:t>
      </w:r>
    </w:p>
    <w:p>
      <w:pPr>
        <w:spacing w:after="0" w:line="74" w:lineRule="exact"/>
        <w:rPr>
          <w:rFonts w:ascii="Arial" w:cs="Arial" w:eastAsia="Arial" w:hAnsi="Arial"/>
          <w:sz w:val="9"/>
          <w:szCs w:val="9"/>
          <w:color w:val="auto"/>
        </w:rPr>
      </w:pPr>
    </w:p>
    <w:p>
      <w:pPr>
        <w:ind w:left="660" w:hanging="328"/>
        <w:spacing w:after="0" w:line="298" w:lineRule="auto"/>
        <w:tabs>
          <w:tab w:leader="none" w:pos="601" w:val="left"/>
        </w:tabs>
        <w:numPr>
          <w:ilvl w:val="0"/>
          <w:numId w:val="28"/>
        </w:numPr>
        <w:rPr>
          <w:rFonts w:ascii="Arial" w:cs="Arial" w:eastAsia="Arial" w:hAnsi="Arial"/>
          <w:sz w:val="9"/>
          <w:szCs w:val="9"/>
          <w:color w:val="auto"/>
        </w:rPr>
      </w:pPr>
      <w:r>
        <w:rPr>
          <w:rFonts w:ascii="Arial" w:cs="Arial" w:eastAsia="Arial" w:hAnsi="Arial"/>
          <w:sz w:val="17"/>
          <w:szCs w:val="17"/>
          <w:color w:val="auto"/>
        </w:rPr>
        <w:t xml:space="preserve">For the year ended December 31, 2022, charges include approximately $56.8 million in cost of sales, approximately $1.4 million in R&amp;D, and approximately $28.7 million in SG&amp;A. Refer to Note 18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included in Part II. Item 8 of this Form 10-K for additional information.</w:t>
      </w:r>
    </w:p>
    <w:p>
      <w:pPr>
        <w:jc w:val="both"/>
        <w:ind w:left="660" w:hanging="328"/>
        <w:spacing w:after="0" w:line="263" w:lineRule="auto"/>
        <w:tabs>
          <w:tab w:leader="none" w:pos="646" w:val="left"/>
        </w:tabs>
        <w:numPr>
          <w:ilvl w:val="0"/>
          <w:numId w:val="28"/>
        </w:numPr>
        <w:rPr>
          <w:rFonts w:ascii="Arial" w:cs="Arial" w:eastAsia="Arial" w:hAnsi="Arial"/>
          <w:sz w:val="9"/>
          <w:szCs w:val="9"/>
          <w:color w:val="auto"/>
        </w:rPr>
      </w:pPr>
      <w:r>
        <w:rPr>
          <w:rFonts w:ascii="Arial" w:cs="Arial" w:eastAsia="Arial" w:hAnsi="Arial"/>
          <w:sz w:val="18"/>
          <w:szCs w:val="18"/>
          <w:color w:val="auto"/>
        </w:rPr>
        <w:t>For the year ended December 31, 2022, charges include incremental manufacturing variances at plants in the 2020 restructuring program of approximately $118.4 million and inventory reserves related to the potential divestiture of the Upjohn Distributor Markets of approximately $44.8 million.</w:t>
      </w:r>
    </w:p>
    <w:p>
      <w:pPr>
        <w:spacing w:after="0" w:line="21" w:lineRule="exact"/>
        <w:rPr>
          <w:rFonts w:ascii="Arial" w:cs="Arial" w:eastAsia="Arial" w:hAnsi="Arial"/>
          <w:sz w:val="9"/>
          <w:szCs w:val="9"/>
          <w:color w:val="auto"/>
        </w:rPr>
      </w:pPr>
    </w:p>
    <w:p>
      <w:pPr>
        <w:jc w:val="both"/>
        <w:ind w:left="660" w:hanging="328"/>
        <w:spacing w:after="0" w:line="257" w:lineRule="auto"/>
        <w:tabs>
          <w:tab w:leader="none" w:pos="637" w:val="left"/>
        </w:tabs>
        <w:numPr>
          <w:ilvl w:val="0"/>
          <w:numId w:val="28"/>
        </w:numPr>
        <w:rPr>
          <w:rFonts w:ascii="Arial" w:cs="Arial" w:eastAsia="Arial" w:hAnsi="Arial"/>
          <w:sz w:val="9"/>
          <w:szCs w:val="9"/>
          <w:color w:val="auto"/>
        </w:rPr>
      </w:pPr>
      <w:r>
        <w:rPr>
          <w:rFonts w:ascii="Arial" w:cs="Arial" w:eastAsia="Arial" w:hAnsi="Arial"/>
          <w:sz w:val="18"/>
          <w:szCs w:val="18"/>
          <w:color w:val="auto"/>
        </w:rPr>
        <w:t>Beginning in 2022, upfront and milestone-related R&amp;D expenses related to collaboration and licensing arrangements made prior to regulatory approval of a development product are no longer excluded from adjusted net earnings and adjusted EBITDA. For purposes of comparability, the prior years’ non-GAAP financial measures have been updated to reflect this change. For the years ended December 31, 2021 and 2020, this resulted in a decrease in adjusted EBITDA of $70.1 million and $42.5 million, respectively, and a decrease in adjusted net earnings of $57.8 million and $34.6 million, respectively.</w:t>
      </w:r>
    </w:p>
    <w:p>
      <w:pPr>
        <w:spacing w:after="0" w:line="25" w:lineRule="exact"/>
        <w:rPr>
          <w:rFonts w:ascii="Arial" w:cs="Arial" w:eastAsia="Arial" w:hAnsi="Arial"/>
          <w:sz w:val="9"/>
          <w:szCs w:val="9"/>
          <w:color w:val="auto"/>
        </w:rPr>
      </w:pPr>
    </w:p>
    <w:p>
      <w:pPr>
        <w:ind w:left="540" w:hanging="208"/>
        <w:spacing w:after="0"/>
        <w:tabs>
          <w:tab w:leader="none" w:pos="540" w:val="left"/>
        </w:tabs>
        <w:numPr>
          <w:ilvl w:val="0"/>
          <w:numId w:val="28"/>
        </w:numPr>
        <w:rPr>
          <w:rFonts w:ascii="Arial" w:cs="Arial" w:eastAsia="Arial" w:hAnsi="Arial"/>
          <w:sz w:val="8"/>
          <w:szCs w:val="8"/>
          <w:color w:val="auto"/>
        </w:rPr>
      </w:pPr>
      <w:r>
        <w:rPr>
          <w:rFonts w:ascii="Arial" w:cs="Arial" w:eastAsia="Arial" w:hAnsi="Arial"/>
          <w:sz w:val="16"/>
          <w:szCs w:val="16"/>
          <w:color w:val="auto"/>
        </w:rPr>
        <w:t>For the year ended December 31, 2022, charges include costs of $39.5 million related to the potential divestiture of the Upjohn Distributor Markets.</w:t>
      </w:r>
    </w:p>
    <w:p>
      <w:pPr>
        <w:spacing w:after="0" w:line="86" w:lineRule="exact"/>
        <w:rPr>
          <w:rFonts w:ascii="Arial" w:cs="Arial" w:eastAsia="Arial" w:hAnsi="Arial"/>
          <w:sz w:val="8"/>
          <w:szCs w:val="8"/>
          <w:color w:val="auto"/>
        </w:rPr>
      </w:pPr>
    </w:p>
    <w:p>
      <w:pPr>
        <w:ind w:left="560" w:hanging="228"/>
        <w:spacing w:after="0"/>
        <w:tabs>
          <w:tab w:leader="none" w:pos="560" w:val="left"/>
        </w:tabs>
        <w:numPr>
          <w:ilvl w:val="0"/>
          <w:numId w:val="28"/>
        </w:numPr>
        <w:rPr>
          <w:rFonts w:ascii="Arial" w:cs="Arial" w:eastAsia="Arial" w:hAnsi="Arial"/>
          <w:sz w:val="9"/>
          <w:szCs w:val="9"/>
          <w:color w:val="auto"/>
        </w:rPr>
      </w:pPr>
      <w:r>
        <w:rPr>
          <w:rFonts w:ascii="Arial" w:cs="Arial" w:eastAsia="Arial" w:hAnsi="Arial"/>
          <w:sz w:val="18"/>
          <w:szCs w:val="18"/>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30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Below is a reconciliation of U.S. GAAP net earnings (loss) to EBITDA and adjusted EBITDA for the year ended December 31, 2022 compared to the prior year periods: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Add / (deduct) adjustments: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contribution attributable to equity method investments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2,041.1</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Add / (deduct) adjustments: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9"/>
        </w:trPr>
        <w:tc>
          <w:tcPr>
            <w:tcW w:w="7080" w:type="dxa"/>
            <w:vAlign w:val="bottom"/>
          </w:tcPr>
          <w:p>
            <w:pPr>
              <w:ind w:left="240"/>
              <w:spacing w:after="0"/>
              <w:rPr>
                <w:sz w:val="20"/>
                <w:szCs w:val="20"/>
                <w:color w:val="auto"/>
              </w:rPr>
            </w:pPr>
            <w:r>
              <w:rPr>
                <w:rFonts w:ascii="Arial" w:cs="Arial" w:eastAsia="Arial" w:hAnsi="Arial"/>
                <w:sz w:val="18"/>
                <w:szCs w:val="18"/>
                <w:color w:val="auto"/>
              </w:rPr>
              <w:t>Litigation settlements and other contingencies, net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Biocon Biologics gain on divestiture</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Pr>
          <w:p>
            <w:pPr>
              <w:ind w:left="240"/>
              <w:spacing w:after="0"/>
              <w:rPr>
                <w:sz w:val="20"/>
                <w:szCs w:val="20"/>
                <w:color w:val="auto"/>
              </w:rPr>
            </w:pPr>
            <w:r>
              <w:rPr>
                <w:rFonts w:ascii="Arial" w:cs="Arial" w:eastAsia="Arial" w:hAnsi="Arial"/>
                <w:sz w:val="18"/>
                <w:szCs w:val="18"/>
                <w:color w:val="auto"/>
              </w:rPr>
              <w:t>Impairment of goodwill related to assets held for sale</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Restructuring, acquisition and divestiture related and other special items </w:t>
            </w:r>
            <w:r>
              <w:rPr>
                <w:rFonts w:ascii="Arial" w:cs="Arial" w:eastAsia="Arial" w:hAnsi="Arial"/>
                <w:sz w:val="23"/>
                <w:szCs w:val="23"/>
                <w:color w:val="auto"/>
                <w:vertAlign w:val="superscript"/>
              </w:rPr>
              <w:t>(c)</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3,611.6</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80" w:hanging="248"/>
        <w:spacing w:after="0"/>
        <w:tabs>
          <w:tab w:leader="none" w:pos="58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5"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6" w:lineRule="exact"/>
        <w:rPr>
          <w:rFonts w:ascii="Arial" w:cs="Arial" w:eastAsia="Arial" w:hAnsi="Arial"/>
          <w:sz w:val="23"/>
          <w:szCs w:val="23"/>
          <w:color w:val="auto"/>
          <w:vertAlign w:val="superscript"/>
        </w:rPr>
      </w:pPr>
    </w:p>
    <w:p>
      <w:pPr>
        <w:ind w:left="660" w:hanging="328"/>
        <w:spacing w:after="0" w:line="219" w:lineRule="auto"/>
        <w:tabs>
          <w:tab w:leader="none" w:pos="65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See items detailed and updates to the non-GAAP financial measures in the Reconciliation of U.S. GAAP Net Earnings (Loss) to Adjusted Net Earnings.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primary source of liquidity is net cash provided by operating activities, which was $2.95 billion for the year ended December 31, 2022.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Net cash provided by operating activities decreased by $64.3 million to $2.95 billion for the year ended December 31, 2022, as compared to net cash provided by operating activities of $3.02 billion for the year ended December 31, 2021. Net cash provided by operating activities is derived from net earnings (loss)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161"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decrease in net cash provided by operating activities was principally due to the timing of cash payments and collections, including payments for litigation matters, and due to deal-related expenses, primarily taxes and transaction costs, associated with the Biocon Biologics Transaction. These increases were partially offset by lower payments for restructuring activities and other special items, and the impact of synergies.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from investing activities was $1.52 billion for the year ended December 31, 2022, as compared to net cash used in investing activities of $117.8 million for the year ended December 31, 2021, an increase of $1.64 billion.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investing activities included the following:</w:t>
      </w:r>
    </w:p>
    <w:p>
      <w:pPr>
        <w:spacing w:after="0" w:line="229"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the sale of assets of $1.95 billion related to the Biocon Biologics Transaction; and</w:t>
      </w:r>
    </w:p>
    <w:p>
      <w:pPr>
        <w:spacing w:after="0" w:line="117"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$406.0 million. While there can be no assurance that current expectations will be realized, capital expenditures for the 2023 calendar year are expected to be approximately $400 million to $500 million.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investing activities included the following:</w:t>
      </w:r>
    </w:p>
    <w:p>
      <w:pPr>
        <w:spacing w:after="0" w:line="121" w:lineRule="exact"/>
        <w:rPr>
          <w:sz w:val="20"/>
          <w:szCs w:val="20"/>
          <w:color w:val="auto"/>
        </w:rPr>
      </w:pPr>
    </w:p>
    <w:p>
      <w:pPr>
        <w:ind w:left="980" w:right="32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received from acquisitions, net totaling approximately $277.0 million related to additional target cash balances received from Pfizer subsequent to the closing of the Combination;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proceeds from the sale of assets of $96.7 million, primarily related to a group of OTC products in the U.S.;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$457.2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used in financing activities was $3.88 billion for the year ended December 31, 2022, as compared to net cash used in financing activities of $3.01 billion for the year ended December 31, 2021, an increase of $865.9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financing activities included the following:</w:t>
      </w:r>
    </w:p>
    <w:p>
      <w:pPr>
        <w:spacing w:after="0" w:line="108" w:lineRule="exact"/>
        <w:rPr>
          <w:sz w:val="20"/>
          <w:szCs w:val="20"/>
          <w:color w:val="auto"/>
        </w:rPr>
      </w:pPr>
    </w:p>
    <w:p>
      <w:pPr>
        <w:ind w:left="980" w:right="1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repayments of Senior Notes at maturity of approximately $1.79 billion, consisting of the 0.816% Euro Senior Notes and the 1.125% Senior Notes;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borrowings and repayments under the 2021 Revolving Facility of $1.88 billion;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repayments of short-term borrowings of $1.49 billion;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dividends paid of $581.6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of $19.3 million related to cash collected on behalf of Biocon Biologics.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financing activities included the following:</w:t>
      </w:r>
    </w:p>
    <w:p>
      <w:pPr>
        <w:spacing w:after="0" w:line="121" w:lineRule="exact"/>
        <w:rPr>
          <w:sz w:val="20"/>
          <w:szCs w:val="20"/>
          <w:color w:val="auto"/>
        </w:rPr>
      </w:pPr>
    </w:p>
    <w:p>
      <w:pPr>
        <w:ind w:left="980" w:right="2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debt payments of approximately $4.20 billion, consisting of the redemption of $2.25 billion of the 3.150% Senior Notes due 2021, repayment of $1.35 billion of borrowings under the 2020 Revolving Facility and the 2021 Revolving Facility, and repayment of $600.0 million of the USD Term Loan;</w:t>
      </w:r>
    </w:p>
    <w:p>
      <w:pPr>
        <w:spacing w:after="0" w:line="75"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borrowings of $1.71 billion, consisting of borrowings of $1.35 billion under the 2020 Revolving Facility and the 2021 Revolving Facility, and borrowings of $360.0 million under the YEN Term Loan;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short-term borrowings of $392.1 million;</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deferred non-contingent payments for product rights totaling approximately $456.0 million primarily related to the acquisition of Aspen’s thrombosis product portfolio in Europe;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dividends paid of $399.0 million.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Refer to the consolidated statements of cash flows in Part II. Item 8 of this Form 10-K for additional details on other significant sources and uses of cash during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cash and cash equivalents totaled $1.26 billion at December 31, 2022, and the majority of these funds are held by our non-U.S. subsidiaries. In early 2023, approximately $700 million of cash was used to finance the acquisitions of Oyster Point and Famy Life Sciences. The Company anticipates having sufficient liquidity, including existing borrowing capacity under the 2021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July 2021, Viatris entered into (i) the YEN Term Loan Facility and (ii) the 2021 Revolving Facility with various syndicates of banks. The YEN Term Loan Facility and the 2021 Revolving Facility will mature in July 2026.</w:t>
      </w:r>
    </w:p>
    <w:p>
      <w:pPr>
        <w:spacing w:after="0" w:line="170"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Company has access to $4.0 billion under the 2021 Revolving Facility. Up to $1.65 billion of the 2021 Revolving Facility may be used to support borrowings under our Commercial Paper Program. As of December 31, 2022, the Company did not have any borrowings outstanding under the Commercial Paper Program and the 2021 Revolving Facility.</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MPI, a wholly owned subsidiary of the Company, has access to $400 million under the Receivables Facility, which expires in April 2025. As of December 31, 2022, the Company did not have any borrowings outstanding under the Receivables Facility.</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August 2020, the Company entered into the Note Securitization Facility for borrowings up to $200 million, which was amended to extend the term to August 2023. As of December 31, 2022, the Company did not have any borrowings outstanding under the Note Securitization Facility.</w:t>
      </w:r>
    </w:p>
    <w:p>
      <w:pPr>
        <w:spacing w:after="0" w:line="15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under the Note Securitization Facility at the relevant base rate plus 0.85%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w:t>
      </w:r>
    </w:p>
    <w:p>
      <w:pPr>
        <w:spacing w:after="0" w:line="20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$34.7 million and $29.6 million of accounts receivable as of December 31, 2022 and 2021 under these factoring arrangements, respectively.</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November 2022, the Company provided an update on the strategic priorities announced in February 2022, including identifying the following businesses no longer considered core to its future strategy that the Company intends to divest:</w:t>
      </w:r>
    </w:p>
    <w:p>
      <w:pPr>
        <w:spacing w:after="0" w:line="6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API (while retaining some selective development API capabilities);</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Women’s health care, primarily related to our oral and injectable contraceptives. This does not include all of our women’s health care related products; as an example, our Xulane® product in the U.S. is excluded; and</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18"/>
          <w:szCs w:val="18"/>
          <w:color w:val="auto"/>
        </w:rPr>
        <w:t>Upjohn Distributor Markets.</w:t>
      </w:r>
    </w:p>
    <w:p>
      <w:pPr>
        <w:spacing w:after="0" w:line="24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For information regarding our dividends paid and declared and share repurchase program, refer to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For information regarding our debt agreements and mandatory minimum repayments remaining on the outstanding notional amount of long-term debt at December 31, 2022, 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II. Item 8 of this Form 10-K.</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YEN Term Loan Facility and the 2021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4.25 to 1.00 for each quarter ending after June 30, 2021 through and including June 30, 2022, 4.0 to 1.00 for each quarter ending after June 30, 2022 through and including December 31, 2022 and 3.75 to 1.00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in compliance with its covenants at December 31, 2022 and expects to remain in compliance for the next twelve months.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Viatris Inc. is the issuer of the outstanding Registered Upjohn Notes, which are fully and unconditionally guaranteed on a senior unsecured basis by Mylan Inc., Mylan II B.V. and Utah Acquisition Sub Inc.</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Mylan Inc. is the issuer of the Mylan Inc. U.S. Dollar Notes, which are fully and unconditionally guaranteed on a senior unsecured basis by Mylan II B.V., Viatris Inc. and Utah Acquisition Sub Inc.</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outstanding Registered Upjohn Notes, (a) upon the applicable guarantor no longer being an issuer or guarantor in respect of (i) Mylan Notes (as defined in the indenture governing the outstanding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outstanding Registered Upjohn Notes.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 presents unaudited summarized financial information of Viatris Inc., Mylan Inc., Utah Acquisition Sub Inc., and Mylan II B.V. on a combined basis as of and for the year ended December 31, 2022 and 2021. All intercompany balances have been eliminated in consolidation. This unaudited combined summarized financial information is presented utilizing the equity method of accounting.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60" w:type="dxa"/>
            <w:vAlign w:val="bottom"/>
            <w:gridSpan w:val="8"/>
          </w:tcPr>
          <w:p>
            <w:pPr>
              <w:ind w:left="60"/>
              <w:spacing w:after="0"/>
              <w:rPr>
                <w:sz w:val="20"/>
                <w:szCs w:val="20"/>
                <w:color w:val="auto"/>
              </w:rPr>
            </w:pPr>
            <w:r>
              <w:rPr>
                <w:rFonts w:ascii="Arial" w:cs="Arial" w:eastAsia="Arial" w:hAnsi="Arial"/>
                <w:sz w:val="14"/>
                <w:szCs w:val="14"/>
                <w:b w:val="1"/>
                <w:bCs w:val="1"/>
                <w:color w:val="auto"/>
                <w:w w:val="98"/>
              </w:rPr>
              <w:t>Combined Summarized Balance Sheet Information of</w:t>
            </w:r>
          </w:p>
        </w:tc>
        <w:tc>
          <w:tcPr>
            <w:tcW w:w="0" w:type="dxa"/>
            <w:vAlign w:val="bottom"/>
          </w:tcPr>
          <w:p>
            <w:pPr>
              <w:spacing w:after="0"/>
              <w:rPr>
                <w:sz w:val="1"/>
                <w:szCs w:val="1"/>
                <w:color w:val="auto"/>
              </w:rPr>
            </w:pPr>
          </w:p>
        </w:tc>
      </w:tr>
      <w:tr>
        <w:trPr>
          <w:trHeight w:val="175"/>
        </w:trPr>
        <w:tc>
          <w:tcPr>
            <w:tcW w:w="7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8"/>
          </w:tcPr>
          <w:p>
            <w:pPr>
              <w:ind w:left="20"/>
              <w:spacing w:after="0"/>
              <w:rPr>
                <w:sz w:val="20"/>
                <w:szCs w:val="20"/>
                <w:color w:val="auto"/>
              </w:rPr>
            </w:pPr>
            <w:r>
              <w:rPr>
                <w:rFonts w:ascii="Arial" w:cs="Arial" w:eastAsia="Arial" w:hAnsi="Arial"/>
                <w:sz w:val="14"/>
                <w:szCs w:val="14"/>
                <w:b w:val="1"/>
                <w:bCs w:val="1"/>
                <w:color w:val="auto"/>
                <w:w w:val="99"/>
              </w:rPr>
              <w:t>Viatris Inc., Mylan Inc., Utah Acquisition Sub Inc. and</w:t>
            </w: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jc w:val="right"/>
              <w:ind w:right="182"/>
              <w:spacing w:after="0"/>
              <w:rPr>
                <w:sz w:val="20"/>
                <w:szCs w:val="20"/>
                <w:color w:val="auto"/>
              </w:rPr>
            </w:pPr>
            <w:r>
              <w:rPr>
                <w:rFonts w:ascii="Arial" w:cs="Arial" w:eastAsia="Arial" w:hAnsi="Arial"/>
                <w:sz w:val="14"/>
                <w:szCs w:val="14"/>
                <w:b w:val="1"/>
                <w:bCs w:val="1"/>
                <w:color w:val="auto"/>
              </w:rPr>
              <w:t>Mylan II B.V.</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61,972.6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15,265.2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16,465.6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gridSpan w:val="8"/>
          </w:tcPr>
          <w:p>
            <w:pPr>
              <w:ind w:left="80"/>
              <w:spacing w:after="0"/>
              <w:rPr>
                <w:sz w:val="20"/>
                <w:szCs w:val="20"/>
                <w:color w:val="auto"/>
              </w:rPr>
            </w:pPr>
            <w:r>
              <w:rPr>
                <w:rFonts w:ascii="Arial" w:cs="Arial" w:eastAsia="Arial" w:hAnsi="Arial"/>
                <w:sz w:val="14"/>
                <w:szCs w:val="14"/>
                <w:b w:val="1"/>
                <w:bCs w:val="1"/>
                <w:color w:val="auto"/>
                <w:w w:val="95"/>
              </w:rPr>
              <w:t>Combined Summarized Income Statement Information</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95"/>
              </w:rPr>
              <w:t>of Viatris Inc., Mylan Inc., Utah Acquisition Sub Inc. and</w:t>
            </w: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jc w:val="right"/>
              <w:ind w:right="102"/>
              <w:spacing w:after="0"/>
              <w:rPr>
                <w:sz w:val="20"/>
                <w:szCs w:val="20"/>
                <w:color w:val="auto"/>
              </w:rPr>
            </w:pPr>
            <w:r>
              <w:rPr>
                <w:rFonts w:ascii="Arial" w:cs="Arial" w:eastAsia="Arial" w:hAnsi="Arial"/>
                <w:sz w:val="14"/>
                <w:szCs w:val="14"/>
                <w:b w:val="1"/>
                <w:bCs w:val="1"/>
                <w:color w:val="auto"/>
              </w:rPr>
              <w:t>Mylan II B.V.</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Pr>
          <w:p>
            <w:pPr>
              <w:spacing w:after="0"/>
              <w:rPr>
                <w:sz w:val="11"/>
                <w:szCs w:val="11"/>
                <w:color w:val="auto"/>
              </w:rPr>
            </w:pPr>
          </w:p>
        </w:tc>
        <w:tc>
          <w:tcPr>
            <w:tcW w:w="172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36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Loss (earnings) from operations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(1,132.4)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$203 million accrued for legal contingencies at December 31, 2022.</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In conjunction with the Combination, Viatris entered into a TSA with Pfizer pursuant to which each party provides certain limited transition services to the other party generally for an initial period of 24 months from the closing date of the Combination. In addition to the monthly service fees under the TSA, Viatris agreed to reimburse Pfizer for fifty percent of the costs, up to the first $380 million incurred, to establish and wind down the TSA services. Viatris will be required to fully reimburse Pfizer for total costs in excess of $380 million. During the years ended December 31, 2022 and 2021, the Company incurred $54.5 million and $30.4 million, respectively, related to this provision of the TSA, and approximately $138.0 million during the period beginning on the closing date of the Combination and ended December 31, 2022. We expect to incur future costs related to the completion of the services. As of December 31, 2022, the Company has exited substantially all transition services with Pfizer.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In conjunction with the Biocon Biologics Transaction, 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December 31, 2022, our material cash requirements from known contractual and other obligations primarily relate to repayment of outstanding borrowings and interest, open purchase orders, post-employment benefit plans, unrecognized tax benefits, capital expenditures, dividends and leases. For additional information, refer to Notes 2, 4, 7, 11, 13, 15, and 17 in Part II. Item 8 of this Form 10-K. We anticipate our cash requirements related to ordinary course purchases of goods and services will be consistent with our past levels.</w:t>
      </w:r>
    </w:p>
    <w:p>
      <w:pPr>
        <w:spacing w:after="0" w:line="187"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pacing w:after="0" w:line="15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entered into employment and other agreements with certain executives and other employees that provide for compensation and certain other benefits. These agreements provide for severance payments under certain circumstances.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Licensing and Other Partner Agreements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Under our licensing and other partner agreements, our potential maximum development milestones not accrued for at December 31, 2022 totaled approximately $347 million. We estimate that the amounts that may be paid during the next twelve months to be approximately $38 million. Additionally, these agreements may also include potential sales-based milestones and call for us to pay a percentage of amounts earned from the sale of the product as a royalty or a profit share. Refer to Note 19 </w:t>
      </w:r>
      <w:r>
        <w:rPr>
          <w:rFonts w:ascii="Arial" w:cs="Arial" w:eastAsia="Arial" w:hAnsi="Arial"/>
          <w:sz w:val="16"/>
          <w:szCs w:val="16"/>
          <w:i w:val="1"/>
          <w:iCs w:val="1"/>
          <w:color w:val="auto"/>
        </w:rPr>
        <w:t>Licensing and Other Partner Agreements</w:t>
      </w:r>
      <w:r>
        <w:rPr>
          <w:rFonts w:ascii="Arial" w:cs="Arial" w:eastAsia="Arial" w:hAnsi="Arial"/>
          <w:sz w:val="16"/>
          <w:szCs w:val="16"/>
          <w:color w:val="auto"/>
        </w:rPr>
        <w:t xml:space="preserve"> included in Part II. Item 8 of this Form 10-K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Our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Part II. Item 8 of this Form 10-K and are in accordance with U.S. GAAP.</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acquisitions, intangible assets, goodwill and contingent consideration, income taxes and the impact of existing legal matters.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We recognize revenues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As such, they have been identified as critical accounting estimates. The following section briefly describes the nature of our provisions for variable consideration and how such provisions are estimated: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00" w:hanging="328"/>
        <w:spacing w:after="0" w:line="287"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Chargebacks</w:t>
      </w:r>
      <w:r>
        <w:rPr>
          <w:rFonts w:ascii="Arial" w:cs="Arial" w:eastAsia="Arial" w:hAnsi="Arial"/>
          <w:sz w:val="16"/>
          <w:szCs w:val="16"/>
          <w:color w:val="auto"/>
        </w:rPr>
        <w:t>: the Company has agreements with certain indirect customers, such as independent pharmacies, retail pharmacy chains, managed</w:t>
      </w:r>
      <w:r>
        <w:rPr>
          <w:rFonts w:ascii="Arial" w:cs="Arial" w:eastAsia="Arial" w:hAnsi="Arial"/>
          <w:sz w:val="16"/>
          <w:szCs w:val="16"/>
          <w:i w:val="1"/>
          <w:iCs w:val="1"/>
          <w:color w:val="auto"/>
        </w:rPr>
        <w:t xml:space="preserve"> </w:t>
      </w:r>
      <w:r>
        <w:rPr>
          <w:rFonts w:ascii="Arial" w:cs="Arial" w:eastAsia="Arial" w:hAnsi="Arial"/>
          <w:sz w:val="16"/>
          <w:szCs w:val="16"/>
          <w:color w:val="auto"/>
        </w:rPr>
        <w:t>care organizations, hospitals, nursing homes, governmental agencies and pharmacy benefit managers, which establish contract prices for certain products. The indirect customers then independently select a wholesaler from which to purchase the products at these contracted prices.</w:t>
      </w:r>
    </w:p>
    <w:p>
      <w:pPr>
        <w:spacing w:after="0" w:line="2" w:lineRule="exact"/>
        <w:rPr>
          <w:rFonts w:ascii="Arial" w:cs="Arial" w:eastAsia="Arial" w:hAnsi="Arial"/>
          <w:sz w:val="16"/>
          <w:szCs w:val="16"/>
          <w:color w:val="auto"/>
        </w:rPr>
      </w:pPr>
    </w:p>
    <w:p>
      <w:pPr>
        <w:ind w:left="660" w:right="20"/>
        <w:spacing w:after="0" w:line="270" w:lineRule="auto"/>
        <w:rPr>
          <w:rFonts w:ascii="Arial" w:cs="Arial" w:eastAsia="Arial" w:hAnsi="Arial"/>
          <w:sz w:val="16"/>
          <w:szCs w:val="16"/>
          <w:color w:val="auto"/>
        </w:rPr>
      </w:pPr>
      <w:r>
        <w:rPr>
          <w:rFonts w:ascii="Arial" w:cs="Arial" w:eastAsia="Arial" w:hAnsi="Arial"/>
          <w:sz w:val="17"/>
          <w:szCs w:val="17"/>
          <w:color w:val="auto"/>
        </w:rPr>
        <w:t>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 We continually monitor our provision for chargebacks and evaluate our reserve and estimates as additional information becomes available. A change of 5% would have an effect on our reserve balance of approximately $26.2 million.</w:t>
      </w:r>
    </w:p>
    <w:p>
      <w:pPr>
        <w:spacing w:after="0" w:line="70" w:lineRule="exact"/>
        <w:rPr>
          <w:rFonts w:ascii="Arial" w:cs="Arial" w:eastAsia="Arial" w:hAnsi="Arial"/>
          <w:sz w:val="16"/>
          <w:szCs w:val="16"/>
          <w:color w:val="auto"/>
        </w:rPr>
      </w:pPr>
    </w:p>
    <w:p>
      <w:pPr>
        <w:ind w:left="660" w:right="60" w:hanging="328"/>
        <w:spacing w:after="0" w:line="30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Rebates, promotional programs and other sales allowances</w:t>
      </w:r>
      <w:r>
        <w:rPr>
          <w:rFonts w:ascii="Arial" w:cs="Arial" w:eastAsia="Arial" w:hAnsi="Arial"/>
          <w:sz w:val="16"/>
          <w:szCs w:val="16"/>
          <w:color w:val="auto"/>
        </w:rPr>
        <w:t>: this category includes rebate and other programs to assist in product sales. These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A change of 5% would have an effect on our reserve balance of approximately $64.2 million.</w:t>
      </w:r>
    </w:p>
    <w:p>
      <w:pPr>
        <w:spacing w:after="0" w:line="49" w:lineRule="exact"/>
        <w:rPr>
          <w:rFonts w:ascii="Arial" w:cs="Arial" w:eastAsia="Arial" w:hAnsi="Arial"/>
          <w:sz w:val="16"/>
          <w:szCs w:val="16"/>
          <w:color w:val="auto"/>
        </w:rPr>
      </w:pPr>
    </w:p>
    <w:p>
      <w:pPr>
        <w:ind w:left="660" w:hanging="328"/>
        <w:spacing w:after="0" w:line="25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Returns</w:t>
      </w:r>
      <w:r>
        <w:rPr>
          <w:rFonts w:ascii="Arial" w:cs="Arial" w:eastAsia="Arial" w:hAnsi="Arial"/>
          <w:sz w:val="18"/>
          <w:szCs w:val="18"/>
          <w:color w:val="auto"/>
        </w:rPr>
        <w:t>: consistent with industry practice, Viatris maintains a return policy that allows customers to return a product, which varies country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 A change of 5% would have an effect on our reserve balance of approximately $25.7 million.</w:t>
      </w:r>
    </w:p>
    <w:p>
      <w:pPr>
        <w:spacing w:after="0" w:line="79" w:lineRule="exact"/>
        <w:rPr>
          <w:rFonts w:ascii="Arial" w:cs="Arial" w:eastAsia="Arial" w:hAnsi="Arial"/>
          <w:sz w:val="18"/>
          <w:szCs w:val="18"/>
          <w:color w:val="auto"/>
        </w:rPr>
      </w:pPr>
    </w:p>
    <w:p>
      <w:pPr>
        <w:ind w:left="660" w:right="60" w:hanging="328"/>
        <w:spacing w:after="0" w:line="290"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Governmental rebate programs</w:t>
      </w:r>
      <w:r>
        <w:rPr>
          <w:rFonts w:ascii="Arial" w:cs="Arial" w:eastAsia="Arial" w:hAnsi="Arial"/>
          <w:sz w:val="16"/>
          <w:szCs w:val="16"/>
          <w:color w:val="auto"/>
        </w:rPr>
        <w:t>: government reimbursement programs in the U.S. include Medicare, Medicaid, and State Pharmacy Assistance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spacing w:after="0" w:line="165" w:lineRule="exact"/>
        <w:rPr>
          <w:rFonts w:ascii="Arial" w:cs="Arial" w:eastAsia="Arial" w:hAnsi="Arial"/>
          <w:sz w:val="16"/>
          <w:szCs w:val="16"/>
          <w:color w:val="auto"/>
        </w:rPr>
      </w:pPr>
    </w:p>
    <w:p>
      <w:pPr>
        <w:ind w:left="660" w:right="40"/>
        <w:spacing w:after="0" w:line="259" w:lineRule="auto"/>
        <w:rPr>
          <w:rFonts w:ascii="Arial" w:cs="Arial" w:eastAsia="Arial" w:hAnsi="Arial"/>
          <w:sz w:val="16"/>
          <w:szCs w:val="16"/>
          <w:color w:val="auto"/>
        </w:rPr>
      </w:pPr>
      <w:r>
        <w:rPr>
          <w:rFonts w:ascii="Arial" w:cs="Arial" w:eastAsia="Arial" w:hAnsi="Arial"/>
          <w:sz w:val="18"/>
          <w:szCs w:val="18"/>
          <w:color w:val="auto"/>
        </w:rPr>
        <w:t>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w:t>
      </w:r>
    </w:p>
    <w:p>
      <w:pPr>
        <w:spacing w:after="0" w:line="18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 change of 5% would have an effect on our reserve balance of approximately $18.3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the categories of variable consideration during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Current Provision</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Checks/ Credits</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Effects of Foreign</w:t>
            </w:r>
          </w:p>
        </w:tc>
        <w:tc>
          <w:tcPr>
            <w:tcW w:w="140" w:type="dxa"/>
            <w:vAlign w:val="bottom"/>
          </w:tcPr>
          <w:p>
            <w:pPr>
              <w:spacing w:after="0"/>
              <w:rPr>
                <w:sz w:val="14"/>
                <w:szCs w:val="14"/>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5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Related to Sales Made</w:t>
            </w:r>
          </w:p>
        </w:tc>
        <w:tc>
          <w:tcPr>
            <w:tcW w:w="1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Balances Divested</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Issued to Third</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 the Current Period</w:t>
            </w:r>
          </w:p>
        </w:tc>
        <w:tc>
          <w:tcPr>
            <w:tcW w:w="14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Parties</w:t>
            </w: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Exchange</w:t>
            </w:r>
          </w:p>
        </w:tc>
        <w:tc>
          <w:tcPr>
            <w:tcW w:w="140" w:type="dxa"/>
            <w:vAlign w:val="bottom"/>
          </w:tcPr>
          <w:p>
            <w:pPr>
              <w:spacing w:after="0"/>
              <w:rPr>
                <w:sz w:val="17"/>
                <w:szCs w:val="17"/>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31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Chargebacks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Arial" w:cs="Arial" w:eastAsia="Arial" w:hAnsi="Arial"/>
                <w:sz w:val="18"/>
                <w:szCs w:val="18"/>
                <w:color w:val="auto"/>
              </w:rPr>
              <w:t>Rebates, promotional programs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Arial" w:cs="Arial" w:eastAsia="Arial" w:hAnsi="Arial"/>
                <w:sz w:val="18"/>
                <w:szCs w:val="18"/>
                <w:color w:val="auto"/>
              </w:rPr>
              <w:t>other sales allowances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Returns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Governmental rebate programs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Accruals for these provisions are presented in the consolidated financial statements as reductions in determining net revenues and in accounts receivable and other current liabilities. Accounts receivable are presented net of allowances relating to these provisions, which were comprised of the following at December 31, 2022 and 2021, respectively:</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6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Acquisitions, Intangible Assets, Goodwill and Contingent Consideration</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The Company accounts for acquired businesses using the acquisition method of accounting in accordance with the provisions of </w:t>
      </w:r>
      <w:r>
        <w:rPr>
          <w:rFonts w:ascii="Arial" w:cs="Arial" w:eastAsia="Arial" w:hAnsi="Arial"/>
          <w:sz w:val="17"/>
          <w:szCs w:val="17"/>
          <w:i w:val="1"/>
          <w:iCs w:val="1"/>
          <w:color w:val="auto"/>
        </w:rPr>
        <w:t>ASC 805,</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color w:val="auto"/>
        </w:rPr>
        <w:t>, which requires that the assets acquired and liabilities assumed be recorded at the date of acquisition at their respective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 Refer to Note 4 </w:t>
      </w:r>
      <w:r>
        <w:rPr>
          <w:rFonts w:ascii="Arial" w:cs="Arial" w:eastAsia="Arial" w:hAnsi="Arial"/>
          <w:sz w:val="17"/>
          <w:szCs w:val="17"/>
          <w:i w:val="1"/>
          <w:iCs w:val="1"/>
          <w:color w:val="auto"/>
        </w:rPr>
        <w:t>Acquisitions and Other Transactions</w:t>
      </w:r>
      <w:r>
        <w:rPr>
          <w:rFonts w:ascii="Arial" w:cs="Arial" w:eastAsia="Arial" w:hAnsi="Arial"/>
          <w:sz w:val="17"/>
          <w:szCs w:val="17"/>
          <w:color w:val="auto"/>
        </w:rPr>
        <w:t xml:space="preserve"> and Note 9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included in Part II. Item 8 of this Form 10-K for additional information.</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Purchases of developed products and licenses that are accounted for as asset acquisitions are capitalized as intangible assets and amortized over an estimated useful life. IPR&amp;D assets acquired as part of an asset acquisition are expensed immediately if they have no alternative future uses.</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spacing w:after="0" w:line="19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records contingent consideration resulting from business acquisitions at its estimated fair value on the acquisition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Significant judgment is employed in determining the assumptions utilized as of the acquisition date and for each subsequent measurement period. Accordingly, changes in the assumptions described above could have a material impact on the Company’s consolidated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March 31, 2022 and April 1, 2022, the allocation of the Company’s total goodwill (prior to the reclassification of goodwill to assets held for sale) was as follows: North America $3.61 billion, Europe $4.95 billion, Emerging Markets $1.64 billion, JANZ $0.78 billion and Greater China $0.97 billion.</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31, 2022 and April 1, 2022, the Company determined that the fair value of the North America and Greater China reporting units was substantially in excess of the respective unit’s carrying value.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Europe reporting unit, the estimated fair value exceeded its carrying value by approximately $797 million or 5.3% for both the interim and annual goodwill impairment tests. As it relates to the income approach for the Europe reporting unit at March 31, 2022 and April 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2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For the JANZ reporting unit, the estimated fair value exceeded its carrying value by approximately $231 million or 7.4% for both the interim and annual goodwill impairment tests. As it relates to the income approach for the JANZ reporting unit at March 31, 2022 and April 1, 2022, the Company forecasted cash flows for the next 10 years. During the forecast period, the revenue compound annual growth rate was approximately negative 4.8%. A terminal year value was calculated assuming no revenue growth rate.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Emerging Markets reporting unit, the estimated fair value exceeded its carrying value by approximately $816 million or 10.3% for both the interim and annual goodwill impairment tests. As it relates to the income approach for the Emerging Markets reporting unit at March 31, 2022 and April 1, 2022, the Company forecasted cash flows for the next 10 years. During the forecast period, the revenue compound annual growth rate was approximately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fourth quarter of 2022, we determined that our Upjohn Distributor Markets should be classified as held for sale on the December 31, 2022 consolidated balance sheet. The Company allocated goodwill to its Upjohn Distributor Markets using a relative fair value approach and recorded a goodwill impairment charge of $117.0 million within the Emerging Markets reporting unit, which was recorded within SG&amp;A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2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We have assessed the recoverability of certain long-lived assets, principally finite-lived intangible assets, contained within the reporting units whenever certain impairment indicators are present. Any impairment of these assets must be considered prior to our impairment review of goodwill.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16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For the years ended December 31, 2021 and 2020, the Company recorded $83.4 million (related to the sale of a group of OTC products in the U.S.) and $45.0 million, respectively, of impairment charges for finite-lived intangible assets, which were recorded as a component of amortization expense. At December 31, 2022 and 2021, the Company’s finite-lived intangible assets totaled $22.57 billion and $26.09 billion, respectively. Changes to any of the Company’s assumptions related to the estimated fair value based on the discounted cash flows, including discount rates or the competitive environment related to the assets, could lead to future material impairment charges. Any future long-lived assets impairment charges could have a material impact on the Company’s consolidated financial condition and results of operations.</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If the divestitures of the Upjohn Distributor Markets are not completed during 2023, the distribution arrangements will expire and the Company will wind down operations in these markets, which may result in additional asset impairment and other costs being incurred. These additional charges could be in excess of $300 million.</w:t>
      </w:r>
    </w:p>
    <w:p>
      <w:pPr>
        <w:spacing w:after="0" w:line="18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Company’s indefinite-lived intangible assets, principally IPR&amp;D,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 For the years ended December 31, 2022, 2021 and 2020, the Company recorded $0.6 million, $19.4 million, and $37.4 million, respectively, of impairment charges, which were recorded as a component of amortization expense. At December 31, 2022 and 2021, the Company’s IPR&amp;D assets totaled $40.2 million and $46.5 million, respectively.</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fair value of both IPR&amp;D and finite-lived intangible assets was determined based upon detailed valuations employing the income approach which utilized Level 3 inputs, as defined in Note 10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included in Part II. Item 8 of this Form 10-K. Changes to any of the Company’s assumptions including changes to or abandonment of development programs, regulatory timelines, discount rates or the competitive environment related to the assets could lead to future material impairment charges.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compute our income taxes based on the statutory tax rates and tax reliefs available to Viatris in the various jurisdictions in which we generate income. Significant judgment is required in determining our income taxes and in evaluating our tax positions. We establish reserves in accordance with Viatris’ policy regarding accounting for uncertainty in income taxes. Our policy provides that the tax effects from an uncertain tax position be recognized in Viatris’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or expiration of the underlying statutes of limitation. Based on this evaluation, as of December 31, 2022, our reserve for unrecognized tax benefits totaled $296.7 million, of which $258.1 million was recorded in connection with the Combination and is subject to Pfizer’s indemnification obligations to Viatris under the Tax Matters Agreement.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2022. Such objective evidence limits the ability to consider other subjective evidence such as our projections for future growth.</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Based on this evaluation and other factors, as of December 31, 2022, a valuation allowance of $387.0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 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 At December 31, 2022 and 2021, the Company’s net deferred tax assets totaled $925.9 million and $1.33 billion, respectively.</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variance of 5% between estimated reserves and valuation allowances and actual resolution and realization of these tax items would have an effect on our reserve balance and valuation allowance of approximately $34.2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Viatris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have a material adverse effect on our business, financial condition, results of operations, cash flows, and/or ordinary share price, such estimates are considered to be critical accounting estimates.</w:t>
      </w:r>
    </w:p>
    <w:p>
      <w:pPr>
        <w:spacing w:after="0" w:line="17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A variance of 5% between estimated and recorded litigation reserves and actual resolution of certain legal matters would have an effect on our litigation reserve balance of approximately $10.2 million. Refer to Note 20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II. Item 8 of this Form 10-K for further discussion of litigation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Currency Fluctuations and Inflation</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Because our results are reported in U.S. Dollars, changes in the rate of exchange between the U.S. Dollar and the local currencies in the markets in which we operate, mainly the Euro, Indian Rupee, Chinese Renminbi, Japanese Yen, Australian Dollar, Canadian Dollar, Pound Sterling and South Korean Won affect our results as previously noted. During 2022, the global economy has been impacted by high levels of inflation and rising energy costs, which has resulted in significant economic volatility. As a result, central banks have and continue to tighten their monetary policies and increase interest rates. These macroeconomic pressures combined with the volatility in foreign exchange rates, including the strengthening of the U.S. dollar versus the other currencies in which we operate, negatively impacts our results of operations. We proactively look to manage such macroeconomic pressures by implementing strategies to mitigate and partially offset the impact of these factors. While inflationary and other macroeconomic pressures may ease, we continue to experience higher costs and we expect that this will likely continue throughout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Part II. Item 8 of this Form 10-K for recently adopted accounting pronouncements and recently issued accounting pronouncements not yet adopted.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Any unhedged foreign exchange exposures continue to be subject to market fluctuations.</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financial instrument holdings at year end were analyzed to determine their sensitivity to foreign exchange rate changes. The fair values of these instruments were determined as follows:</w:t>
      </w:r>
    </w:p>
    <w:p>
      <w:pPr>
        <w:spacing w:after="0" w:line="62" w:lineRule="exact"/>
        <w:rPr>
          <w:sz w:val="20"/>
          <w:szCs w:val="20"/>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forward-exchange contracts — net present values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denominated receivables, payables, debt and loans — changes in exchange rates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this sensitivity analysis, we assumed that the change in one currency’s rate relative to the U.S. Dollar would not have an effect on other currencies’ rates relative to the U.S. Dollar. All other factors were held constant.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If there were an adverse change in foreign currency exchange rates of 10%, the expected net effect on net income related to Viatris’ foreign currency denominated financial instruments would not be material.</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is also exposed to translation risk on non-U.S. dollar-denominated net assets. Non-U.S. dollar borrowings, principally our Euro and Yen denominated long-term debt, are used to hedge the foreign currency exposures of our net investment in certain foreign affiliates and are designated as hedges of net investments. The foreign exchange gains or losses on these hedges is included in the foreign currency translation component of accumulated other comprehensive income (loss). If our net investment decreases below the equivalent value of the non-U.S. debt borrowings, the change in the remeasurement basis of the debt would be subject to recognition in net income as changes occur.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and Long-Term Debt Risk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Viatris’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Viatris will use derivative financial instruments such as interest rate swaps to fix interest rates on variable-rate borrowings or to convert fixed-rate borrowings to variable interest rates.</w:t>
      </w:r>
    </w:p>
    <w:p>
      <w:pPr>
        <w:spacing w:after="0" w:line="18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As of December 31, 2022, Viatris’ outstanding fixed rate borrowings consist principally of $18.41 billion notional amount of senior U.S. dollar and Euro notes. Generally, the fair value of fixed interest rate debt will decrease as interest rates rise and increase as interest rates fall. As of December 31, 2022, the fair value of our outstanding fixed rate senior U.S. dollar and Euro notes was approximately $15.36 billion. As of December 31, 2022, Viatris’ outstanding variable rate borrowings consist principally of borrowings under the Yen Term Loan Facility of $305.1 million. A 100 basis point change in interest rates on Viatris’ variable rate debt, net of interest rate swaps, would result in a change in interest expense of approximately $3.1 million per year.</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Risk</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Company’s fair value risk exposure relates primarily to our equity investments that do not have readily determinable fair values, principally the CCPS received as part of the Biocon Biologics Transaction. As of December 31, 2022 and 2021, the carrying value of these investments were approximately $1.09 billion and $81.4 million, respectively. A hypothetical 20 percent decline in the fair value of these investments would have decreased the carrying value and other (income) expense, net by approximately $218.0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9780" w:type="dxa"/>
            <w:vAlign w:val="bottom"/>
            <w:gridSpan w:val="11"/>
          </w:tcPr>
          <w:p>
            <w:pPr>
              <w:spacing w:after="0"/>
              <w:rPr>
                <w:sz w:val="20"/>
                <w:szCs w:val="20"/>
                <w:color w:val="auto"/>
              </w:rPr>
            </w:pPr>
            <w:r>
              <w:rPr>
                <w:rFonts w:ascii="Arial" w:cs="Arial" w:eastAsia="Arial" w:hAnsi="Arial"/>
                <w:sz w:val="18"/>
                <w:szCs w:val="18"/>
                <w:color w:val="0000FF"/>
              </w:rPr>
              <w:t>Table of Contents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960" w:type="dxa"/>
            <w:vAlign w:val="bottom"/>
            <w:gridSpan w:val="9"/>
          </w:tcPr>
          <w:p>
            <w:pPr>
              <w:ind w:left="1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0" w:type="dxa"/>
            <w:vAlign w:val="bottom"/>
            <w:gridSpan w:val="7"/>
          </w:tcPr>
          <w:p>
            <w:pPr>
              <w:jc w:val="center"/>
              <w:ind w:right="1720"/>
              <w:spacing w:after="0"/>
              <w:rPr>
                <w:sz w:val="20"/>
                <w:szCs w:val="20"/>
                <w:color w:val="auto"/>
              </w:rPr>
            </w:pPr>
            <w:r>
              <w:rPr>
                <w:rFonts w:ascii="Arial" w:cs="Arial" w:eastAsia="Arial" w:hAnsi="Arial"/>
                <w:sz w:val="18"/>
                <w:szCs w:val="18"/>
                <w:b w:val="1"/>
                <w:bCs w:val="1"/>
                <w:color w:val="auto"/>
                <w:w w:val="89"/>
              </w:rPr>
              <w:t>Index to Consolidated Financial Statements and</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600" w:type="dxa"/>
            <w:vAlign w:val="bottom"/>
            <w:gridSpan w:val="7"/>
          </w:tcPr>
          <w:p>
            <w:pPr>
              <w:jc w:val="center"/>
              <w:ind w:right="1720"/>
              <w:spacing w:after="0"/>
              <w:rPr>
                <w:sz w:val="20"/>
                <w:szCs w:val="20"/>
                <w:color w:val="auto"/>
              </w:rPr>
            </w:pPr>
            <w:r>
              <w:rPr>
                <w:rFonts w:ascii="Arial" w:cs="Arial" w:eastAsia="Arial" w:hAnsi="Arial"/>
                <w:sz w:val="18"/>
                <w:szCs w:val="18"/>
                <w:b w:val="1"/>
                <w:bCs w:val="1"/>
                <w:color w:val="auto"/>
                <w:w w:val="92"/>
              </w:rPr>
              <w:t>Supplementary Financial Information</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gridSpan w:val="4"/>
          </w:tcPr>
          <w:p>
            <w:pPr>
              <w:ind w:left="540"/>
              <w:spacing w:after="0"/>
              <w:rPr>
                <w:sz w:val="20"/>
                <w:szCs w:val="20"/>
                <w:color w:val="auto"/>
              </w:rPr>
            </w:pPr>
            <w:r>
              <w:rPr>
                <w:rFonts w:ascii="Arial" w:cs="Arial" w:eastAsia="Arial" w:hAnsi="Arial"/>
                <w:sz w:val="18"/>
                <w:szCs w:val="18"/>
                <w:b w:val="1"/>
                <w:bCs w:val="1"/>
                <w:color w:val="auto"/>
              </w:rPr>
              <w:t>Page</w:t>
            </w:r>
          </w:p>
        </w:tc>
      </w:tr>
      <w:tr>
        <w:trPr>
          <w:trHeight w:val="223"/>
        </w:trPr>
        <w:tc>
          <w:tcPr>
            <w:tcW w:w="20" w:type="dxa"/>
            <w:vAlign w:val="bottom"/>
          </w:tcPr>
          <w:p>
            <w:pPr>
              <w:spacing w:after="0"/>
              <w:rPr>
                <w:sz w:val="19"/>
                <w:szCs w:val="19"/>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0000FF"/>
              </w:rPr>
              <w:t>Management’s Report on Internal Control over Financial Reporting</w:t>
            </w: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0000FF"/>
              </w:rPr>
              <w:t>76</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No. 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0000FF"/>
              </w:rPr>
              <w:t>77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5100" w:type="dxa"/>
            <w:vAlign w:val="bottom"/>
            <w:gridSpan w:val="5"/>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0000FF"/>
              </w:rPr>
              <w:t>81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0000FF"/>
              </w:rPr>
              <w:t>82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440" w:type="dxa"/>
            <w:vAlign w:val="bottom"/>
            <w:gridSpan w:val="9"/>
          </w:tcPr>
          <w:p>
            <w:pPr>
              <w:spacing w:after="0"/>
              <w:rPr>
                <w:sz w:val="20"/>
                <w:szCs w:val="20"/>
                <w:color w:val="auto"/>
              </w:rPr>
            </w:pPr>
            <w:r>
              <w:rPr>
                <w:rFonts w:ascii="Arial" w:cs="Arial" w:eastAsia="Arial" w:hAnsi="Arial"/>
                <w:sz w:val="18"/>
                <w:szCs w:val="18"/>
                <w:color w:val="0000FF"/>
                <w:w w:val="89"/>
              </w:rPr>
              <w:t>Consolidated Statements of Comprehensive Earnings (Loss) for the Years Ended December 31, 2022, 2021 and 2020</w:t>
            </w:r>
          </w:p>
        </w:tc>
        <w:tc>
          <w:tcPr>
            <w:tcW w:w="132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0000FF"/>
              </w:rPr>
              <w:t>83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0" w:type="dxa"/>
            <w:vAlign w:val="bottom"/>
            <w:gridSpan w:val="7"/>
          </w:tcPr>
          <w:p>
            <w:pPr>
              <w:spacing w:after="0"/>
              <w:rPr>
                <w:sz w:val="20"/>
                <w:szCs w:val="20"/>
                <w:color w:val="auto"/>
              </w:rPr>
            </w:pPr>
            <w:r>
              <w:rPr>
                <w:rFonts w:ascii="Arial" w:cs="Arial" w:eastAsia="Arial" w:hAnsi="Arial"/>
                <w:sz w:val="18"/>
                <w:szCs w:val="18"/>
                <w:color w:val="0000FF"/>
                <w:w w:val="89"/>
              </w:rPr>
              <w:t>Consolidated Statements of Equity for the Years Ended December 31, 2022, 2021 and 2020</w:t>
            </w:r>
          </w:p>
        </w:tc>
        <w:tc>
          <w:tcPr>
            <w:tcW w:w="184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0000FF"/>
              </w:rPr>
              <w:t>84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0000FF"/>
              </w:rPr>
              <w:t>Consolidated Statements of Cash Flows for the Years Ended December 31, 2022, 2021 and 2020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3740" w:type="dxa"/>
            <w:vAlign w:val="bottom"/>
            <w:gridSpan w:val="5"/>
          </w:tcPr>
          <w:p>
            <w:pPr>
              <w:spacing w:after="0"/>
              <w:rPr>
                <w:sz w:val="22"/>
                <w:szCs w:val="22"/>
                <w:color w:val="auto"/>
              </w:rPr>
            </w:pPr>
          </w:p>
        </w:tc>
        <w:tc>
          <w:tcPr>
            <w:tcW w:w="2860" w:type="dxa"/>
            <w:vAlign w:val="bottom"/>
            <w:gridSpan w:val="2"/>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0000FF"/>
              </w:rPr>
              <w:t>86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38"/>
        </w:trPr>
        <w:tc>
          <w:tcPr>
            <w:tcW w:w="2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360" w:type="dxa"/>
            <w:vAlign w:val="bottom"/>
            <w:tcBorders>
              <w:top w:val="single" w:sz="8" w:color="0000FF"/>
            </w:tcBorders>
            <w:gridSpan w:val="2"/>
          </w:tcPr>
          <w:p>
            <w:pPr>
              <w:spacing w:after="0"/>
              <w:rPr>
                <w:sz w:val="24"/>
                <w:szCs w:val="24"/>
                <w:color w:val="auto"/>
              </w:rPr>
            </w:pPr>
          </w:p>
        </w:tc>
        <w:tc>
          <w:tcPr>
            <w:tcW w:w="3440" w:type="dxa"/>
            <w:vAlign w:val="bottom"/>
            <w:gridSpan w:val="4"/>
          </w:tcPr>
          <w:p>
            <w:pPr>
              <w:jc w:val="center"/>
              <w:ind w:left="1370"/>
              <w:spacing w:after="0"/>
              <w:rPr>
                <w:sz w:val="20"/>
                <w:szCs w:val="20"/>
                <w:color w:val="auto"/>
              </w:rPr>
            </w:pPr>
            <w:r>
              <w:rPr>
                <w:rFonts w:ascii="Arial" w:cs="Arial" w:eastAsia="Arial" w:hAnsi="Arial"/>
                <w:sz w:val="18"/>
                <w:szCs w:val="18"/>
                <w:color w:val="auto"/>
                <w:w w:val="89"/>
              </w:rPr>
              <w:t>75</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Management of Viatris Inc.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 </w:t>
      </w:r>
      <w:r>
        <w:rPr>
          <w:rFonts w:ascii="Arial" w:cs="Arial" w:eastAsia="Arial" w:hAnsi="Arial"/>
          <w:sz w:val="16"/>
          <w:szCs w:val="16"/>
          <w:i w:val="1"/>
          <w:iCs w:val="1"/>
          <w:color w:val="auto"/>
        </w:rPr>
        <w:t>Internal Control</w:t>
      </w:r>
    </w:p>
    <w:p>
      <w:pPr>
        <w:spacing w:after="0" w:line="1" w:lineRule="exact"/>
        <w:rPr>
          <w:sz w:val="20"/>
          <w:szCs w:val="20"/>
          <w:color w:val="auto"/>
        </w:rPr>
      </w:pPr>
    </w:p>
    <w:p>
      <w:pPr>
        <w:ind w:right="80" w:firstLine="8"/>
        <w:spacing w:after="0" w:line="255" w:lineRule="auto"/>
        <w:tabs>
          <w:tab w:leader="none" w:pos="10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w:t>
      </w:r>
      <w:r>
        <w:rPr>
          <w:rFonts w:ascii="Arial" w:cs="Arial" w:eastAsia="Arial" w:hAnsi="Arial"/>
          <w:sz w:val="18"/>
          <w:szCs w:val="18"/>
          <w:i w:val="1"/>
          <w:iCs w:val="1"/>
          <w:color w:val="auto"/>
        </w:rPr>
        <w:t>2013)</w:t>
      </w:r>
      <w:r>
        <w:rPr>
          <w:rFonts w:ascii="Arial" w:cs="Arial" w:eastAsia="Arial" w:hAnsi="Arial"/>
          <w:sz w:val="18"/>
          <w:szCs w:val="18"/>
          <w:color w:val="auto"/>
        </w:rPr>
        <w:t>, issued by COSO. Because of its inherent limitations, internal control over financial reporting may not prevent or detect</w:t>
      </w:r>
      <w:r>
        <w:rPr>
          <w:rFonts w:ascii="Arial" w:cs="Arial" w:eastAsia="Arial" w:hAnsi="Arial"/>
          <w:sz w:val="18"/>
          <w:szCs w:val="18"/>
          <w:i w:val="1"/>
          <w:iCs w:val="1"/>
          <w:color w:val="auto"/>
        </w:rPr>
        <w:t xml:space="preserve"> </w:t>
      </w:r>
      <w:r>
        <w:rPr>
          <w:rFonts w:ascii="Arial" w:cs="Arial" w:eastAsia="Arial" w:hAnsi="Arial"/>
          <w:sz w:val="18"/>
          <w:szCs w:val="18"/>
          <w:color w:val="auto"/>
        </w:rPr>
        <w:t>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As a result of this assessment, management has concluded that the Company maintained effective internal control over financial reporting as of December 31, 2022 based on the criteria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independent registered public accounting firm, Deloitte &amp; Touche LLP (PCAOB ID No. 34), has audited the effectiveness of the Company’s internal control over financial reporting. Deloitte &amp; Touche LLP’s opinion on the Company’s internal control over financial reporting appears on page 80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Viatris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audited the accompanying consolidated balance sheets of Viatris Inc. and subsidiaries (the "Company") as of December 31, 2022 and 2021, the related consolidated statements of operations, comprehensive earnings (loss), equity, and cash flows,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2023,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Viatris Inc. Europe and JANZ Reporting Units – Refer to Note 9 to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performed an interim and annual goodwill impairment test as of March 31, 2022 and April 1, 2022, respectively. As of March 31, 2022 and April 1, 2022, the Company had $11.95 billion of consolidated goodwill, $4.95 billion and $0.78 billion of which was allocated to the Viatris Inc. Europe and JANZ reporting units, respectively. The Company’s evaluation of goodwill for impairment involves the comparison of the estimated fair value of each reporting unit to its carrying value. The Company performed its valuation analysis, using both income and market-based approaches, to determine the fair</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value of its Europe and JANZ reporting units</w:t>
      </w:r>
      <w:r>
        <w:rPr>
          <w:rFonts w:ascii="Arial" w:cs="Arial" w:eastAsia="Arial" w:hAnsi="Arial"/>
          <w:sz w:val="19"/>
          <w:szCs w:val="19"/>
          <w:color w:val="auto"/>
        </w:rPr>
        <w:t>.</w:t>
      </w:r>
      <w:r>
        <w:rPr>
          <w:rFonts w:ascii="Arial" w:cs="Arial" w:eastAsia="Arial" w:hAnsi="Arial"/>
          <w:sz w:val="16"/>
          <w:szCs w:val="16"/>
          <w:color w:val="auto"/>
        </w:rPr>
        <w:t xml:space="preserve"> The determination of the fair value requires management to make significant estimates and assumptions that affect the reporting unit’s expected future cash flows. These estimates and assumptions, utilizing Level 3 valuation inputs, primarily include, but are not limited to, market multiples, control premiums, discount rates, terminal growth rates, operating income before depreciation and amortization, and capital expenditures forecasts. The fair values of the Europe and the JANZ reporting units exceeded their carrying values by approximately $0.8 billion, or 5.3%, and $0.23 billion, or 7.4%, respectively, as of March 31, 2022 and April 1, 2022 and, therefore, no impairments were recognized.</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Given that the Europe and JANZ reporting unit’s revenues are sensitive to changes in consumer demand, the approval of new product launches, the expansion of existing products into new jurisdictions (which have differentiated distribution and commercialization models throughout the regions), and the impact of business development activity, auditing management’s judgments regarding forecasts of future revenues, and the selection of the discount rates and terminal growth rates required a high degree of auditor judgment and an increased extent of effort, including the need to involve our fair value specialists.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forecasts of future revenues (“forecasts”), and the selection of the discount rates and terminal growth rates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Europe and the JANZ reporting units included the following procedures, among others:</w:t>
      </w:r>
    </w:p>
    <w:p>
      <w:pPr>
        <w:spacing w:after="0" w:line="238" w:lineRule="exact"/>
        <w:rPr>
          <w:sz w:val="20"/>
          <w:szCs w:val="20"/>
          <w:color w:val="auto"/>
        </w:rPr>
      </w:pPr>
    </w:p>
    <w:p>
      <w:pPr>
        <w:ind w:left="660" w:right="360" w:hanging="328"/>
        <w:spacing w:after="0" w:line="277" w:lineRule="auto"/>
        <w:tabs>
          <w:tab w:leader="none" w:pos="659" w:val="left"/>
        </w:tabs>
        <w:numPr>
          <w:ilvl w:val="0"/>
          <w:numId w:val="38"/>
        </w:numPr>
        <w:rPr>
          <w:rFonts w:ascii="Arial" w:cs="Arial" w:eastAsia="Arial" w:hAnsi="Arial"/>
          <w:sz w:val="15"/>
          <w:szCs w:val="15"/>
          <w:color w:val="auto"/>
        </w:rPr>
      </w:pPr>
      <w:r>
        <w:rPr>
          <w:rFonts w:ascii="Arial" w:cs="Arial" w:eastAsia="Arial" w:hAnsi="Arial"/>
          <w:sz w:val="18"/>
          <w:szCs w:val="18"/>
          <w:color w:val="auto"/>
        </w:rPr>
        <w:t>We tested the effectiveness of controls over the review of the goodwill impairment tests, including those over the development of the business forecasts of future revenues and the selection of the discount rates and terminal growth rates.</w:t>
      </w:r>
    </w:p>
    <w:p>
      <w:pPr>
        <w:spacing w:after="0" w:line="183" w:lineRule="exact"/>
        <w:rPr>
          <w:rFonts w:ascii="Arial" w:cs="Arial" w:eastAsia="Arial" w:hAnsi="Arial"/>
          <w:sz w:val="15"/>
          <w:szCs w:val="15"/>
          <w:color w:val="auto"/>
        </w:rPr>
      </w:pPr>
    </w:p>
    <w:p>
      <w:pPr>
        <w:ind w:left="660" w:right="160" w:hanging="328"/>
        <w:spacing w:after="0" w:line="277" w:lineRule="auto"/>
        <w:tabs>
          <w:tab w:leader="none" w:pos="659" w:val="left"/>
        </w:tabs>
        <w:numPr>
          <w:ilvl w:val="0"/>
          <w:numId w:val="38"/>
        </w:numPr>
        <w:rPr>
          <w:rFonts w:ascii="Arial" w:cs="Arial" w:eastAsia="Arial" w:hAnsi="Arial"/>
          <w:sz w:val="15"/>
          <w:szCs w:val="15"/>
          <w:color w:val="auto"/>
        </w:rPr>
      </w:pPr>
      <w:r>
        <w:rPr>
          <w:rFonts w:ascii="Arial" w:cs="Arial" w:eastAsia="Arial" w:hAnsi="Arial"/>
          <w:sz w:val="18"/>
          <w:szCs w:val="18"/>
          <w:color w:val="auto"/>
        </w:rPr>
        <w:t>We evaluated management’s ability to accurately forecast future revenues of the Europe and JANZ reporting units by comparing actual results to management’s historical forecasts.</w:t>
      </w:r>
    </w:p>
    <w:p>
      <w:pPr>
        <w:spacing w:after="0" w:line="197" w:lineRule="exact"/>
        <w:rPr>
          <w:rFonts w:ascii="Arial" w:cs="Arial" w:eastAsia="Arial" w:hAnsi="Arial"/>
          <w:sz w:val="15"/>
          <w:szCs w:val="15"/>
          <w:color w:val="auto"/>
        </w:rPr>
      </w:pPr>
    </w:p>
    <w:p>
      <w:pPr>
        <w:ind w:left="660" w:right="580" w:hanging="328"/>
        <w:spacing w:after="0" w:line="254" w:lineRule="auto"/>
        <w:tabs>
          <w:tab w:leader="none" w:pos="659" w:val="left"/>
        </w:tabs>
        <w:numPr>
          <w:ilvl w:val="0"/>
          <w:numId w:val="38"/>
        </w:numPr>
        <w:rPr>
          <w:rFonts w:ascii="Arial" w:cs="Arial" w:eastAsia="Arial" w:hAnsi="Arial"/>
          <w:sz w:val="15"/>
          <w:szCs w:val="15"/>
          <w:color w:val="auto"/>
        </w:rPr>
      </w:pPr>
      <w:r>
        <w:rPr>
          <w:rFonts w:ascii="Arial" w:cs="Arial" w:eastAsia="Arial" w:hAnsi="Arial"/>
          <w:sz w:val="18"/>
          <w:szCs w:val="18"/>
          <w:color w:val="auto"/>
        </w:rPr>
        <w:t>We evaluated the reasonableness of management’s revenue forecasts by comparing the projections to (1) historical results, (2) internal communications to management and the Board of Directors, and (3) forecasted information included in Company press releases. We also considered third party reports related to macroeconomic and industry trends and made inquiries of management, including various regional commercial and operations leaders to assess key inputs in the forecast assumptions.</w:t>
      </w:r>
    </w:p>
    <w:p>
      <w:pPr>
        <w:spacing w:after="0" w:line="203" w:lineRule="exact"/>
        <w:rPr>
          <w:rFonts w:ascii="Arial" w:cs="Arial" w:eastAsia="Arial" w:hAnsi="Arial"/>
          <w:sz w:val="15"/>
          <w:szCs w:val="15"/>
          <w:color w:val="auto"/>
        </w:rPr>
      </w:pPr>
    </w:p>
    <w:p>
      <w:pPr>
        <w:ind w:left="660" w:right="140" w:hanging="328"/>
        <w:spacing w:after="0" w:line="24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valuation methodology, discount rates, and terminal growth rates, including (1) testing the source information underlying the determination of the discount rates and terminal growth rates and the mathematical accuracy of the calculations, (2) developing a range of independent estimates and comparing those to the discount rates selected by management, and (3) considering third party macroeconomic reports.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Provisions – Sales Returns Accrual at MPI – Refer to Note 3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provides customers with the ability to return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The returns reserve at MPI represents a significant component of the global sales returns reserve as of December 31, 2022.</w:t>
      </w:r>
    </w:p>
    <w:p>
      <w:pPr>
        <w:spacing w:after="0" w:line="21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Estimating the amounts to be accrued for returns requires significant estimation as management’s model utilizes historical experience with actual returns and considers levels of inventory in the distribution channel, product dating and expiration period, size and maturity of the market prior to a product launch, entrance into the market of additional competitors, and changes in the regulatory environment. Given the volume of sales returns and the level of estimation uncertainty involved, auditing management’s judgments required a high degree of auditor judgment and an increased extent of effort.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Net Revenue Provisions – Sales Returns accrual included the following, among others:</w:t>
      </w:r>
    </w:p>
    <w:p>
      <w:pPr>
        <w:spacing w:after="0" w:line="252" w:lineRule="exact"/>
        <w:rPr>
          <w:sz w:val="20"/>
          <w:szCs w:val="20"/>
          <w:color w:val="auto"/>
        </w:rPr>
      </w:pPr>
    </w:p>
    <w:p>
      <w:pPr>
        <w:ind w:left="660" w:right="8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the Company’s methodology and assumptions in developing their sales returns accrual model, including assessing the completeness and accuracy of the underlying data used by management in their estimates.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calculation of the sales returns reserve at MPI.</w:t>
      </w:r>
    </w:p>
    <w:p>
      <w:pPr>
        <w:spacing w:after="0" w:line="238"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compared prior period sales returns accruals to sales returns credits subsequently issued to evaluate management’s ability to accurately forecast sales returns activity.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line="24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developed independent expectations of product-level sales returns accruals and sales returns accruals in the aggregate using the following: 1) historical sales and returns activity, 2) remaining shelf life information, 3) finished goods inventory on-hand at the end of the period, and 4) adjustments for known or anticipated sales return activity based on market dynamics (market prior to Viatris launch, impact of competition, and overall regulatory environment) and compared those to the recorded amounts.</w:t>
      </w: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Pittsburgh, Pennsylvania</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February 27, 2023</w:t>
      </w:r>
    </w:p>
    <w:p>
      <w:pPr>
        <w:spacing w:after="0" w:line="3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have served as the Company's auditor since 1976.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Viatris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Viatris, Inc.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27,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Pittsburgh, Pennsylvania</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share and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4,266.4</w:t>
            </w:r>
          </w:p>
        </w:tc>
        <w:tc>
          <w:tcPr>
            <w:tcW w:w="0" w:type="dxa"/>
            <w:vAlign w:val="bottom"/>
          </w:tcPr>
          <w:p>
            <w:pPr>
              <w:spacing w:after="0"/>
              <w:rPr>
                <w:sz w:val="1"/>
                <w:szCs w:val="1"/>
                <w:color w:val="auto"/>
              </w:rPr>
            </w:pPr>
          </w:p>
        </w:tc>
      </w:tr>
      <w:tr>
        <w:trPr>
          <w:trHeight w:val="229"/>
        </w:trPr>
        <w:tc>
          <w:tcPr>
            <w:tcW w:w="86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3,977.7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10,902.9</w:t>
            </w: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3,188.6</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26,134.2</w:t>
            </w: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10,425.8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12,113.7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benefit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54,842.8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20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Current portion of long-term debt and other long-term obligations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1,877.5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9,884.4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19,717.1</w:t>
            </w: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2,815.0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obligations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34,350.1</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Viatris Inc. shareholders’ equity</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Common stock: $0.01 par value, 3,000,000,000 shares authorized; shares issued and outstanding: 1,213,793,231</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1,209,507,463, respectively</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18,536.1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3,688.8</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20,492.7</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54,842.8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16,218.1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17,813.6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11,819.9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16,262.7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17,886.3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11,946.0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8,149.3</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3,796.7</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IPR&amp;D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3,344.6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and other contingencies,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4,007.5</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operations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2,078.6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attributable to Viatris Inc. shareholders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1,217.4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1,208.8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6"/>
                <w:szCs w:val="16"/>
                <w:color w:val="auto"/>
              </w:rPr>
            </w:pPr>
          </w:p>
        </w:tc>
      </w:tr>
      <w:tr>
        <w:trPr>
          <w:trHeight w:val="26"/>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9"/>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Other comprehensive (loss) earnings, before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w:t>
            </w: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Change in unrecognized gain (loss) and prior service cost related to defined benefit plans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unrecognized (loss) gain on derivatives in cash flow hedging relationships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Net unrecognized gain (loss) on derivatives in net investment hedging relationships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(305.2)</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(loss) gain on marketable securities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Other comprehensive (loss) earnings, before 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912.6</w:t>
            </w: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(loss) earnings, net of tax</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(In millions, except share amounts)</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80" w:type="dxa"/>
            <w:vAlign w:val="bottom"/>
          </w:tcPr>
          <w:p>
            <w:pPr>
              <w:spacing w:after="0"/>
              <w:rPr>
                <w:sz w:val="16"/>
                <w:szCs w:val="16"/>
                <w:color w:val="auto"/>
              </w:rPr>
            </w:pPr>
          </w:p>
        </w:tc>
        <w:tc>
          <w:tcPr>
            <w:tcW w:w="1680" w:type="dxa"/>
            <w:vAlign w:val="bottom"/>
            <w:gridSpan w:val="5"/>
          </w:tcPr>
          <w:p>
            <w:pPr>
              <w:ind w:left="260"/>
              <w:spacing w:after="0" w:line="185" w:lineRule="exact"/>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18"/>
                <w:szCs w:val="18"/>
                <w:b w:val="1"/>
                <w:bCs w:val="1"/>
                <w:color w:val="auto"/>
                <w:vertAlign w:val="superscript"/>
              </w:rPr>
              <w:t>(1)</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ind w:left="34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820" w:type="dxa"/>
            <w:vAlign w:val="bottom"/>
            <w:gridSpan w:val="3"/>
            <w:vMerge w:val="restart"/>
          </w:tcPr>
          <w:p>
            <w:pPr>
              <w:ind w:left="100"/>
              <w:spacing w:after="0" w:line="108" w:lineRule="exact"/>
              <w:rPr>
                <w:sz w:val="20"/>
                <w:szCs w:val="20"/>
                <w:color w:val="auto"/>
              </w:rPr>
            </w:pPr>
            <w:r>
              <w:rPr>
                <w:rFonts w:ascii="Arial" w:cs="Arial" w:eastAsia="Arial" w:hAnsi="Arial"/>
                <w:sz w:val="12"/>
                <w:szCs w:val="12"/>
                <w:b w:val="1"/>
                <w:bCs w:val="1"/>
                <w:color w:val="auto"/>
              </w:rPr>
              <w:t>Retained</w:t>
            </w: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5"/>
                <w:szCs w:val="5"/>
                <w:color w:val="auto"/>
              </w:rPr>
            </w:pPr>
          </w:p>
        </w:tc>
        <w:tc>
          <w:tcPr>
            <w:tcW w:w="640" w:type="dxa"/>
            <w:vAlign w:val="bottom"/>
            <w:vMerge w:val="restart"/>
          </w:tcPr>
          <w:p>
            <w:pPr>
              <w:jc w:val="right"/>
              <w:ind w:right="140"/>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line="20" w:lineRule="exact"/>
              <w:rPr>
                <w:sz w:val="1"/>
                <w:szCs w:val="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540,746,871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8,643.5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6,031.1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24,598,074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(999.7)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11,883.8</w:t>
            </w: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(669.9)</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(669.9)</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earnings, net of tax</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939.2</w:t>
            </w: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69"/>
        </w:trPr>
        <w:tc>
          <w:tcPr>
            <w:tcW w:w="39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5"/>
              </w:rPr>
              <w:t>Issuance of restricted stock and stock options exercised,</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872,802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w:t>
            </w: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40"/>
              <w:spacing w:after="0"/>
              <w:rPr>
                <w:sz w:val="20"/>
                <w:szCs w:val="20"/>
                <w:color w:val="auto"/>
              </w:rPr>
            </w:pPr>
            <w:r>
              <w:rPr>
                <w:rFonts w:ascii="Arial" w:cs="Arial" w:eastAsia="Arial" w:hAnsi="Arial"/>
                <w:sz w:val="16"/>
                <w:szCs w:val="16"/>
                <w:color w:val="auto"/>
                <w:w w:val="92"/>
              </w:rPr>
              <w:t>Taxes related to the net share settlement of equity awards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69"/>
        </w:trPr>
        <w:tc>
          <w:tcPr>
            <w:tcW w:w="39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8"/>
              </w:rPr>
              <w:t>Exchange of Mylan N.V. ordinary shares for Viatris Inc.</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(541,619,673)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w:t>
            </w: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w w:val="99"/>
              </w:rPr>
              <w:t>Issuance of common stock to Mylan N.V. shareholders</w:t>
            </w:r>
          </w:p>
        </w:tc>
        <w:tc>
          <w:tcPr>
            <w:tcW w:w="1020" w:type="dxa"/>
            <w:vAlign w:val="bottom"/>
          </w:tcPr>
          <w:p>
            <w:pPr>
              <w:jc w:val="right"/>
              <w:spacing w:after="0"/>
              <w:rPr>
                <w:sz w:val="20"/>
                <w:szCs w:val="20"/>
                <w:color w:val="auto"/>
              </w:rPr>
            </w:pPr>
            <w:r>
              <w:rPr>
                <w:rFonts w:ascii="Arial" w:cs="Arial" w:eastAsia="Arial" w:hAnsi="Arial"/>
                <w:sz w:val="16"/>
                <w:szCs w:val="16"/>
                <w:color w:val="auto"/>
              </w:rPr>
              <w:t>541,619,673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the Combination</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689,874,045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10,720.6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10,727.5</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Retirement of Mylan N.V. treasury stock,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(24,598,074)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(24,598,074)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1,206,895,644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18,438.8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5,361.2</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22,954.1</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12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80" w:type="dxa"/>
            <w:vAlign w:val="bottom"/>
            <w:vMerge w:val="continue"/>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(1,269.1)</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0"/>
              </w:rPr>
              <w:t>(1,269.1)</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(886.3)</w:t>
            </w: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restricted stock, net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2,611,819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w w:val="93"/>
              </w:rPr>
              <w:t>Taxes related to the net share settlement of equity awards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dividends declared, $0.33 per common share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1020" w:type="dxa"/>
            <w:vAlign w:val="bottom"/>
          </w:tcPr>
          <w:p>
            <w:pPr>
              <w:jc w:val="right"/>
              <w:spacing w:after="0"/>
              <w:rPr>
                <w:sz w:val="20"/>
                <w:szCs w:val="20"/>
                <w:color w:val="auto"/>
              </w:rPr>
            </w:pPr>
            <w:r>
              <w:rPr>
                <w:rFonts w:ascii="Arial" w:cs="Arial" w:eastAsia="Arial" w:hAnsi="Arial"/>
                <w:sz w:val="16"/>
                <w:szCs w:val="16"/>
                <w:color w:val="auto"/>
                <w:w w:val="89"/>
              </w:rPr>
              <w:t>1,209,507,463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18,536.1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3,688.8</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6"/>
              </w:rPr>
              <w:t>20,492.7</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2,078.6</w:t>
            </w: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0"/>
              </w:rPr>
              <w:t>(1,016.9)</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3"/>
        </w:trPr>
        <w:tc>
          <w:tcPr>
            <w:tcW w:w="3980" w:type="dxa"/>
            <w:vAlign w:val="bottom"/>
          </w:tcPr>
          <w:p>
            <w:pPr>
              <w:ind w:left="140"/>
              <w:spacing w:after="0"/>
              <w:rPr>
                <w:sz w:val="20"/>
                <w:szCs w:val="20"/>
                <w:color w:val="auto"/>
              </w:rPr>
            </w:pPr>
            <w:r>
              <w:rPr>
                <w:rFonts w:ascii="Arial" w:cs="Arial" w:eastAsia="Arial" w:hAnsi="Arial"/>
                <w:sz w:val="16"/>
                <w:szCs w:val="16"/>
                <w:color w:val="auto"/>
              </w:rPr>
              <w:t>Issuance of restricted stock, net</w:t>
            </w:r>
          </w:p>
        </w:tc>
        <w:tc>
          <w:tcPr>
            <w:tcW w:w="1020" w:type="dxa"/>
            <w:vAlign w:val="bottom"/>
          </w:tcPr>
          <w:p>
            <w:pPr>
              <w:jc w:val="right"/>
              <w:spacing w:after="0"/>
              <w:rPr>
                <w:sz w:val="20"/>
                <w:szCs w:val="20"/>
                <w:color w:val="auto"/>
              </w:rPr>
            </w:pPr>
            <w:r>
              <w:rPr>
                <w:rFonts w:ascii="Arial" w:cs="Arial" w:eastAsia="Arial" w:hAnsi="Arial"/>
                <w:sz w:val="16"/>
                <w:szCs w:val="16"/>
                <w:color w:val="auto"/>
              </w:rPr>
              <w:t>3,972,427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Taxes related to the net share settlement of equity awards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3"/>
        </w:trPr>
        <w:tc>
          <w:tcPr>
            <w:tcW w:w="398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1020" w:type="dxa"/>
            <w:vAlign w:val="bottom"/>
          </w:tcPr>
          <w:p>
            <w:pPr>
              <w:jc w:val="right"/>
              <w:spacing w:after="0"/>
              <w:rPr>
                <w:sz w:val="20"/>
                <w:szCs w:val="20"/>
                <w:color w:val="auto"/>
              </w:rPr>
            </w:pPr>
            <w:r>
              <w:rPr>
                <w:rFonts w:ascii="Arial" w:cs="Arial" w:eastAsia="Arial" w:hAnsi="Arial"/>
                <w:sz w:val="16"/>
                <w:szCs w:val="16"/>
                <w:color w:val="auto"/>
              </w:rPr>
              <w:t>313,341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dividends declared, $0.48 per common share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212"/>
        </w:trPr>
        <w:tc>
          <w:tcPr>
            <w:tcW w:w="398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020" w:type="dxa"/>
            <w:vAlign w:val="bottom"/>
          </w:tcPr>
          <w:p>
            <w:pPr>
              <w:jc w:val="right"/>
              <w:spacing w:after="0"/>
              <w:rPr>
                <w:sz w:val="20"/>
                <w:szCs w:val="20"/>
                <w:color w:val="auto"/>
              </w:rPr>
            </w:pPr>
            <w:r>
              <w:rPr>
                <w:rFonts w:ascii="Arial" w:cs="Arial" w:eastAsia="Arial" w:hAnsi="Arial"/>
                <w:sz w:val="16"/>
                <w:szCs w:val="16"/>
                <w:color w:val="auto"/>
                <w:w w:val="89"/>
              </w:rPr>
              <w:t>1,213,793,231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18,645.8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5,175.6</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(2,761.2)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6"/>
              </w:rPr>
              <w:t>21,072.3</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w:t>
      </w:r>
    </w:p>
    <w:p>
      <w:pPr>
        <w:spacing w:after="0" w:line="73"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Ordinary Shares prior to November 16, 2020.</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Net earnings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2,078.6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(1,269.1)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(669.9)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2,216.1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equity method investments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Gain on disposal of business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Other non-cash items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366.4</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0" w:type="dxa"/>
            <w:vAlign w:val="bottom"/>
          </w:tcPr>
          <w:p>
            <w:pPr>
              <w:spacing w:after="0"/>
              <w:rPr>
                <w:sz w:val="1"/>
                <w:szCs w:val="1"/>
                <w:color w:val="auto"/>
              </w:rPr>
            </w:pPr>
          </w:p>
        </w:tc>
      </w:tr>
      <w:tr>
        <w:trPr>
          <w:trHeight w:val="213"/>
        </w:trPr>
        <w:tc>
          <w:tcPr>
            <w:tcW w:w="7660" w:type="dxa"/>
            <w:vAlign w:val="bottom"/>
          </w:tcPr>
          <w:p>
            <w:pPr>
              <w:ind w:left="340"/>
              <w:spacing w:after="0"/>
              <w:rPr>
                <w:sz w:val="20"/>
                <w:szCs w:val="20"/>
                <w:color w:val="auto"/>
              </w:rPr>
            </w:pPr>
            <w:r>
              <w:rPr>
                <w:rFonts w:ascii="Arial" w:cs="Arial" w:eastAsia="Arial" w:hAnsi="Arial"/>
                <w:sz w:val="16"/>
                <w:szCs w:val="16"/>
                <w:color w:val="auto"/>
              </w:rPr>
              <w:t>Trade accounts payable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operating assets and liabilities,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1,231.8</w:t>
            </w:r>
          </w:p>
        </w:tc>
        <w:tc>
          <w:tcPr>
            <w:tcW w:w="0" w:type="dxa"/>
            <w:vAlign w:val="bottom"/>
          </w:tcPr>
          <w:p>
            <w:pPr>
              <w:spacing w:after="0"/>
              <w:rPr>
                <w:sz w:val="1"/>
                <w:szCs w:val="1"/>
                <w:color w:val="auto"/>
              </w:rPr>
            </w:pPr>
          </w:p>
        </w:tc>
      </w:tr>
      <w:tr>
        <w:trPr>
          <w:trHeight w:val="193"/>
        </w:trPr>
        <w:tc>
          <w:tcPr>
            <w:tcW w:w="76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(paid) for acquisitions, net of cash acquired</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product rights and other,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assets and subsidiaries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Purchase of marketable securities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marketable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983.3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long-term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(2,484.2)</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Payments of financing fees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short-term borrowings,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1,099.6</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paid related to net share settlement of equity awards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Contingent consideration payments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dividends paid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Arial" w:cs="Arial" w:eastAsia="Arial" w:hAnsi="Arial"/>
                <w:sz w:val="16"/>
                <w:szCs w:val="16"/>
                <w:color w:val="auto"/>
              </w:rPr>
              <w:t>Non-contingent payments for product rights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items,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on cash of changes in exchange rates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w:t>
            </w:r>
          </w:p>
        </w:tc>
        <w:tc>
          <w:tcPr>
            <w:tcW w:w="0" w:type="dxa"/>
            <w:vAlign w:val="bottom"/>
          </w:tcPr>
          <w:p>
            <w:pPr>
              <w:spacing w:after="0"/>
              <w:rPr>
                <w:sz w:val="1"/>
                <w:szCs w:val="1"/>
                <w:color w:val="auto"/>
              </w:rPr>
            </w:pPr>
          </w:p>
        </w:tc>
      </w:tr>
      <w:tr>
        <w:trPr>
          <w:trHeight w:val="23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 —</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140"/>
              <w:spacing w:after="0"/>
              <w:rPr>
                <w:sz w:val="20"/>
                <w:szCs w:val="20"/>
                <w:color w:val="auto"/>
              </w:rPr>
            </w:pPr>
            <w:r>
              <w:rPr>
                <w:rFonts w:ascii="Arial" w:cs="Arial" w:eastAsia="Arial" w:hAnsi="Arial"/>
                <w:sz w:val="16"/>
                <w:szCs w:val="16"/>
                <w:color w:val="auto"/>
              </w:rPr>
              <w:t>Common stock issued for the Combination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10,727.5</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Viatris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7" w:lineRule="exact"/>
        <w:rPr>
          <w:sz w:val="20"/>
          <w:szCs w:val="20"/>
          <w:color w:val="auto"/>
        </w:rPr>
      </w:pPr>
    </w:p>
    <w:p>
      <w:pPr>
        <w:ind w:right="400" w:firstLine="648"/>
        <w:spacing w:after="0" w:line="275" w:lineRule="auto"/>
        <w:rPr>
          <w:sz w:val="20"/>
          <w:szCs w:val="20"/>
          <w:color w:val="auto"/>
        </w:rPr>
      </w:pPr>
      <w:r>
        <w:rPr>
          <w:rFonts w:ascii="Arial" w:cs="Arial" w:eastAsia="Arial" w:hAnsi="Arial"/>
          <w:sz w:val="17"/>
          <w:szCs w:val="17"/>
          <w:color w:val="auto"/>
        </w:rPr>
        <w:t>Viatris’ portfolio comprises more than 1,400 approved molecules across a wide range of key therapeutic areas, including globally recognized iconic and key brands, generics, and complex generics, including biosimilars prior to the Biocon Biologics Transaction. The Company operates approximately 40 manufacturing sites worldwide that produce oral solid doses, injectables, complex dosage forms and APIs. We conduct our business through four segments: Developed Markets, Greater China, JANZ, and Emerging Markets. Viatris is headquartered in the U.S., with global centers in Pittsburgh, Pennsylvania, Shanghai, China and Hyderabad, India.</w:t>
      </w:r>
    </w:p>
    <w:p>
      <w:pPr>
        <w:spacing w:after="0" w:line="17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 xml:space="preserve">Certain reclassifications were made to conform the prior period consolidated financial statements to the current period presentation. Upfront and milestone-related charges in connection with collaboration and licensing arrangements made prior to regulatory approval of a development product that were previously presented in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are now presented in </w:t>
      </w:r>
      <w:r>
        <w:rPr>
          <w:rFonts w:ascii="Arial" w:cs="Arial" w:eastAsia="Arial" w:hAnsi="Arial"/>
          <w:sz w:val="16"/>
          <w:szCs w:val="16"/>
          <w:i w:val="1"/>
          <w:iCs w:val="1"/>
          <w:color w:val="auto"/>
        </w:rPr>
        <w:t>Acquired IPR&amp;D</w:t>
      </w:r>
      <w:r>
        <w:rPr>
          <w:rFonts w:ascii="Arial" w:cs="Arial" w:eastAsia="Arial" w:hAnsi="Arial"/>
          <w:sz w:val="16"/>
          <w:szCs w:val="16"/>
          <w:color w:val="auto"/>
        </w:rPr>
        <w:t xml:space="preserve"> in the consolidated statements of operations.</w:t>
      </w:r>
    </w:p>
    <w:p>
      <w:pPr>
        <w:spacing w:after="0" w:line="14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Mylan is considered the accounting acquirer of the Upjohn Business and all historical financial information of the Company prior to November 16, 2020 represents Mylan’s historical results and the Company’s thereafter.</w:t>
      </w:r>
    </w:p>
    <w:p>
      <w:pPr>
        <w:spacing w:after="0" w:line="27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Principles of Consolidation. </w:t>
      </w:r>
      <w:r>
        <w:rPr>
          <w:rFonts w:ascii="Arial" w:cs="Arial" w:eastAsia="Arial" w:hAnsi="Arial"/>
          <w:sz w:val="16"/>
          <w:szCs w:val="16"/>
          <w:color w:val="auto"/>
        </w:rPr>
        <w:t>The consolidated financial statements include the accounts of Viatris and those 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w:t>
      </w:r>
    </w:p>
    <w:p>
      <w:pPr>
        <w:spacing w:after="0" w:line="14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in the Preparation of Financial Statements. </w:t>
      </w:r>
      <w:r>
        <w:rPr>
          <w:rFonts w:ascii="Arial" w:cs="Arial" w:eastAsia="Arial" w:hAnsi="Arial"/>
          <w:sz w:val="18"/>
          <w:szCs w:val="18"/>
          <w:color w:val="auto"/>
        </w:rPr>
        <w:t>The preparation of financial statements, in conformity with U.S.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Foreign Currencies. </w:t>
      </w:r>
      <w:r>
        <w:rPr>
          <w:rFonts w:ascii="Arial" w:cs="Arial" w:eastAsia="Arial" w:hAnsi="Arial"/>
          <w:sz w:val="16"/>
          <w:szCs w:val="16"/>
          <w:color w:val="auto"/>
        </w:rPr>
        <w:t>The consolidated financial statements are presented in U.S. Dollars, the reporting currency of Viatris. Statements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spacing w:after="0" w:line="16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Under ASC 830, Foreign Currency Matters (“ASC 830”), a highly inflationary economy is one that has cumulative inflation of approximately 100% or more over a three-year period. Effective April 1, 2022, we classified Turkey as highly inflationary and began to utilize the U.S. dollar as our functional currency in Turkey, which historically utilized the Turkish lira as the functional currency. Application of the guidance in ASC 830 did not have a material impact on our consolidated financial statements for the year ended December 31, 2022. The impacted net sales for the year ended December 31, 2022 and total assets at December 31, 2022 represented less than 1% of our consolidated net sales and total assets, respectively.</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are comprised of highly liquid investments with an original maturity of three months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at the date of purchase.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i w:val="1"/>
          <w:iCs w:val="1"/>
          <w:color w:val="auto"/>
        </w:rPr>
        <w:t xml:space="preserve">Debt and Equity Securities. </w:t>
      </w:r>
      <w:r>
        <w:rPr>
          <w:rFonts w:ascii="Arial" w:cs="Arial" w:eastAsia="Arial" w:hAnsi="Arial"/>
          <w:sz w:val="17"/>
          <w:szCs w:val="17"/>
          <w:color w:val="auto"/>
        </w:rPr>
        <w:t>Debt securities classified as available-for-sale on the date of purchase are recorded at fair value, with net unrealized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gains and losses, net of income taxes, reflected in accumulated other comprehensive loss as a component of shareholders’ equity. Net realized gains and losses on sales of available-for-sale debt securities are computed on a specific security basis and are included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Debt securities classified as trading securities are valued using the quoted market price from broker or dealer quotations or transparent pricing sources at the reporting date, with gains and losses included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Fair value is determined based on observable market quotes or valuation models using assessments of counterparty credit worthiness, credit risk or underlying security and overall capital market liquidity. Debt securities are reviewed for impairment by assessing if the decline in market value of the investment below the carrying value is other than temporary.</w:t>
      </w:r>
    </w:p>
    <w:p>
      <w:pPr>
        <w:spacing w:after="0" w:line="17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Investments in equity securities with readily determinable fair values are recorded at fair value with changes in fair value recorded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expense, net </w:t>
      </w:r>
      <w:r>
        <w:rPr>
          <w:rFonts w:ascii="Arial" w:cs="Arial" w:eastAsia="Arial" w:hAnsi="Arial"/>
          <w:sz w:val="18"/>
          <w:szCs w:val="18"/>
          <w:color w:val="auto"/>
        </w:rPr>
        <w:t>in the consolidated statements of operations. Investments in equity securities without readily determinable fair values are recorded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minus any impairment, plus or minus changes in their estimated fair value resulting from observable price changes in orderly transactions for the identical or a similar investment of the same issuer. Investments in entities are accounted for using the equity method of accounting when the ability to exercise significant influence over the operating and financial decisions of the investee is maintained. The share of net income or losses of equity method investments are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consolidated statements of operations. Investments in equity securities without readily determinable fair values and investments in equity accounted for using the equity method are assessed for potential impairment on a quarterly basis based on qualitative factors.</w:t>
      </w:r>
    </w:p>
    <w:p>
      <w:pPr>
        <w:spacing w:after="0" w:line="19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the Company to credit risk consist principally of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derivatives and accounts receivable.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Viatris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and net realizable value, with cost principally determined by the weighted average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Provisions for potentially obsolete or slow-moving inventory, including pre-launch inventory, are made based on our analysis of product dating, inventory levels, historical obsolescence and future sales forecasts. Included as a component of cost of sales is expense related to the net realizable value of inventories.</w:t>
      </w:r>
    </w:p>
    <w:p>
      <w:pPr>
        <w:spacing w:after="0" w:line="18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Property, plant and equipment are stated at cost less accumulated depreciation. Depreciation is computed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Intangible Assets and Goodwill. </w:t>
      </w:r>
      <w:r>
        <w:rPr>
          <w:rFonts w:ascii="Arial" w:cs="Arial" w:eastAsia="Arial" w:hAnsi="Arial"/>
          <w:sz w:val="18"/>
          <w:szCs w:val="18"/>
          <w:color w:val="auto"/>
        </w:rPr>
        <w:t>Intangible assets are stated at cost less accumulated amortization. Amortization is generally recorded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straight-line basis over estimated useful lives ranging from 3 to 20 years. The Company periodically reviews the estimated useful lives of intangible assets and makes adjustments when events indicate that a shorter life is appropriate.</w:t>
      </w:r>
    </w:p>
    <w:p>
      <w:pPr>
        <w:spacing w:after="0" w:line="18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The Company accounts for acquired businesses using the acquisition method of accounting in accordance with the provisions of </w:t>
      </w:r>
      <w:r>
        <w:rPr>
          <w:rFonts w:ascii="Arial" w:cs="Arial" w:eastAsia="Arial" w:hAnsi="Arial"/>
          <w:sz w:val="18"/>
          <w:szCs w:val="18"/>
          <w:i w:val="1"/>
          <w:iCs w:val="1"/>
          <w:color w:val="auto"/>
        </w:rPr>
        <w:t>ASC 805,</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requires that the assets acquired and liabilities assumed be recorded at the date of acquisition at their respective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w:t>
      </w:r>
    </w:p>
    <w:p>
      <w:pPr>
        <w:spacing w:after="0" w:line="19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Purchases of developed products and licenses that are accounted for as asset acquisitions are capitalized as intangible assets and amortized over an estimated useful life.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Indefinite-lived intangible assets, principally IPR&amp;D acquired as part of business combinations,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Acquired IPR&amp;D. </w:t>
      </w:r>
      <w:r>
        <w:rPr>
          <w:rFonts w:ascii="Arial" w:cs="Arial" w:eastAsia="Arial" w:hAnsi="Arial"/>
          <w:sz w:val="18"/>
          <w:szCs w:val="18"/>
          <w:color w:val="auto"/>
        </w:rPr>
        <w:t>IPR&amp;D assets acquired as part of an asset acquisition are expensed immediately if they have no alternative future uses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recorded in </w:t>
      </w:r>
      <w:r>
        <w:rPr>
          <w:rFonts w:ascii="Arial" w:cs="Arial" w:eastAsia="Arial" w:hAnsi="Arial"/>
          <w:sz w:val="18"/>
          <w:szCs w:val="18"/>
          <w:i w:val="1"/>
          <w:iCs w:val="1"/>
          <w:color w:val="auto"/>
        </w:rPr>
        <w:t>Acquired IPR&amp;D</w:t>
      </w:r>
      <w:r>
        <w:rPr>
          <w:rFonts w:ascii="Arial" w:cs="Arial" w:eastAsia="Arial" w:hAnsi="Arial"/>
          <w:sz w:val="18"/>
          <w:szCs w:val="18"/>
          <w:color w:val="auto"/>
        </w:rPr>
        <w:t xml:space="preserve"> in the consolidated statements of operations.</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b w:val="1"/>
          <w:bCs w:val="1"/>
          <w:i w:val="1"/>
          <w:iCs w:val="1"/>
          <w:color w:val="auto"/>
        </w:rPr>
        <w:t xml:space="preserve">Contingent Consideration. </w:t>
      </w:r>
      <w:r>
        <w:rPr>
          <w:rFonts w:ascii="Arial" w:cs="Arial" w:eastAsia="Arial" w:hAnsi="Arial"/>
          <w:sz w:val="17"/>
          <w:szCs w:val="17"/>
          <w:color w:val="auto"/>
        </w:rPr>
        <w:t>Viatris records contingent consideration resulting from business acquisitions or divestitures at its estimated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acquisition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operating results, sales targets and profitability. These fair value measurements represent Level 3 measurements as they are based on significant inputs not observable in the market.</w:t>
      </w:r>
    </w:p>
    <w:p>
      <w:pPr>
        <w:spacing w:after="0" w:line="178"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Significant judgment is employed in determining the assumptions utilized as of the acquisition or divestiture date and for each subsequent measurement period. Accordingly, changes in the assumptions described above could have a material impact on the Company’s consolidated financial condition and results of operations.</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carrying values of long-lived assets, which include property, plant and equipment and intangible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finite lives, are evaluated periodically in relation to the expected future undiscounted cash flows of the underlying assets and monitored for other potential triggering events.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19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Any future long-lived assets impairment charges could have a material impact on the Company’s consolidated financial condition and results of operations.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Divestitures. </w:t>
      </w:r>
      <w:r>
        <w:rPr>
          <w:rFonts w:ascii="Arial" w:cs="Arial" w:eastAsia="Arial" w:hAnsi="Arial"/>
          <w:sz w:val="18"/>
          <w:szCs w:val="18"/>
          <w:color w:val="auto"/>
        </w:rPr>
        <w:t>For businesses that are divested, the Company records the net gain or loss on the sale within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divestitures of businesses, including divestitures of products that qualify as a business, the Company allocates the relative fair value of goodwill associated with the businesses in the determining the gain or loss on sale. The Company records amounts received as part of TSAs within </w:t>
      </w:r>
      <w:r>
        <w:rPr>
          <w:rFonts w:ascii="Arial" w:cs="Arial" w:eastAsia="Arial" w:hAnsi="Arial"/>
          <w:sz w:val="18"/>
          <w:szCs w:val="18"/>
          <w:i w:val="1"/>
          <w:iCs w:val="1"/>
          <w:color w:val="auto"/>
        </w:rPr>
        <w:t>Other (income)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p>
    <w:p>
      <w:pPr>
        <w:spacing w:after="0" w:line="18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b w:val="1"/>
          <w:bCs w:val="1"/>
          <w:i w:val="1"/>
          <w:iCs w:val="1"/>
          <w:color w:val="auto"/>
        </w:rPr>
        <w:t xml:space="preserve">Short-Term Borrowings. </w:t>
      </w:r>
      <w:r>
        <w:rPr>
          <w:rFonts w:ascii="Arial" w:cs="Arial" w:eastAsia="Arial" w:hAnsi="Arial"/>
          <w:sz w:val="17"/>
          <w:szCs w:val="17"/>
          <w:color w:val="auto"/>
        </w:rPr>
        <w:t>The Company’s subsidiaries in India have working capital facilities with several banks which are secured by its current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The Company also has the CP Notes, Receivables Facility and the Note Securitization Facility. Under the terms of each of the Receivables Facility and Note Securitization Facility, certain of our accounts receivable secure the amounts borrowed and cannot be used to pay our other debts or liabilities. As the accounts receivable do not transfer to the banks, any amounts outstanding under the facilities are recorded as borrowings and the underlying receivables continue to be included in accounts receivable, net,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Company recognizes revenues in accordance with ASC 606,</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The following section briefly describes the nature of our provisions for variable consideration and how such provisions are estimated:</w:t>
      </w:r>
    </w:p>
    <w:p>
      <w:pPr>
        <w:spacing w:after="0" w:line="165" w:lineRule="exact"/>
        <w:rPr>
          <w:sz w:val="20"/>
          <w:szCs w:val="20"/>
          <w:color w:val="auto"/>
        </w:rPr>
      </w:pPr>
    </w:p>
    <w:p>
      <w:pPr>
        <w:ind w:left="660" w:right="200" w:hanging="328"/>
        <w:spacing w:after="0" w:line="287"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Chargebacks</w:t>
      </w:r>
      <w:r>
        <w:rPr>
          <w:rFonts w:ascii="Arial" w:cs="Arial" w:eastAsia="Arial" w:hAnsi="Arial"/>
          <w:sz w:val="16"/>
          <w:szCs w:val="16"/>
          <w:color w:val="auto"/>
        </w:rPr>
        <w:t>: the Company has agreements with certain indirect customers, such as independent pharmacies, retail pharmacy chains, managed</w:t>
      </w:r>
      <w:r>
        <w:rPr>
          <w:rFonts w:ascii="Arial" w:cs="Arial" w:eastAsia="Arial" w:hAnsi="Arial"/>
          <w:sz w:val="16"/>
          <w:szCs w:val="16"/>
          <w:i w:val="1"/>
          <w:iCs w:val="1"/>
          <w:color w:val="auto"/>
        </w:rPr>
        <w:t xml:space="preserve"> </w:t>
      </w:r>
      <w:r>
        <w:rPr>
          <w:rFonts w:ascii="Arial" w:cs="Arial" w:eastAsia="Arial" w:hAnsi="Arial"/>
          <w:sz w:val="16"/>
          <w:szCs w:val="16"/>
          <w:color w:val="auto"/>
        </w:rPr>
        <w:t>care organizations, hospitals, nursing homes, governmental agencies and pharmacy benefit managers, which establish contract prices for certain products. The indirect customers then independently select a wholesaler from which to purchase the products at these contracted prices.</w:t>
      </w:r>
    </w:p>
    <w:p>
      <w:pPr>
        <w:spacing w:after="0" w:line="2" w:lineRule="exact"/>
        <w:rPr>
          <w:rFonts w:ascii="Arial" w:cs="Arial" w:eastAsia="Arial" w:hAnsi="Arial"/>
          <w:sz w:val="16"/>
          <w:szCs w:val="16"/>
          <w:color w:val="auto"/>
        </w:rPr>
      </w:pPr>
    </w:p>
    <w:p>
      <w:pPr>
        <w:ind w:left="660" w:right="20"/>
        <w:spacing w:after="0" w:line="295" w:lineRule="auto"/>
        <w:rPr>
          <w:rFonts w:ascii="Arial" w:cs="Arial" w:eastAsia="Arial" w:hAnsi="Arial"/>
          <w:sz w:val="16"/>
          <w:szCs w:val="16"/>
          <w:color w:val="auto"/>
        </w:rPr>
      </w:pPr>
      <w:r>
        <w:rPr>
          <w:rFonts w:ascii="Arial" w:cs="Arial" w:eastAsia="Arial" w:hAnsi="Arial"/>
          <w:sz w:val="16"/>
          <w:szCs w:val="16"/>
          <w:color w:val="auto"/>
        </w:rPr>
        <w:t>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spacing w:after="0" w:line="53" w:lineRule="exact"/>
        <w:rPr>
          <w:rFonts w:ascii="Arial" w:cs="Arial" w:eastAsia="Arial" w:hAnsi="Arial"/>
          <w:sz w:val="16"/>
          <w:szCs w:val="16"/>
          <w:color w:val="auto"/>
        </w:rPr>
      </w:pPr>
    </w:p>
    <w:p>
      <w:pPr>
        <w:ind w:left="660" w:right="60" w:hanging="328"/>
        <w:spacing w:after="0" w:line="25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Rebates, promotional programs and other sales allowances</w:t>
      </w:r>
      <w:r>
        <w:rPr>
          <w:rFonts w:ascii="Arial" w:cs="Arial" w:eastAsia="Arial" w:hAnsi="Arial"/>
          <w:sz w:val="18"/>
          <w:szCs w:val="18"/>
          <w:color w:val="auto"/>
        </w:rPr>
        <w:t>: this category includes rebate and other programs to assist in product sales.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w:t>
      </w:r>
    </w:p>
    <w:p>
      <w:pPr>
        <w:spacing w:after="0" w:line="7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Returns</w:t>
      </w:r>
      <w:r>
        <w:rPr>
          <w:rFonts w:ascii="Arial" w:cs="Arial" w:eastAsia="Arial" w:hAnsi="Arial"/>
          <w:sz w:val="18"/>
          <w:szCs w:val="18"/>
          <w:color w:val="auto"/>
        </w:rPr>
        <w:t>: consistent with industry practice, Viatris maintains a return policy that allows customers to return a product, which varies country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w:t>
      </w:r>
    </w:p>
    <w:p>
      <w:pPr>
        <w:spacing w:after="0" w:line="78" w:lineRule="exact"/>
        <w:rPr>
          <w:rFonts w:ascii="Arial" w:cs="Arial" w:eastAsia="Arial" w:hAnsi="Arial"/>
          <w:sz w:val="18"/>
          <w:szCs w:val="18"/>
          <w:color w:val="auto"/>
        </w:rPr>
      </w:pPr>
    </w:p>
    <w:p>
      <w:pPr>
        <w:ind w:left="660" w:right="60" w:hanging="328"/>
        <w:spacing w:after="0" w:line="290"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Governmental rebate programs</w:t>
      </w:r>
      <w:r>
        <w:rPr>
          <w:rFonts w:ascii="Arial" w:cs="Arial" w:eastAsia="Arial" w:hAnsi="Arial"/>
          <w:sz w:val="16"/>
          <w:szCs w:val="16"/>
          <w:color w:val="auto"/>
        </w:rPr>
        <w:t>: government reimbursement programs in the U.S. include Medicare, Medicaid, and State Pharmacy Assistance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spacing w:after="0" w:line="165" w:lineRule="exact"/>
        <w:rPr>
          <w:rFonts w:ascii="Arial" w:cs="Arial" w:eastAsia="Arial" w:hAnsi="Arial"/>
          <w:sz w:val="16"/>
          <w:szCs w:val="16"/>
          <w:color w:val="auto"/>
        </w:rPr>
      </w:pPr>
    </w:p>
    <w:p>
      <w:pPr>
        <w:ind w:left="660" w:right="40"/>
        <w:spacing w:after="0" w:line="259" w:lineRule="auto"/>
        <w:rPr>
          <w:rFonts w:ascii="Arial" w:cs="Arial" w:eastAsia="Arial" w:hAnsi="Arial"/>
          <w:sz w:val="16"/>
          <w:szCs w:val="16"/>
          <w:color w:val="auto"/>
        </w:rPr>
      </w:pPr>
      <w:r>
        <w:rPr>
          <w:rFonts w:ascii="Arial" w:cs="Arial" w:eastAsia="Arial" w:hAnsi="Arial"/>
          <w:sz w:val="18"/>
          <w:szCs w:val="18"/>
          <w:color w:val="auto"/>
        </w:rPr>
        <w:t>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consolidated statements of operations.</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Receivables, including deferred consideration, with terms in excess of one year are initially recorded at their net present value using discount rates reflecting the relative credit risk.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are charged to operations as incurred.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taxes have been provided for using an asset and liability approach in which deferred income taxes reflect the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spacing w:after="0" w:line="1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Basic earnings per share is computed by dividing net earnings attributable to holders of Viatris Inc. common stock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weighted average number of shares outstanding during the period. Diluted earnings per share is computed by dividing net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earnings per share attributable to Viatris Inc.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attributable to Viatris Inc. common shareholders (numerator):</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Shares (denominator):</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Basic earnings (loss) per share attributable to Viatris Inc.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(loss) attributable to Viatris Inc. common shareholders (numerator):</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Shares (denominator):</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dilutive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Diluted earnings (loss) per share attributable to Viatris Inc.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weighted average shares outstanding used in the computation of earnings per share for the year ended December 31, 2020 includes the effect of the 689.9 million shares issued for the closing of the Combination.</w:t>
      </w:r>
    </w:p>
    <w:p>
      <w:pPr>
        <w:spacing w:after="0" w:line="17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Additional stock awards and restricted ordinary shares were outstanding during the years ended December 31, 2022, 2021 and 2020 but were not included in the computation of diluted earnings per share for each respective period because the effect would be anti-dilutive. Excluded shares also include certain share-based compensation awards and restricted shares whose performance conditions had not been fully met. Such excluded shares and anti-dilutive awards represented 11.8 million, 12.7 million and 10.3 million shares for the years ended December 31, 2022, 2021 and 2020, respectively.</w:t>
      </w:r>
    </w:p>
    <w:p>
      <w:pPr>
        <w:spacing w:after="0" w:line="15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paid quarterly cash dividends of $0.11 per share on the Company’s issued and outstanding common stock on June 16, 2021, September 16, 2021, and December 16, 2021. The Company paid quarterly dividends of $0.12 per share on the Company’s issued and outstanding common stock on March 16, 2022, June 16, 2022, September 16, 2022 and December 16, 2022. On February 24, 2023, the Company’s Board of Directors declared a quarterly cash dividend of $0.12 per share on the Company’s issued and outstanding common stock, which will be payable on March 17, 2023 to shareholders of record as of the close of business on March 9, 2023.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92"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On May 6, 2022, the Company announced that its Board of Directors had authorized a DRIP. The DRIP allows shareholders to automatically reinvest all or a portion of the cash dividends paid on their shares of the Company’s common stock and to make certain additional optional cash investments in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2022, the Company did not repurchase any shares of common stock under the share repurchase program. In January and February 2023, the Company repurchased approximately 21.2 million shares of common stock at a cost of approximately $250 million. The share repurchase program does not obligate the Company to acquire any particular amount of common stock.</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The fair value of share-based compensation is recognized as expense in the consolidated statements of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vesting period.</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b w:val="1"/>
          <w:bCs w:val="1"/>
          <w:i w:val="1"/>
          <w:iCs w:val="1"/>
          <w:color w:val="auto"/>
        </w:rPr>
        <w:t xml:space="preserve">Derivatives. </w:t>
      </w:r>
      <w:r>
        <w:rPr>
          <w:rFonts w:ascii="Arial" w:cs="Arial" w:eastAsia="Arial" w:hAnsi="Arial"/>
          <w:sz w:val="16"/>
          <w:szCs w:val="16"/>
          <w:color w:val="auto"/>
        </w:rPr>
        <w:t>From time to time the Company may enter into derivative financial instruments (mainly foreign currency exchange forward contracts,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interest rate swaps and purchased equity call options)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cash or share payments required on conversion of issued convertible notes, 6) hedge a net investment in a foreign operation, or 7) economically hedge the foreign currency exposure associated with the purchase price of non-U.S. acquisitions. Derivatives are recognized as assets or liabilities in the consolidated balance sheets at their fair value. When the derivative instrument qualifies as a cash flow hedge, changes in the fair value are deferred through other comprehensive earnings. If a derivative instrument qualifies as a fair value hedge, the changes in the fair value, as well as the offsetting changes in the fair value of the hedged items, are generally included in within the same line item on the consolidated statements of operations as the hedged item. When such instruments do not qualify for hedge accounting the changes in fair value are recorded in the consolidated statements of operations within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w:t>
      </w:r>
    </w:p>
    <w:p>
      <w:pPr>
        <w:spacing w:after="0" w:line="16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The Company’s financial instruments consist primarily of short-term and long-term debt, interest rate swaps,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carries derivative instruments in the consolidated balance sheets at fair value, determined by reference to market data such as forward rates for currencies, implied volatility, and interest rate swap yield curves. The accounting for changes in the fair value of a derivative instrument depends on whether it has been designated and qualifies as part of a hedging relationship and, if so, the reason for holding it. In addition, the Company has designated certain long-term debt instruments as net investment hedges.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New Accounting Standards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In November 2021, the FASB issued Accounting Standards Update 2021-10, </w:t>
      </w:r>
      <w:r>
        <w:rPr>
          <w:rFonts w:ascii="Arial" w:cs="Arial" w:eastAsia="Arial" w:hAnsi="Arial"/>
          <w:sz w:val="17"/>
          <w:szCs w:val="17"/>
          <w:i w:val="1"/>
          <w:iCs w:val="1"/>
          <w:color w:val="auto"/>
        </w:rPr>
        <w:t>Government Assistance (Topic 832): Disclosures by Business Entities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about Government Assistance </w:t>
      </w:r>
      <w:r>
        <w:rPr>
          <w:rFonts w:ascii="Arial" w:cs="Arial" w:eastAsia="Arial" w:hAnsi="Arial"/>
          <w:sz w:val="17"/>
          <w:szCs w:val="17"/>
          <w:color w:val="auto"/>
        </w:rPr>
        <w:t>(“ASU 2021-10”), which requires entities to provide annual disclosures about transactions with a government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by applying a grant or contribution accounting model by analogy. We adopted the ASU prospectively on January 1, 2022. The adoption of this guidance did not have a material impact on the Company’s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Standards Issued Not Yet Adopted</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2020, the FASB issued Accounting Standards Update 2020-04, </w:t>
      </w:r>
      <w:r>
        <w:rPr>
          <w:rFonts w:ascii="Arial" w:cs="Arial" w:eastAsia="Arial" w:hAnsi="Arial"/>
          <w:sz w:val="16"/>
          <w:szCs w:val="16"/>
          <w:i w:val="1"/>
          <w:iCs w:val="1"/>
          <w:color w:val="auto"/>
        </w:rPr>
        <w:t>Reference Rate Reform (Topic 848) 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Reference Rate Reform on Financial Reporting </w:t>
      </w:r>
      <w:r>
        <w:rPr>
          <w:rFonts w:ascii="Arial" w:cs="Arial" w:eastAsia="Arial" w:hAnsi="Arial"/>
          <w:sz w:val="16"/>
          <w:szCs w:val="16"/>
          <w:color w:val="auto"/>
        </w:rPr>
        <w:t>(“ASU 2020-04”)</w:t>
      </w:r>
      <w:r>
        <w:rPr>
          <w:rFonts w:ascii="Arial" w:cs="Arial" w:eastAsia="Arial" w:hAnsi="Arial"/>
          <w:sz w:val="16"/>
          <w:szCs w:val="16"/>
          <w:i w:val="1"/>
          <w:iCs w:val="1"/>
          <w:color w:val="auto"/>
        </w:rPr>
        <w:t xml:space="preserve">, </w:t>
      </w:r>
      <w:r>
        <w:rPr>
          <w:rFonts w:ascii="Arial" w:cs="Arial" w:eastAsia="Arial" w:hAnsi="Arial"/>
          <w:sz w:val="16"/>
          <w:szCs w:val="16"/>
          <w:color w:val="auto"/>
        </w:rPr>
        <w:t>which for a limited period of time adds ASC 848 to provide optional expedients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for applying U.S. GAAP to contracts, hedging relationships, and other transactions affected by reference rate reform if certain criteria are met. ASU 2020-04 applies only to contracts, hedging relationships, and other transactions that reference LIBOR or another reference rate expected to be discontinued because of reference rate reform. On December 21, 2022, the FASB issued ASU 2022-06 to defer the sunset date of ASC 848 until December 31, 2024. ASU 2022-06 became effective upon issuance. Entities can apply the provisions of ASU 2020-04 immediately, as applicable, and generally the provisions of the guidance are available through December 31, 2024 as entities transition away from reference rates that are expected to be discontinued. The Company is currently assessing the impact of the adoption of this guidance on its consolidated financial statements and disclosures.</w:t>
      </w:r>
    </w:p>
    <w:p>
      <w:pPr>
        <w:spacing w:after="0" w:line="19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In October 2021, the FASB issued Accounting Standards Update 2021-08, </w:t>
      </w:r>
      <w:r>
        <w:rPr>
          <w:rFonts w:ascii="Arial" w:cs="Arial" w:eastAsia="Arial" w:hAnsi="Arial"/>
          <w:sz w:val="17"/>
          <w:szCs w:val="17"/>
          <w:i w:val="1"/>
          <w:iCs w:val="1"/>
          <w:color w:val="auto"/>
        </w:rPr>
        <w:t>Business Combinations (Topic 805): Accounting for Contract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Contract Liabilities from Contracts with Customers </w:t>
      </w:r>
      <w:r>
        <w:rPr>
          <w:rFonts w:ascii="Arial" w:cs="Arial" w:eastAsia="Arial" w:hAnsi="Arial"/>
          <w:sz w:val="17"/>
          <w:szCs w:val="17"/>
          <w:color w:val="auto"/>
        </w:rPr>
        <w:t>(“ASU 2021-08”), which requires entities (acquirers) to recognize and measure contract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liabilities acquired in a business combination in accordance with ASC Topic 606. The ASU will be effective for fiscal years, including interim periods within those fiscal years, beginning after December 15, 2022 with early adoption permitted. The Company is currently assessing the impact of the adoption of this guidance on its consolidated financial statements and disclosures.</w:t>
      </w:r>
    </w:p>
    <w:p>
      <w:pPr>
        <w:spacing w:after="0" w:line="17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In September 2022, the FASB issued Accounting Standards Update 2022-04, </w:t>
      </w:r>
      <w:r>
        <w:rPr>
          <w:rFonts w:ascii="Arial" w:cs="Arial" w:eastAsia="Arial" w:hAnsi="Arial"/>
          <w:sz w:val="17"/>
          <w:szCs w:val="17"/>
          <w:i w:val="1"/>
          <w:iCs w:val="1"/>
          <w:color w:val="auto"/>
        </w:rPr>
        <w:t>Liabilities—Supplier Finance Programs (Subtopic 405-50),</w:t>
      </w:r>
      <w:r>
        <w:rPr>
          <w:rFonts w:ascii="Arial" w:cs="Arial" w:eastAsia="Arial" w:hAnsi="Arial"/>
          <w:sz w:val="17"/>
          <w:szCs w:val="17"/>
          <w:color w:val="auto"/>
        </w:rPr>
        <w:t xml:space="preserve"> which requires entities to provide qualitative and quantitative disclosures about their supplier finance programs, including a rollforward of related obligations. The ASU will be effective for fiscal years beginning after December 15, 2022, including interim periods within those fiscal years, except for the rollforward requirement, which becomes effective for fiscal years beginning after December 15, 2023, with early adoption permitted. The Company is currently assessing the impact of the adoption of this guidance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the Company’s net sales by product category for each of our reportable segments for the years ended December 31, 2022, 2021, and 2020, respectively:</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1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2022 Net Sales</w:t>
            </w:r>
          </w:p>
        </w:tc>
        <w:tc>
          <w:tcPr>
            <w:tcW w:w="1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Product Category</w:t>
            </w:r>
          </w:p>
        </w:tc>
        <w:tc>
          <w:tcPr>
            <w:tcW w:w="1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Developed Markets</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Greater China</w:t>
            </w:r>
          </w:p>
        </w:tc>
        <w:tc>
          <w:tcPr>
            <w:tcW w:w="1340" w:type="dxa"/>
            <w:vAlign w:val="bottom"/>
          </w:tcPr>
          <w:p>
            <w:pPr>
              <w:jc w:val="center"/>
              <w:ind w:left="8"/>
              <w:spacing w:after="0"/>
              <w:rPr>
                <w:sz w:val="20"/>
                <w:szCs w:val="20"/>
                <w:color w:val="auto"/>
              </w:rPr>
            </w:pPr>
            <w:r>
              <w:rPr>
                <w:rFonts w:ascii="Arial" w:cs="Arial" w:eastAsia="Arial" w:hAnsi="Arial"/>
                <w:sz w:val="14"/>
                <w:szCs w:val="14"/>
                <w:b w:val="1"/>
                <w:bCs w:val="1"/>
                <w:color w:val="auto"/>
              </w:rPr>
              <w:t>JANZ</w:t>
            </w:r>
          </w:p>
        </w:tc>
        <w:tc>
          <w:tcPr>
            <w:tcW w:w="1700" w:type="dxa"/>
            <w:vAlign w:val="bottom"/>
          </w:tcPr>
          <w:p>
            <w:pPr>
              <w:ind w:left="200"/>
              <w:spacing w:after="0"/>
              <w:rPr>
                <w:sz w:val="20"/>
                <w:szCs w:val="20"/>
                <w:color w:val="auto"/>
              </w:rPr>
            </w:pPr>
            <w:r>
              <w:rPr>
                <w:rFonts w:ascii="Arial" w:cs="Arial" w:eastAsia="Arial" w:hAnsi="Arial"/>
                <w:sz w:val="14"/>
                <w:szCs w:val="14"/>
                <w:b w:val="1"/>
                <w:bCs w:val="1"/>
                <w:color w:val="auto"/>
              </w:rPr>
              <w:t>Emerging Markets</w:t>
            </w:r>
          </w:p>
        </w:tc>
        <w:tc>
          <w:tcPr>
            <w:tcW w:w="118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9,889.6</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Complex Gx and Biosimilars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Viatris</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4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2021 Net Sales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gridSpan w:val="2"/>
            <w:vMerge w:val="continue"/>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JANZ</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Emerging Markets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Complex Gx and Biosimilars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Viatris</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2020 Net Sales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14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JANZ</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Emerging Markets</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 Viatris</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8,510.9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3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Amounts for the year ended December 31, 2022 include the unfavorable impact of foreign currency translations compared to the prior year period.</w:t>
      </w:r>
    </w:p>
    <w:p>
      <w:pPr>
        <w:spacing w:after="0" w:line="93" w:lineRule="exact"/>
        <w:rPr>
          <w:rFonts w:ascii="Arial" w:cs="Arial" w:eastAsia="Arial" w:hAnsi="Arial"/>
          <w:sz w:val="21"/>
          <w:szCs w:val="21"/>
          <w:color w:val="auto"/>
          <w:vertAlign w:val="superscript"/>
        </w:rPr>
      </w:pPr>
    </w:p>
    <w:p>
      <w:pPr>
        <w:jc w:val="both"/>
        <w:ind w:left="660" w:hanging="328"/>
        <w:spacing w:after="0" w:line="224" w:lineRule="auto"/>
        <w:tabs>
          <w:tab w:leader="none" w:pos="648"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Amounts for the year ended December 31, 2022 reflect a decrease of approximately $63.5 million related to the year over year impact of the sale of the biosimilars business in November 2022. The Company has not recognized the results of the biosimilars business in its consolidated financial statements subsequent to November 29,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following table presents net sales on a consolidated basis for select key products for the years ended December 31, 2022 and 2021,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8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8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Select Key Global Products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Lipitor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1,635.2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1,663.2</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Norvasc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Lyrica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728.5</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Viagra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EpiPen® Auto-Injectors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Celebrex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Creon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Effexor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Zoloft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Xalabrands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Select Key Segment Products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Influvac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Yupelri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Dymista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Amitiza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Xanax ®</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The Company does not disclose net sales for any products considered competitively sensitive.</w:t>
      </w:r>
    </w:p>
    <w:p>
      <w:pPr>
        <w:spacing w:after="0" w:line="68" w:lineRule="exact"/>
        <w:rPr>
          <w:rFonts w:ascii="Arial" w:cs="Arial" w:eastAsia="Arial" w:hAnsi="Arial"/>
          <w:sz w:val="23"/>
          <w:szCs w:val="23"/>
          <w:color w:val="auto"/>
          <w:vertAlign w:val="superscript"/>
        </w:rPr>
      </w:pPr>
    </w:p>
    <w:p>
      <w:pPr>
        <w:ind w:left="640" w:hanging="308"/>
        <w:spacing w:after="0" w:line="231" w:lineRule="auto"/>
        <w:tabs>
          <w:tab w:leader="none" w:pos="64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Products disclosed may change in future periods, including as a result of seasonality, competition or new product launches.</w:t>
      </w:r>
    </w:p>
    <w:p>
      <w:pPr>
        <w:spacing w:after="0" w:line="69" w:lineRule="exact"/>
        <w:rPr>
          <w:rFonts w:ascii="Arial" w:cs="Arial" w:eastAsia="Arial" w:hAnsi="Arial"/>
          <w:sz w:val="23"/>
          <w:szCs w:val="23"/>
          <w:color w:val="auto"/>
          <w:vertAlign w:val="superscript"/>
        </w:rPr>
      </w:pPr>
    </w:p>
    <w:p>
      <w:pPr>
        <w:ind w:left="660" w:hanging="328"/>
        <w:spacing w:after="0"/>
        <w:tabs>
          <w:tab w:leader="none" w:pos="660"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Amounts for the year ended December 31, 2022 include the unfavorable impact of foreign currency translations compared to the prior year period.</w:t>
      </w:r>
    </w:p>
    <w:p>
      <w:pPr>
        <w:spacing w:after="0" w:line="82" w:lineRule="exact"/>
        <w:rPr>
          <w:rFonts w:ascii="Arial" w:cs="Arial" w:eastAsia="Arial" w:hAnsi="Arial"/>
          <w:sz w:val="21"/>
          <w:szCs w:val="21"/>
          <w:color w:val="auto"/>
          <w:vertAlign w:val="superscript"/>
        </w:rPr>
      </w:pPr>
    </w:p>
    <w:p>
      <w:pPr>
        <w:ind w:left="640" w:hanging="308"/>
        <w:spacing w:after="0" w:line="229" w:lineRule="auto"/>
        <w:tabs>
          <w:tab w:leader="none" w:pos="640" w:val="left"/>
        </w:tabs>
        <w:numPr>
          <w:ilvl w:val="0"/>
          <w:numId w:val="47"/>
        </w:numPr>
        <w:rPr>
          <w:rFonts w:ascii="Arial" w:cs="Arial" w:eastAsia="Arial" w:hAnsi="Arial"/>
          <w:sz w:val="22"/>
          <w:szCs w:val="22"/>
          <w:color w:val="auto"/>
          <w:vertAlign w:val="superscript"/>
        </w:rPr>
      </w:pPr>
      <w:r>
        <w:rPr>
          <w:rFonts w:ascii="Arial" w:cs="Arial" w:eastAsia="Arial" w:hAnsi="Arial"/>
          <w:sz w:val="17"/>
          <w:szCs w:val="17"/>
          <w:color w:val="auto"/>
        </w:rPr>
        <w:t>Amounts for the year ended December 31, 2020 are not presented due to the significance of products acquired as part of the Combination.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 and Accounts Receivable</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years ended December 31, 2022, 2021 and 2020, respectively:</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ind w:left="760"/>
              <w:spacing w:after="0"/>
              <w:rPr>
                <w:sz w:val="20"/>
                <w:szCs w:val="20"/>
                <w:color w:val="auto"/>
              </w:rPr>
            </w:pPr>
            <w:r>
              <w:rPr>
                <w:rFonts w:ascii="Arial" w:cs="Arial" w:eastAsia="Arial" w:hAnsi="Arial"/>
                <w:sz w:val="14"/>
                <w:szCs w:val="14"/>
                <w:b w:val="1"/>
                <w:bCs w:val="1"/>
                <w:color w:val="auto"/>
                <w:w w:val="99"/>
              </w:rPr>
              <w:t>Year Ended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Gross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00"/>
              <w:spacing w:after="0"/>
              <w:rPr>
                <w:sz w:val="20"/>
                <w:szCs w:val="20"/>
                <w:color w:val="auto"/>
              </w:rPr>
            </w:pPr>
            <w:r>
              <w:rPr>
                <w:rFonts w:ascii="Arial" w:cs="Arial" w:eastAsia="Arial" w:hAnsi="Arial"/>
                <w:sz w:val="18"/>
                <w:szCs w:val="18"/>
                <w:color w:val="auto"/>
                <w:w w:val="96"/>
              </w:rPr>
              <w:t>27,662.1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180"/>
              <w:spacing w:after="0"/>
              <w:rPr>
                <w:sz w:val="20"/>
                <w:szCs w:val="20"/>
                <w:color w:val="auto"/>
              </w:rPr>
            </w:pPr>
            <w:r>
              <w:rPr>
                <w:rFonts w:ascii="Arial" w:cs="Arial" w:eastAsia="Arial" w:hAnsi="Arial"/>
                <w:sz w:val="18"/>
                <w:szCs w:val="18"/>
                <w:color w:val="auto"/>
                <w:w w:val="96"/>
              </w:rPr>
              <w:t>30,553.4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160"/>
              <w:spacing w:after="0"/>
              <w:rPr>
                <w:sz w:val="20"/>
                <w:szCs w:val="20"/>
                <w:color w:val="auto"/>
              </w:rPr>
            </w:pPr>
            <w:r>
              <w:rPr>
                <w:rFonts w:ascii="Arial" w:cs="Arial" w:eastAsia="Arial" w:hAnsi="Arial"/>
                <w:sz w:val="18"/>
                <w:szCs w:val="18"/>
                <w:color w:val="auto"/>
                <w:w w:val="96"/>
              </w:rPr>
              <w:t>19,899.1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to net adjustments: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Chargebacks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(3,656.2)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Rebates, promotional programs and other sales allowances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(3,765.5)</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Returns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Governmental rebate programs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gross to net adjustments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6"/>
              </w:rPr>
              <w:t>16,218.1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6"/>
              </w:rPr>
              <w:t>17,813.6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6"/>
              </w:rPr>
              <w:t>11,819.9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the categories of variable consideration during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Current Provision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Checks/ Credits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Related to Sales</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Effects of Foreign</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Made in the Current</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Balances Divested</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Issued to Third</w:t>
            </w: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7"/>
        </w:trPr>
        <w:tc>
          <w:tcPr>
            <w:tcW w:w="3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Parties</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9"/>
        </w:trPr>
        <w:tc>
          <w:tcPr>
            <w:tcW w:w="3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Chargebacks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w w:val="88"/>
              </w:rPr>
              <w:t>Rebates, promotional programs and other sales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40"/>
              <w:spacing w:after="0"/>
              <w:rPr>
                <w:sz w:val="20"/>
                <w:szCs w:val="20"/>
                <w:color w:val="auto"/>
              </w:rPr>
            </w:pPr>
            <w:r>
              <w:rPr>
                <w:rFonts w:ascii="Arial" w:cs="Arial" w:eastAsia="Arial" w:hAnsi="Arial"/>
                <w:sz w:val="18"/>
                <w:szCs w:val="18"/>
                <w:color w:val="auto"/>
              </w:rPr>
              <w:t>allowances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Returns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Governmental rebate programs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Accruals for these provisions are presented in the consolidated financial statements as reductions in determining net revenues and as a contra-asset in accounts receivable, net (if settled via credit) and other current liabilities (if paid in cash). Accounts receivable are presented net of allowances relating to these provisions, which were comprised of the following at December 31, 2022 and 2021, respectively:</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6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December 31, 2022 and 2021,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3,774.4</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Accounts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Total allowances for doubtful accounts were $114.7 million and $154.5 million at December 31, 2022 and 2021, respectively. Viatris performs ongoing credit evaluations of its customers and generally does not require collateral. Approximately 23% and 18% of the accounts receivable balances represent amounts due from three customers at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$34.7 million and $29.6 million of accounts receivable as of December 31, 2022 and 2021 under these factoring arrangements, respectively.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Other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Oyster Point Acquisition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2023, the Company completed the acquisition of Oyster Point for approximately $425 million in cash, which includes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per share paid to Oyster Point stockholders through a tender offer and the repayment of the principal amount of certain debt of Oyster Point.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upfront cash consideration, each Oyster Point stockholder received one non-tradeable contingent value right representing up to an additional $2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or approximately $60 million in the aggregate, contingent upon Oyster Point achieving certain metrics based upon full year 2022 performance,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expected to be determined by the end of the first quarter of 2023. Oyster Point is a commercial-stage biopharmaceutical company focused 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discovery, development, and commercialization of first-in-class pharmaceutical therapies to treat ophthalmic diseases.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expects to account for this transaction as a business combination. The accounting impact of this acquisition and the results of the operations for Oyster Point will be included in our consolidated financial statements beginning in the first quarter of 2023. Due to the proximity of the closing date of this acquisition to the date of this filing, the initial accounting for this acquisition is incomplete, pending identification and measurement of the assets acquired and liabilities assumed.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Famy Life Sciences Acquisition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On November 7, 2022, the Company entered into a definitive agreement to acquire the remaining equity shares of Famy Life Sciences, a private-owned research company with a complementary portfolio of ophthalmology therapies under development, for a consideration of $281 million. The Company had previously entered into a Master Development Agreement with Famy Life Sciences on December 20, 2019 to grant the Company rights with respect to acquiring certain pharmaceutical products and had additionally acquired shares representing approximately 13.5% equity interest in Famy Life Sciences for $25.0 million during the year ended December 31, 2020. The investment was accounted for in accordance with ASC 321, </w:t>
      </w:r>
      <w:r>
        <w:rPr>
          <w:rFonts w:ascii="Arial" w:cs="Arial" w:eastAsia="Arial" w:hAnsi="Arial"/>
          <w:sz w:val="18"/>
          <w:szCs w:val="18"/>
          <w:i w:val="1"/>
          <w:iCs w:val="1"/>
          <w:color w:val="auto"/>
        </w:rPr>
        <w:t>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21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The transaction to acquire the remaining equity shares of Famy Life Sciences closed during the first quarter of 2023. The Company expects to recognize a gain of $18.9 million during the first quarter of 2023 as a result of remeasuring its pre-existing 13.5% equity interest in Famy Life Sciences to fair value, which will be recognized as a component of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expects to account for this transaction as a business combination. The accounting impact of this acquisition and the results of the operations for Famy Life Sciences will be included in our consolidated financial statements beginning in the first quarter of 2023. Due to the proximity of the closing date of this acquisition to the date of this filing, the initial accounting for this acquisition is incomplete, pending identification and measurement of the assets acquired and liabilities assumed.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Upjohn Business Combination Agreement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July 29, 2019, Mylan, Pfizer, Upjohn, a wholly-owned subsidiary of Pfizer, and certain other affiliated entities entered into a Business Combination Agreement pursuant to which Mylan would combine with the Upjohn Business in a Reverse Morris Trust transaction. The Upjohn Business was a global, primarily off-patent branded and generic established medicines business, which includes 20 primarily off-patent oral solid dose legacy brands, such as Lyrica®, Lipitor®, Celebrex® and Viagra®. The Combination was completed on November 16, 2020.</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Prior to the Combination and pursuant to a Separation and Distribution Agreement, Pfizer had, among other things, transferred to Viatris substantially all of the assets and liabilities comprising the Upjohn Business (the Separation) and, thereafter, Pfizer had distributed to Pfizer stockholders all of the issued and outstanding shares of Viatris (the Distribution). When the Distribution and Combination were complete, Pfizer stockholders as of the record date of the Distribution owned 57% of the outstanding shares of Viatris common stock and Mylan shareholders as of immediately before the Combination owned 43% of the outstanding shares of Viatris common stock, in each case on a fully diluted basis. Viatris also made a cash payment to Pfizer equal to $12 billion, which was funded with the proceeds of debt incurred by Upjohn prior to the Combination.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The transaction involved multiple legal entity restructuring transactions and a reverse merger acquisition with Viatris representing the legal acquirer and Mylan representing the accounting acquirer of the Upjohn Business. In accordance with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Mylan is considered the accounting acquirer of the Upjohn Business and Viatris applied purchase accounting to the acquired assets and assumed liabilities of the Upjohn Business as of November 16, 2020. The debt incurred by Upjohn prior to the Combination was a liability assumed in purchase accounting. The fair value of the debt as of November 16, 2020 was $13.08 billion.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purchase price consists of the issuance of approximately 689.9 million Viatris shares of common stock at a fair value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$10.73 billion based on the closing price of Mylan’s ordinary shares on November 13, 2020, as reported by the NASDAQ. In accordance with U.S. GAAP,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acquisition method of accounting to account for this transaction. Under the acquisition method of accounting, the assets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assumed in the transaction have been recorded at their respective estimated fair values at the acquisition date. During the twelve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2021 and 2020, the Company incurred acquisition related costs of approximately $234.6 million and $602.9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related costs were recorded primarily in SG&amp;A in the consolidated statements of operations for such periods.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the year ended December 31, 2021, adjustments were made to the preliminary purchase price recorded at December 31, 2020, and are reflected as “Measurement Period and Other Adjustments” in the table below. The allocation of the $10.73 billion purchase price to the assets acquired and liabilities assumed under the Combination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Preliminary Purchase Price</w:t>
            </w:r>
          </w:p>
        </w:tc>
        <w:tc>
          <w:tcPr>
            <w:tcW w:w="120" w:type="dxa"/>
            <w:vAlign w:val="bottom"/>
          </w:tcPr>
          <w:p>
            <w:pPr>
              <w:spacing w:after="0"/>
              <w:rPr>
                <w:sz w:val="14"/>
                <w:szCs w:val="14"/>
                <w:color w:val="auto"/>
              </w:rPr>
            </w:pPr>
          </w:p>
        </w:tc>
        <w:tc>
          <w:tcPr>
            <w:tcW w:w="1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Measurement Period and</w:t>
            </w: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Purchase Price Allocation as</w:t>
            </w:r>
          </w:p>
        </w:tc>
        <w:tc>
          <w:tcPr>
            <w:tcW w:w="0" w:type="dxa"/>
            <w:vAlign w:val="bottom"/>
          </w:tcPr>
          <w:p>
            <w:pPr>
              <w:spacing w:after="0"/>
              <w:rPr>
                <w:sz w:val="1"/>
                <w:szCs w:val="1"/>
                <w:color w:val="auto"/>
              </w:rPr>
            </w:pPr>
          </w:p>
        </w:tc>
      </w:tr>
      <w:tr>
        <w:trPr>
          <w:trHeight w:val="149"/>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Allocation as of December</w:t>
            </w: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2"/>
              </w:rPr>
              <w:t>of December 31, 2021 (as</w:t>
            </w:r>
          </w:p>
        </w:tc>
        <w:tc>
          <w:tcPr>
            <w:tcW w:w="0" w:type="dxa"/>
            <w:vAlign w:val="bottom"/>
          </w:tcPr>
          <w:p>
            <w:pPr>
              <w:spacing w:after="0"/>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440"/>
              <w:spacing w:after="0" w:line="202" w:lineRule="exact"/>
              <w:rPr>
                <w:sz w:val="20"/>
                <w:szCs w:val="20"/>
                <w:color w:val="auto"/>
              </w:rPr>
            </w:pPr>
            <w:r>
              <w:rPr>
                <w:rFonts w:ascii="Arial" w:cs="Arial" w:eastAsia="Arial" w:hAnsi="Arial"/>
                <w:sz w:val="14"/>
                <w:szCs w:val="14"/>
                <w:b w:val="1"/>
                <w:bCs w:val="1"/>
                <w:color w:val="auto"/>
                <w:w w:val="87"/>
              </w:rPr>
              <w:t xml:space="preserve">31, 2020 </w:t>
            </w:r>
            <w:r>
              <w:rPr>
                <w:rFonts w:ascii="Arial" w:cs="Arial" w:eastAsia="Arial" w:hAnsi="Arial"/>
                <w:sz w:val="18"/>
                <w:szCs w:val="18"/>
                <w:b w:val="1"/>
                <w:bCs w:val="1"/>
                <w:color w:val="auto"/>
                <w:w w:val="87"/>
                <w:vertAlign w:val="superscript"/>
              </w:rPr>
              <w:t>(a)</w:t>
            </w:r>
          </w:p>
        </w:tc>
        <w:tc>
          <w:tcPr>
            <w:tcW w:w="12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Other Adjustments </w:t>
            </w:r>
            <w:r>
              <w:rPr>
                <w:rFonts w:ascii="Arial" w:cs="Arial" w:eastAsia="Arial" w:hAnsi="Arial"/>
                <w:sz w:val="9"/>
                <w:szCs w:val="9"/>
                <w:b w:val="1"/>
                <w:bCs w:val="1"/>
                <w:color w:val="auto"/>
                <w:w w:val="94"/>
              </w:rPr>
              <w:t>(b)</w:t>
            </w:r>
          </w:p>
        </w:tc>
        <w:tc>
          <w:tcPr>
            <w:tcW w:w="120" w:type="dxa"/>
            <w:vAlign w:val="bottom"/>
          </w:tcPr>
          <w:p>
            <w:pPr>
              <w:spacing w:after="0"/>
              <w:rPr>
                <w:sz w:val="17"/>
                <w:szCs w:val="17"/>
                <w:color w:val="auto"/>
              </w:rPr>
            </w:pPr>
          </w:p>
        </w:tc>
        <w:tc>
          <w:tcPr>
            <w:tcW w:w="1700" w:type="dxa"/>
            <w:vAlign w:val="bottom"/>
          </w:tcPr>
          <w:p>
            <w:pPr>
              <w:jc w:val="right"/>
              <w:ind w:right="532"/>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 (excluding inventories and net of cash acquired)</w:t>
            </w:r>
          </w:p>
        </w:tc>
        <w:tc>
          <w:tcPr>
            <w:tcW w:w="3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2,803.2</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18,040.0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1,678.2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Total assets acquired</w:t>
            </w:r>
          </w:p>
        </w:tc>
        <w:tc>
          <w:tcPr>
            <w:tcW w:w="340" w:type="dxa"/>
            <w:vAlign w:val="bottom"/>
          </w:tcPr>
          <w:p>
            <w:pPr>
              <w:jc w:val="right"/>
              <w:ind w:right="137"/>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29,246.4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29,653.0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13,076.2</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1,427.4</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 (net of $415.8 of cash acquired)</w:t>
            </w: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As previously reported in Viatris’ Annual Report on Form 10-K for the fiscal year ended December 31, 2020.</w:t>
      </w:r>
    </w:p>
    <w:p>
      <w:pPr>
        <w:spacing w:after="0" w:line="55" w:lineRule="exact"/>
        <w:rPr>
          <w:rFonts w:ascii="Arial" w:cs="Arial" w:eastAsia="Arial" w:hAnsi="Arial"/>
          <w:sz w:val="23"/>
          <w:szCs w:val="23"/>
          <w:color w:val="auto"/>
          <w:vertAlign w:val="superscript"/>
        </w:rPr>
      </w:pPr>
    </w:p>
    <w:p>
      <w:pPr>
        <w:jc w:val="both"/>
        <w:ind w:left="660" w:hanging="328"/>
        <w:spacing w:after="0" w:line="248" w:lineRule="auto"/>
        <w:tabs>
          <w:tab w:leader="none" w:pos="648" w:val="left"/>
        </w:tabs>
        <w:numPr>
          <w:ilvl w:val="0"/>
          <w:numId w:val="49"/>
        </w:numPr>
        <w:rPr>
          <w:rFonts w:ascii="Arial" w:cs="Arial" w:eastAsia="Arial" w:hAnsi="Arial"/>
          <w:sz w:val="22"/>
          <w:szCs w:val="22"/>
          <w:color w:val="auto"/>
          <w:vertAlign w:val="superscript"/>
        </w:rPr>
      </w:pPr>
      <w:r>
        <w:rPr>
          <w:rFonts w:ascii="Arial" w:cs="Arial" w:eastAsia="Arial" w:hAnsi="Arial"/>
          <w:sz w:val="17"/>
          <w:szCs w:val="17"/>
          <w:color w:val="auto"/>
        </w:rPr>
        <w:t>The measurement period adjustments are primarily for 1) certain working capital adjustments, an increase in litigation reserves to reflect facts and circumstances that existed as of the date of the Combination, and other adjustments and 2) the tax implications of these and other adjustments. These adjustments did not have a significant impact on the Company’s previously reported consolidated financial statements and accordingly, the Company has not retrospectively adjusted those consolidated financial statements.</w:t>
      </w:r>
    </w:p>
    <w:p>
      <w:pPr>
        <w:spacing w:after="0" w:line="19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Combination enhanced each businesses’ ability to serve patients’ needs and expand their capabilities across more than 165 markets. Mylan brought a diverse portfolio across many geographies and key therapeutic areas, such as central nervous system and anesthesia, infectious disease and cardiovascular, as well as a robust pipeline, high-quality manufacturing and supply chain excellence. The Upjohn Business brought trusted, iconic brands, such as Lipitor® (atorvastatin calcium), Celebrex® (celecoxib) and Viagra® (sildenafil), and proven commercialization capabilities, including leadership positions in China and other emerging markets.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The Company recorded a step-up in the fair value of inventory of approximately $1.43 billion at the acquisition date. During the twelve months ended December 31, 2021 and 2020, the Company recorded amortization of the inventory step-up of approximately $1.19 billion and $238.2 million, respectively, which was included in cost of sales in the consolidated statements of operations. The inventory step-up was fully amortized during 2021. In addition, a step-up in the fair value of property, plant and equipment of approximately $385.0 million was recognized. The related depreciation is being expensed over a service life of five years for machinery and equipment and between 10 and 20 years for buildings.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identified intangible assets of $18.04 billion are comprised of product rights and are being amortized over a weighted average useful life of 15 years. Significant assumptions utilized in the valuation of identified intangible assets were based on company specific information and projections which are not observable in the market and are thus considered Level 3 measurements as defined by U.S. GAAP. The goodwill of $2.40 billion arising from the Combination consisted largely of the value of the employee workforce and products to be sold in new markets leveraging the combined entity. In addition, an allocation of the goodwill was assigned to the respective segments. None of the goodwill recognized in this transaction is expected to be deductible for income tax purposes.</w:t>
      </w:r>
    </w:p>
    <w:p>
      <w:pPr>
        <w:spacing w:after="0" w:line="219"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Company recorded a fair value adjustment of approximately $759.4 million related to the long-term debt assumed as part of the acquisition. The fair value of long-term debt as of the Combination date was determined by broker or dealer quotations, which is classified as Level 2 in the fair value hierarchy. The total fair value adjustment is being amortized as a reduction to interest expense over the maturity dates of the related debt instruments.</w:t>
      </w:r>
    </w:p>
    <w:p>
      <w:pPr>
        <w:spacing w:after="0" w:line="176"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operating results of the Upjohn Business have been included in the Company’s consolidated statements of operations since the acquisition date. The total revenues of the Upjohn Business for the period from the acquisition date to December 31, 2020, were $866.5 million and net loss, net of tax, was approximately $360.9 million. The net loss for the period includes the effect of the purchase accounting adjustments and acquisition related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Results</w:t>
      </w:r>
    </w:p>
    <w:p>
      <w:pPr>
        <w:spacing w:after="0" w:line="239"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color w:val="auto"/>
        </w:rPr>
        <w:t>The following table presents supplemental unaudited pro forma information for the Combination, as if it had occurred on January 1, 2019. The unaudited pro forma results reflect certain adjustments related to past operating performance and acquisition accounting adjustments, such as increased depreciation and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Combination.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92"/>
        </w:trPr>
        <w:tc>
          <w:tcPr>
            <w:tcW w:w="9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96"/>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18,284.8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tcPr>
          <w:p>
            <w:pPr>
              <w:jc w:val="right"/>
              <w:ind w:right="154"/>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1,483.7</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December 2020, Viatris and Pfizer terminated their strategic collaboration for generic drugs in Japan pursuant to an amendment and termination agreement. Under the prior collaboration agreement, both parties contributed products, which Pfizer distributed to third-parties in the Japan market. Under the terms of the amendment and termination agreement, Viatris purchased all collaboration related inventory held by Pfizer. As a result of the termination, and the repurchase of collaboration inventory, the Company reduced revenue by $86.5 million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Biocon Biologics Transaction</w:t>
      </w:r>
    </w:p>
    <w:p>
      <w:pPr>
        <w:spacing w:after="0" w:line="25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February 27, 2022, Viatris entered into a definitive agreement with Biocon Biologics to contribute its biosimilars portfolio to Biocon Biologics. The transaction subsequently closed on November 29, 2022, creating what Viatris expects to be a unique fully vertically integrated global biosimilars leader.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Viatris also is entitled to $335 million of additional cash payments in 2024. In addition, Viatris and Biocon Biologics have agreed to a closing working capital target of $250 million. An amount of cash equal to all or a portion of the closing working capital target may become payable to</w:t>
      </w:r>
    </w:p>
    <w:p>
      <w:pPr>
        <w:spacing w:after="0" w:line="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Biocon Biologics in connection with certain events in the future, depending on the valuations attributable to such events. Refer to Note 6 </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Components </w:t>
      </w:r>
      <w:r>
        <w:rPr>
          <w:rFonts w:ascii="Arial" w:cs="Arial" w:eastAsia="Arial" w:hAnsi="Arial"/>
          <w:sz w:val="18"/>
          <w:szCs w:val="18"/>
          <w:color w:val="auto"/>
        </w:rPr>
        <w:t>for additional information on assets and liabilities related to Biocon Biologics.</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term of the transition services agreement is generally up to two years. Under the transition services agreement, Viatris is entitled to be reimbursed for its costs (subject to certain caps) plus a markup.</w:t>
      </w:r>
    </w:p>
    <w:p>
      <w:pPr>
        <w:spacing w:after="0" w:line="21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Upon closing, the Company recognized a gain on sale of approximately $1.75 billion for the difference between the consideration received, including the fair value of the CCPS, and the carrying value of the biosimilars portfolio (including an allocation of goodwill). The gain was recognized as a component of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consolidated statement of operations during the year ended December 31, 2022. The Company has not recognized the results of the business in its consolidated financial statements subsequent to November 29, 2022. For the period from January 1, 2022 to November 29, 2022, total revenues relating to the biosimilars portfolio which was subsequently contributed to Biocon Biologics were approximately $611.5 million.</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Company’s CCPS in Biocon Biologics are classified as equity securities and are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 as of December 31, 2022. Refer to Note 10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for further discussion.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previously entered into an exclusive collaboration with Biocon on the development, manufacturing, supply and commercialization of multiple, high value biosimilar compounds and three insulin analog products for the global marketplace. The collaboration was terminated upon closing of the Biocon Biologics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Potential Divestitures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2022, the Company provided an update on the strategic priorities announced in February 2022, including identifying the following businesses no longer considered core to its future strategy that the Company intends to divest:</w:t>
      </w:r>
    </w:p>
    <w:p>
      <w:pPr>
        <w:spacing w:after="0" w:line="6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API (while retaining some selective development API capabilities);</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Women’s health care, primarily related to our oral and injectable contraceptives. This does not include all of our women’s health care related products; as an example, our Xulane® product in the U.S. is excluded; and</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18"/>
          <w:szCs w:val="18"/>
          <w:color w:val="auto"/>
        </w:rPr>
        <w:t>Upjohn Distributor Markets.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fourth quarter of 2022, we determined that our Upjohn Distributor Markets should be classified as held for sale in the December 31, 2022 consolidated balance sheet. Upon classification as held for sale, we recognized a total charge of $374.2 million. This was comprised of a goodwill impairment charge of $117.0 million, other charges, principally inventory write-offs, of $84.3 million and a charge of approximately $172.9 million to write down the disposal group to fair value, less cost to sell. Assets held for sale associated with the Upjohn Distributor Markets consisted of intangible assets of $230.3 million as of December 31, 2022. If these transactions are not completed during 2023, the distribution arrangements will expire and the Company will wind down operations in these markets, which may result in additional asset write-offs and other costs being incurred. These additional charges could be in excess of $300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April 30, 2021, the Company completed an agreement to divest a group of OTC products in the U.S. As a result of this transaction, the Company recognized an intangible asset impairment charge of approximately $83.4 million during the year ended December 31, 2021.</w:t>
      </w:r>
    </w:p>
    <w:p>
      <w:pPr>
        <w:spacing w:after="0" w:line="25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480" w:type="dxa"/>
            <w:vAlign w:val="bottom"/>
          </w:tcPr>
          <w:p>
            <w:pPr>
              <w:jc w:val="center"/>
              <w:ind w:left="3128"/>
              <w:spacing w:after="0"/>
              <w:rPr>
                <w:sz w:val="20"/>
                <w:szCs w:val="20"/>
                <w:color w:val="auto"/>
              </w:rPr>
            </w:pPr>
            <w:r>
              <w:rPr>
                <w:rFonts w:ascii="Arial" w:cs="Arial" w:eastAsia="Arial" w:hAnsi="Arial"/>
                <w:sz w:val="14"/>
                <w:szCs w:val="14"/>
                <w:b w:val="1"/>
                <w:bCs w:val="1"/>
                <w:color w:val="auto"/>
                <w:w w:val="92"/>
              </w:rPr>
              <w:t>December 31,</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4480" w:type="dxa"/>
            <w:vAlign w:val="bottom"/>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 included in other current and non-current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December 31, 2022</w:t>
            </w:r>
          </w:p>
        </w:tc>
        <w:tc>
          <w:tcPr>
            <w:tcW w:w="6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6"/>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b w:val="1"/>
                <w:bCs w:val="1"/>
                <w:color w:val="auto"/>
              </w:rPr>
              <w:t>Inventories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Inventory reserves totaled $484.8 million and $519.0 million at December 31, 2022 and 2021, respectively. Included as a component of cost of sales is expense related to the net realizable value of inventories of $326.1 million, $474.9 million and $206.1 million for the years ended December 31, 2022,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Available-for-sale fixed income securities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b w:val="1"/>
                <w:bCs w:val="1"/>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700" w:type="dxa"/>
            <w:vAlign w:val="bottom"/>
            <w:vMerge w:val="restart"/>
          </w:tcPr>
          <w:p>
            <w:pPr>
              <w:ind w:left="620"/>
              <w:spacing w:after="0"/>
              <w:rPr>
                <w:sz w:val="20"/>
                <w:szCs w:val="20"/>
                <w:color w:val="auto"/>
              </w:rPr>
            </w:pPr>
            <w:r>
              <w:rPr>
                <w:rFonts w:ascii="Arial" w:cs="Arial" w:eastAsia="Arial" w:hAnsi="Arial"/>
                <w:sz w:val="18"/>
                <w:szCs w:val="18"/>
                <w:color w:val="auto"/>
                <w:w w:val="99"/>
              </w:rPr>
              <w:t>Prepaid expenses consist primarily of prepaid rent, insurance and other individually insignificant items.</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8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22"/>
                <w:szCs w:val="22"/>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22"/>
                <w:szCs w:val="22"/>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7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property, plant and equipment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Capitalized software costs included in our consolidated balance sheets were $121.5 million and $62.3 million, net of accumulated depreciation, at December 31, 2022 and 2021, respectively. The Company periodically reviews the estimated useful lives of assets and makes adjustments when appropriate. Depreciation expense was approximately $349.5 million, $509.5 million and $289.7 million for the years ended December 31, 2022,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CCPS in Biocon Biologics</w:t>
            </w: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Non-marketable equity investments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consideration due from Biocon Biologics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640" w:type="dxa"/>
            <w:vAlign w:val="bottom"/>
          </w:tcPr>
          <w:p>
            <w:pPr>
              <w:ind w:left="10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6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payables</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Accounts payable</w:t>
            </w: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31, 2022</w:t>
            </w:r>
          </w:p>
        </w:tc>
        <w:tc>
          <w:tcPr>
            <w:tcW w:w="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allowances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Payroll and employee benefit liabilities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 accruals, including litigation accruals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Accrued interest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Due to Biocon Biologics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Other current liabilities</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long-term obligations</w:t>
            </w: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6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
        </w:trPr>
        <w:tc>
          <w:tcPr>
            <w:tcW w:w="86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benefit liabilities</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related items, including contingencies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liability</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Other long-term obligations</w:t>
            </w: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20" w:hanging="328"/>
        <w:spacing w:after="0" w:line="227" w:lineRule="auto"/>
        <w:tabs>
          <w:tab w:leader="none" w:pos="724" w:val="left"/>
        </w:tabs>
        <w:numPr>
          <w:ilvl w:val="1"/>
          <w:numId w:val="52"/>
        </w:numPr>
        <w:rPr>
          <w:rFonts w:ascii="Arial" w:cs="Arial" w:eastAsia="Arial" w:hAnsi="Arial"/>
          <w:sz w:val="23"/>
          <w:szCs w:val="23"/>
          <w:color w:val="auto"/>
          <w:vertAlign w:val="superscript"/>
        </w:rPr>
      </w:pPr>
      <w:r>
        <w:rPr>
          <w:rFonts w:ascii="Arial" w:cs="Arial" w:eastAsia="Arial" w:hAnsi="Arial"/>
          <w:sz w:val="18"/>
          <w:szCs w:val="18"/>
          <w:color w:val="auto"/>
        </w:rPr>
        <w:t xml:space="preserve">Includes a total of $221.2 million due to Biocon Biologics. Refer to Note 10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for additional information.</w:t>
      </w:r>
    </w:p>
    <w:p>
      <w:pPr>
        <w:spacing w:after="0" w:line="200" w:lineRule="exact"/>
        <w:rPr>
          <w:rFonts w:ascii="Arial" w:cs="Arial" w:eastAsia="Arial" w:hAnsi="Arial"/>
          <w:sz w:val="23"/>
          <w:szCs w:val="23"/>
          <w:color w:val="auto"/>
          <w:vertAlign w:val="superscript"/>
        </w:rPr>
      </w:pPr>
    </w:p>
    <w:p>
      <w:pPr>
        <w:spacing w:after="0" w:line="214"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has operating leases of real estate, consisting primarily of administrative offices, manufacturing and distribution facilities, and R&amp;D facilities. We also have operating leases of certain equipment, primarily automobiles, and certain limited supply arrangements.</w:t>
      </w:r>
    </w:p>
    <w:p>
      <w:pPr>
        <w:spacing w:after="0" w:line="14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elected to apply the practical expedient to not separate lease and non-lease components for our leases except for those related to certain limited supply arrangements. We have also elected to apply the short-term lease recognition exemption which means we will not recognize ROU assets or lease liabilities for leases with an initial term of 12 months of less.</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As of December 31, 2022, the Company recognized ROU assets of $259.3 million and total lease liabilities of $262.0 million. The Company’s ROU assets are recorded in other assets. The related lease liability balances are recorded in other current liabilities and other long-term obligations in the consolidated balance sheets. Refer to Note 6 </w:t>
      </w:r>
      <w:r>
        <w:rPr>
          <w:rFonts w:ascii="Arial" w:cs="Arial" w:eastAsia="Arial" w:hAnsi="Arial"/>
          <w:sz w:val="18"/>
          <w:szCs w:val="18"/>
          <w:i w:val="1"/>
          <w:iCs w:val="1"/>
          <w:color w:val="auto"/>
        </w:rPr>
        <w:t>Balance Sheet Components</w:t>
      </w:r>
      <w:r>
        <w:rPr>
          <w:rFonts w:ascii="Arial" w:cs="Arial" w:eastAsia="Arial" w:hAnsi="Arial"/>
          <w:sz w:val="18"/>
          <w:szCs w:val="18"/>
          <w:color w:val="auto"/>
        </w:rPr>
        <w:t xml:space="preserve"> for additional information.</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ROU assets and liabilities are recognized at the present value of the future minimum lease payments over the lease term at commencement date. As most of our leases do not provide an implicit rate, we use an applicable incremental borrowing rate based on the information available at commencement date in determining the present value of future payments. Options to extend or terminate the ROU assets are reviewed at lease inception and these options are accounted for when they are reasonably certain of being exercised.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related to leases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19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As of December 31, 2022</w:t>
            </w:r>
          </w:p>
        </w:tc>
      </w:tr>
      <w:tr>
        <w:trPr>
          <w:trHeight w:val="26"/>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lease terms</w:t>
            </w:r>
          </w:p>
        </w:tc>
        <w:tc>
          <w:tcPr>
            <w:tcW w:w="1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 year to 22 years</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 years</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r>
      <w:tr>
        <w:trPr>
          <w:trHeight w:val="527"/>
        </w:trPr>
        <w:tc>
          <w:tcPr>
            <w:tcW w:w="9260" w:type="dxa"/>
            <w:vAlign w:val="bottom"/>
          </w:tcPr>
          <w:p>
            <w:pPr>
              <w:ind w:left="660"/>
              <w:spacing w:after="0"/>
              <w:rPr>
                <w:sz w:val="20"/>
                <w:szCs w:val="20"/>
                <w:color w:val="auto"/>
              </w:rPr>
            </w:pPr>
            <w:r>
              <w:rPr>
                <w:rFonts w:ascii="Arial" w:cs="Arial" w:eastAsia="Arial" w:hAnsi="Arial"/>
                <w:sz w:val="18"/>
                <w:szCs w:val="18"/>
                <w:color w:val="auto"/>
              </w:rPr>
              <w:t>As of December 31, 2022, maturities of lease liabilities were as follows: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1"/>
        </w:trPr>
        <w:tc>
          <w:tcPr>
            <w:tcW w:w="9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3"/>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40" w:type="dxa"/>
            <w:vAlign w:val="bottom"/>
          </w:tcPr>
          <w:p>
            <w:pPr>
              <w:spacing w:after="0"/>
              <w:rPr>
                <w:sz w:val="19"/>
                <w:szCs w:val="19"/>
                <w:color w:val="auto"/>
              </w:rPr>
            </w:pP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9"/>
                <w:szCs w:val="19"/>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9"/>
                <w:szCs w:val="19"/>
                <w:color w:val="auto"/>
              </w:rPr>
            </w:pP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19"/>
                <w:szCs w:val="19"/>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9"/>
                <w:szCs w:val="19"/>
                <w:color w:val="auto"/>
              </w:rPr>
            </w:pP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19"/>
                <w:szCs w:val="19"/>
                <w:color w:val="auto"/>
              </w:rPr>
            </w:pPr>
          </w:p>
        </w:tc>
      </w:tr>
      <w:tr>
        <w:trPr>
          <w:trHeight w:val="223"/>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40" w:type="dxa"/>
            <w:vAlign w:val="bottom"/>
          </w:tcPr>
          <w:p>
            <w:pPr>
              <w:spacing w:after="0"/>
              <w:rPr>
                <w:sz w:val="19"/>
                <w:szCs w:val="19"/>
                <w:color w:val="auto"/>
              </w:rPr>
            </w:pP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8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9"/>
                <w:szCs w:val="19"/>
                <w:color w:val="auto"/>
              </w:rPr>
            </w:pPr>
          </w:p>
        </w:tc>
      </w:tr>
      <w:tr>
        <w:trPr>
          <w:trHeight w:val="248"/>
        </w:trPr>
        <w:tc>
          <w:tcPr>
            <w:tcW w:w="9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liability</w:t>
            </w: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40" w:type="dxa"/>
            <w:vAlign w:val="bottom"/>
          </w:tcPr>
          <w:p>
            <w:pPr>
              <w:spacing w:after="0"/>
              <w:rPr>
                <w:sz w:val="21"/>
                <w:szCs w:val="2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December 31, 2022, the Company did not have any significant leases that have not yet commenced. For the years ended December 31, 2022, 2021 and 2020, the Company had operating lease expense of approximately $90.9 million, $97.6 million and $80.7 million, respectively. Operating lease costs are classified primarily as SG&amp;A and cost of sales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Company had three equity method investments in limited liability companies that owned refined coal production plants whose activities qualified for income tax credits under Section 45 of the Code. The Company did not consolidate these entities as we had determined that we were not the primary beneficiary of these entities and did not have the power to individually direct the activities of these entities. Accordingly, these investments were accounted for under the equity method of accounting. For each of the clean energy investments, the Company had entered into notes payable with the respective project sponsor, which in part were paid to the sponsor as certain production levels were met. The law that provided for IRC Section 45 tax credits expired during the year ended December 31, 2021for all three clean energy investments and all of the clean energy investments have wound down operations.</w:t>
      </w:r>
    </w:p>
    <w:p>
      <w:pPr>
        <w:spacing w:after="0" w:line="19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During the years ended December 31, 2021 and 2020, the Company reduced its long-term obligations for its three investments as a result of lower than anticipated production levels and lower expected future variable debt payments to the respective project sponsor. The Company recognized a net gain of approximately $5.7 million and $21.4 million, respectively, which was recognized as a component of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consolidated statements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values and respective balance sheet location of the Company’s clean energy investments were as follows at December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10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Summarized financial information, in the aggregate, for the Company’s three equity method, clean energy investments on a 100%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for the years ended December 31, 2021 and 2020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6"/>
        </w:trPr>
        <w:tc>
          <w:tcPr>
            <w:tcW w:w="87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Net assets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8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non-operating expense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87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Company’s net losses from its equity method investments included amortization expense related to the excess of the cost basis of the Company’s investment over the underlying assets of each individual investee. For the years ended December 31, 2021 and 2020, the Company recognized net losses from equity method investments of $61.9 million, and $48.4 million, respectively, which were recognized as a component of </w:t>
      </w:r>
      <w:r>
        <w:rPr>
          <w:rFonts w:ascii="Arial" w:cs="Arial" w:eastAsia="Arial" w:hAnsi="Arial"/>
          <w:sz w:val="18"/>
          <w:szCs w:val="18"/>
          <w:i w:val="1"/>
          <w:iCs w:val="1"/>
          <w:color w:val="auto"/>
        </w:rPr>
        <w:t>Other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w:t>
      </w:r>
      <w:r>
        <w:rPr>
          <w:rFonts w:ascii="Arial" w:cs="Arial" w:eastAsia="Arial" w:hAnsi="Arial"/>
          <w:sz w:val="18"/>
          <w:szCs w:val="18"/>
          <w:color w:val="auto"/>
        </w:rPr>
        <w:t>in the consolidated statements of operations. The Company recognized the income tax credits and benefits from the clean energy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its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years ended December 31, 2022 and 2021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Developed</w:t>
            </w:r>
          </w:p>
        </w:tc>
        <w:tc>
          <w:tcPr>
            <w:tcW w:w="140" w:type="dxa"/>
            <w:vAlign w:val="bottom"/>
          </w:tcPr>
          <w:p>
            <w:pPr>
              <w:spacing w:after="0"/>
              <w:rPr>
                <w:sz w:val="16"/>
                <w:szCs w:val="16"/>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Greater China</w:t>
            </w:r>
          </w:p>
        </w:tc>
        <w:tc>
          <w:tcPr>
            <w:tcW w:w="260" w:type="dxa"/>
            <w:vAlign w:val="bottom"/>
          </w:tcPr>
          <w:p>
            <w:pPr>
              <w:spacing w:after="0"/>
              <w:rPr>
                <w:sz w:val="16"/>
                <w:szCs w:val="16"/>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JANZ</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Emerging Markets</w:t>
            </w:r>
          </w:p>
        </w:tc>
        <w:tc>
          <w:tcPr>
            <w:tcW w:w="280" w:type="dxa"/>
            <w:vAlign w:val="bottom"/>
          </w:tcPr>
          <w:p>
            <w:pPr>
              <w:spacing w:after="0"/>
              <w:rPr>
                <w:sz w:val="16"/>
                <w:szCs w:val="16"/>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line="162" w:lineRule="exact"/>
              <w:rPr>
                <w:sz w:val="20"/>
                <w:szCs w:val="20"/>
                <w:color w:val="auto"/>
              </w:rPr>
            </w:pPr>
            <w:r>
              <w:rPr>
                <w:rFonts w:ascii="Arial" w:cs="Arial" w:eastAsia="Arial" w:hAnsi="Arial"/>
                <w:sz w:val="14"/>
                <w:szCs w:val="14"/>
                <w:b w:val="1"/>
                <w:bCs w:val="1"/>
                <w:color w:val="auto"/>
              </w:rPr>
              <w:t xml:space="preserve">Markets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475"/>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12,347.0</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Measurement period and other adjustments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8,723.4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12,113.7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Disposition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10,425.8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640" w:hanging="308"/>
        <w:spacing w:after="0" w:line="217" w:lineRule="auto"/>
        <w:tabs>
          <w:tab w:leader="none" w:pos="640"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Balances as of December 31, 2022, 2021 and 2020 include accumulated impairment losses of $385.0 million.</w:t>
      </w:r>
    </w:p>
    <w:p>
      <w:pPr>
        <w:spacing w:after="0" w:line="1" w:lineRule="exact"/>
        <w:rPr>
          <w:rFonts w:ascii="Arial" w:cs="Arial" w:eastAsia="Arial" w:hAnsi="Arial"/>
          <w:sz w:val="23"/>
          <w:szCs w:val="23"/>
          <w:color w:val="auto"/>
          <w:vertAlign w:val="superscript"/>
        </w:rPr>
      </w:pPr>
    </w:p>
    <w:p>
      <w:pPr>
        <w:ind w:left="640" w:hanging="308"/>
        <w:spacing w:after="0" w:line="186" w:lineRule="auto"/>
        <w:tabs>
          <w:tab w:leader="none" w:pos="64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Balance as of December 31, 2022 includes accumulated impairment loss of $117.0 million.</w:t>
      </w:r>
    </w:p>
    <w:p>
      <w:pPr>
        <w:spacing w:after="0" w:line="2" w:lineRule="exact"/>
        <w:rPr>
          <w:rFonts w:ascii="Arial" w:cs="Arial" w:eastAsia="Arial" w:hAnsi="Arial"/>
          <w:sz w:val="24"/>
          <w:szCs w:val="24"/>
          <w:color w:val="auto"/>
          <w:vertAlign w:val="superscript"/>
        </w:rPr>
      </w:pPr>
    </w:p>
    <w:p>
      <w:pPr>
        <w:ind w:left="640" w:hanging="308"/>
        <w:spacing w:after="0" w:line="194" w:lineRule="auto"/>
        <w:tabs>
          <w:tab w:leader="none" w:pos="640"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 xml:space="preserve">Reflects goodwill relating to the biosimilars portfolio.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for additional information.</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The Company reviews goodwill for impairment annually on April 1st or more frequently if events or changes in circumstances indicate that the carrying value of goodwill may not be recoverable. As a result of the Biocon Biologics Transaction (refer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xml:space="preserve"> for additional information) and the decline in the Company’s share price during the first quarter of 2022, the Company performed an interim goodwill impairment test as of March 31, 2022. The Company performed the annual goodwill impairment test as of April 1, 2022. There were no significant changes from the interim goodwill test performed at March 31, 2022 and the results were consistent with the interim goodwill impairment test.</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March 31, 2022 and April 1, 2022, the allocation of the Company’s total goodwill (prior to the reclassification of goodwill to assets held for sale) was as follows: North America $3.61 billion, Europe $4.95 billion, Emerging Markets $1.64 billion, JANZ $0.78 billion and Greater China $0.97 billion.</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31, 2022 and April 1, 2022, the Company determined that the fair value of the North America and Greater China reporting units was substantially in excess of the respective unit’s carrying value.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Europe reporting unit, the estimated fair value exceeded its carrying value by approximately $797 million or 5.3% for both the interim and annual goodwill impairment tests. As it relates to the income approach for the Europe reporting unit at March 31, 2022 and April 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For the JANZ reporting unit, the estimated fair value exceeded its carrying value by approximately $231 million or 7.4% for both the interim and annual goodwill impairment tests. As it relates to the income approach for the JANZ reporting unit at March 31, 2022 and April 1, 2022, the Company forecasted cash flows for the next 10 years. During the forecast period, the revenue compound annual growth rate was approximately negative 4.8%. A terminal year value was calculated assuming no revenue growth rate.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Emerging Markets reporting unit, the estimated fair value exceeded its carrying value by approximately $816 million or 10.3% for both the interim and annual goodwill impairment tests. As it relates to the income approach for the Emerging Markets reporting unit at March 31, 2022 and April 1, 2022, the Company forecasted cash flows for the next 10 years. During the forecast period, the revenue compound annual growth rate was approximately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193" w:lineRule="exact"/>
        <w:rPr>
          <w:sz w:val="20"/>
          <w:szCs w:val="20"/>
          <w:color w:val="auto"/>
        </w:rPr>
      </w:pPr>
    </w:p>
    <w:p>
      <w:pPr>
        <w:jc w:val="both"/>
        <w:ind w:right="280" w:firstLine="648"/>
        <w:spacing w:after="0" w:line="311" w:lineRule="auto"/>
        <w:rPr>
          <w:sz w:val="20"/>
          <w:szCs w:val="20"/>
          <w:color w:val="auto"/>
        </w:rPr>
      </w:pPr>
      <w:r>
        <w:rPr>
          <w:rFonts w:ascii="Arial" w:cs="Arial" w:eastAsia="Arial" w:hAnsi="Arial"/>
          <w:sz w:val="16"/>
          <w:szCs w:val="16"/>
          <w:color w:val="auto"/>
        </w:rPr>
        <w:t>Subsequent to the completion of the interim goodwill impairment test and in conjunction with the Biocon Biologics Transaction, the Company allocated goodwill to its biosimilars portfolio using a relative fair value approach and reclassified the amount to assets held for sale. Upon closing of the Biocon Biologics Transaction on November 29, 2022, we derecognized goodwill of $919.7 million allocated to the biosimilars portfolio.</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the fourth quarter of 2022, we determined that our Upjohn Distributor Markets should be classified as held for sale in the December 31, 2022 consolidated balance sheet. The Company allocated goodwill to its Upjohn Distributor Markets using a relative fair value approach and recorded a goodwill impairment charge of $117.0 million within the Emerging Markets reporting unit, which was recorded within </w:t>
      </w:r>
      <w:r>
        <w:rPr>
          <w:rFonts w:ascii="Arial" w:cs="Arial" w:eastAsia="Arial" w:hAnsi="Arial"/>
          <w:sz w:val="18"/>
          <w:szCs w:val="18"/>
          <w:i w:val="1"/>
          <w:iCs w:val="1"/>
          <w:color w:val="auto"/>
        </w:rPr>
        <w:t>SG&amp;A</w:t>
      </w:r>
      <w:r>
        <w:rPr>
          <w:rFonts w:ascii="Arial" w:cs="Arial" w:eastAsia="Arial" w:hAnsi="Arial"/>
          <w:sz w:val="18"/>
          <w:szCs w:val="18"/>
          <w:color w:val="auto"/>
        </w:rPr>
        <w:t xml:space="preserve"> in the consolidated statement of operations. The goodwill impairment charge was the result of the estimated proceeds less selling costs from the disposal of the Upjohn Distributor Markets being below the carrying value of the net assets of the disposal group.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for additional information.</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components at December 31, 2022 and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6040" w:type="dxa"/>
            <w:vAlign w:val="bottom"/>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37,490.5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14,923.6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22,566.9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37,530.7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14,923.6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22,607.1</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2021</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26,087.7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26,134.2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Represents amortizable intangible assets. Other intangibles consist principally of customer lists and contractual rights.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55" w:lineRule="exact"/>
        <w:rPr>
          <w:rFonts w:ascii="Arial" w:cs="Arial" w:eastAsia="Arial" w:hAnsi="Arial"/>
          <w:sz w:val="23"/>
          <w:szCs w:val="23"/>
          <w:color w:val="auto"/>
          <w:vertAlign w:val="superscript"/>
        </w:rPr>
      </w:pPr>
    </w:p>
    <w:p>
      <w:pPr>
        <w:ind w:left="5480"/>
        <w:spacing w:after="0"/>
        <w:rPr>
          <w:rFonts w:ascii="Arial" w:cs="Arial" w:eastAsia="Arial" w:hAnsi="Arial"/>
          <w:sz w:val="23"/>
          <w:szCs w:val="23"/>
          <w:color w:val="auto"/>
          <w:vertAlign w:val="superscript"/>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Product rights and licenses are primarily comprised of the products marketed at the time of acquisition. These product rights and licenses relate to numerous individual products, the net book value of which, by product category,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Developed Markets</w:t>
            </w: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Greater China</w:t>
            </w: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JANZ</w:t>
            </w:r>
          </w:p>
        </w:tc>
        <w:tc>
          <w:tcPr>
            <w:tcW w:w="1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Emerging Markets</w:t>
            </w:r>
          </w:p>
        </w:tc>
        <w:tc>
          <w:tcPr>
            <w:tcW w:w="140" w:type="dxa"/>
            <w:vAlign w:val="bottom"/>
          </w:tcPr>
          <w:p>
            <w:pPr>
              <w:spacing w:after="0"/>
              <w:rPr>
                <w:sz w:val="16"/>
                <w:szCs w:val="16"/>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 2022</w:t>
            </w:r>
          </w:p>
        </w:tc>
      </w:tr>
      <w:tr>
        <w:trPr>
          <w:trHeight w:val="26"/>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18,578.3</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3,809.2</w:t>
            </w:r>
          </w:p>
        </w:tc>
      </w:tr>
      <w:tr>
        <w:trPr>
          <w:trHeight w:val="223"/>
        </w:trPr>
        <w:tc>
          <w:tcPr>
            <w:tcW w:w="3760" w:type="dxa"/>
            <w:vAlign w:val="bottom"/>
          </w:tcPr>
          <w:p>
            <w:pPr>
              <w:ind w:left="140"/>
              <w:spacing w:after="0"/>
              <w:rPr>
                <w:sz w:val="20"/>
                <w:szCs w:val="20"/>
                <w:color w:val="auto"/>
              </w:rPr>
            </w:pPr>
            <w:r>
              <w:rPr>
                <w:rFonts w:ascii="Arial" w:cs="Arial" w:eastAsia="Arial" w:hAnsi="Arial"/>
                <w:sz w:val="18"/>
                <w:szCs w:val="18"/>
                <w:color w:val="auto"/>
              </w:rPr>
              <w:t>Total Product Rights and Licenses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22,565.9</w:t>
            </w: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87"/>
        </w:trPr>
        <w:tc>
          <w:tcPr>
            <w:tcW w:w="3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Developed Markets</w:t>
            </w:r>
          </w:p>
        </w:tc>
        <w:tc>
          <w:tcPr>
            <w:tcW w:w="1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Greater China</w:t>
            </w:r>
          </w:p>
        </w:tc>
        <w:tc>
          <w:tcPr>
            <w:tcW w:w="3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JANZ</w:t>
            </w:r>
          </w:p>
        </w:tc>
        <w:tc>
          <w:tcPr>
            <w:tcW w:w="1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Emerging Markets</w:t>
            </w:r>
          </w:p>
        </w:tc>
        <w:tc>
          <w:tcPr>
            <w:tcW w:w="140" w:type="dxa"/>
            <w:vAlign w:val="bottom"/>
          </w:tcPr>
          <w:p>
            <w:pPr>
              <w:spacing w:after="0"/>
              <w:rPr>
                <w:sz w:val="24"/>
                <w:szCs w:val="24"/>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 2021</w:t>
            </w:r>
          </w:p>
        </w:tc>
      </w:tr>
      <w:tr>
        <w:trPr>
          <w:trHeight w:val="26"/>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21,146.0</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228.3</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4,710.2</w:t>
            </w:r>
          </w:p>
        </w:tc>
      </w:tr>
      <w:tr>
        <w:trPr>
          <w:trHeight w:val="223"/>
        </w:trPr>
        <w:tc>
          <w:tcPr>
            <w:tcW w:w="3760" w:type="dxa"/>
            <w:vAlign w:val="bottom"/>
          </w:tcPr>
          <w:p>
            <w:pPr>
              <w:ind w:left="140"/>
              <w:spacing w:after="0"/>
              <w:rPr>
                <w:sz w:val="20"/>
                <w:szCs w:val="20"/>
                <w:color w:val="auto"/>
              </w:rPr>
            </w:pPr>
            <w:r>
              <w:rPr>
                <w:rFonts w:ascii="Arial" w:cs="Arial" w:eastAsia="Arial" w:hAnsi="Arial"/>
                <w:sz w:val="18"/>
                <w:szCs w:val="18"/>
                <w:color w:val="auto"/>
              </w:rPr>
              <w:t>Total Product Rights and Licenses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26,084.5</w:t>
            </w: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Amortization expense and intangible asset disposal &amp; impairment charges, which are included as a component of amortization expense, are classified primarily within cost of sales in the consolidated statements of operations, and were as follows for the years ended December 31, 2022, 2021 and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1,605.8</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IPR&amp;D intangible asset impairment charges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Finite-lived intangible asset disposal &amp; 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Total intangible asset amortization expense (including disposal &amp; impairment charges)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assessment for impairment of finite-lived intangibles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The assumptions inherent in the estimated future cash flows include, among other things, the impact of the current competitive environment and future market expectations. A discount rate of 9.0% was utilized in the valuations performed during the years ended December 31, 2021 and 2020. Any future long-lived assets impairment charges could have a material impact in the Company’s consolidated financial condition and results of operations.</w:t>
      </w:r>
    </w:p>
    <w:p>
      <w:pPr>
        <w:spacing w:after="0" w:line="16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In the fourth quarter of 2022, the Company recognized an intangible asset charge of approximately $172.9 million, which was recorded within </w:t>
      </w: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in the consolidated statement of operations, to write down the disposal group to fair value, less cost to sell, related to our Upjohn Distributor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Markets, which was classified as held for sale. The Company has approximately $230.3 million of intangible assets related to the Upjohn Distributor Markets that have been classified as held for sale in the December 31,2022 consolidated balance sheet.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for additional information.</w:t>
      </w:r>
    </w:p>
    <w:p>
      <w:pPr>
        <w:spacing w:after="0" w:line="188"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April 30, 2021, the Company completed an agreement to divest a group of OTC products in the U.S. As a result of this transaction, the Company recognized an intangible asset impairment charge of approximately $83.4 million during the year ended December 31, 2021.</w:t>
      </w:r>
    </w:p>
    <w:p>
      <w:pPr>
        <w:spacing w:after="0" w:line="12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The Company’s IPR&amp;D assets are tested at least annually for impairment or upon the occurrence of a triggering event. Impairment is determined to exist when the fair value of IPR&amp;D assets, which is based upon updated forecasts and commercial development plans, is less than the carrying value of the assets being tested. The fair value of IPR&amp;D was calculated as the present value of the estimated future net cash flows using a market rate of return. The assumptions inherent in the estimated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future cash flows include, among other things, the impact of changes to the development programs, the projected development and regulatory time frames and the current competitive environment. A discount rate of 10.5% was utilized in the valuations performed during the year ended December 31, 2022. Discount rates ranging between 7.0% and 9.0%, and 9.0% and 11.0% were utilized in the valuations performed during the years ended December 31, 2021 and 2020, respectively.</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The fair value of both IPR&amp;D and finite-lived intangible assets was determined based upon detailed valuations employing the income approach which utilized Level 3 inputs, as defined in Note 10,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Changes to any of the Company’s assumptions including changes to or abandonment of development programs, regulatory timelines, discount rates or the competitive environment related to the assets could lead to future material impairment charges.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660"/>
              <w:spacing w:after="0"/>
              <w:rPr>
                <w:sz w:val="20"/>
                <w:szCs w:val="20"/>
                <w:color w:val="auto"/>
              </w:rPr>
            </w:pPr>
            <w:r>
              <w:rPr>
                <w:rFonts w:ascii="Arial" w:cs="Arial" w:eastAsia="Arial" w:hAnsi="Arial"/>
                <w:sz w:val="18"/>
                <w:szCs w:val="18"/>
                <w:color w:val="auto"/>
                <w:w w:val="93"/>
              </w:rPr>
              <w:t>Intangible asset amortization expense for the years ending December 31, 2023 through 2027 is estimated to be as follows:</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85"/>
        </w:trPr>
        <w:tc>
          <w:tcPr>
            <w:tcW w:w="9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
        </w:trPr>
        <w:tc>
          <w:tcPr>
            <w:tcW w:w="9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2,083</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bl>
    <w:p>
      <w:pPr>
        <w:spacing w:after="0" w:line="292"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consolidated balance sheets. Any gains or losses on the foreign exchange forward contracts are recognized in earnings in the period incurred in the consolidated statements of operations.</w:t>
      </w:r>
    </w:p>
    <w:p>
      <w:pPr>
        <w:spacing w:after="0" w:line="17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consolidated balance sheets. Any changes in the fair value of designated cash flow hedges are deferred in AOCE and are reclassified into earnings when the hedged item impacts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principal amounts of the Company’s outstanding Euro and Yen borrowings and the notional amounts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 and Yen borrowings designated as net investment hedges:</w:t>
      </w:r>
    </w:p>
    <w:p>
      <w:pPr>
        <w:spacing w:after="0" w:line="135"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Notional Amount Designated as a Net</w:t>
      </w:r>
    </w:p>
    <w:p>
      <w:pPr>
        <w:spacing w:after="0" w:line="4"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Investment Hedge</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3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54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Principal Amount</w:t>
            </w:r>
          </w:p>
        </w:tc>
        <w:tc>
          <w:tcPr>
            <w:tcW w:w="134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32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3960" w:type="dxa"/>
            <w:vAlign w:val="bottom"/>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134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09803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Euro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2.250% Euro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3.125% Euro Senior Notes due 2028</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2.125% Euro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 xml:space="preserve">0.816% Euro Senior Notes due 2022 </w:t>
      </w:r>
      <w:r>
        <w:rPr>
          <w:rFonts w:ascii="Arial" w:cs="Arial" w:eastAsia="Arial" w:hAnsi="Arial"/>
          <w:sz w:val="23"/>
          <w:szCs w:val="23"/>
          <w:color w:val="auto"/>
          <w:vertAlign w:val="superscript"/>
        </w:rPr>
        <w:t>(1)</w:t>
      </w:r>
    </w:p>
    <w:p>
      <w:pPr>
        <w:ind w:left="60"/>
        <w:spacing w:after="0"/>
        <w:rPr>
          <w:sz w:val="20"/>
          <w:szCs w:val="20"/>
          <w:color w:val="auto"/>
        </w:rPr>
      </w:pPr>
      <w:r>
        <w:rPr>
          <w:rFonts w:ascii="Arial" w:cs="Arial" w:eastAsia="Arial" w:hAnsi="Arial"/>
          <w:sz w:val="18"/>
          <w:szCs w:val="18"/>
          <w:color w:val="auto"/>
        </w:rPr>
        <w:t>1.023% Euro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09803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1.362% Euro Senior Notes due 2027</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1.908% Euro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Euro Total</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09803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YEN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Yen Total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52"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The Senior Notes were repaid at maturity during the second quarter of 2022.</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23"/>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5"/>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r>
      <w:tr>
        <w:trPr>
          <w:trHeight w:val="223"/>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80" w:lineRule="exact"/>
        <w:rPr>
          <w:sz w:val="20"/>
          <w:szCs w:val="20"/>
          <w:color w:val="auto"/>
        </w:rPr>
      </w:pPr>
    </w:p>
    <w:p>
      <w:pPr>
        <w:sectPr>
          <w:pgSz w:w="11900" w:h="16838" w:orient="portrait"/>
          <w:cols w:equalWidth="0" w:num="2">
            <w:col w:w="6460" w:space="720"/>
            <w:col w:w="4040"/>
          </w:cols>
          <w:pgMar w:left="320" w:top="125" w:right="359" w:bottom="1440" w:gutter="0" w:footer="0" w:header="0"/>
          <w:type w:val="continuous"/>
        </w:sectPr>
      </w:pPr>
    </w:p>
    <w:p>
      <w:pPr>
        <w:spacing w:after="0" w:line="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At December 31, 2022, the principal amount of the Company’s outstanding Yen borrowings and the notional amount of the Yen borrowings designated as net investment hedge was $305.1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Hedging Relationships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Hedging Relationships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Company's interest rate swaps designated as fair value hedges convert the fixed rate on a portion of the Company's fixed-rate senior notes to a variable rate. Any changes in the fair value of these derivative instruments, as well as the offsetting change in fair value of the portion of the fixed-rate debt being hedged, is included in interest expense. The Company’s fair value hedge was terminated during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classification and fair values of derivative instruments in our consolidated balance sheets: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20" w:type="dxa"/>
            <w:vAlign w:val="bottom"/>
            <w:tcBorders>
              <w:top w:val="single" w:sz="8" w:color="auto"/>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Liability Derivatives</w:t>
            </w:r>
          </w:p>
        </w:tc>
        <w:tc>
          <w:tcPr>
            <w:tcW w:w="3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6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Balance Sheet Location</w:t>
            </w:r>
          </w:p>
        </w:tc>
        <w:tc>
          <w:tcPr>
            <w:tcW w:w="140" w:type="dxa"/>
            <w:vAlign w:val="bottom"/>
          </w:tcPr>
          <w:p>
            <w:pPr>
              <w:spacing w:after="0"/>
              <w:rPr>
                <w:sz w:val="12"/>
                <w:szCs w:val="12"/>
                <w:color w:val="auto"/>
              </w:rPr>
            </w:pPr>
          </w:p>
        </w:tc>
        <w:tc>
          <w:tcPr>
            <w:tcW w:w="820" w:type="dxa"/>
            <w:vAlign w:val="bottom"/>
          </w:tcPr>
          <w:p>
            <w:pPr>
              <w:jc w:val="center"/>
              <w:ind w:right="35"/>
              <w:spacing w:after="0" w:line="144" w:lineRule="exact"/>
              <w:rPr>
                <w:sz w:val="20"/>
                <w:szCs w:val="20"/>
                <w:color w:val="auto"/>
              </w:rPr>
            </w:pPr>
            <w:r>
              <w:rPr>
                <w:rFonts w:ascii="Arial" w:cs="Arial" w:eastAsia="Arial" w:hAnsi="Arial"/>
                <w:sz w:val="14"/>
                <w:szCs w:val="14"/>
                <w:b w:val="1"/>
                <w:bCs w:val="1"/>
                <w:color w:val="auto"/>
                <w:w w:val="95"/>
              </w:rPr>
              <w:t>2022 Fair</w:t>
            </w: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220"/>
              <w:spacing w:after="0" w:line="144" w:lineRule="exact"/>
              <w:rPr>
                <w:sz w:val="20"/>
                <w:szCs w:val="20"/>
                <w:color w:val="auto"/>
              </w:rPr>
            </w:pPr>
            <w:r>
              <w:rPr>
                <w:rFonts w:ascii="Arial" w:cs="Arial" w:eastAsia="Arial" w:hAnsi="Arial"/>
                <w:sz w:val="14"/>
                <w:szCs w:val="14"/>
                <w:b w:val="1"/>
                <w:bCs w:val="1"/>
                <w:color w:val="auto"/>
              </w:rPr>
              <w:t>Balance Sheet</w:t>
            </w:r>
          </w:p>
        </w:tc>
        <w:tc>
          <w:tcPr>
            <w:tcW w:w="840" w:type="dxa"/>
            <w:vAlign w:val="bottom"/>
          </w:tcPr>
          <w:p>
            <w:pPr>
              <w:jc w:val="center"/>
              <w:ind w:right="55"/>
              <w:spacing w:after="0" w:line="144" w:lineRule="exact"/>
              <w:rPr>
                <w:sz w:val="20"/>
                <w:szCs w:val="20"/>
                <w:color w:val="auto"/>
              </w:rPr>
            </w:pPr>
            <w:r>
              <w:rPr>
                <w:rFonts w:ascii="Arial" w:cs="Arial" w:eastAsia="Arial" w:hAnsi="Arial"/>
                <w:sz w:val="14"/>
                <w:szCs w:val="14"/>
                <w:b w:val="1"/>
                <w:bCs w:val="1"/>
                <w:color w:val="auto"/>
                <w:w w:val="95"/>
              </w:rPr>
              <w:t>2022 Fair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2021 Fair Value</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Location</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2021 Fair Value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ind w:left="20"/>
              <w:spacing w:after="0" w:line="176" w:lineRule="exact"/>
              <w:rPr>
                <w:sz w:val="20"/>
                <w:szCs w:val="20"/>
                <w:color w:val="auto"/>
              </w:rPr>
            </w:pPr>
            <w:r>
              <w:rPr>
                <w:rFonts w:ascii="Arial" w:cs="Arial" w:eastAsia="Arial" w:hAnsi="Arial"/>
                <w:sz w:val="18"/>
                <w:szCs w:val="18"/>
                <w:color w:val="auto"/>
                <w:w w:val="90"/>
              </w:rPr>
              <w:t>Other current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derivatives designated as hedges</w:t>
            </w:r>
          </w:p>
        </w:tc>
        <w:tc>
          <w:tcPr>
            <w:tcW w:w="16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spacing w:after="0"/>
              <w:rPr>
                <w:sz w:val="15"/>
                <w:szCs w:val="15"/>
                <w:color w:val="auto"/>
              </w:rPr>
            </w:pPr>
          </w:p>
        </w:tc>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Other current</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3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derivatives not designated as hedges</w:t>
            </w: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derivatives</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summarize information about the gains/(losses) incurred to hedge or offset operational foreign exchange or interest rate risk:</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1"/>
              </w:rPr>
              <w:t>Amount of Gains/(Losses) Recognized in</w:t>
            </w:r>
          </w:p>
        </w:tc>
        <w:tc>
          <w:tcPr>
            <w:tcW w:w="160" w:type="dxa"/>
            <w:vAlign w:val="bottom"/>
          </w:tcPr>
          <w:p>
            <w:pPr>
              <w:spacing w:after="0"/>
              <w:rPr>
                <w:sz w:val="14"/>
                <w:szCs w:val="14"/>
                <w:color w:val="auto"/>
              </w:rPr>
            </w:pPr>
          </w:p>
        </w:tc>
        <w:tc>
          <w:tcPr>
            <w:tcW w:w="2400" w:type="dxa"/>
            <w:vAlign w:val="bottom"/>
            <w:gridSpan w:val="3"/>
          </w:tcPr>
          <w:p>
            <w:pPr>
              <w:jc w:val="center"/>
              <w:ind w:right="53"/>
              <w:spacing w:after="0"/>
              <w:rPr>
                <w:sz w:val="20"/>
                <w:szCs w:val="20"/>
                <w:color w:val="auto"/>
              </w:rPr>
            </w:pPr>
            <w:r>
              <w:rPr>
                <w:rFonts w:ascii="Arial" w:cs="Arial" w:eastAsia="Arial" w:hAnsi="Arial"/>
                <w:sz w:val="14"/>
                <w:szCs w:val="14"/>
                <w:b w:val="1"/>
                <w:bCs w:val="1"/>
                <w:color w:val="auto"/>
                <w:w w:val="94"/>
              </w:rPr>
              <w:t>Amount of Gain Excluded from the</w:t>
            </w:r>
          </w:p>
        </w:tc>
      </w:tr>
      <w:tr>
        <w:trPr>
          <w:trHeight w:val="192"/>
        </w:trPr>
        <w:tc>
          <w:tcPr>
            <w:tcW w:w="394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center"/>
              <w:ind w:right="73"/>
              <w:spacing w:after="0"/>
              <w:rPr>
                <w:sz w:val="20"/>
                <w:szCs w:val="20"/>
                <w:color w:val="auto"/>
              </w:rPr>
            </w:pPr>
            <w:r>
              <w:rPr>
                <w:rFonts w:ascii="Arial" w:cs="Arial" w:eastAsia="Arial" w:hAnsi="Arial"/>
                <w:sz w:val="14"/>
                <w:szCs w:val="14"/>
                <w:b w:val="1"/>
                <w:bCs w:val="1"/>
                <w:color w:val="auto"/>
                <w:w w:val="88"/>
              </w:rPr>
              <w:t>Assessment of Hedge Effectiveness</w:t>
            </w:r>
          </w:p>
        </w:tc>
      </w:tr>
      <w:tr>
        <w:trPr>
          <w:trHeight w:val="202"/>
        </w:trPr>
        <w:tc>
          <w:tcPr>
            <w:tcW w:w="39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60" w:type="dxa"/>
            <w:vAlign w:val="bottom"/>
            <w:gridSpan w:val="4"/>
            <w:shd w:val="clear" w:color="auto" w:fill="CCEEFF"/>
          </w:tcPr>
          <w:p>
            <w:pPr>
              <w:jc w:val="center"/>
              <w:ind w:right="113"/>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jc w:val="center"/>
              <w:ind w:right="73"/>
              <w:spacing w:after="0"/>
              <w:rPr>
                <w:sz w:val="20"/>
                <w:szCs w:val="20"/>
                <w:color w:val="auto"/>
              </w:rPr>
            </w:pPr>
            <w:r>
              <w:rPr>
                <w:rFonts w:ascii="Arial" w:cs="Arial" w:eastAsia="Arial" w:hAnsi="Arial"/>
                <w:sz w:val="14"/>
                <w:szCs w:val="14"/>
                <w:b w:val="1"/>
                <w:bCs w:val="1"/>
                <w:color w:val="auto"/>
                <w:w w:val="93"/>
              </w:rPr>
              <w:t>Year Ended December 31,</w:t>
            </w:r>
          </w:p>
        </w:tc>
      </w:tr>
      <w:tr>
        <w:trPr>
          <w:trHeight w:val="19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Location of Gain/(Loss)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89"/>
              </w:rPr>
              <w:t>2021</w:t>
            </w: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r>
      <w:tr>
        <w:trPr>
          <w:trHeight w:val="149"/>
        </w:trPr>
        <w:tc>
          <w:tcPr>
            <w:tcW w:w="39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7"/>
              </w:rPr>
              <w:t>Derivative Financial Instruments in Fair Value Hedge</w:t>
            </w: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394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21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0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440"/>
              <w:spacing w:after="0"/>
              <w:rPr>
                <w:sz w:val="20"/>
                <w:szCs w:val="20"/>
                <w:color w:val="auto"/>
              </w:rPr>
            </w:pPr>
            <w:r>
              <w:rPr>
                <w:rFonts w:ascii="Arial" w:cs="Arial" w:eastAsia="Arial" w:hAnsi="Arial"/>
                <w:sz w:val="18"/>
                <w:szCs w:val="18"/>
                <w:color w:val="auto"/>
              </w:rPr>
              <w:t>— $</w:t>
            </w:r>
          </w:p>
        </w:tc>
        <w:tc>
          <w:tcPr>
            <w:tcW w:w="840" w:type="dxa"/>
            <w:vAlign w:val="bottom"/>
          </w:tcPr>
          <w:p>
            <w:pPr>
              <w:ind w:left="40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 Senior Notes (3.125% coupon)</w:t>
            </w:r>
          </w:p>
        </w:tc>
        <w:tc>
          <w:tcPr>
            <w:tcW w:w="21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3"/>
              </w:rPr>
              <w:t>Derivative Financial Instruments in Cash Flow Hedging</w:t>
            </w: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Relationships :</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78"/>
        </w:trPr>
        <w:tc>
          <w:tcPr>
            <w:tcW w:w="3940" w:type="dxa"/>
            <w:vAlign w:val="bottom"/>
            <w:shd w:val="clear" w:color="auto" w:fill="CCEEFF"/>
          </w:tcPr>
          <w:p>
            <w:pPr>
              <w:spacing w:after="0"/>
              <w:rPr>
                <w:sz w:val="15"/>
                <w:szCs w:val="15"/>
                <w:color w:val="auto"/>
              </w:rPr>
            </w:pPr>
          </w:p>
        </w:tc>
        <w:tc>
          <w:tcPr>
            <w:tcW w:w="21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forward contracts</w:t>
            </w:r>
          </w:p>
        </w:tc>
        <w:tc>
          <w:tcPr>
            <w:tcW w:w="2100" w:type="dxa"/>
            <w:vAlign w:val="bottom"/>
            <w:shd w:val="clear" w:color="auto" w:fill="CCEEFF"/>
          </w:tcPr>
          <w:p>
            <w:pPr>
              <w:ind w:left="40"/>
              <w:spacing w:after="0" w:line="243" w:lineRule="exact"/>
              <w:rPr>
                <w:sz w:val="20"/>
                <w:szCs w:val="20"/>
                <w:color w:val="auto"/>
              </w:rPr>
            </w:pPr>
            <w:r>
              <w:rPr>
                <w:rFonts w:ascii="Arial" w:cs="Arial" w:eastAsia="Arial" w:hAnsi="Arial"/>
                <w:sz w:val="28"/>
                <w:szCs w:val="28"/>
                <w:color w:val="auto"/>
                <w:vertAlign w:val="subscript"/>
              </w:rPr>
              <w:t>net</w:t>
            </w:r>
            <w:r>
              <w:rPr>
                <w:rFonts w:ascii="Arial" w:cs="Arial" w:eastAsia="Arial" w:hAnsi="Arial"/>
                <w:sz w:val="11"/>
                <w:szCs w:val="11"/>
                <w:color w:val="auto"/>
              </w:rPr>
              <w:t xml:space="preserve"> (4)</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9"/>
              </w:rPr>
              <w:t>Derivative Financial Instruments Not Designated as</w:t>
            </w: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78"/>
        </w:trPr>
        <w:tc>
          <w:tcPr>
            <w:tcW w:w="3940" w:type="dxa"/>
            <w:vAlign w:val="bottom"/>
            <w:shd w:val="clear" w:color="auto" w:fill="CCEEFF"/>
          </w:tcPr>
          <w:p>
            <w:pPr>
              <w:spacing w:after="0"/>
              <w:rPr>
                <w:sz w:val="15"/>
                <w:szCs w:val="15"/>
                <w:color w:val="auto"/>
              </w:rPr>
            </w:pPr>
          </w:p>
        </w:tc>
        <w:tc>
          <w:tcPr>
            <w:tcW w:w="21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100" w:type="dxa"/>
            <w:vAlign w:val="bottom"/>
            <w:shd w:val="clear" w:color="auto" w:fill="CCEEFF"/>
          </w:tcPr>
          <w:p>
            <w:pPr>
              <w:ind w:left="40"/>
              <w:spacing w:after="0" w:line="243" w:lineRule="exact"/>
              <w:rPr>
                <w:sz w:val="20"/>
                <w:szCs w:val="20"/>
                <w:color w:val="auto"/>
              </w:rPr>
            </w:pPr>
            <w:r>
              <w:rPr>
                <w:rFonts w:ascii="Arial" w:cs="Arial" w:eastAsia="Arial" w:hAnsi="Arial"/>
                <w:sz w:val="18"/>
                <w:szCs w:val="18"/>
                <w:color w:val="auto"/>
              </w:rPr>
              <w:t xml:space="preserve">net </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(82.1)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0"/>
              </w:rPr>
              <w:t>(82.1)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394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left="6080"/>
        <w:spacing w:after="0"/>
        <w:rPr>
          <w:sz w:val="20"/>
          <w:szCs w:val="20"/>
          <w:color w:val="auto"/>
        </w:rPr>
      </w:pPr>
      <w:r>
        <w:rPr>
          <w:rFonts w:ascii="Arial" w:cs="Arial" w:eastAsia="Arial" w:hAnsi="Arial"/>
          <w:sz w:val="12"/>
          <w:szCs w:val="12"/>
          <w:b w:val="1"/>
          <w:bCs w:val="1"/>
          <w:color w:val="auto"/>
        </w:rPr>
        <w:t>Amount of Gains/(Losses) Recognized in</w:t>
      </w:r>
    </w:p>
    <w:p>
      <w:pPr>
        <w:spacing w:after="0" w:line="17"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AOCE (Net of Tax)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br w:type="column"/>
      </w:r>
    </w:p>
    <w:p>
      <w:pPr>
        <w:jc w:val="center"/>
        <w:ind w:right="100"/>
        <w:spacing w:after="0" w:line="297" w:lineRule="auto"/>
        <w:rPr>
          <w:sz w:val="20"/>
          <w:szCs w:val="20"/>
          <w:color w:val="auto"/>
        </w:rPr>
      </w:pPr>
      <w:r>
        <w:rPr>
          <w:rFonts w:ascii="Arial" w:cs="Arial" w:eastAsia="Arial" w:hAnsi="Arial"/>
          <w:sz w:val="12"/>
          <w:szCs w:val="12"/>
          <w:b w:val="1"/>
          <w:bCs w:val="1"/>
          <w:color w:val="auto"/>
        </w:rPr>
        <w:t>Amount of Gains/(Losses) Reclassified from AOCE into Earnings</w:t>
      </w:r>
    </w:p>
    <w:p>
      <w:pPr>
        <w:ind w:left="380"/>
        <w:spacing w:after="0"/>
        <w:rPr>
          <w:sz w:val="20"/>
          <w:szCs w:val="20"/>
          <w:color w:val="auto"/>
        </w:rPr>
      </w:pPr>
      <w:r>
        <w:rPr>
          <w:rFonts w:ascii="Arial" w:cs="Arial" w:eastAsia="Arial" w:hAnsi="Arial"/>
          <w:sz w:val="14"/>
          <w:szCs w:val="14"/>
          <w:b w:val="1"/>
          <w:bCs w:val="1"/>
          <w:color w:val="auto"/>
        </w:rPr>
        <w:t>Year Ended December 31,</w:t>
      </w:r>
    </w:p>
    <w:p>
      <w:pPr>
        <w:spacing w:after="0" w:line="42" w:lineRule="exact"/>
        <w:rPr>
          <w:sz w:val="20"/>
          <w:szCs w:val="20"/>
          <w:color w:val="auto"/>
        </w:rPr>
      </w:pPr>
    </w:p>
    <w:p>
      <w:pPr>
        <w:sectPr>
          <w:pgSz w:w="11900" w:h="16838" w:orient="portrait"/>
          <w:cols w:equalWidth="0" w:num="2">
            <w:col w:w="8560" w:space="220"/>
            <w:col w:w="2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100" w:type="dxa"/>
            <w:vAlign w:val="bottom"/>
          </w:tcPr>
          <w:p>
            <w:pPr>
              <w:ind w:left="280"/>
              <w:spacing w:after="0"/>
              <w:rPr>
                <w:sz w:val="20"/>
                <w:szCs w:val="20"/>
                <w:color w:val="auto"/>
              </w:rPr>
            </w:pPr>
            <w:r>
              <w:rPr>
                <w:rFonts w:ascii="Arial" w:cs="Arial" w:eastAsia="Arial" w:hAnsi="Arial"/>
                <w:sz w:val="14"/>
                <w:szCs w:val="14"/>
                <w:b w:val="1"/>
                <w:bCs w:val="1"/>
                <w:color w:val="auto"/>
              </w:rPr>
              <w:t>Location of Gain/(Loss)</w:t>
            </w:r>
          </w:p>
        </w:tc>
        <w:tc>
          <w:tcPr>
            <w:tcW w:w="20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r>
      <w:tr>
        <w:trPr>
          <w:trHeight w:val="26"/>
        </w:trPr>
        <w:tc>
          <w:tcPr>
            <w:tcW w:w="39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2"/>
        </w:trPr>
        <w:tc>
          <w:tcPr>
            <w:tcW w:w="39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w w:val="93"/>
              </w:rPr>
              <w:t>Derivative Financial Instruments in Cash Flow Hedging</w:t>
            </w: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394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1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1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3"/>
              </w:rPr>
              <w:t>Non-derivative Financial Instruments in Net Investment</w:t>
            </w: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2"/>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borrowings</w:t>
            </w:r>
          </w:p>
        </w:tc>
        <w:tc>
          <w:tcPr>
            <w:tcW w:w="2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3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4" w:lineRule="exact"/>
        <w:rPr>
          <w:sz w:val="20"/>
          <w:szCs w:val="20"/>
          <w:color w:val="auto"/>
        </w:rPr>
      </w:pPr>
    </w:p>
    <w:p>
      <w:pPr>
        <w:ind w:left="660" w:right="20" w:hanging="328"/>
        <w:spacing w:after="0" w:line="232" w:lineRule="auto"/>
        <w:tabs>
          <w:tab w:leader="none" w:pos="648"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amount included in the above tables represents the fair value adjustment recognized at the date the interest rate swaps were settled.</w:t>
      </w:r>
    </w:p>
    <w:p>
      <w:pPr>
        <w:spacing w:after="0" w:line="68" w:lineRule="exact"/>
        <w:rPr>
          <w:rFonts w:ascii="Arial" w:cs="Arial" w:eastAsia="Arial" w:hAnsi="Arial"/>
          <w:sz w:val="23"/>
          <w:szCs w:val="23"/>
          <w:color w:val="auto"/>
          <w:vertAlign w:val="superscript"/>
        </w:rPr>
      </w:pPr>
    </w:p>
    <w:p>
      <w:pPr>
        <w:ind w:left="660" w:right="200" w:hanging="328"/>
        <w:spacing w:after="0" w:line="227" w:lineRule="auto"/>
        <w:tabs>
          <w:tab w:leader="none" w:pos="648"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At December 31, 2022, the Company expects that approximately $8.0 million of pre-tax net losses on cash flow hedges will be reclassified from AOCE into earnings during the next twelve months.</w:t>
      </w:r>
    </w:p>
    <w:p>
      <w:pPr>
        <w:sectPr>
          <w:pgSz w:w="11900" w:h="16838" w:orient="portrait"/>
          <w:cols w:equalWidth="0" w:num="1">
            <w:col w:w="11240"/>
          </w:cols>
          <w:pgMar w:left="320" w:top="125" w:right="339" w:bottom="1440" w:gutter="0" w:footer="0" w:header="0"/>
          <w:type w:val="continuous"/>
        </w:sectPr>
      </w:pPr>
    </w:p>
    <w:p>
      <w:pPr>
        <w:spacing w:after="0" w:line="75" w:lineRule="exact"/>
        <w:rPr>
          <w:sz w:val="20"/>
          <w:szCs w:val="20"/>
          <w:color w:val="auto"/>
        </w:rPr>
      </w:pPr>
    </w:p>
    <w:p>
      <w:pPr>
        <w:ind w:left="340"/>
        <w:spacing w:after="0"/>
        <w:rPr>
          <w:sz w:val="20"/>
          <w:szCs w:val="20"/>
          <w:color w:val="auto"/>
        </w:rPr>
      </w:pPr>
      <w:r>
        <w:rPr>
          <w:rFonts w:ascii="Arial" w:cs="Arial" w:eastAsia="Arial" w:hAnsi="Arial"/>
          <w:sz w:val="9"/>
          <w:szCs w:val="9"/>
          <w:color w:val="auto"/>
        </w:rPr>
        <w:t>(3)</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Represents the location of the gain/(loss) recognized in earnings on derivatives.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Represents the location of the gain excluded from the assessment of hedge effectiveness.</w:t>
      </w:r>
    </w:p>
    <w:p>
      <w:pPr>
        <w:spacing w:after="0" w:line="79" w:lineRule="exact"/>
        <w:rPr>
          <w:sz w:val="20"/>
          <w:szCs w:val="20"/>
          <w:color w:val="auto"/>
        </w:rPr>
      </w:pPr>
    </w:p>
    <w:p>
      <w:pPr>
        <w:sectPr>
          <w:pgSz w:w="11900" w:h="16838" w:orient="portrait"/>
          <w:cols w:equalWidth="0" w:num="2">
            <w:col w:w="460" w:space="180"/>
            <w:col w:w="10600"/>
          </w:cols>
          <w:pgMar w:left="320" w:top="125" w:right="339" w:bottom="1440" w:gutter="0" w:footer="0" w:header="0"/>
          <w:type w:val="continuous"/>
        </w:sectPr>
      </w:pPr>
    </w:p>
    <w:p>
      <w:pPr>
        <w:ind w:left="640" w:hanging="308"/>
        <w:spacing w:after="0"/>
        <w:tabs>
          <w:tab w:leader="none" w:pos="640"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reclassified from AOCE into earnings.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1460" w:right="32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Quoted prices (unadjusted) in active markets that are accessible at the measurement date for identical assets or liabilities. The fair value hierarchy gives the highest priority to Level 1 inputs.</w:t>
      </w:r>
    </w:p>
    <w:p>
      <w:pPr>
        <w:spacing w:after="0" w:line="62"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Observable market-based inputs other than quoted prices in active markets for identical assets or liabilities.</w:t>
      </w:r>
    </w:p>
    <w:p>
      <w:pPr>
        <w:spacing w:after="0" w:line="117" w:lineRule="exact"/>
        <w:rPr>
          <w:sz w:val="20"/>
          <w:szCs w:val="20"/>
          <w:color w:val="auto"/>
        </w:rPr>
      </w:pPr>
    </w:p>
    <w:p>
      <w:pPr>
        <w:ind w:left="1460" w:right="16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Unobservable inputs are used when little or no market data is available. The fair value hierarchy gives the lowest priority to Level 3 inputs.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91"/>
              </w:rPr>
              <w:t>December 31, 2022</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6"/>
          </w:tcPr>
          <w:p>
            <w:pPr>
              <w:jc w:val="center"/>
              <w:ind w:right="10"/>
              <w:spacing w:after="0"/>
              <w:rPr>
                <w:sz w:val="20"/>
                <w:szCs w:val="20"/>
                <w:color w:val="auto"/>
              </w:rPr>
            </w:pPr>
            <w:r>
              <w:rPr>
                <w:rFonts w:ascii="Arial" w:cs="Arial" w:eastAsia="Arial" w:hAnsi="Arial"/>
                <w:sz w:val="14"/>
                <w:szCs w:val="14"/>
                <w:b w:val="1"/>
                <w:bCs w:val="1"/>
                <w:color w:val="auto"/>
                <w:w w:val="93"/>
              </w:rPr>
              <w:t>December 31, 2021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688.8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traded funds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CCPS in Biocon Biologics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 fixed income investments: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backed securities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available-for-sale fixed income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derivative assets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recurring fair value measurement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derivative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recurring fair value measurement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For financial assets and liabilities that utilize Level 2 inputs, the Company utilizes both direct and indirect observable price quotes, including the LIBOR yield curve, foreign exchange forward prices, and bank price quotes. For the years ended December 31, 2022 and 2021, there were no transfers between Level 1 and 2 of the fair value hierarchy. Below is a summary of valuation techniques for Level 1 and Level 2 financial assets and liabilities:</w:t>
      </w:r>
    </w:p>
    <w:p>
      <w:pPr>
        <w:spacing w:after="0" w:line="41"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jc w:val="both"/>
        <w:ind w:left="980" w:right="140" w:hanging="324"/>
        <w:spacing w:after="0" w:line="263" w:lineRule="auto"/>
        <w:tabs>
          <w:tab w:leader="none" w:pos="975"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sources at the reporting date. Unrealized gains and losses attributable to changes in fair value are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in the consolidated statements of operations.</w:t>
      </w:r>
    </w:p>
    <w:p>
      <w:pPr>
        <w:spacing w:after="0" w:line="75" w:lineRule="exact"/>
        <w:rPr>
          <w:rFonts w:ascii="Arial" w:cs="Arial" w:eastAsia="Arial" w:hAnsi="Arial"/>
          <w:sz w:val="18"/>
          <w:szCs w:val="18"/>
          <w:b w:val="1"/>
          <w:bCs w:val="1"/>
          <w:i w:val="1"/>
          <w:iCs w:val="1"/>
          <w:color w:val="auto"/>
        </w:rPr>
      </w:pPr>
    </w:p>
    <w:p>
      <w:pPr>
        <w:ind w:left="980" w:right="20" w:hanging="324"/>
        <w:spacing w:after="0" w:line="342" w:lineRule="auto"/>
        <w:tabs>
          <w:tab w:leader="none" w:pos="975" w:val="left"/>
        </w:tabs>
        <w:numPr>
          <w:ilvl w:val="0"/>
          <w:numId w:val="61"/>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Equity securities, marketable securities </w:t>
      </w:r>
      <w:r>
        <w:rPr>
          <w:rFonts w:ascii="Arial" w:cs="Arial" w:eastAsia="Arial" w:hAnsi="Arial"/>
          <w:sz w:val="16"/>
          <w:szCs w:val="16"/>
          <w:color w:val="auto"/>
        </w:rPr>
        <w:t>— valued using quoted stock prices from public exchanges at the reporting date.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losses attributable to changes in fair value are included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in the consolidated statements of operations.</w:t>
      </w:r>
    </w:p>
    <w:p>
      <w:pPr>
        <w:spacing w:after="0" w:line="15" w:lineRule="exact"/>
        <w:rPr>
          <w:rFonts w:ascii="Arial" w:cs="Arial" w:eastAsia="Arial" w:hAnsi="Arial"/>
          <w:sz w:val="16"/>
          <w:szCs w:val="16"/>
          <w:b w:val="1"/>
          <w:bCs w:val="1"/>
          <w:i w:val="1"/>
          <w:iCs w:val="1"/>
          <w:color w:val="auto"/>
        </w:rPr>
      </w:pPr>
    </w:p>
    <w:p>
      <w:pPr>
        <w:ind w:left="980" w:right="120" w:hanging="324"/>
        <w:spacing w:after="0" w:line="259" w:lineRule="auto"/>
        <w:tabs>
          <w:tab w:leader="none" w:pos="975"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CCPS in Biocon Biologics </w:t>
      </w:r>
      <w:r>
        <w:rPr>
          <w:rFonts w:ascii="Arial" w:cs="Arial" w:eastAsia="Arial" w:hAnsi="Arial"/>
          <w:sz w:val="18"/>
          <w:szCs w:val="18"/>
          <w:color w:val="auto"/>
        </w:rPr>
        <w:t>— valued using a Monte Carlo simulation model using Level 3 inputs. The fair value of the CCPS is sensitive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the forecasts of operating metrics and changes in volatility and discount rates. The Company elected the fair value option for the CCPS under </w:t>
      </w:r>
      <w:r>
        <w:rPr>
          <w:rFonts w:ascii="Arial" w:cs="Arial" w:eastAsia="Arial" w:hAnsi="Arial"/>
          <w:sz w:val="18"/>
          <w:szCs w:val="18"/>
          <w:i w:val="1"/>
          <w:iCs w:val="1"/>
          <w:color w:val="auto"/>
        </w:rPr>
        <w:t>ASC 825.</w:t>
      </w:r>
      <w:r>
        <w:rPr>
          <w:rFonts w:ascii="Arial" w:cs="Arial" w:eastAsia="Arial" w:hAnsi="Arial"/>
          <w:sz w:val="18"/>
          <w:szCs w:val="18"/>
          <w:color w:val="auto"/>
        </w:rPr>
        <w:t xml:space="preserve"> The fair value is reassessed quarterly and any change in the fair value estimate is recorded in </w:t>
      </w:r>
      <w:r>
        <w:rPr>
          <w:rFonts w:ascii="Arial" w:cs="Arial" w:eastAsia="Arial" w:hAnsi="Arial"/>
          <w:sz w:val="18"/>
          <w:szCs w:val="18"/>
          <w:i w:val="1"/>
          <w:iCs w:val="1"/>
          <w:color w:val="auto"/>
        </w:rPr>
        <w:t>Other (income)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in the consolidated statements of operations for that period.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80" w:right="380" w:hanging="324"/>
        <w:spacing w:after="0" w:line="263" w:lineRule="auto"/>
        <w:tabs>
          <w:tab w:leader="none" w:pos="97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5" w:lineRule="exact"/>
        <w:rPr>
          <w:rFonts w:ascii="Arial" w:cs="Arial" w:eastAsia="Arial" w:hAnsi="Arial"/>
          <w:sz w:val="18"/>
          <w:szCs w:val="18"/>
          <w:i w:val="1"/>
          <w:iCs w:val="1"/>
          <w:color w:val="auto"/>
        </w:rPr>
      </w:pPr>
    </w:p>
    <w:p>
      <w:pPr>
        <w:ind w:left="980" w:hanging="324"/>
        <w:spacing w:after="0" w:line="277" w:lineRule="auto"/>
        <w:tabs>
          <w:tab w:leader="none" w:pos="97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December 2011, the Company completed the acquisition of the exclusive worldwide rights to develop, manufacture and commercialize a generic equivalent to GlaxoSmithKline’s Advair Diskus® incorporating Pfizer’s Respiratory Delivery Platform. The Company accounted for this transaction as a purchase of a business and utilized the acquisition method of accounting. On January 30, 2019, the Company received FDA approval of Wixela Inhub® (fluticasone propionate and salmeterol inhalation powder, USP), the first generic of GlaxoSmithKline’s Advair Diskus®. The commercial launch of the Wixela Inhub® occurred in February 2019.</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December 31, 2022, the Company has a contingent consideration liability of $132.0 million related to the Respiratory Delivery Platform and $221.2 million related to the Biocon Biologics Transaction. The contingent consideration liability related to the Biocon Biologics Transaction represents the amount of the closing working capital target to which the parties have agreed that may become payable to Biocon Biologics in connection with certain events in the future, depending on the valuations attributable to such events.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December 31, 2022 and 2021, discount rates ranging from 6.4% to 9.0% were utilized in the valuations. Significant changes in unobservable inputs could result in material changes to the contingent consideration liabilities.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rollforward of the activity in the Company’s fair value of contingent consideration from December 31, 2020 to December 31, 2022 is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Total Contingent</w:t>
            </w:r>
          </w:p>
        </w:tc>
        <w:tc>
          <w:tcPr>
            <w:tcW w:w="0" w:type="dxa"/>
            <w:vAlign w:val="bottom"/>
          </w:tcPr>
          <w:p>
            <w:pPr>
              <w:spacing w:after="0"/>
              <w:rPr>
                <w:sz w:val="1"/>
                <w:szCs w:val="1"/>
                <w:color w:val="auto"/>
              </w:rPr>
            </w:pPr>
          </w:p>
        </w:tc>
      </w:tr>
      <w:tr>
        <w:trPr>
          <w:trHeight w:val="202"/>
        </w:trPr>
        <w:tc>
          <w:tcPr>
            <w:tcW w:w="7360" w:type="dxa"/>
            <w:vAlign w:val="bottom"/>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 xml:space="preserve">Portion </w:t>
            </w:r>
            <w:r>
              <w:rPr>
                <w:rFonts w:ascii="Arial" w:cs="Arial" w:eastAsia="Arial" w:hAnsi="Arial"/>
                <w:sz w:val="9"/>
                <w:szCs w:val="9"/>
                <w:b w:val="1"/>
                <w:bCs w:val="1"/>
                <w:color w:val="auto"/>
                <w:w w:val="93"/>
              </w:rPr>
              <w:t>(2)</w:t>
            </w:r>
          </w:p>
        </w:tc>
        <w:tc>
          <w:tcPr>
            <w:tcW w:w="140" w:type="dxa"/>
            <w:vAlign w:val="bottom"/>
          </w:tcPr>
          <w:p>
            <w:pPr>
              <w:spacing w:after="0"/>
              <w:rPr>
                <w:sz w:val="17"/>
                <w:szCs w:val="17"/>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Biocon Biologics Transaction</w:t>
            </w:r>
          </w:p>
        </w:tc>
        <w:tc>
          <w:tcPr>
            <w:tcW w:w="4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in the consolidated balance sheets.</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obligations in the consolidated balance sheets.</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Included in litigation settlements and other contingencies, net in the consolidated statements of operations.</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financial assets and liabilities other than the CCPS, any future transacted financial asset or liability will be evaluated for the fair value election.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estimated fair value of available-for-sale securities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9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860" w:type="dxa"/>
            <w:vAlign w:val="bottom"/>
          </w:tcPr>
          <w:p>
            <w:pPr>
              <w:jc w:val="right"/>
              <w:ind w:right="2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Available-for-sale fixed income investments</w:t>
            </w:r>
          </w:p>
        </w:tc>
        <w:tc>
          <w:tcPr>
            <w:tcW w:w="2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Prepaid expenses and other current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spacing w:after="0"/>
              <w:rPr>
                <w:sz w:val="21"/>
                <w:szCs w:val="21"/>
                <w:color w:val="auto"/>
              </w:rPr>
            </w:pPr>
          </w:p>
        </w:tc>
        <w:tc>
          <w:tcPr>
            <w:tcW w:w="28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6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Available-for-sale fixed income investments</w:t>
            </w:r>
          </w:p>
        </w:tc>
        <w:tc>
          <w:tcPr>
            <w:tcW w:w="2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and other current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available-for-sale fixed income investments at fair value as of December 31, 2022, were as follows: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Mature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Mature in one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Mature in five years and later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796" w:hanging="796"/>
        <w:spacing w:after="0"/>
        <w:tabs>
          <w:tab w:leader="none" w:pos="796" w:val="left"/>
        </w:tabs>
        <w:numPr>
          <w:ilvl w:val="0"/>
          <w:numId w:val="64"/>
        </w:numPr>
        <w:rPr>
          <w:rFonts w:ascii="Arial" w:cs="Arial" w:eastAsia="Arial" w:hAnsi="Arial"/>
          <w:sz w:val="15"/>
          <w:szCs w:val="15"/>
          <w:color w:val="auto"/>
        </w:rPr>
      </w:pPr>
      <w:r>
        <w:rPr>
          <w:rFonts w:ascii="Arial" w:cs="Arial" w:eastAsia="Arial" w:hAnsi="Arial"/>
          <w:sz w:val="15"/>
          <w:szCs w:val="15"/>
          <w:color w:val="auto"/>
        </w:rPr>
        <w:t>1.0</w:t>
      </w:r>
    </w:p>
    <w:p>
      <w:pPr>
        <w:spacing w:after="0" w:line="57" w:lineRule="exact"/>
        <w:rPr>
          <w:rFonts w:ascii="Arial" w:cs="Arial" w:eastAsia="Arial" w:hAnsi="Arial"/>
          <w:sz w:val="15"/>
          <w:szCs w:val="15"/>
          <w:color w:val="auto"/>
        </w:rPr>
      </w:pPr>
    </w:p>
    <w:p>
      <w:pPr>
        <w:ind w:left="696"/>
        <w:spacing w:after="0"/>
        <w:rPr>
          <w:rFonts w:ascii="Arial" w:cs="Arial" w:eastAsia="Arial" w:hAnsi="Arial"/>
          <w:sz w:val="15"/>
          <w:szCs w:val="15"/>
          <w:color w:val="auto"/>
        </w:rPr>
      </w:pPr>
      <w:r>
        <w:rPr>
          <w:rFonts w:ascii="Arial" w:cs="Arial" w:eastAsia="Arial" w:hAnsi="Arial"/>
          <w:sz w:val="16"/>
          <w:szCs w:val="16"/>
          <w:color w:val="auto"/>
        </w:rPr>
        <w:t>18.4</w:t>
      </w:r>
    </w:p>
    <w:p>
      <w:pPr>
        <w:spacing w:after="0" w:line="45" w:lineRule="exact"/>
        <w:rPr>
          <w:rFonts w:ascii="Arial" w:cs="Arial" w:eastAsia="Arial" w:hAnsi="Arial"/>
          <w:sz w:val="15"/>
          <w:szCs w:val="15"/>
          <w:color w:val="auto"/>
        </w:rPr>
      </w:pPr>
    </w:p>
    <w:p>
      <w:pPr>
        <w:ind w:left="696"/>
        <w:spacing w:after="0"/>
        <w:rPr>
          <w:rFonts w:ascii="Arial" w:cs="Arial" w:eastAsia="Arial" w:hAnsi="Arial"/>
          <w:sz w:val="15"/>
          <w:szCs w:val="15"/>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7029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8" w:lineRule="exact"/>
        <w:rPr>
          <w:sz w:val="20"/>
          <w:szCs w:val="20"/>
          <w:color w:val="auto"/>
        </w:rPr>
      </w:pPr>
    </w:p>
    <w:p>
      <w:pPr>
        <w:ind w:left="696" w:hanging="696"/>
        <w:spacing w:after="0"/>
        <w:tabs>
          <w:tab w:leader="none" w:pos="696" w:val="left"/>
        </w:tabs>
        <w:numPr>
          <w:ilvl w:val="0"/>
          <w:numId w:val="65"/>
        </w:numPr>
        <w:rPr>
          <w:rFonts w:ascii="Arial" w:cs="Arial" w:eastAsia="Arial" w:hAnsi="Arial"/>
          <w:sz w:val="16"/>
          <w:szCs w:val="16"/>
          <w:color w:val="auto"/>
        </w:rPr>
      </w:pPr>
      <w:r>
        <w:rPr>
          <w:rFonts w:ascii="Arial" w:cs="Arial" w:eastAsia="Arial" w:hAnsi="Arial"/>
          <w:sz w:val="16"/>
          <w:szCs w:val="16"/>
          <w:color w:val="auto"/>
        </w:rPr>
        <w:t>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7029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7029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4" w:space="720"/>
            <w:col w:w="1116"/>
          </w:cols>
          <w:pgMar w:left="320" w:top="125" w:right="3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The Company did not have any short-term borrowings as of December 31, 2022 and had $1.49 billion of short-term borrowings as of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2021</w:t>
            </w:r>
          </w:p>
        </w:tc>
      </w:tr>
      <w:tr>
        <w:trPr>
          <w:trHeight w:val="25"/>
        </w:trPr>
        <w:tc>
          <w:tcPr>
            <w:tcW w:w="8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 notes</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54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318.5</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Short-term borrowings</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1,493.0</w:t>
            </w:r>
          </w:p>
        </w:tc>
      </w:tr>
      <w:tr>
        <w:trPr>
          <w:trHeight w:val="20"/>
        </w:trPr>
        <w:tc>
          <w:tcPr>
            <w:tcW w:w="8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an overview of the Company’s short-term 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 and Note Securitization Facility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 $400 million Receivables Facility which expires in April 2025 and a $200 million Note Securitization Facility which expires in August 2023.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w:t>
      </w:r>
    </w:p>
    <w:p>
      <w:pPr>
        <w:spacing w:after="0" w:line="18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Borrowings outstanding under the Receivables Facility bear interest at the applicable base rate plus 0.775% and under the Note Securitization Facility at the relevant base rate plus 0.85%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 with which the Company was compliant as of December 31, 2022. As of December 31, 2022 and 2021, the Company had $474.9 million and $388.9 million, respectively, of accounts receivable balances sold to its subsidiary Mylan Securitization under the Receivables Facility.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600" w:type="dxa"/>
            <w:vAlign w:val="bottom"/>
          </w:tcPr>
          <w:p>
            <w:pPr>
              <w:jc w:val="center"/>
              <w:ind w:left="2888"/>
              <w:spacing w:after="0"/>
              <w:rPr>
                <w:sz w:val="20"/>
                <w:szCs w:val="20"/>
                <w:color w:val="auto"/>
              </w:rPr>
            </w:pPr>
            <w:r>
              <w:rPr>
                <w:rFonts w:ascii="Arial" w:cs="Arial" w:eastAsia="Arial" w:hAnsi="Arial"/>
                <w:sz w:val="14"/>
                <w:szCs w:val="14"/>
                <w:b w:val="1"/>
                <w:bCs w:val="1"/>
                <w:color w:val="auto"/>
                <w:w w:val="92"/>
              </w:rPr>
              <w:t>Interest Rate as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4600" w:type="dxa"/>
            <w:vAlign w:val="bottom"/>
          </w:tcPr>
          <w:p>
            <w:pPr>
              <w:jc w:val="center"/>
              <w:ind w:left="2868"/>
              <w:spacing w:after="0"/>
              <w:rPr>
                <w:sz w:val="20"/>
                <w:szCs w:val="20"/>
                <w:color w:val="auto"/>
              </w:rPr>
            </w:pPr>
            <w:r>
              <w:rPr>
                <w:rFonts w:ascii="Arial" w:cs="Arial" w:eastAsia="Arial" w:hAnsi="Arial"/>
                <w:sz w:val="14"/>
                <w:szCs w:val="14"/>
                <w:b w:val="1"/>
                <w:bCs w:val="1"/>
                <w:color w:val="auto"/>
                <w:w w:val="93"/>
              </w:rPr>
              <w:t>December 31, 2022</w:t>
            </w: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2022</w:t>
            </w:r>
          </w:p>
        </w:tc>
        <w:tc>
          <w:tcPr>
            <w:tcW w:w="480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p>
        </w:tc>
        <w:tc>
          <w:tcPr>
            <w:tcW w:w="3280" w:type="dxa"/>
            <w:vAlign w:val="bottom"/>
          </w:tcPr>
          <w:p>
            <w:pPr>
              <w:jc w:val="right"/>
              <w:ind w:right="30"/>
              <w:spacing w:after="0"/>
              <w:rPr>
                <w:sz w:val="20"/>
                <w:szCs w:val="20"/>
                <w:color w:val="auto"/>
              </w:rPr>
            </w:pPr>
            <w:r>
              <w:rPr>
                <w:rFonts w:ascii="Arial" w:cs="Arial" w:eastAsia="Arial" w:hAnsi="Arial"/>
                <w:sz w:val="18"/>
                <w:szCs w:val="18"/>
                <w:color w:val="auto"/>
              </w:rPr>
              <w:t>0.816 %</w:t>
            </w:r>
          </w:p>
        </w:tc>
        <w:tc>
          <w:tcPr>
            <w:tcW w:w="36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2022</w:t>
            </w:r>
          </w:p>
        </w:tc>
        <w:tc>
          <w:tcPr>
            <w:tcW w:w="4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t>
            </w:r>
          </w:p>
        </w:tc>
        <w:tc>
          <w:tcPr>
            <w:tcW w:w="3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1.125 %</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2023</w:t>
            </w:r>
          </w:p>
        </w:tc>
        <w:tc>
          <w:tcPr>
            <w:tcW w:w="4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w:t>
            </w:r>
          </w:p>
        </w:tc>
        <w:tc>
          <w:tcPr>
            <w:tcW w:w="3280" w:type="dxa"/>
            <w:vAlign w:val="bottom"/>
          </w:tcPr>
          <w:p>
            <w:pPr>
              <w:jc w:val="right"/>
              <w:ind w:right="30"/>
              <w:spacing w:after="0"/>
              <w:rPr>
                <w:sz w:val="20"/>
                <w:szCs w:val="20"/>
                <w:color w:val="auto"/>
              </w:rPr>
            </w:pPr>
            <w:r>
              <w:rPr>
                <w:rFonts w:ascii="Arial" w:cs="Arial" w:eastAsia="Arial" w:hAnsi="Arial"/>
                <w:sz w:val="18"/>
                <w:szCs w:val="18"/>
                <w:color w:val="auto"/>
              </w:rPr>
              <w:t>3.125 %</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2023</w:t>
            </w: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w:t>
            </w:r>
          </w:p>
        </w:tc>
        <w:tc>
          <w:tcPr>
            <w:tcW w:w="3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4.200 %</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financing fees</w:t>
            </w:r>
          </w:p>
        </w:tc>
        <w:tc>
          <w:tcPr>
            <w:tcW w:w="32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420" w:type="dxa"/>
            <w:vAlign w:val="bottom"/>
            <w:gridSpan w:val="2"/>
          </w:tcPr>
          <w:p>
            <w:pPr>
              <w:ind w:left="480"/>
              <w:spacing w:after="0"/>
              <w:rPr>
                <w:sz w:val="20"/>
                <w:szCs w:val="20"/>
                <w:color w:val="auto"/>
              </w:rPr>
            </w:pPr>
            <w:r>
              <w:rPr>
                <w:rFonts w:ascii="Arial" w:cs="Arial" w:eastAsia="Arial" w:hAnsi="Arial"/>
                <w:sz w:val="18"/>
                <w:szCs w:val="18"/>
                <w:color w:val="auto"/>
              </w:rPr>
              <w:t>Current portion of long-term debt</w:t>
            </w:r>
          </w:p>
        </w:tc>
        <w:tc>
          <w:tcPr>
            <w:tcW w:w="32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1,860.3</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Arial" w:cs="Arial" w:eastAsia="Arial" w:hAnsi="Arial"/>
          <w:sz w:val="18"/>
          <w:szCs w:val="18"/>
          <w:b w:val="1"/>
          <w:bCs w:val="1"/>
          <w:color w:val="auto"/>
        </w:rPr>
        <w:t>Non-current portion of long-term debt:</w:t>
      </w:r>
    </w:p>
    <w:tbl>
      <w:tblPr>
        <w:tblLayout w:type="fixed"/>
        <w:tblInd w:w="0" w:type="dxa"/>
        <w:tblCellMar>
          <w:top w:w="0" w:type="dxa"/>
          <w:left w:w="0" w:type="dxa"/>
          <w:bottom w:w="0" w:type="dxa"/>
          <w:right w:w="0" w:type="dxa"/>
        </w:tblCellMar>
      </w:tblPr>
      <w:tr>
        <w:trPr>
          <w:trHeight w:val="252"/>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2023</w:t>
            </w:r>
          </w:p>
        </w:tc>
        <w:tc>
          <w:tcPr>
            <w:tcW w:w="4540" w:type="dxa"/>
            <w:vAlign w:val="bottom"/>
            <w:shd w:val="clear" w:color="auto" w:fill="CCEEFF"/>
          </w:tcPr>
          <w:p>
            <w:pPr>
              <w:ind w:left="20"/>
              <w:spacing w:after="0" w:line="252"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3.125 %</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2023</w:t>
            </w:r>
          </w:p>
        </w:tc>
        <w:tc>
          <w:tcPr>
            <w:tcW w:w="4540" w:type="dxa"/>
            <w:vAlign w:val="bottom"/>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4.200 %</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499.6</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2024</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Senior Notes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2024</w:t>
            </w:r>
          </w:p>
        </w:tc>
        <w:tc>
          <w:tcPr>
            <w:tcW w:w="4540" w:type="dxa"/>
            <w:vAlign w:val="bottom"/>
          </w:tcPr>
          <w:p>
            <w:pPr>
              <w:ind w:left="20"/>
              <w:spacing w:after="0"/>
              <w:rPr>
                <w:sz w:val="20"/>
                <w:szCs w:val="20"/>
                <w:color w:val="auto"/>
              </w:rPr>
            </w:pPr>
            <w:r>
              <w:rPr>
                <w:rFonts w:ascii="Arial" w:cs="Arial" w:eastAsia="Arial" w:hAnsi="Arial"/>
                <w:sz w:val="18"/>
                <w:szCs w:val="18"/>
                <w:color w:val="auto"/>
              </w:rPr>
              <w:t>Euro 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1.023 %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871.6</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2025</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Senior Notes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2025</w:t>
            </w:r>
          </w:p>
        </w:tc>
        <w:tc>
          <w:tcPr>
            <w:tcW w:w="4540" w:type="dxa"/>
            <w:vAlign w:val="bottom"/>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1.650 %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763.4</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2026</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2,241.4</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2027</w:t>
            </w:r>
          </w:p>
        </w:tc>
        <w:tc>
          <w:tcPr>
            <w:tcW w:w="4540" w:type="dxa"/>
            <w:vAlign w:val="bottom"/>
          </w:tcPr>
          <w:p>
            <w:pPr>
              <w:ind w:left="20"/>
              <w:spacing w:after="0"/>
              <w:rPr>
                <w:sz w:val="20"/>
                <w:szCs w:val="20"/>
                <w:color w:val="auto"/>
              </w:rPr>
            </w:pPr>
            <w:r>
              <w:rPr>
                <w:rFonts w:ascii="Arial" w:cs="Arial" w:eastAsia="Arial" w:hAnsi="Arial"/>
                <w:sz w:val="18"/>
                <w:szCs w:val="18"/>
                <w:color w:val="auto"/>
              </w:rPr>
              <w:t>Euro 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1.362 %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1,013.0</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2027</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2028</w:t>
            </w:r>
          </w:p>
        </w:tc>
        <w:tc>
          <w:tcPr>
            <w:tcW w:w="4540" w:type="dxa"/>
            <w:vAlign w:val="bottom"/>
          </w:tcPr>
          <w:p>
            <w:pPr>
              <w:ind w:left="20"/>
              <w:spacing w:after="0"/>
              <w:rPr>
                <w:sz w:val="20"/>
                <w:szCs w:val="20"/>
                <w:color w:val="auto"/>
              </w:rPr>
            </w:pPr>
            <w:r>
              <w:rPr>
                <w:rFonts w:ascii="Arial" w:cs="Arial" w:eastAsia="Arial" w:hAnsi="Arial"/>
                <w:sz w:val="18"/>
                <w:szCs w:val="18"/>
                <w:color w:val="auto"/>
              </w:rPr>
              <w:t>Euro 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3.125 %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847.4</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2028</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2030</w:t>
            </w:r>
          </w:p>
        </w:tc>
        <w:tc>
          <w:tcPr>
            <w:tcW w:w="4540" w:type="dxa"/>
            <w:vAlign w:val="bottom"/>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2.700 %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1,520.5</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2032</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Senior Notes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1.908 %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1,546.6</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2040</w:t>
            </w:r>
          </w:p>
        </w:tc>
        <w:tc>
          <w:tcPr>
            <w:tcW w:w="4540" w:type="dxa"/>
            <w:vAlign w:val="bottom"/>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3.850 %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1,657.1</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2043</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2046</w:t>
            </w:r>
          </w:p>
        </w:tc>
        <w:tc>
          <w:tcPr>
            <w:tcW w:w="4540" w:type="dxa"/>
            <w:vAlign w:val="bottom"/>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5.250 %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2048</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2050</w:t>
            </w:r>
          </w:p>
        </w:tc>
        <w:tc>
          <w:tcPr>
            <w:tcW w:w="4540" w:type="dxa"/>
            <w:vAlign w:val="bottom"/>
          </w:tcPr>
          <w:p>
            <w:pPr>
              <w:ind w:left="20"/>
              <w:spacing w:after="0"/>
              <w:rPr>
                <w:sz w:val="20"/>
                <w:szCs w:val="20"/>
                <w:color w:val="auto"/>
              </w:rPr>
            </w:pPr>
            <w:r>
              <w:rPr>
                <w:rFonts w:ascii="Arial" w:cs="Arial" w:eastAsia="Arial" w:hAnsi="Arial"/>
                <w:sz w:val="18"/>
                <w:szCs w:val="18"/>
                <w:color w:val="auto"/>
              </w:rPr>
              <w:t>Senior Notes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4.000 %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2,205.1</w:t>
            </w:r>
          </w:p>
        </w:tc>
      </w:tr>
      <w:tr>
        <w:trPr>
          <w:trHeight w:val="230"/>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YEN Term Loan Facility</w:t>
            </w:r>
          </w:p>
        </w:tc>
        <w:tc>
          <w:tcPr>
            <w:tcW w:w="38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Variable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r>
      <w:tr>
        <w:trPr>
          <w:trHeight w:val="230"/>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financing fees</w:t>
            </w:r>
          </w:p>
        </w:tc>
        <w:tc>
          <w:tcPr>
            <w:tcW w:w="3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5160" w:type="dxa"/>
            <w:vAlign w:val="bottom"/>
            <w:gridSpan w:val="2"/>
          </w:tcPr>
          <w:p>
            <w:pPr>
              <w:ind w:left="480"/>
              <w:spacing w:after="0"/>
              <w:rPr>
                <w:sz w:val="20"/>
                <w:szCs w:val="20"/>
                <w:color w:val="auto"/>
              </w:rPr>
            </w:pPr>
            <w:r>
              <w:rPr>
                <w:rFonts w:ascii="Arial" w:cs="Arial" w:eastAsia="Arial" w:hAnsi="Arial"/>
                <w:sz w:val="18"/>
                <w:szCs w:val="18"/>
                <w:color w:val="auto"/>
              </w:rPr>
              <w:t>Long-term debt</w:t>
            </w:r>
          </w:p>
        </w:tc>
        <w:tc>
          <w:tcPr>
            <w:tcW w:w="35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19,717.1</w:t>
            </w:r>
          </w:p>
        </w:tc>
      </w:tr>
      <w:tr>
        <w:trPr>
          <w:trHeight w:val="20"/>
        </w:trPr>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The 2022 Euro Senior Notes were repaid at maturity in the second quarter of 2022.</w:t>
      </w:r>
    </w:p>
    <w:p>
      <w:pPr>
        <w:spacing w:after="0" w:line="1"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The 2022 Senior Notes were repaid at maturity in the second quarter of 2022.</w:t>
      </w:r>
    </w:p>
    <w:p>
      <w:pPr>
        <w:spacing w:after="0" w:line="2" w:lineRule="exact"/>
        <w:rPr>
          <w:rFonts w:ascii="Arial" w:cs="Arial" w:eastAsia="Arial" w:hAnsi="Arial"/>
          <w:sz w:val="23"/>
          <w:szCs w:val="23"/>
          <w:color w:val="auto"/>
          <w:vertAlign w:val="superscript"/>
        </w:rPr>
      </w:pPr>
    </w:p>
    <w:p>
      <w:pPr>
        <w:ind w:left="660" w:hanging="328"/>
        <w:spacing w:after="0" w:line="219" w:lineRule="auto"/>
        <w:tabs>
          <w:tab w:leader="none" w:pos="582"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spacing w:after="0" w:line="6" w:lineRule="exact"/>
        <w:rPr>
          <w:sz w:val="20"/>
          <w:szCs w:val="20"/>
          <w:color w:val="auto"/>
        </w:rPr>
      </w:pPr>
    </w:p>
    <w:p>
      <w:pPr>
        <w:ind w:left="620" w:hanging="288"/>
        <w:spacing w:after="0"/>
        <w:tabs>
          <w:tab w:leader="none" w:pos="62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Mylan Inc.</w:t>
      </w:r>
    </w:p>
    <w:p>
      <w:pPr>
        <w:ind w:left="600" w:hanging="268"/>
        <w:spacing w:after="0" w:line="232" w:lineRule="auto"/>
        <w:tabs>
          <w:tab w:leader="none" w:pos="600"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Instrument was originally issued by Mylan N.V.; now held by Utah Acquisition Sub Inc.</w:t>
      </w:r>
    </w:p>
    <w:p>
      <w:pPr>
        <w:spacing w:after="0" w:line="56"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Viatris Inc.</w:t>
      </w:r>
    </w:p>
    <w:p>
      <w:pPr>
        <w:spacing w:after="0" w:line="56" w:lineRule="exact"/>
        <w:rPr>
          <w:rFonts w:ascii="Arial" w:cs="Arial" w:eastAsia="Arial" w:hAnsi="Arial"/>
          <w:sz w:val="23"/>
          <w:szCs w:val="23"/>
          <w:color w:val="auto"/>
          <w:vertAlign w:val="superscript"/>
        </w:rPr>
      </w:pPr>
    </w:p>
    <w:p>
      <w:pPr>
        <w:ind w:left="720" w:hanging="388"/>
        <w:spacing w:after="0" w:line="194" w:lineRule="auto"/>
        <w:tabs>
          <w:tab w:leader="none" w:pos="720"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Upjohn Finance B.V.</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Upjohn Senior Notes</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In connection with the Combination, in June 2020, Viatris and Upjohn Finance B.V. completed privately placed debt offerings of $7.45 billion aggregate principal amount of the Unregistered Upjohn U.S. Dollar Notes and €3.60 billion aggregate principal amount of the Upjohn Euro Notes, respectively.</w:t>
      </w:r>
    </w:p>
    <w:p>
      <w:pPr>
        <w:spacing w:after="0" w:line="18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6"/>
          <w:szCs w:val="16"/>
          <w:color w:val="auto"/>
        </w:rPr>
        <w:t>The Unregistered Upjohn U.S. Dollar Notes were issued pursuant to an indenture dated June 22, 2020 in a private offering exempt from the registration requirements of the Securities. In October 2021, substantially all of the then-outstanding $7.45 billion aggregate principal amount of Unregistered Upjohn U.S. Dollar Notes were exchanged for Registered Upjohn Notes registered under the Securities Act in the same aggregate principal amount and with terms substantially identical in all material respects with the corresponding series of Unregistered Upjohn U.S. Dollar Notes.</w:t>
      </w:r>
    </w:p>
    <w:p>
      <w:pPr>
        <w:spacing w:after="0" w:line="1" w:lineRule="exact"/>
        <w:rPr>
          <w:sz w:val="20"/>
          <w:szCs w:val="20"/>
          <w:color w:val="auto"/>
        </w:rPr>
      </w:pPr>
    </w:p>
    <w:p>
      <w:pPr>
        <w:ind w:right="120" w:firstLine="648"/>
        <w:spacing w:after="0" w:line="260" w:lineRule="auto"/>
        <w:rPr>
          <w:sz w:val="20"/>
          <w:szCs w:val="20"/>
          <w:color w:val="auto"/>
        </w:rPr>
      </w:pPr>
      <w:r>
        <w:rPr>
          <w:rFonts w:ascii="Arial" w:cs="Arial" w:eastAsia="Arial" w:hAnsi="Arial"/>
          <w:sz w:val="18"/>
          <w:szCs w:val="18"/>
          <w:color w:val="auto"/>
        </w:rPr>
        <w:t>The Upjohn Euro Notes were issued pursuant to an indenture dated June 23, 2020 in a private offering exempt from the registration requirements of the Securities Act. Viatris and Upjohn Finance B.V. are U.S. dollar functional entities.</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net proceeds from the offerings of the Upjohn Senior Notes, together with the proceeds from the $600 million USD Term Loan Facility, were utilized to fund the $12 billion cash payment by Viatris to Pfizer as partial consideration for Pfizer’s contribution of the Upjohn Business to Viatris and related transaction fees and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and Guarantees of Senior Unsecured Notes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Viatris Inc. is the issuer of the Upjohn U.S. Dollar Notes, which are fully and unconditionally guaranteed on a senior unsecured basis by Mylan Inc., Mylan II B.V. and Utah Acquisition Sub Inc.</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Upjohn Finance B.V. is the issuer of the Upjohn Euro Notes, which are fully and unconditionally guaranteed on a senior unsecured basis by Viatris Inc., Mylan Inc., Mylan II B.V. and Utah Acquisition Sub Inc.</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Following the Combination, Utah Acquisition Sub Inc. is the issuer of the Utah U.S. Dollar Notes and the Utah Euro Notes, which are each fully and unconditionally guaranteed on a senior unsecured basis by Mylan Inc., Viatris Inc. and Mylan II B.V.</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Mylan Inc. is the issuer of the Mylan Inc. U.S. Dollar Notes and the Mylan Inc. Euro Notes, which are each fully and unconditionally guaranteed on a senior unsecured basis by Mylan II B.V., Viatris Inc. and Utah Acquisition Sub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YEN Term Loan Facility and 2021 Revolving Facility</w:t>
      </w:r>
    </w:p>
    <w:p>
      <w:pPr>
        <w:spacing w:after="0" w:line="225"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In July 2021, Viatris entered into (i) the ¥40 billion YEN Term Loan Facility and (ii) the $4.0 billion 2021 Revolving Facility with various syndicates of banks. The YEN Term Loan Facility and the 2021 Revolving Facility will mature in July 2026 and contain customary affirmative covenants for facilities of this type, including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4.25 to 1.00 for each quarter ending after June 30, 2021 through and including June 30, 2022, 4.0 to 1.00 for each quarter ending after June 30, 2022 through and including December 31, 2022 and 3.75 to</w:t>
      </w:r>
    </w:p>
    <w:p>
      <w:pPr>
        <w:spacing w:after="0" w:line="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1.00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 Up to $1.65 billion of the 2021 Revolving Facility will be available to repay outstanding borrowings under our Commercial Paper Program if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At December 31, 2022 and 2021, the aggregate fair value of the Company’s outstanding notes was approximately $15.36 billion and $22.01 billion, respectively. The fair values of the outstanding notes were valued at quoted market prices from broker or dealer quotations and were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December 31, 2022 were as follows for each of the periods ending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86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10,091</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12. Comprehensive (Loss) Earnings</w:t>
            </w: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6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40" w:type="dxa"/>
            <w:vAlign w:val="bottom"/>
            <w:gridSpan w:val="2"/>
          </w:tcPr>
          <w:p>
            <w:pPr>
              <w:ind w:left="660"/>
              <w:spacing w:after="0"/>
              <w:rPr>
                <w:sz w:val="20"/>
                <w:szCs w:val="20"/>
                <w:color w:val="auto"/>
              </w:rPr>
            </w:pPr>
            <w:r>
              <w:rPr>
                <w:rFonts w:ascii="Arial" w:cs="Arial" w:eastAsia="Arial" w:hAnsi="Arial"/>
                <w:sz w:val="18"/>
                <w:szCs w:val="18"/>
                <w:color w:val="auto"/>
                <w:w w:val="90"/>
              </w:rPr>
              <w:t>Accumulated other comprehensive loss, as reflected in the consolidated balance sheets, is comprised of the following: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2022</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6"/>
        </w:trPr>
        <w:tc>
          <w:tcPr>
            <w:tcW w:w="86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Net unrealized (loss) on marketable securities, net of tax</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and prior service cost related to defined benefit plans, net of tax</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Net unrecognized (loss)/gain on derivatives in cash flow hedging relationships, net of tax</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on derivatives in net investment hedging relationships, net of tax</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(3,385.9)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accumulated other comprehensive (loss) earnings, before tax,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b w:val="1"/>
                <w:bCs w:val="1"/>
                <w:color w:val="auto"/>
                <w:w w:val="94"/>
              </w:rPr>
              <w:t>Year Ended December 31, 2022</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6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w w:val="95"/>
              </w:rPr>
              <w:t>Gains and Losses on Derivatives in Cash</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on Net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8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80" w:type="dxa"/>
            <w:vAlign w:val="bottom"/>
            <w:gridSpan w:val="7"/>
          </w:tcPr>
          <w:p>
            <w:pPr>
              <w:ind w:left="420"/>
              <w:spacing w:after="0"/>
              <w:rPr>
                <w:sz w:val="20"/>
                <w:szCs w:val="20"/>
                <w:color w:val="auto"/>
              </w:rPr>
            </w:pPr>
            <w:r>
              <w:rPr>
                <w:rFonts w:ascii="Arial" w:cs="Arial" w:eastAsia="Arial" w:hAnsi="Arial"/>
                <w:sz w:val="14"/>
                <w:szCs w:val="14"/>
                <w:b w:val="1"/>
                <w:bCs w:val="1"/>
                <w:color w:val="auto"/>
              </w:rPr>
              <w:t>Flow Hedging Relationships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Adjustment</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70"/>
              <w:spacing w:after="0"/>
              <w:rPr>
                <w:sz w:val="20"/>
                <w:szCs w:val="20"/>
                <w:color w:val="auto"/>
              </w:rPr>
            </w:pPr>
            <w:r>
              <w:rPr>
                <w:rFonts w:ascii="Arial" w:cs="Arial" w:eastAsia="Arial" w:hAnsi="Arial"/>
                <w:sz w:val="14"/>
                <w:szCs w:val="14"/>
                <w:b w:val="1"/>
                <w:bCs w:val="1"/>
                <w:color w:val="auto"/>
                <w:w w:val="90"/>
              </w:rPr>
              <w:t>Interest</w:t>
            </w: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20" w:type="dxa"/>
            <w:vAlign w:val="bottom"/>
          </w:tcPr>
          <w:p>
            <w:pPr>
              <w:spacing w:after="0"/>
              <w:rPr>
                <w:sz w:val="12"/>
                <w:szCs w:val="12"/>
                <w:color w:val="auto"/>
              </w:rPr>
            </w:pPr>
          </w:p>
        </w:tc>
        <w:tc>
          <w:tcPr>
            <w:tcW w:w="10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70"/>
              <w:spacing w:after="0" w:line="139" w:lineRule="exact"/>
              <w:rPr>
                <w:sz w:val="20"/>
                <w:szCs w:val="20"/>
                <w:color w:val="auto"/>
              </w:rPr>
            </w:pPr>
            <w:r>
              <w:rPr>
                <w:rFonts w:ascii="Arial" w:cs="Arial" w:eastAsia="Arial" w:hAnsi="Arial"/>
                <w:sz w:val="14"/>
                <w:szCs w:val="14"/>
                <w:b w:val="1"/>
                <w:bCs w:val="1"/>
                <w:color w:val="auto"/>
                <w:w w:val="98"/>
              </w:rPr>
              <w:t>Rate</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85"/>
              </w:rPr>
              <w:t>Swaps</w:t>
            </w:r>
          </w:p>
        </w:tc>
        <w:tc>
          <w:tcPr>
            <w:tcW w:w="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Balance at December 31, 2021, net of tax</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Arial" w:cs="Arial" w:eastAsia="Arial" w:hAnsi="Arial"/>
                <w:sz w:val="18"/>
                <w:szCs w:val="18"/>
                <w:color w:val="auto"/>
                <w:w w:val="97"/>
              </w:rPr>
              <w:t>Other comprehensive earnings (loss)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Amounts reclassified from accumulated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other comprehensive earnings (loss),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480"/>
              <w:spacing w:after="0" w:line="176" w:lineRule="exact"/>
              <w:rPr>
                <w:sz w:val="20"/>
                <w:szCs w:val="20"/>
                <w:color w:val="auto"/>
              </w:rPr>
            </w:pPr>
            <w:r>
              <w:rPr>
                <w:rFonts w:ascii="Arial" w:cs="Arial" w:eastAsia="Arial" w:hAnsi="Arial"/>
                <w:sz w:val="18"/>
                <w:szCs w:val="18"/>
                <w:color w:val="auto"/>
                <w:w w:val="96"/>
              </w:rPr>
              <w:t>Gain on foreign exchange forward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900" w:type="dxa"/>
            <w:vAlign w:val="bottom"/>
          </w:tcPr>
          <w:p>
            <w:pPr>
              <w:ind w:left="440"/>
              <w:spacing w:after="0"/>
              <w:rPr>
                <w:sz w:val="20"/>
                <w:szCs w:val="20"/>
                <w:color w:val="auto"/>
              </w:rPr>
            </w:pPr>
            <w:r>
              <w:rPr>
                <w:rFonts w:ascii="Arial" w:cs="Arial" w:eastAsia="Arial" w:hAnsi="Arial"/>
                <w:sz w:val="18"/>
                <w:szCs w:val="18"/>
                <w:color w:val="auto"/>
                <w:w w:val="93"/>
              </w:rPr>
              <w:t>(89.2)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Loss on interest rate swaps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classified as cash flow hedges,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interest expense</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3120" w:type="dxa"/>
            <w:vAlign w:val="bottom"/>
          </w:tcPr>
          <w:p>
            <w:pPr>
              <w:ind w:left="480"/>
              <w:spacing w:after="0" w:line="176" w:lineRule="exact"/>
              <w:rPr>
                <w:sz w:val="20"/>
                <w:szCs w:val="20"/>
                <w:color w:val="auto"/>
              </w:rPr>
            </w:pPr>
            <w:r>
              <w:rPr>
                <w:rFonts w:ascii="Arial" w:cs="Arial" w:eastAsia="Arial" w:hAnsi="Arial"/>
                <w:sz w:val="18"/>
                <w:szCs w:val="18"/>
                <w:color w:val="auto"/>
                <w:w w:val="96"/>
              </w:rPr>
              <w:t>Amortization of prior service costs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55"/>
        </w:trPr>
        <w:tc>
          <w:tcPr>
            <w:tcW w:w="3120" w:type="dxa"/>
            <w:vAlign w:val="bottom"/>
          </w:tcPr>
          <w:p>
            <w:pPr>
              <w:ind w:left="220"/>
              <w:spacing w:after="0" w:line="156" w:lineRule="exact"/>
              <w:rPr>
                <w:sz w:val="20"/>
                <w:szCs w:val="20"/>
                <w:color w:val="auto"/>
              </w:rPr>
            </w:pPr>
            <w:r>
              <w:rPr>
                <w:rFonts w:ascii="Arial" w:cs="Arial" w:eastAsia="Arial" w:hAnsi="Arial"/>
                <w:sz w:val="18"/>
                <w:szCs w:val="18"/>
                <w:color w:val="auto"/>
              </w:rPr>
              <w:t>Net other comprehensive earnings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Arial" w:cs="Arial" w:eastAsia="Arial" w:hAnsi="Arial"/>
                <w:sz w:val="18"/>
                <w:szCs w:val="18"/>
                <w:color w:val="auto"/>
              </w:rPr>
              <w:t>(loss), before tax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w w:val="92"/>
              </w:rPr>
              <w:t>Balance at December 31, 2022, net of tax</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b w:val="1"/>
                <w:bCs w:val="1"/>
                <w:color w:val="auto"/>
                <w:w w:val="94"/>
              </w:rPr>
              <w:t>Year Ended December 31, 2021</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6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w w:val="95"/>
              </w:rPr>
              <w:t>Gains and Losses on Derivatives in Cash</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on Net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8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80" w:type="dxa"/>
            <w:vAlign w:val="bottom"/>
            <w:gridSpan w:val="7"/>
          </w:tcPr>
          <w:p>
            <w:pPr>
              <w:ind w:left="420"/>
              <w:spacing w:after="0"/>
              <w:rPr>
                <w:sz w:val="20"/>
                <w:szCs w:val="20"/>
                <w:color w:val="auto"/>
              </w:rPr>
            </w:pPr>
            <w:r>
              <w:rPr>
                <w:rFonts w:ascii="Arial" w:cs="Arial" w:eastAsia="Arial" w:hAnsi="Arial"/>
                <w:sz w:val="14"/>
                <w:szCs w:val="14"/>
                <w:b w:val="1"/>
                <w:bCs w:val="1"/>
                <w:color w:val="auto"/>
              </w:rPr>
              <w:t>Flow Hedging Relationships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Adjustment</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70"/>
              <w:spacing w:after="0"/>
              <w:rPr>
                <w:sz w:val="20"/>
                <w:szCs w:val="20"/>
                <w:color w:val="auto"/>
              </w:rPr>
            </w:pPr>
            <w:r>
              <w:rPr>
                <w:rFonts w:ascii="Arial" w:cs="Arial" w:eastAsia="Arial" w:hAnsi="Arial"/>
                <w:sz w:val="14"/>
                <w:szCs w:val="14"/>
                <w:b w:val="1"/>
                <w:bCs w:val="1"/>
                <w:color w:val="auto"/>
                <w:w w:val="90"/>
              </w:rPr>
              <w:t>Interest</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10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70"/>
              <w:spacing w:after="0" w:line="149" w:lineRule="exact"/>
              <w:rPr>
                <w:sz w:val="20"/>
                <w:szCs w:val="20"/>
                <w:color w:val="auto"/>
              </w:rPr>
            </w:pPr>
            <w:r>
              <w:rPr>
                <w:rFonts w:ascii="Arial" w:cs="Arial" w:eastAsia="Arial" w:hAnsi="Arial"/>
                <w:sz w:val="14"/>
                <w:szCs w:val="14"/>
                <w:b w:val="1"/>
                <w:bCs w:val="1"/>
                <w:color w:val="auto"/>
                <w:w w:val="98"/>
              </w:rPr>
              <w:t>Rate</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85"/>
              </w:rPr>
              <w:t>Swaps</w:t>
            </w: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Balance at December 31, 2020, net of tax</w:t>
            </w: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Arial" w:cs="Arial" w:eastAsia="Arial" w:hAnsi="Arial"/>
                <w:sz w:val="18"/>
                <w:szCs w:val="18"/>
                <w:color w:val="auto"/>
                <w:w w:val="97"/>
              </w:rPr>
              <w:t>Other comprehensive earnings (loss)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Amounts reclassified from accumulated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7"/>
              </w:rPr>
              <w:t>other comprehensive earnings (loss),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80"/>
              <w:spacing w:after="0" w:line="176" w:lineRule="exact"/>
              <w:rPr>
                <w:sz w:val="20"/>
                <w:szCs w:val="20"/>
                <w:color w:val="auto"/>
              </w:rPr>
            </w:pPr>
            <w:r>
              <w:rPr>
                <w:rFonts w:ascii="Arial" w:cs="Arial" w:eastAsia="Arial" w:hAnsi="Arial"/>
                <w:sz w:val="18"/>
                <w:szCs w:val="18"/>
                <w:color w:val="auto"/>
                <w:w w:val="96"/>
              </w:rPr>
              <w:t>Gain on foreign exchange forward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480"/>
              <w:spacing w:after="0" w:line="189" w:lineRule="exact"/>
              <w:rPr>
                <w:sz w:val="20"/>
                <w:szCs w:val="20"/>
                <w:color w:val="auto"/>
              </w:rPr>
            </w:pPr>
            <w:r>
              <w:rPr>
                <w:rFonts w:ascii="Arial" w:cs="Arial" w:eastAsia="Arial" w:hAnsi="Arial"/>
                <w:sz w:val="18"/>
                <w:szCs w:val="18"/>
                <w:color w:val="auto"/>
              </w:rPr>
              <w:t>contracts classified as cash flow</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900" w:type="dxa"/>
            <w:vAlign w:val="bottom"/>
          </w:tcPr>
          <w:p>
            <w:pPr>
              <w:ind w:left="440"/>
              <w:spacing w:after="0"/>
              <w:rPr>
                <w:sz w:val="20"/>
                <w:szCs w:val="20"/>
                <w:color w:val="auto"/>
              </w:rPr>
            </w:pPr>
            <w:r>
              <w:rPr>
                <w:rFonts w:ascii="Arial" w:cs="Arial" w:eastAsia="Arial" w:hAnsi="Arial"/>
                <w:sz w:val="18"/>
                <w:szCs w:val="18"/>
                <w:color w:val="auto"/>
                <w:w w:val="93"/>
              </w:rPr>
              <w:t>(30.9)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Loss on interest rate swaps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classified as cash flow hedges,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interest expense</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75"/>
        </w:trPr>
        <w:tc>
          <w:tcPr>
            <w:tcW w:w="3120" w:type="dxa"/>
            <w:vAlign w:val="bottom"/>
          </w:tcPr>
          <w:p>
            <w:pPr>
              <w:ind w:left="480"/>
              <w:spacing w:after="0" w:line="176" w:lineRule="exact"/>
              <w:rPr>
                <w:sz w:val="20"/>
                <w:szCs w:val="20"/>
                <w:color w:val="auto"/>
              </w:rPr>
            </w:pPr>
            <w:r>
              <w:rPr>
                <w:rFonts w:ascii="Arial" w:cs="Arial" w:eastAsia="Arial" w:hAnsi="Arial"/>
                <w:sz w:val="18"/>
                <w:szCs w:val="18"/>
                <w:color w:val="auto"/>
                <w:w w:val="96"/>
              </w:rPr>
              <w:t>Amortization of prior service costs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Arial" w:cs="Arial" w:eastAsia="Arial" w:hAnsi="Arial"/>
                <w:sz w:val="18"/>
                <w:szCs w:val="18"/>
                <w:color w:val="auto"/>
              </w:rPr>
              <w:t>Net other comprehensive earnings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Arial" w:cs="Arial" w:eastAsia="Arial" w:hAnsi="Arial"/>
                <w:sz w:val="18"/>
                <w:szCs w:val="18"/>
                <w:color w:val="auto"/>
              </w:rPr>
              <w:t>(loss), before tax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w w:val="92"/>
              </w:rPr>
              <w:t>Balance at December 31, 2021, net of tax</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b w:val="1"/>
                <w:bCs w:val="1"/>
                <w:color w:val="auto"/>
                <w:w w:val="94"/>
              </w:rPr>
              <w:t>Year Ended December 31, 2020</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68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on Net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8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Flow Hedging Relationships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Adjustment</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70"/>
              <w:spacing w:after="0"/>
              <w:rPr>
                <w:sz w:val="20"/>
                <w:szCs w:val="20"/>
                <w:color w:val="auto"/>
              </w:rPr>
            </w:pPr>
            <w:r>
              <w:rPr>
                <w:rFonts w:ascii="Arial" w:cs="Arial" w:eastAsia="Arial" w:hAnsi="Arial"/>
                <w:sz w:val="14"/>
                <w:szCs w:val="14"/>
                <w:b w:val="1"/>
                <w:bCs w:val="1"/>
                <w:color w:val="auto"/>
                <w:w w:val="90"/>
              </w:rPr>
              <w:t>Interest</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70"/>
              <w:spacing w:after="0" w:line="149" w:lineRule="exact"/>
              <w:rPr>
                <w:sz w:val="20"/>
                <w:szCs w:val="20"/>
                <w:color w:val="auto"/>
              </w:rPr>
            </w:pPr>
            <w:r>
              <w:rPr>
                <w:rFonts w:ascii="Arial" w:cs="Arial" w:eastAsia="Arial" w:hAnsi="Arial"/>
                <w:sz w:val="14"/>
                <w:szCs w:val="14"/>
                <w:b w:val="1"/>
                <w:bCs w:val="1"/>
                <w:color w:val="auto"/>
                <w:w w:val="98"/>
              </w:rPr>
              <w:t>Rate</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85"/>
              </w:rPr>
              <w:t>Swaps</w:t>
            </w: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Balance at December 31, 2019, net of tax</w:t>
            </w: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w:t>
            </w: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Arial" w:cs="Arial" w:eastAsia="Arial" w:hAnsi="Arial"/>
                <w:sz w:val="18"/>
                <w:szCs w:val="18"/>
                <w:color w:val="auto"/>
                <w:w w:val="97"/>
              </w:rPr>
              <w:t>Other comprehensive (loss) earnings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914.8</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Amounts reclassified from accumulated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7"/>
              </w:rPr>
              <w:t>other comprehensive (loss) earnings,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80"/>
              <w:spacing w:after="0" w:line="176" w:lineRule="exact"/>
              <w:rPr>
                <w:sz w:val="20"/>
                <w:szCs w:val="20"/>
                <w:color w:val="auto"/>
              </w:rPr>
            </w:pPr>
            <w:r>
              <w:rPr>
                <w:rFonts w:ascii="Arial" w:cs="Arial" w:eastAsia="Arial" w:hAnsi="Arial"/>
                <w:sz w:val="18"/>
                <w:szCs w:val="18"/>
                <w:color w:val="auto"/>
                <w:w w:val="96"/>
              </w:rPr>
              <w:t>Gain on foreign exchange forward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480"/>
              <w:spacing w:after="0" w:line="189" w:lineRule="exact"/>
              <w:rPr>
                <w:sz w:val="20"/>
                <w:szCs w:val="20"/>
                <w:color w:val="auto"/>
              </w:rPr>
            </w:pPr>
            <w:r>
              <w:rPr>
                <w:rFonts w:ascii="Arial" w:cs="Arial" w:eastAsia="Arial" w:hAnsi="Arial"/>
                <w:sz w:val="18"/>
                <w:szCs w:val="18"/>
                <w:color w:val="auto"/>
              </w:rPr>
              <w:t>contracts classified as cash flow</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Loss on interest rate swaps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classified as cash flow hedges,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interest expense</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5"/>
        </w:trPr>
        <w:tc>
          <w:tcPr>
            <w:tcW w:w="3120" w:type="dxa"/>
            <w:vAlign w:val="bottom"/>
          </w:tcPr>
          <w:p>
            <w:pPr>
              <w:ind w:left="480"/>
              <w:spacing w:after="0" w:line="176" w:lineRule="exact"/>
              <w:rPr>
                <w:sz w:val="20"/>
                <w:szCs w:val="20"/>
                <w:color w:val="auto"/>
              </w:rPr>
            </w:pPr>
            <w:r>
              <w:rPr>
                <w:rFonts w:ascii="Arial" w:cs="Arial" w:eastAsia="Arial" w:hAnsi="Arial"/>
                <w:sz w:val="18"/>
                <w:szCs w:val="18"/>
                <w:color w:val="auto"/>
                <w:w w:val="96"/>
              </w:rPr>
              <w:t>Amortization of prior service costs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Arial" w:cs="Arial" w:eastAsia="Arial" w:hAnsi="Arial"/>
                <w:sz w:val="18"/>
                <w:szCs w:val="18"/>
                <w:color w:val="auto"/>
              </w:rPr>
              <w:t>Net other comprehensive (loss)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Arial" w:cs="Arial" w:eastAsia="Arial" w:hAnsi="Arial"/>
                <w:sz w:val="18"/>
                <w:szCs w:val="18"/>
                <w:color w:val="auto"/>
              </w:rPr>
              <w:t>earnings, before tax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w w:val="92"/>
              </w:rPr>
              <w:t>Balance at December 31, 2020, net of tax</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(benefit) consisted of the following components: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earnings (loss)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all periods presented, the allocation of earnings before income taxes between U.S. and non-U.S. operations includes intercompany interest allocations between certain domestic and foreign subsidiaries. These amounts are eliminated on a consolidated basis.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Temporary differences and carry-forwards that result in deferred tax assets and liabilities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8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271.3</w:t>
            </w: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reserves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Accounts receivable allowances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425.9</w:t>
            </w: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Tax credit and loss carry-forwards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1,256.0</w:t>
            </w: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29"/>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r>
      <w:tr>
        <w:trPr>
          <w:trHeight w:val="223"/>
        </w:trPr>
        <w:tc>
          <w:tcPr>
            <w:tcW w:w="8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2,889.5</w:t>
            </w:r>
          </w:p>
        </w:tc>
      </w:tr>
      <w:tr>
        <w:trPr>
          <w:trHeight w:val="229"/>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w:t>
            </w:r>
          </w:p>
        </w:tc>
      </w:tr>
      <w:tr>
        <w:trPr>
          <w:trHeight w:val="223"/>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r>
      <w:tr>
        <w:trPr>
          <w:trHeight w:val="209"/>
        </w:trPr>
        <w:tc>
          <w:tcPr>
            <w:tcW w:w="86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Plant and equipment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and goodwill</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3,468.3</w:t>
            </w:r>
          </w:p>
        </w:tc>
      </w:tr>
      <w:tr>
        <w:trPr>
          <w:trHeight w:val="229"/>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3,591.4</w:t>
            </w: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Deferred tax liabilities, net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(1,506.1)</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w:t>
            </w: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those foreign subsidiaries whose investments are permanent in duration, income and foreign withholding taxes have not been provided on the unremitted earnings of those subsidiaries. This amount may become taxable upon a repatriation of assets from the subsidiary or a sale or liquidation of the subsidiary. The amount of such unremitted earnings is approximately $2.6 billion at December 31, 2022. Determination of the amount of any unrecognized deferred income tax liability on these unremitted earnings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effective tax rate from continuing operations differs from the applicable United States statutory federal income tax rate of 21.0%, due to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120" w:type="dxa"/>
            <w:vAlign w:val="bottom"/>
            <w:gridSpan w:val="5"/>
          </w:tcPr>
          <w:p>
            <w:pPr>
              <w:ind w:left="128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70"/>
        </w:trPr>
        <w:tc>
          <w:tcPr>
            <w:tcW w:w="70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Clean energy and research credits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Foreign rate differential</w:t>
            </w: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Expiration of attributes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130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19"/>
                <w:szCs w:val="19"/>
                <w:color w:val="auto"/>
              </w:rPr>
            </w:pP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income taxes and credits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Tax settlements and resolution of certain tax positions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the Combination and divestitures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Incremental U.S. tax on foreign earnings</w:t>
            </w: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Deferred tax impact of tax law changes</w:t>
            </w:r>
          </w:p>
        </w:tc>
        <w:tc>
          <w:tcPr>
            <w:tcW w:w="130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Withholding taxes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Waived deductions under IRC § 59A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items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r>
      <w:tr>
        <w:trPr>
          <w:trHeight w:val="20"/>
        </w:trPr>
        <w:tc>
          <w:tcPr>
            <w:tcW w:w="7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In all years, our effective tax rate is impacted by the jurisdictional location of earnings and the corresponding tax rates in those jurisdictions. Subsequent to the Combination, the Company realizes benefits from lower tax rates in Singapore and Puerto Rico due to manufacturing and other incentives.</w:t>
      </w:r>
    </w:p>
    <w:p>
      <w:pPr>
        <w:spacing w:after="0" w:line="18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Prior to the Combination, Mylan was a U.K. tax resident, with its Corporate seat in the Netherlands. As of the date of the Combination, Viatris is domiciled in the U.S., and the applicable income tax rate to Viatris is the U.S. statutory federal income tax rate of 21.0%. The effective tax rate reconciliations of the years ended December 31, 2021 and December 31, 2020 have been recast to reflect this change.</w:t>
      </w:r>
    </w:p>
    <w:p>
      <w:pPr>
        <w:spacing w:after="0" w:line="16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the year ended December 31, 2022, a Puerto Rico net operating loss, which was recorded in conjunction with the Combination, expired unutilized resulting in a $274.4 million write-off of deferred tax asset and corresponding valuation allowance. The expiration and valuation allowance impacts are reflected in the above table.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w:t>
      </w:r>
    </w:p>
    <w:p>
      <w:pPr>
        <w:spacing w:after="0" w:line="225"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A valuation allowance is provided when it is more likely than not that some portion or all of the deferred tax assets will not be realized. At December 31, 2022, a valuation allowance has been applied to certain deferred tax assets in the amount of $387.0 million.</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Operating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the Company had the following carryforwards and attributes:</w:t>
      </w:r>
    </w:p>
    <w:p>
      <w:pPr>
        <w:spacing w:after="0" w:line="225" w:lineRule="exact"/>
        <w:rPr>
          <w:sz w:val="20"/>
          <w:szCs w:val="20"/>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 federal net operating loss carryforwards of $4.6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 state income tax loss carryforwards of approximately $2.90 billion, which are largely offset by a valuation allowance.</w:t>
      </w:r>
    </w:p>
    <w:p>
      <w:pPr>
        <w:spacing w:after="0" w:line="117" w:lineRule="exact"/>
        <w:rPr>
          <w:rFonts w:ascii="Arial" w:cs="Arial" w:eastAsia="Arial" w:hAnsi="Arial"/>
          <w:sz w:val="18"/>
          <w:szCs w:val="18"/>
          <w:color w:val="auto"/>
        </w:rPr>
      </w:pPr>
    </w:p>
    <w:p>
      <w:pPr>
        <w:ind w:left="1300" w:right="220" w:hanging="320"/>
        <w:spacing w:after="0" w:line="277" w:lineRule="auto"/>
        <w:tabs>
          <w:tab w:leader="none" w:pos="12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Non-U.S. net operating loss carryforwards of approximately $1.01 billion, of which $810.8 million can be carried forward indefinitely, with the remaining $195.1 million expiring in years 2023 through 2042.</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Foreign deductible attributes of $37.3 million that can be carried forward indefinitely, which are offset by a full valuation allowance.</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 and foreign credit carryovers of $213.3 million, expiring in various amounts through 2042.</w:t>
      </w:r>
    </w:p>
    <w:p>
      <w:pPr>
        <w:spacing w:after="0" w:line="117" w:lineRule="exact"/>
        <w:rPr>
          <w:rFonts w:ascii="Arial" w:cs="Arial" w:eastAsia="Arial" w:hAnsi="Arial"/>
          <w:sz w:val="18"/>
          <w:szCs w:val="18"/>
          <w:color w:val="auto"/>
        </w:rPr>
      </w:pPr>
    </w:p>
    <w:p>
      <w:pPr>
        <w:ind w:left="1300" w:right="400" w:hanging="320"/>
        <w:spacing w:after="0" w:line="277" w:lineRule="auto"/>
        <w:tabs>
          <w:tab w:leader="none" w:pos="12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Anticipatory foreign tax credits of $196.1 million which will generate from the reversal of future taxable income in certain non-U.S. jurisdictions which are taxed both in their local jurisdictions and in the U.S.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November 16, 2020, the Company had a change in ownership pursuant to Section 382 of the Code. Under this provision of the Code, the utilization of any NOL or tax credit carryforwards incurred prior to the date of ownership change may be limited. Analyses of the limits for each ownership change indicates the annual limitation would not impair the Company's ability to utilize our U.S. federal credit carryovers. While state loss carryforwards may be limited by Section 382 of the Code, the carryforwards are largely offset by a valuation allowance.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CARES Act</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On March 27, 2020, the CARES Act was enacted and signed into law. The CARES Act includes several provisions, including increasing the amount of deductible interest, allowing companies to carryback certain NOLs, and increasing the amount of NOLs that corporations can use to offset income. During the year ended December 31, 2020, the CARES Act reduced the Company’s 2020 income tax expense by $22.1 million resulting from additional deductible interest.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Examinations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8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is subject to ongoing IRS examinations. The years 2015 through 2019 are open years under examination. The years 2012, 2013 and 2014 have one matter open, and a Tax Court petition was filed regarding the matter and a trial was held in December 2018 and is discussed further below.</w:t>
      </w:r>
    </w:p>
    <w:p>
      <w:pPr>
        <w:spacing w:after="0" w:line="12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18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have commenced litigation in the Australian Federal Court challenging those decisions. The Company made a partial payment of $56.0 million in 2021 and $5.2 million in 2022 in order to stay potential interest and penalties resulting from this litigation.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assessments remain in the audit phase where we are challenging them before the tax authorities while we are challenging some of the other assessments in the Indian tax courts.</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has recorded a net reserve for uncertain tax positions of $298.1 million and $315.6 million, including interest and penalties, in connection with its international audits at December 31, 2022 and 2021, respectively. In connection with our international tax audits, it is possible that we will incur material losses above the amounts reserved.</w:t>
      </w:r>
    </w:p>
    <w:p>
      <w:pPr>
        <w:spacing w:after="0" w:line="18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Company’s major U.S. state taxing jurisdictions remain open from fiscal year 2013 through 2021, with several state audits currently in progress. The Company’s major international taxing jurisdictions remain open from 2012 through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Court Proceedings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has appealed this decision.</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December 31, 2022 and 2021, the Company’s consolidated balance sheets reflect net liabilities for unrecognized tax benefits of $296.7 million and $322.9 million, respectively, of which $210.7 million as of December 31, 2022 would affect the Company’s effective tax rate if recognized, with the remainder being offset by potential correlative adjustments. Related accrued interest and penalties included in the consolidated balance sheets were $106.4 million and $96.8 million as of December 31, 2022 and 2021, respectively. For the years ended December 31, 2022, 2021 and 2020, the Company recognized $21.1 million of tax expense, $18.5 million of tax expense, and $6.0 million of tax benefits, respectively, related to interest and penalties on uncertain tax positions. Interest and penalties related to income taxes are included in the tax provision.</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 beginning of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 tax positions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Reductions due to expirations of statute of limitations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addition due to acquisition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Unrecognized tax benefit — end of year</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believes that it is reasonably possible that the amount of unrecognized tax benefits will decrease in the next twelve months by approximately $55.0 million, involving international and state audits and settlements and expiring statutes of limitations. The Company does not anticipate significant increases to the reserve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Incentive Plan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Prior to the Distribution, Viatris adopted and Pfizer, in the capacity as Viatris’ sole stockholder at such time, approved the 2020 Incentive Plan (the </w:t>
      </w:r>
      <w:r>
        <w:rPr>
          <w:rFonts w:ascii="Arial" w:cs="Arial" w:eastAsia="Arial" w:hAnsi="Arial"/>
          <w:sz w:val="16"/>
          <w:szCs w:val="16"/>
          <w:i w:val="1"/>
          <w:iCs w:val="1"/>
          <w:color w:val="auto"/>
        </w:rPr>
        <w:t>Viatris Inc. 2020 Stock Incentive Plan</w:t>
      </w:r>
      <w:r>
        <w:rPr>
          <w:rFonts w:ascii="Arial" w:cs="Arial" w:eastAsia="Arial" w:hAnsi="Arial"/>
          <w:sz w:val="16"/>
          <w:szCs w:val="16"/>
          <w:color w:val="auto"/>
        </w:rPr>
        <w:t>) which became effective as of the Distribution. In connection with the Combination, as of November 16,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assumed the 2003 LTIP (</w:t>
      </w:r>
      <w:r>
        <w:rPr>
          <w:rFonts w:ascii="Arial" w:cs="Arial" w:eastAsia="Arial" w:hAnsi="Arial"/>
          <w:sz w:val="16"/>
          <w:szCs w:val="16"/>
          <w:i w:val="1"/>
          <w:iCs w:val="1"/>
          <w:color w:val="auto"/>
        </w:rPr>
        <w:t>Mylan N.V. Amended and Restated 2003 Long-Term Incentive Plan)</w:t>
      </w:r>
      <w:r>
        <w:rPr>
          <w:rFonts w:ascii="Arial" w:cs="Arial" w:eastAsia="Arial" w:hAnsi="Arial"/>
          <w:sz w:val="16"/>
          <w:szCs w:val="16"/>
          <w:color w:val="auto"/>
        </w:rPr>
        <w:t>, which had previously been approved by Mylan shareholders. The 2020 Incentive Plan and 2003 LTIP include (i) 72,500,000 shares of Common Stock authorized for grant pursuant to the 2020 Incentive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16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2020 Incentive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awards (stock options and SARs) activity under the 2020 Incentive Plan and 2003 LTIP: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Under Stock Awards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6,347,709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814,351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6,711,731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5,576,490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4,449,642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December 31, 2022</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line="20" w:lineRule="exact"/>
              <w:rPr>
                <w:sz w:val="1"/>
                <w:szCs w:val="1"/>
                <w:color w:val="auto"/>
              </w:rPr>
            </w:pPr>
          </w:p>
        </w:tc>
      </w:tr>
      <w:tr>
        <w:trPr>
          <w:trHeight w:val="204"/>
        </w:trPr>
        <w:tc>
          <w:tcPr>
            <w:tcW w:w="77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4,411,052</w:t>
            </w:r>
          </w:p>
        </w:tc>
        <w:tc>
          <w:tcPr>
            <w:tcW w:w="32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4,216,884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December 31, 2022, stock awards outstanding, stock awards vested and expected to vest and stock awards exercisable had average remaining contractual terms of 4.1 years, 4.1 years and 3.9 years, respectively. Also, at December 31, 2022, stock awards outstanding, stock awards vested and expected to vest and stock awards exercisable had no aggregate intrinsic value.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rollforward of the changes in the Company’s nonvested Restricted Stock Awards (restricted stock and restricted stock unit awards, including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PSUs) from December 31, 2021 to December 31, 2022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 of Restricted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74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jc w:val="center"/>
              <w:ind w:right="117"/>
              <w:spacing w:after="0" w:line="14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7"/>
        </w:trPr>
        <w:tc>
          <w:tcPr>
            <w:tcW w:w="74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7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16,858,128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0"/>
        </w:trPr>
        <w:tc>
          <w:tcPr>
            <w:tcW w:w="7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80" w:type="dxa"/>
            <w:vAlign w:val="bottom"/>
          </w:tcPr>
          <w:p>
            <w:pPr>
              <w:ind w:left="900"/>
              <w:spacing w:after="0"/>
              <w:rPr>
                <w:sz w:val="20"/>
                <w:szCs w:val="20"/>
                <w:color w:val="auto"/>
              </w:rPr>
            </w:pPr>
            <w:r>
              <w:rPr>
                <w:rFonts w:ascii="Arial" w:cs="Arial" w:eastAsia="Arial" w:hAnsi="Arial"/>
                <w:sz w:val="18"/>
                <w:szCs w:val="18"/>
                <w:color w:val="auto"/>
                <w:w w:val="95"/>
              </w:rPr>
              <w:t>16,880,145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7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3"/>
              </w:rPr>
              <w:t>(4,790,749)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3"/>
              </w:rPr>
              <w:t>(1,675,598)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7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5"/>
              </w:rPr>
              <w:t>27,271,926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Of the 16,880,145 Restricted Stock Awards granted during the year ended December 31, 2022, 11,471,308 vest ratably in three years or less and are not subject to market or performance conditions. Of the remaining Restricted Stock Awards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granted, 290,173 are not subject to market conditions and will cliff vest within a three-year period, and 5,118,664 are subject to market or performance conditions and will cliff vest in three years or less.</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As of December 31, 2022, the Company had $171.2 million of total unrecognized compensation expense, net of estimated forfeitures, related to all of its stock-based awards, which we expect to recognize over the remaining weighted average vesting period of 1.5 years. The total intrinsic value of Restricted Stock Awards released during the years ended December 31, 2022 and 2021 was $51.8 million and $78.1 million, respectively.</w:t>
      </w:r>
    </w:p>
    <w:p>
      <w:pPr>
        <w:spacing w:after="0" w:line="14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With respect to options granted under the 2020 Incentive Plan and 2003 LTIP, the fair value of each option grant was estimated at the date of grant using the Black-Scholes option pricing model. Black-Scholes utilizes assumptions related to volatility, the risk-free interest rate, the dividend yield and employee exercise behavior. Expected volatilities utilized in the model are based mainly on the implied volatility of the Company’s stock price and other factors. The risk-free interest rate is derived from the U.S. Treasury yield curve in effect at the time of grant. The model incorporates exercise and post-vesting forfeiture assumptions based on an analysis of historical data. The expected lives of the grants are derived from historical and other factors.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options granted during the years ended December 31, 2022 or 2021. The assumptions used for options granted under the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Incentive Plan and 2003 LTIP during the year ended December 31, 2020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16"/>
                <w:szCs w:val="16"/>
                <w:color w:val="auto"/>
              </w:rPr>
            </w:pPr>
          </w:p>
        </w:tc>
        <w:tc>
          <w:tcPr>
            <w:tcW w:w="1720" w:type="dxa"/>
            <w:vAlign w:val="bottom"/>
          </w:tcPr>
          <w:p>
            <w:pPr>
              <w:ind w:left="60"/>
              <w:spacing w:after="0"/>
              <w:rPr>
                <w:sz w:val="20"/>
                <w:szCs w:val="20"/>
                <w:color w:val="auto"/>
              </w:rPr>
            </w:pPr>
            <w:r>
              <w:rPr>
                <w:rFonts w:ascii="Arial" w:cs="Arial" w:eastAsia="Arial" w:hAnsi="Arial"/>
                <w:sz w:val="14"/>
                <w:szCs w:val="14"/>
                <w:b w:val="1"/>
                <w:bCs w:val="1"/>
                <w:color w:val="auto"/>
                <w:w w:val="95"/>
              </w:rPr>
              <w:t>Year Ended December 31,</w:t>
            </w:r>
          </w:p>
        </w:tc>
      </w:tr>
      <w:tr>
        <w:trPr>
          <w:trHeight w:val="26"/>
        </w:trPr>
        <w:tc>
          <w:tcPr>
            <w:tcW w:w="95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9"/>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46.7%</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6.5</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Forfeiture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5.5%</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option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$8.07</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78" w:lineRule="exact"/>
        <w:rPr>
          <w:sz w:val="20"/>
          <w:szCs w:val="20"/>
          <w:color w:val="auto"/>
        </w:rPr>
      </w:pPr>
    </w:p>
    <w:p>
      <w:pPr>
        <w:ind w:left="340" w:right="9100" w:hanging="332"/>
        <w:spacing w:after="0" w:line="603" w:lineRule="auto"/>
        <w:tabs>
          <w:tab w:leader="none" w:pos="335"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Employee Benefit Plans </w:t>
      </w:r>
      <w:r>
        <w:rPr>
          <w:rFonts w:ascii="Arial" w:cs="Arial" w:eastAsia="Arial" w:hAnsi="Arial"/>
          <w:sz w:val="15"/>
          <w:szCs w:val="15"/>
          <w:i w:val="1"/>
          <w:iCs w:val="1"/>
          <w:color w:val="auto"/>
        </w:rPr>
        <w:t>Defined Benefit Plans</w:t>
      </w:r>
    </w:p>
    <w:p>
      <w:pPr>
        <w:spacing w:after="0" w:line="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(loss) earnings.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accumulated other comprehensive loss as of December 31, 2022 and 2021 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7"/>
              </w:rPr>
              <w:t>Other Postretirement Benefits</w:t>
            </w:r>
          </w:p>
        </w:tc>
      </w:tr>
      <w:tr>
        <w:trPr>
          <w:trHeight w:val="25"/>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9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actuarial (gain)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21.7</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Unrecognized prior service cost (credit)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7"/>
              </w:rPr>
              <w:t>(3.7)</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18.0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unrecognized net actuarial (gains) losses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 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change in accumulated other comprehensive loss in 2022 relating to pension benefits and other postretirement benefits consists of:</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8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2"/>
                <w:szCs w:val="12"/>
                <w:color w:val="auto"/>
              </w:rPr>
            </w:pPr>
          </w:p>
        </w:tc>
        <w:tc>
          <w:tcPr>
            <w:tcW w:w="1120" w:type="dxa"/>
            <w:vAlign w:val="bottom"/>
          </w:tcPr>
          <w:p>
            <w:pPr>
              <w:jc w:val="center"/>
              <w:ind w:right="56"/>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96"/>
        </w:trPr>
        <w:tc>
          <w:tcPr>
            <w:tcW w:w="8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29"/>
        </w:trPr>
        <w:tc>
          <w:tcPr>
            <w:tcW w:w="8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actuarial (gain)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Amortization of actuarial gain/(loss)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prior service credit (cost)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Net change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years ended December 31, 2022,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Pension Benefits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center"/>
              <w:ind w:left="494"/>
              <w:spacing w:after="0"/>
              <w:rPr>
                <w:sz w:val="20"/>
                <w:szCs w:val="20"/>
                <w:color w:val="auto"/>
              </w:rPr>
            </w:pPr>
            <w:r>
              <w:rPr>
                <w:rFonts w:ascii="Arial" w:cs="Arial" w:eastAsia="Arial" w:hAnsi="Arial"/>
                <w:sz w:val="14"/>
                <w:szCs w:val="14"/>
                <w:b w:val="1"/>
                <w:bCs w:val="1"/>
                <w:color w:val="auto"/>
                <w:w w:val="92"/>
              </w:rPr>
              <w:t>Other Postretirement Benefits</w:t>
            </w:r>
          </w:p>
        </w:tc>
        <w:tc>
          <w:tcPr>
            <w:tcW w:w="840" w:type="dxa"/>
            <w:vAlign w:val="bottom"/>
          </w:tcPr>
          <w:p>
            <w:pPr>
              <w:spacing w:after="0"/>
              <w:rPr>
                <w:sz w:val="16"/>
                <w:szCs w:val="16"/>
                <w:color w:val="auto"/>
              </w:rPr>
            </w:pPr>
          </w:p>
        </w:tc>
      </w:tr>
      <w:tr>
        <w:trPr>
          <w:trHeight w:val="25"/>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6"/>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w w:val="98"/>
              </w:rPr>
              <w:t>Plan curtailment, settlement and termination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net actuarial losses (gains)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During the year ended December 31, 2021, the Company recognized a settlement gain as a result of cash payments from lump sum elections related to the U.S. and Puerto Rico pension plans.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Projected Benefit Obligation, Change in Plan Assets and Funded Status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table below presents components of the change in projected benefit obligation, change in plan assets and funded status at December 31, 2022 and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Other Postretirement Benefits</w:t>
            </w:r>
          </w:p>
        </w:tc>
        <w:tc>
          <w:tcPr>
            <w:tcW w:w="0" w:type="dxa"/>
            <w:vAlign w:val="bottom"/>
          </w:tcPr>
          <w:p>
            <w:pPr>
              <w:spacing w:after="0"/>
              <w:rPr>
                <w:sz w:val="1"/>
                <w:szCs w:val="1"/>
                <w:color w:val="auto"/>
              </w:rPr>
            </w:pPr>
          </w:p>
        </w:tc>
      </w:tr>
      <w:tr>
        <w:trPr>
          <w:trHeight w:val="26"/>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Projected 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1,946.6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settlements and terminations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Actuarial (gains) losses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Impact of foreign currency translation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end of year</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1,366.4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1,354.6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Company contributions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settlements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currency translation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 of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Net accrued benefit costs for pension plans and other postretirement benefits are reported in the following components of the Company’s consolidated balance sheets at December 31, 2022 and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Other Postretirement Benefits</w:t>
            </w:r>
          </w:p>
        </w:tc>
      </w:tr>
      <w:tr>
        <w:trPr>
          <w:trHeight w:val="25"/>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9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r>
      <w:tr>
        <w:trPr>
          <w:trHeight w:val="223"/>
        </w:trPr>
        <w:tc>
          <w:tcPr>
            <w:tcW w:w="6040" w:type="dxa"/>
            <w:vAlign w:val="bottom"/>
          </w:tcPr>
          <w:p>
            <w:pPr>
              <w:ind w:left="140"/>
              <w:spacing w:after="0"/>
              <w:rPr>
                <w:sz w:val="20"/>
                <w:szCs w:val="20"/>
                <w:color w:val="auto"/>
              </w:rPr>
            </w:pPr>
            <w:r>
              <w:rPr>
                <w:rFonts w:ascii="Arial" w:cs="Arial" w:eastAsia="Arial" w:hAnsi="Arial"/>
                <w:sz w:val="18"/>
                <w:szCs w:val="18"/>
                <w:color w:val="auto"/>
              </w:rPr>
              <w:t>Net accrued benefit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$1.31 billion and $1.86 billion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projected benefit obligation, accumulated benefit obligation and fair value of plan assets for pension plans with an accumulated benefit obligation in excess of the fair value of plan assets at December 31, 2022 and 2021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8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accumulated benefit obligation in excess of plan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Projected benefit obligation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1,591.8</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benefit obligation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904.1</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Plan Assets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10 </w:t>
      </w:r>
      <w:r>
        <w:rPr>
          <w:rFonts w:ascii="Arial" w:cs="Arial" w:eastAsia="Arial" w:hAnsi="Arial"/>
          <w:sz w:val="16"/>
          <w:szCs w:val="16"/>
          <w:i w:val="1"/>
          <w:iCs w:val="1"/>
          <w:color w:val="auto"/>
        </w:rPr>
        <w:t>Financial Instruments and Risk Management</w:t>
      </w:r>
      <w:r>
        <w:rPr>
          <w:rFonts w:ascii="Arial" w:cs="Arial" w:eastAsia="Arial" w:hAnsi="Arial"/>
          <w:sz w:val="16"/>
          <w:szCs w:val="16"/>
          <w:color w:val="auto"/>
        </w:rPr>
        <w:t>. The table below presents total plan assets by investment category as of December 31, 2022 and 2021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each investment category within the fair value hierarchy with respect to the inputs used to measure fair value: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held by insurance companies and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held by insurance companies and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weighted average assumptions were used to determine the benefit obligations for the Company’s defined benefit pension and other postretirement plans as of December 31, 2022 and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Pension Benefits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rPr>
              <w:t>Other Postretirement Benefits</w:t>
            </w:r>
          </w:p>
        </w:tc>
      </w:tr>
      <w:tr>
        <w:trPr>
          <w:trHeight w:val="25"/>
        </w:trPr>
        <w:tc>
          <w:tcPr>
            <w:tcW w:w="67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460" w:type="dxa"/>
            <w:vAlign w:val="bottom"/>
          </w:tcPr>
          <w:p>
            <w:pPr>
              <w:ind w:left="20"/>
              <w:spacing w:after="0"/>
              <w:rPr>
                <w:sz w:val="20"/>
                <w:szCs w:val="20"/>
                <w:color w:val="auto"/>
              </w:rPr>
            </w:pPr>
            <w:r>
              <w:rPr>
                <w:rFonts w:ascii="Arial" w:cs="Arial" w:eastAsia="Arial" w:hAnsi="Arial"/>
                <w:sz w:val="18"/>
                <w:szCs w:val="18"/>
                <w:color w:val="auto"/>
                <w:w w:val="91"/>
              </w:rPr>
              <w:t>5.0 %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3.7 %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weighted average assumptions were used to determine the net periodic benefit cost for the Company’s defined benefit pension and other postretirement benefit plans for the three years in the period ended December 31,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Pension Benefits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5"/>
          </w:tcPr>
          <w:p>
            <w:pPr>
              <w:ind w:left="940"/>
              <w:spacing w:after="0"/>
              <w:rPr>
                <w:sz w:val="20"/>
                <w:szCs w:val="20"/>
                <w:color w:val="auto"/>
              </w:rPr>
            </w:pPr>
            <w:r>
              <w:rPr>
                <w:rFonts w:ascii="Arial" w:cs="Arial" w:eastAsia="Arial" w:hAnsi="Arial"/>
                <w:sz w:val="14"/>
                <w:szCs w:val="14"/>
                <w:b w:val="1"/>
                <w:bCs w:val="1"/>
                <w:color w:val="auto"/>
                <w:w w:val="97"/>
              </w:rPr>
              <w:t>Other Postretirement Benefits</w:t>
            </w:r>
          </w:p>
        </w:tc>
        <w:tc>
          <w:tcPr>
            <w:tcW w:w="840" w:type="dxa"/>
            <w:vAlign w:val="bottom"/>
          </w:tcPr>
          <w:p>
            <w:pPr>
              <w:spacing w:after="0"/>
              <w:rPr>
                <w:sz w:val="16"/>
                <w:szCs w:val="16"/>
                <w:color w:val="auto"/>
              </w:rPr>
            </w:pPr>
          </w:p>
        </w:tc>
      </w:tr>
      <w:tr>
        <w:trPr>
          <w:trHeight w:val="26"/>
        </w:trPr>
        <w:tc>
          <w:tcPr>
            <w:tcW w:w="36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9"/>
        </w:trPr>
        <w:tc>
          <w:tcPr>
            <w:tcW w:w="36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w:t>
      </w:r>
    </w:p>
    <w:p>
      <w:pPr>
        <w:spacing w:after="0" w:line="19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weighted-average healthcare cost trend rate used for 2022 was 6.3% declining to a projected 4.0% in the year 2045. For 2023, the assumed weighted-average healthcare cost trend rate used will be 6.9% declining to a projected 4.0% in the year 2046.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Future Benefit Payments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benefit payments over the next ten years for the Company’s pension plans and retiree health plan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8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96"/>
        </w:trPr>
        <w:tc>
          <w:tcPr>
            <w:tcW w:w="8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29"/>
        </w:trPr>
        <w:tc>
          <w:tcPr>
            <w:tcW w:w="8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sponsors defined contribution plans covering its employees in the U.S. and Puerto Rico, as well as certain employees in a number of countries outside the U.S. The Company’s domestic defined contribution plans consist primarily of a Profit Sharing 401(k) Plan and a 401(k) retirement plan for union-represented employees. Profit sharing contributions are made at the discretion of the Board of Directors.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maintains a Restoration Plan, which permits employees who earn compensation in excess of the limits imposed by Section 401(a)</w:t>
      </w:r>
    </w:p>
    <w:p>
      <w:pPr>
        <w:spacing w:after="0" w:line="46" w:lineRule="exact"/>
        <w:rPr>
          <w:sz w:val="20"/>
          <w:szCs w:val="20"/>
          <w:color w:val="auto"/>
        </w:rPr>
      </w:pPr>
    </w:p>
    <w:p>
      <w:pPr>
        <w:ind w:right="40" w:firstLine="8"/>
        <w:spacing w:after="0" w:line="253" w:lineRule="auto"/>
        <w:tabs>
          <w:tab w:leader="none" w:pos="3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 the Code to (i) defer a portion of base salary and bonus compensation, (ii) be credited with a Company matching contribution in respect of deferrals under the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spacing w:after="0" w:line="19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maintains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spacing w:after="0" w:line="17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Total employer contributions to defined contribution plans were approximately $111.5 million, $107.4 million and $115.5 million for the years ended December 31, 2022, 2021 and 2020,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including biosimilars prior to the Biocon Biologics Transaction,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22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its segments based on total revenues and segment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costs are not included in the measurement of segment profitability, such as costs, if any, associated with the following:</w:t>
      </w:r>
    </w:p>
    <w:p>
      <w:pPr>
        <w:spacing w:after="0" w:line="117" w:lineRule="exact"/>
        <w:rPr>
          <w:sz w:val="20"/>
          <w:szCs w:val="20"/>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Intangible asset amortization expense and impairments of goodwill and long-lived assets;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R&amp;D expense;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charges or net gains for litigation settlements and other contingencies;</w:t>
      </w:r>
    </w:p>
    <w:p>
      <w:pPr>
        <w:spacing w:after="0" w:line="117" w:lineRule="exact"/>
        <w:rPr>
          <w:rFonts w:ascii="Arial" w:cs="Arial" w:eastAsia="Arial" w:hAnsi="Arial"/>
          <w:sz w:val="18"/>
          <w:szCs w:val="18"/>
          <w:color w:val="auto"/>
        </w:rPr>
      </w:pPr>
    </w:p>
    <w:p>
      <w:pPr>
        <w:ind w:left="660" w:firstLine="320"/>
        <w:spacing w:after="0" w:line="271" w:lineRule="auto"/>
        <w:tabs>
          <w:tab w:leader="none" w:pos="13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costs related to our planned divestitures and the Biocon Biologics Transaction, and, as applicable, any associated transition activities.</w:t>
      </w:r>
    </w:p>
    <w:p>
      <w:pPr>
        <w:spacing w:after="0" w:line="70" w:lineRule="exact"/>
        <w:rPr>
          <w:rFonts w:ascii="Arial" w:cs="Arial" w:eastAsia="Arial" w:hAnsi="Arial"/>
          <w:sz w:val="17"/>
          <w:szCs w:val="17"/>
          <w:color w:val="auto"/>
        </w:rPr>
      </w:pPr>
    </w:p>
    <w:p>
      <w:pPr>
        <w:ind w:left="660" w:firstLine="320"/>
        <w:spacing w:after="0" w:line="257" w:lineRule="auto"/>
        <w:tabs>
          <w:tab w:leader="none" w:pos="13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does not report depreciation expense, total assets and capital expenditures by segment, as such information is not used by the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accounting policies of the segments are the same as those described in Note 2 </w:t>
      </w:r>
      <w:r>
        <w:rPr>
          <w:rFonts w:ascii="Arial" w:cs="Arial" w:eastAsia="Arial" w:hAnsi="Arial"/>
          <w:sz w:val="18"/>
          <w:szCs w:val="18"/>
          <w:i w:val="1"/>
          <w:iCs w:val="1"/>
          <w:color w:val="auto"/>
        </w:rPr>
        <w:t>Summary of Significant Accounting Policies.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Segment Profitability</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89"/>
        </w:trPr>
        <w:tc>
          <w:tcPr>
            <w:tcW w:w="4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455"/>
              <w:spacing w:after="0"/>
              <w:rPr>
                <w:sz w:val="20"/>
                <w:szCs w:val="20"/>
                <w:color w:val="auto"/>
              </w:rPr>
            </w:pPr>
            <w:r>
              <w:rPr>
                <w:rFonts w:ascii="Arial" w:cs="Arial" w:eastAsia="Arial" w:hAnsi="Arial"/>
                <w:sz w:val="14"/>
                <w:szCs w:val="14"/>
                <w:b w:val="1"/>
                <w:bCs w:val="1"/>
                <w:color w:val="auto"/>
                <w:w w:val="92"/>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8"/>
          </w:tcPr>
          <w:p>
            <w:pPr>
              <w:jc w:val="center"/>
              <w:ind w:left="472"/>
              <w:spacing w:after="0"/>
              <w:rPr>
                <w:sz w:val="20"/>
                <w:szCs w:val="20"/>
                <w:color w:val="auto"/>
              </w:rPr>
            </w:pPr>
            <w:r>
              <w:rPr>
                <w:rFonts w:ascii="Arial" w:cs="Arial" w:eastAsia="Arial" w:hAnsi="Arial"/>
                <w:sz w:val="14"/>
                <w:szCs w:val="14"/>
                <w:b w:val="1"/>
                <w:bCs w:val="1"/>
                <w:color w:val="auto"/>
                <w:w w:val="92"/>
              </w:rPr>
              <w:t>Years Ended December 31,</w:t>
            </w:r>
          </w:p>
        </w:tc>
        <w:tc>
          <w:tcPr>
            <w:tcW w:w="800" w:type="dxa"/>
            <w:vAlign w:val="bottom"/>
            <w:tcBorders>
              <w:bottom w:val="single" w:sz="8" w:color="auto"/>
            </w:tcBorders>
          </w:tcPr>
          <w:p>
            <w:pPr>
              <w:spacing w:after="0"/>
              <w:rPr>
                <w:sz w:val="16"/>
                <w:szCs w:val="16"/>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ind w:right="19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2020</w:t>
            </w: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Markets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3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4,243.9</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Greater China</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JANZ</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r>
      <w:tr>
        <w:trPr>
          <w:trHeight w:val="229"/>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Emerging Markets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w:t>
            </w:r>
          </w:p>
        </w:tc>
      </w:tr>
      <w:tr>
        <w:trPr>
          <w:trHeight w:val="248"/>
        </w:trPr>
        <w:tc>
          <w:tcPr>
            <w:tcW w:w="4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Reconciling items: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(1,605.8)</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disposal &amp; impairment charges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Impairment of goodwill</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Globally managed research and development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Acquired IPR&amp;D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(1,739.7)</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 unallocated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(1,391.6)</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Earnings (loss) from operations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represents the percentage of consolidated net sales to Viatris’ major customers during the years ended December 31, 2022, 2021, and 2020:</w:t>
      </w:r>
    </w:p>
    <w:p>
      <w:pPr>
        <w:spacing w:after="0" w:line="67"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Percentage of Consolidated Net Sales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4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McKesson Corporation</w:t>
            </w:r>
          </w:p>
        </w:tc>
        <w:tc>
          <w:tcPr>
            <w:tcW w:w="8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AmerisourceBergen Corporation</w:t>
            </w:r>
          </w:p>
        </w:tc>
        <w:tc>
          <w:tcPr>
            <w:tcW w:w="4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by Country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by country are presented on the basis of geographic location of our subsidiaries: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3,746.1</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China</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country’s net sales represents more than 10% of consolidated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has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conjunction with the Combination, Viatris entered into a TSA with Pfizer pursuant to which each party provides certain limited transition services to the other party generally for an initial period of 24 months from the closing date of the Combination.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During the years ended December 31, 2022 and 2021, the Company incurred $54.5 million and $30.4 million, respectively, related to this provision of the TSA, and approximately $138.0 million during the period beginning on the closing date of the Combination and ended December 31, 2022. We expect to incur future costs related to the completion of the services. As of December 31, 2022, the Company has exited substantially all transition services with Pfizer.</w:t>
      </w:r>
    </w:p>
    <w:p>
      <w:pPr>
        <w:spacing w:after="0" w:line="20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conjunction with the Combination, during the year ended December 31, 2020, the Company accrued approximately $26.9 million due to change in control clauses in employment arrangements for certain former Mylan employees, which was paid during 2021. In addition, the Company entered into retention agreements with certain key employees, whereby they agreed to continue to provide service to the Company for a period of time after the Combination. The Company is recording the expense for these agreements over the applicable service periods.</w:t>
      </w:r>
    </w:p>
    <w:p>
      <w:pPr>
        <w:spacing w:after="0" w:line="193"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In conjunction with the Biocon Biologics Transaction, 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w:t>
      </w:r>
    </w:p>
    <w:p>
      <w:pPr>
        <w:spacing w:after="0" w:line="184"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40" w:firstLine="648"/>
        <w:spacing w:after="0" w:line="249"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18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charges and the reserve activity for the 2020 restructuring program:</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Employee</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Related Costs</w:t>
            </w:r>
          </w:p>
        </w:tc>
        <w:tc>
          <w:tcPr>
            <w:tcW w:w="12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Acquired in the Combination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Reimbursable restructuring charges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Restructuring Program</w:t>
      </w:r>
    </w:p>
    <w:p>
      <w:pPr>
        <w:spacing w:after="0" w:line="21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Mylan previously announced a restructuring program representing a series of actions in certain locations to further streamline its operations globally. We incurred total restructuring related costs of approximately $733.0 million through December 31, 2020. The 2016 Restructuring Program was substantially completed at December 31, 2020.</w:t>
      </w:r>
    </w:p>
    <w:p>
      <w:pPr>
        <w:spacing w:after="0" w:line="18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In April 2018, the FDA completed an inspection at Mylan’s plant in Morgantown, West Virginia and made observations through a Form 483. In the fourth quarter of 2018, Mylan received a warning letter related to the previously disclosed observations at the plant. The issues raised in the warning letter were addressed within the context of the Mylan’s comprehensive restructuring and remediation activities. On May 11, 2020, Mylan received the close-out of the warning letter. On December 11, 2020, the Company announced that the Morgantown plant will be closed or divested as part of the 2020 Restructuring Program. The Morgantown plant was closed during the third quarter of 2021.</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restructuring charges and the reserve activity for the 2016 restructuring program from December 31, 2019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660" w:right="380" w:hanging="328"/>
        <w:spacing w:after="0" w:line="234" w:lineRule="auto"/>
        <w:tabs>
          <w:tab w:leader="none" w:pos="697"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2022, total restructuring charges for the 2020 restructuring program, in Developed Markets, Greater China, JANZ, Emerging Markets, and Corporate/Other were approximately $74.6 million, $2.5 million, $0.9 million, $8.2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340" w:hanging="328"/>
        <w:spacing w:after="0" w:line="234" w:lineRule="auto"/>
        <w:tabs>
          <w:tab w:leader="none" w:pos="697"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2021, total restructuring charges, for the 2020 restructuring program, in Developed Markets, Greater China, JANZ, Emerging Markets, and Corporate/Other were approximately $623.8 million, $5.8 million, $138.1 million, $94.1 million, and $30.4 million, respectively.</w:t>
      </w:r>
    </w:p>
    <w:p>
      <w:pPr>
        <w:spacing w:after="0" w:line="202" w:lineRule="exact"/>
        <w:rPr>
          <w:rFonts w:ascii="Arial" w:cs="Arial" w:eastAsia="Arial" w:hAnsi="Arial"/>
          <w:sz w:val="23"/>
          <w:szCs w:val="23"/>
          <w:color w:val="auto"/>
          <w:vertAlign w:val="superscript"/>
        </w:rPr>
      </w:pPr>
    </w:p>
    <w:p>
      <w:pPr>
        <w:ind w:left="660" w:hanging="328"/>
        <w:spacing w:after="0" w:line="227" w:lineRule="auto"/>
        <w:tabs>
          <w:tab w:leader="none" w:pos="697"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 total restructuring charges for both programs, in Developed Markets, Greater China, JANZ, and Emerging Markets were approximately $292.1 million, $18.4 million, $2.9 million, and $8.4 million, respectively.</w:t>
      </w:r>
    </w:p>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At December 31, 2022 and 2021, accrued liabilities for restructuring and other cost reduction programs were primarily included in other current liabilities and other long-term obligations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Licensing and Other Partner Agreements</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obligations reflected as acquisition related contingent consideration. Refer to Note 10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for further discussion of contingent consideration. Our potential maximum development milestones not accrued for at December 31, 2022 totaled approximately $347 million. We estimate that the amounts that may be paid during the next twelve months to be approximately $38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Revance</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28, 2018, the Company and Revance entered into an agreement with Revance pursuant to which the Company and Revance are collaborating exclusively, on a world-wide basis (excluding Japan), to develop, manufacture and commercialize a biosimilar to the branded biologic product (onabotulinumtoxinA) marketed as BOTOX®. Under the agreement, the Company is primarily responsible for (a) clinical development activities outside of North America (excluding Japan) (b) regulatory activities, and (c) commercialization for any approved product. Revance is primarily responsible for (a) non-clinical development activities, (b) clinical development activities in North America, and (c) manufacturing and supply of clinical drug substance and drug product; Revance is solely responsible for an initial portion of non-clinical development costs. The remaining portion of any non-clinical development costs and clinical development costs for obtaining approval in the U.S. and Europe is being shared equally between the parties, and the Company is responsible for all other clinical development costs and commercialization expenses. During the year ended December 31, 2020, the Company recorded $30 million of Acquired IPR&amp;D expense for a milestone payment that was due upon the decision to continue the development program.</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Momenta</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January 8, 2016, the Company entered into an agreement with Momenta to develop, manufacture and commercialize up to six of Momenta’s biosimilar candidates. Under the terms of the agreement, the Company and Momenta were jointly responsible for product development and equally shared in the costs and profits of the products with Viatris leading the worldwide commercialization efforts. In January 2019, the parties agreed to the termination of all collaboration activities, except for the continued development of M710, a proposed biosimilar to EYLEA®. In October 2020, Momenta was acquired by Johnson &amp; Johnson. M710 was divested as part of the Biocon Biologics Transaction.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Theravance Biopharma</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January 30, 2015, the Company entered into a development and commercialization collaboration with Theravance Biopharma, for revefenacin. On November 9, 2018, the Company announced that the FDA approved the NDA for YUPELRI® (revefenacin) inhalation solution for the maintenance treatment of patients with COPD. YUPELRI®, a LAMA, is the first and only once-daily, nebulized bronchodilator approved for the treatment of COPD in the U.S. Viatris is responsible for commercial manufacturing and commercialization. Theravance Biopharma is co-promoting the product in the hospital channel under a profit-sharing arrangement.</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2019, the Company acquired exclusive development and commercialization rights to nebulized revefenacin in China and adjacent territories, which include Hong Kong SAR, the Macau SAR and Taiwan. Theravance Biopharma received an upfront payment of $18.5 million and will be eligible to receive additional potential development and sales milestones together with tiered royalties on net sales of nebulized revefenacin, if approved. Viatris is responsible for all aspects of development and commercialization in the partnered regions, including pre- and post-launch activities and product registration and all associated costs.</w:t>
      </w:r>
    </w:p>
    <w:p>
      <w:pPr>
        <w:spacing w:after="0" w:line="188"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Under the terms of the agreements, Theravance Biopharma is eligible to receive potential development and sales milestone payments totaling approximately $293 million in the aggregate. As of December 31, 2022, the Company has paid a total of $50.0 million in milestone payments to Theravance Biopharma.</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FKB</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On February 22, 2018, the Company entered into a collaboration license and distribution agreement with FKB for the distribution of Hulio®, a biosimilar to AbbVie's Humira® (adalimumab). Under the agreement, the Company has exclusive commercialization rights for the product in the EU and the European Economic Area countries and FKB is responsible for development, manufacturing and supply of the product.</w:t>
      </w:r>
    </w:p>
    <w:p>
      <w:pPr>
        <w:spacing w:after="0" w:line="16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On February 27, 2019, the Company amended its agreements with FKB for the commercialization of Hulio®. Under the amended agreements, the Company received the exclusive global commercialization rights for Hulio®. In addition, FKB is eligible to receive additional commercial milestones and royalty payments under the amended agreements.</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July 9, 2020, the Company announced that the FDA approved Hulio® (adalimumab-fkjp), a biosimilar to AbbVie's Humira® (adalimumab), for the treatment of rheumatoid arthritis, juvenile idiopathic arthritis (4 years and older), psoriatic arthritis, ankylosing spondylitis, adult Crohn's disease, ulcerative colitis and plaque psoriasis, in both prefilled syringe and auto-injector presentations. Hulio® was divested as part of the Biocon Biologics Transaction.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Biocon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previously entered into an exclusive collaboration with Biocon on the development, manufacturing, supply and commercialization of multiple, high value biosimilar compounds and three insulin analog products for the global marketplace. The collaboration was terminated upon closing of the Biocon Biologics Transaction.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 Agreements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Acquired IPR&amp;D expense.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Litigation</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costs are recorded as incurred and are classified in SG&amp;A in the Company’s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EpiPen® Auto-Injector Litigation</w:t>
      </w:r>
    </w:p>
    <w:p>
      <w:pPr>
        <w:spacing w:after="0" w:line="225"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The Company and a former Mylan N.V. officer (collectively the “Mylan Defendants”) were named as defendants in indirect purchaser class actions relating to the pricing and/or marketing of the EpiPen® Auto-Injector. The plaintiffs in these cases asserted violations of various federal and state antitrust and consumer protection laws, RICO as well as common law claims. Plaintiffs’ sought monetary damages, attorneys’ fees and costs. These lawsuits were filed in various federal and state courts and were either dismissed or transferred into a MDL in the U.S. District Court for the District of Kansas and were consolidated or centralized. An antitrust class consisting of certain states was ultimately certified. On June 23, 2021, the Court granted – in substantial part – the Mylan Defendants’ motion for summary judgment by dismissing certain antitrust claims and the RICO claims, which included RICO claims asserted against the former Mylan N.V. officer. In February 2022, the parties reached an agreement to fully resolve this matter for</w:t>
      </w:r>
    </w:p>
    <w:p>
      <w:pPr>
        <w:spacing w:after="0" w:line="2" w:lineRule="exact"/>
        <w:rPr>
          <w:sz w:val="20"/>
          <w:szCs w:val="20"/>
          <w:color w:val="auto"/>
        </w:rPr>
      </w:pPr>
    </w:p>
    <w:p>
      <w:pPr>
        <w:jc w:val="both"/>
        <w:ind w:right="280"/>
        <w:spacing w:after="0" w:line="277" w:lineRule="auto"/>
        <w:rPr>
          <w:sz w:val="20"/>
          <w:szCs w:val="20"/>
          <w:color w:val="auto"/>
        </w:rPr>
      </w:pPr>
      <w:r>
        <w:rPr>
          <w:rFonts w:ascii="Arial" w:cs="Arial" w:eastAsia="Arial" w:hAnsi="Arial"/>
          <w:sz w:val="17"/>
          <w:szCs w:val="17"/>
          <w:color w:val="auto"/>
        </w:rPr>
        <w:t>$264 million, which was accrued for during the year ended December 31, 2021. During the first quarter of 2022, $5.0 million of the settlement was paid and the remaining amount of the settlement was paid in July 2022. The settlement was approved by the Court on July 11, 2022 and contains an express provision disclaiming and denying any wrongdoing or liability by the Mylan Defendants. This matter is resolved.</w:t>
      </w:r>
    </w:p>
    <w:p>
      <w:pPr>
        <w:spacing w:after="0" w:line="20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 fees and costs. The Court granted the Company’s motion for summary judgment and dismissed Sanofi’s claims. Sanofi’s appeal was denied. Sanofi has filed a petition seeking review by the U.S. Supreme Court.</w:t>
      </w:r>
    </w:p>
    <w:p>
      <w:pPr>
        <w:spacing w:after="0" w:line="21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 has a total accrual of approximately $5.5 million related to these matters at December 31, 2022, which is included in other current liabilities 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May 10, 2018, the Company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We are fully cooperating with these investigations, which we believe are related to a broader industry-wide investigation of the generic pharmaceutical industry.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forty-six states, the District of Columbia and the Commonwealth of Puerto Rico. The Company is alleged to have engaged in anticompetitive conduct with respect to four generic drug products. The amended complaint also includes claims asserted by attorneys general of thirty-six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forty-seven states, certain territories and the District of Columbia. The amended complaint also includes claims asserted by attorneys general of forty-two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w:t>
      </w:r>
    </w:p>
    <w:p>
      <w:pPr>
        <w:spacing w:after="0" w:line="20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forty-six states, certain territories and the District of Columbia.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and has been ordered to proceed as a bellwether.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Related Litigation</w:t>
      </w:r>
    </w:p>
    <w:p>
      <w:pPr>
        <w:spacing w:after="0" w:line="225" w:lineRule="exact"/>
        <w:rPr>
          <w:sz w:val="20"/>
          <w:szCs w:val="20"/>
          <w:color w:val="auto"/>
        </w:rPr>
      </w:pPr>
    </w:p>
    <w:p>
      <w:pPr>
        <w:ind w:right="120" w:firstLine="648"/>
        <w:spacing w:after="0" w:line="292" w:lineRule="auto"/>
        <w:rPr>
          <w:sz w:val="20"/>
          <w:szCs w:val="20"/>
          <w:color w:val="auto"/>
        </w:rPr>
      </w:pPr>
      <w:r>
        <w:rPr>
          <w:rFonts w:ascii="Arial" w:cs="Arial" w:eastAsia="Arial" w:hAnsi="Arial"/>
          <w:sz w:val="16"/>
          <w:szCs w:val="16"/>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w:t>
      </w:r>
    </w:p>
    <w:p>
      <w:pPr>
        <w:spacing w:after="0" w:line="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w:t>
      </w:r>
    </w:p>
    <w:p>
      <w:pPr>
        <w:ind w:right="40"/>
        <w:spacing w:after="0" w:line="255" w:lineRule="auto"/>
        <w:rPr>
          <w:sz w:val="20"/>
          <w:szCs w:val="20"/>
          <w:color w:val="auto"/>
        </w:rPr>
      </w:pPr>
      <w:r>
        <w:rPr>
          <w:rFonts w:ascii="Arial" w:cs="Arial" w:eastAsia="Arial" w:hAnsi="Arial"/>
          <w:sz w:val="18"/>
          <w:szCs w:val="18"/>
          <w:color w:val="auto"/>
        </w:rPr>
        <w:t>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A decision on Defendants’ motion for summary judgment seeking to dismiss the case in its entirety and Plaintiffs’ cross-motion for partial summary judgment as to portions of certain claims is pending.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April 30, 2017, a similar lawsuit was filed in the Tel Aviv District Court (Economic Division) in Israel, which has been stayed pending a decision in the SDNY class action litigation.</w:t>
      </w:r>
    </w:p>
    <w:p>
      <w:pPr>
        <w:spacing w:after="0" w:line="170"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7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19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seek monetary damages, reasonable costs and expenses, and certain other equitable and injunctive relief.</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5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52" w:lineRule="exact"/>
        <w:rPr>
          <w:sz w:val="20"/>
          <w:szCs w:val="20"/>
          <w:color w:val="auto"/>
        </w:rPr>
      </w:pPr>
    </w:p>
    <w:p>
      <w:pPr>
        <w:ind w:right="80" w:firstLine="648"/>
        <w:spacing w:after="0" w:line="324" w:lineRule="auto"/>
        <w:rPr>
          <w:sz w:val="20"/>
          <w:szCs w:val="20"/>
          <w:color w:val="auto"/>
        </w:rPr>
      </w:pPr>
      <w:r>
        <w:rPr>
          <w:rFonts w:ascii="Arial" w:cs="Arial" w:eastAsia="Arial" w:hAnsi="Arial"/>
          <w:sz w:val="16"/>
          <w:szCs w:val="16"/>
          <w:color w:val="auto"/>
        </w:rPr>
        <w:t>On January 13, 2023, the Company received a civil subpoena from the Attorney General of the State of New York seeking information relating to opioids manufactured, marketed, or sold by the Company and related subject matter. The Company is fully cooperating with this subpoena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Meda Sweden Commercial Dispute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August 30, 2021, Ocular AS and other related entities (“Claimants”) initiated an arbitration in Sweden against Meda OTC AB and Meda AB (collectively, “Meda” or the “Company”) alleging breach of a 2013 sale and purchase agreement between Claimants and Meda concerning commercialization of a dental hygiene product. Claimants are seeking approximately $155 million in purported damages, plus interest and costs. The Company believes that it acted lawfully and vigorously contested all aspects of Claimants’ case – including their asserted damages – at an arbitration hearing that took place in February 2023.</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has accrued approximately $65.3 million as of December 31, 2022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Nitrosamines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and a Rule 23(f) petition to appeal the certification decision is pending. The Company has also received claims and inquiries related to these products, as well as requests to indemnify purchasers of the Company’s API and/ or finished dose forms of these products. The original master complaints concerning ranitidine were dismissed on December 31, 2020. The end-payor plaintiff immediately appealed to the U.S. Court of Appeals for the</w:t>
      </w:r>
    </w:p>
    <w:p>
      <w:pPr>
        <w:ind w:right="40"/>
        <w:spacing w:after="0" w:line="259" w:lineRule="auto"/>
        <w:rPr>
          <w:sz w:val="20"/>
          <w:szCs w:val="20"/>
          <w:color w:val="auto"/>
        </w:rPr>
      </w:pPr>
      <w:r>
        <w:rPr>
          <w:rFonts w:ascii="Arial" w:cs="Arial" w:eastAsia="Arial" w:hAnsi="Arial"/>
          <w:sz w:val="18"/>
          <w:szCs w:val="18"/>
          <w:color w:val="auto"/>
        </w:rPr>
        <w:t>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Lipitor</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 The Company’s motion for summary judgment in connection with the 10, 20, and 40 mg plaintiffs was granted, resulting in their dismissal. On November 3, 2021, the Court granted the Company’s motion seeking the dismissal of the remaining cases involving the highest dose of Lipitor (80 mg).</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Viagra</w:t>
      </w:r>
    </w:p>
    <w:p>
      <w:pPr>
        <w:spacing w:after="0" w:line="231"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Since April 2016, an MDL has been pending in the U.S. District Court for the Northern District of California</w:t>
      </w:r>
      <w:r>
        <w:rPr>
          <w:rFonts w:ascii="Arial" w:cs="Arial" w:eastAsia="Arial" w:hAnsi="Arial"/>
          <w:sz w:val="20"/>
          <w:szCs w:val="20"/>
          <w:color w:val="auto"/>
          <w:strike w:val="1"/>
        </w:rPr>
        <w:t>,</w:t>
      </w:r>
      <w:r>
        <w:rPr>
          <w:rFonts w:ascii="Arial" w:cs="Arial" w:eastAsia="Arial" w:hAnsi="Arial"/>
          <w:sz w:val="17"/>
          <w:szCs w:val="17"/>
          <w:color w:val="auto"/>
        </w:rPr>
        <w:t xml:space="preserve">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The parties have settled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Company is involved in a number of patent litigation lawsuits involving the validity and/or infringement of patents held by branded</w:t>
      </w:r>
    </w:p>
    <w:p>
      <w:pPr>
        <w:spacing w:after="0" w:line="5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accrued approximately $107.9 million as of December 31, 2022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Dimethyl Fumarate</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w:t>
      </w:r>
      <w:r>
        <w:rPr>
          <w:rFonts w:ascii="Arial" w:cs="Arial" w:eastAsia="Arial" w:hAnsi="Arial"/>
          <w:sz w:val="10"/>
          <w:szCs w:val="10"/>
          <w:color w:val="auto"/>
        </w:rPr>
        <w:t>®</w:t>
      </w:r>
      <w:r>
        <w:rPr>
          <w:rFonts w:ascii="Arial" w:cs="Arial" w:eastAsia="Arial" w:hAnsi="Arial"/>
          <w:sz w:val="16"/>
          <w:szCs w:val="16"/>
          <w:color w:val="auto"/>
        </w:rPr>
        <w:t>) infringed six U.S. patents that Biogen had listed in the Orange Book: 6,509,376, 7,320,999, 7,619,001, 7,803,840, 8,759,393, and 8,399,514. All patents except for the ‘514 expired during the litigation and were dismissed from the case.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a trial involving only the ’514 patent on June 18, 2020, the District Court issued a judgment finding all claims of the ’514 patent invalid for</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lack of adequate written description. On appeal, the Federal Circuit affirmed the District Court’s judgment. Biogen’s petition for rehearing was denied.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Biogen’s petition seeking review by the U.S. Supreme Court was also denied.</w:t>
      </w:r>
    </w:p>
    <w:p>
      <w:pPr>
        <w:ind w:firstLine="648"/>
        <w:spacing w:after="0" w:line="239" w:lineRule="auto"/>
        <w:rPr>
          <w:sz w:val="20"/>
          <w:szCs w:val="20"/>
          <w:color w:val="auto"/>
        </w:rPr>
      </w:pPr>
      <w:r>
        <w:rPr>
          <w:rFonts w:ascii="Arial" w:cs="Arial" w:eastAsia="Arial" w:hAnsi="Arial"/>
          <w:sz w:val="18"/>
          <w:szCs w:val="18"/>
          <w:color w:val="auto"/>
        </w:rPr>
        <w:t>On July 13, 2018, MPI filed an IPR petition challenging the ’514 patent based only on obviousness. On February 5, 2020, the PTAB issued a final written decision finding the claims not obvious. MPI’s appeal of the PTAB decision is moot in light of the U.S. Supreme Court denying review of the Federal Circuit’s affirmance of the District Court’s invalidity judgment.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matters are resolved.</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17, 2020, the FDA approved MPI’s dimethyl fumarate delayed-release capsules, which MPI began selling on August 18, 2020.</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Lyrica - United Kingdom</w:t>
      </w:r>
    </w:p>
    <w:p>
      <w:pPr>
        <w:spacing w:after="0" w:line="225" w:lineRule="exact"/>
        <w:rPr>
          <w:sz w:val="20"/>
          <w:szCs w:val="20"/>
          <w:color w:val="auto"/>
        </w:rPr>
      </w:pPr>
    </w:p>
    <w:p>
      <w:pPr>
        <w:jc w:val="both"/>
        <w:ind w:right="40" w:firstLine="648"/>
        <w:spacing w:after="0" w:line="299" w:lineRule="auto"/>
        <w:rPr>
          <w:sz w:val="20"/>
          <w:szCs w:val="20"/>
          <w:color w:val="auto"/>
        </w:rPr>
      </w:pPr>
      <w:r>
        <w:rPr>
          <w:rFonts w:ascii="Arial" w:cs="Arial" w:eastAsia="Arial" w:hAnsi="Arial"/>
          <w:sz w:val="16"/>
          <w:szCs w:val="16"/>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and Northern Ireland) filed their claims. All of the claims except for those filed by Dr. Reddy’s Laboratories and NHS Scotland have been resolved. A trial on the remaining claims has been set for November 2023.</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Yupelri</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In February 2023, we brought patent infringement actions against the generic filers in federal district courts, including the U.S. District Court for the District of New Jersey, the U.S. District Court for the District of Delaware, and the U.S. District Court for the Middle District of North Carolina, asserting infringement of the patents by the generic companies.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is involved in various other legal proceedings including commercial, contractual, employment, or other similar matters that are considered normal to its business. The Company has approximately $24.5 million accrued related to these various other legal proceedings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2022.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Management identified the following change in the Company’s internal control over financial reporting (“ICFR”) that occurred during the quarter that has materially affected, or is reasonably likely to materially affect, the Company’s ICFR. During the quarter ended December 31, 2022, the Company substantially completed its transition of certain support services from Pfizer, as well as certain subsidiaries, to a new ERP system. The Company has modified and implemented new controls and procedures relating to its business and financial processes throughout the transition period. While the Company believes that this new system and the related changes to internal controls will ultimately strengthen its ICFR, there are inherent risks in implementing any new ERP system and the Company will continue to evaluate and monitor the effectiveness of the related controls in subsequent periods.</w:t>
      </w:r>
    </w:p>
    <w:p>
      <w:pPr>
        <w:spacing w:after="0" w:line="19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Management’s Report on Internal Control over Financial Reporting is on page 76, which is incorporated herein by reference. The effectiveness of the Company’s internal control over financial reporting as of December 31, 2022 has been audited by Deloitte &amp; Touche LLP (PCAOB ID No. 34), an independent registered public accounting firm, as stated in their report on page 80, which is incorporated herein by reference.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Certain information required by this Item will be provided in an amendment to this Annual Report on Form 10-K in accordance with General Instruction G(3) to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Viatris board of directors has adopted a Code of Ethics for the Company’s Chief Executive Officer, Chief Financial Officer and Controller. The Viatris board of directors also has adopted a Code of Business Conduct and Ethics applicable to all directors, officers, and employees. The Code of Ethics for our Chief Executive Officer, Chief Financial Officer and Controller and the Code of Business Conduct and Ethics are posted on Viatris’ website at http://www.viatris.com/en/About-Us/Corporate-Governance, and Viatris intends to post any amendments to and waivers from each of the Code of Ethics for the Company’s Chief Executive Officer, Chief Financial Officer and Controller and the Code of Business Conduct and Ethics that are required to be disclosed on that website.</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additional information required by this Item will be provided in an amendment to this Form 10-K in accordance with General Instruction G(3) to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about the securities authorized for issuance under Viatris’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3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Number of Securities to be</w:t>
            </w:r>
          </w:p>
        </w:tc>
        <w:tc>
          <w:tcPr>
            <w:tcW w:w="200" w:type="dxa"/>
            <w:vAlign w:val="bottom"/>
          </w:tcPr>
          <w:p>
            <w:pPr>
              <w:spacing w:after="0"/>
              <w:rPr>
                <w:sz w:val="13"/>
                <w:szCs w:val="13"/>
                <w:color w:val="auto"/>
              </w:rPr>
            </w:pPr>
          </w:p>
        </w:tc>
        <w:tc>
          <w:tcPr>
            <w:tcW w:w="2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Weighted-Average Exercise</w:t>
            </w:r>
          </w:p>
        </w:tc>
        <w:tc>
          <w:tcPr>
            <w:tcW w:w="2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Issued upon Exercise of</w:t>
            </w:r>
          </w:p>
        </w:tc>
        <w:tc>
          <w:tcPr>
            <w:tcW w:w="200" w:type="dxa"/>
            <w:vAlign w:val="bottom"/>
          </w:tcPr>
          <w:p>
            <w:pPr>
              <w:spacing w:after="0"/>
              <w:rPr>
                <w:sz w:val="11"/>
                <w:szCs w:val="11"/>
                <w:color w:val="auto"/>
              </w:rPr>
            </w:pPr>
          </w:p>
        </w:tc>
        <w:tc>
          <w:tcPr>
            <w:tcW w:w="2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Price of Outstanding</w:t>
            </w:r>
          </w:p>
        </w:tc>
        <w:tc>
          <w:tcPr>
            <w:tcW w:w="2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00" w:type="dxa"/>
            <w:vAlign w:val="bottom"/>
          </w:tcPr>
          <w:p>
            <w:pPr>
              <w:spacing w:after="0"/>
              <w:rPr>
                <w:sz w:val="12"/>
                <w:szCs w:val="12"/>
                <w:color w:val="auto"/>
              </w:rPr>
            </w:pPr>
          </w:p>
        </w:tc>
        <w:tc>
          <w:tcPr>
            <w:tcW w:w="2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Options, Warrants and</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00" w:type="dxa"/>
            <w:vAlign w:val="bottom"/>
          </w:tcPr>
          <w:p>
            <w:pPr>
              <w:spacing w:after="0"/>
              <w:rPr>
                <w:sz w:val="12"/>
                <w:szCs w:val="12"/>
                <w:color w:val="auto"/>
              </w:rPr>
            </w:pPr>
          </w:p>
        </w:tc>
        <w:tc>
          <w:tcPr>
            <w:tcW w:w="2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Rights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gridSpan w:val="2"/>
            <w:vMerge w:val="continue"/>
          </w:tcPr>
          <w:p>
            <w:pPr>
              <w:spacing w:after="0"/>
              <w:rPr>
                <w:sz w:val="11"/>
                <w:szCs w:val="11"/>
                <w:color w:val="auto"/>
              </w:rPr>
            </w:pPr>
          </w:p>
        </w:tc>
        <w:tc>
          <w:tcPr>
            <w:tcW w:w="230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rPr>
              <w:t>(a)</w:t>
            </w:r>
          </w:p>
        </w:tc>
        <w:tc>
          <w:tcPr>
            <w:tcW w:w="200" w:type="dxa"/>
            <w:vAlign w:val="bottom"/>
          </w:tcPr>
          <w:p>
            <w:pPr>
              <w:spacing w:after="0"/>
              <w:rPr>
                <w:sz w:val="11"/>
                <w:szCs w:val="11"/>
                <w:color w:val="auto"/>
              </w:rPr>
            </w:pPr>
          </w:p>
        </w:tc>
        <w:tc>
          <w:tcPr>
            <w:tcW w:w="220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w w:val="96"/>
              </w:rPr>
              <w:t>(b)</w:t>
            </w:r>
          </w:p>
        </w:tc>
        <w:tc>
          <w:tcPr>
            <w:tcW w:w="25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(c)</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Equity compensation plans approved by security</w:t>
            </w:r>
          </w:p>
        </w:tc>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31,721,568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21"/>
                <w:szCs w:val="21"/>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43,297,637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Arial" w:cs="Arial" w:eastAsia="Arial" w:hAnsi="Arial"/>
                <w:sz w:val="18"/>
                <w:szCs w:val="18"/>
                <w:color w:val="auto"/>
                <w:w w:val="94"/>
              </w:rPr>
              <w:t>Equity compensation plans not approved by security</w:t>
            </w: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2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9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31,721,568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43,297,637</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Consolidated Financial Statement Schedules</w:t>
      </w:r>
    </w:p>
    <w:p>
      <w:pPr>
        <w:spacing w:after="0" w:line="229"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listed in the Index to Consolidated Financial Statements are filed as part of this Form.</w:t>
      </w:r>
    </w:p>
    <w:p>
      <w:pPr>
        <w:spacing w:after="0" w:line="225"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 Schedules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Additions Charged to</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Additions Charged to</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Balance</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Costs and Expenses</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 xml:space="preserve">Accounts </w:t>
            </w:r>
            <w:r>
              <w:rPr>
                <w:rFonts w:ascii="Arial" w:cs="Arial" w:eastAsia="Arial" w:hAnsi="Arial"/>
                <w:sz w:val="17"/>
                <w:szCs w:val="17"/>
                <w:b w:val="1"/>
                <w:bCs w:val="1"/>
                <w:color w:val="auto"/>
                <w:w w:val="85"/>
                <w:vertAlign w:val="superscript"/>
              </w:rPr>
              <w:t>(1)</w:t>
            </w: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Year ended December 31, 2022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Year ended December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Year ended December 31,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Year ended December 31, 2022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780.4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Year ended December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Year ended December 31,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91" w:lineRule="exact"/>
        <w:rPr>
          <w:sz w:val="20"/>
          <w:szCs w:val="20"/>
          <w:color w:val="auto"/>
        </w:rPr>
      </w:pPr>
    </w:p>
    <w:p>
      <w:pPr>
        <w:ind w:left="640" w:hanging="308"/>
        <w:spacing w:after="0"/>
        <w:tabs>
          <w:tab w:leader="none" w:pos="640" w:val="left"/>
        </w:tabs>
        <w:numPr>
          <w:ilvl w:val="1"/>
          <w:numId w:val="80"/>
        </w:numPr>
        <w:rPr>
          <w:rFonts w:ascii="Arial" w:cs="Arial" w:eastAsia="Arial" w:hAnsi="Arial"/>
          <w:sz w:val="23"/>
          <w:szCs w:val="23"/>
          <w:color w:val="auto"/>
          <w:vertAlign w:val="superscript"/>
        </w:rPr>
      </w:pPr>
      <w:r>
        <w:rPr>
          <w:rFonts w:ascii="Arial" w:cs="Arial" w:eastAsia="Arial" w:hAnsi="Arial"/>
          <w:sz w:val="18"/>
          <w:szCs w:val="18"/>
          <w:color w:val="auto"/>
        </w:rPr>
        <w:t>These amounts include opening balances of the Upjohn Business acquired in the Combination.</w:t>
      </w:r>
    </w:p>
    <w:p>
      <w:pPr>
        <w:spacing w:after="0" w:line="336"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gridSpan w:val="2"/>
          </w:tcPr>
          <w:p>
            <w:pPr>
              <w:spacing w:after="0"/>
              <w:rPr>
                <w:rFonts w:ascii="Arial" w:cs="Arial" w:eastAsia="Arial" w:hAnsi="Arial"/>
                <w:sz w:val="18"/>
                <w:szCs w:val="18"/>
                <w:color w:val="0000FF"/>
              </w:rPr>
            </w:pPr>
            <w:hyperlink r:id="rId182">
              <w:r>
                <w:rPr>
                  <w:rFonts w:ascii="Arial" w:cs="Arial" w:eastAsia="Arial" w:hAnsi="Arial"/>
                  <w:sz w:val="18"/>
                  <w:szCs w:val="18"/>
                  <w:color w:val="0000FF"/>
                </w:rPr>
                <w:t>2.</w:t>
              </w:r>
              <w:r>
                <w:rPr>
                  <w:rFonts w:ascii="Arial" w:cs="Arial" w:eastAsia="Arial" w:hAnsi="Arial"/>
                  <w:sz w:val="18"/>
                  <w:szCs w:val="18"/>
                  <w:u w:val="single" w:color="auto"/>
                  <w:color w:val="0000FF"/>
                </w:rPr>
                <w:t>1(a)</w:t>
              </w:r>
            </w:hyperlink>
          </w:p>
        </w:tc>
        <w:tc>
          <w:tcPr>
            <w:tcW w:w="9620" w:type="dxa"/>
            <w:vAlign w:val="bottom"/>
          </w:tcPr>
          <w:p>
            <w:pPr>
              <w:ind w:left="400"/>
              <w:spacing w:after="0"/>
              <w:rPr>
                <w:sz w:val="20"/>
                <w:szCs w:val="20"/>
                <w:color w:val="auto"/>
              </w:rPr>
            </w:pPr>
            <w:r>
              <w:rPr>
                <w:rFonts w:ascii="Arial" w:cs="Arial" w:eastAsia="Arial" w:hAnsi="Arial"/>
                <w:sz w:val="18"/>
                <w:szCs w:val="18"/>
                <w:color w:val="212529"/>
                <w:w w:val="91"/>
              </w:rPr>
              <w:t>Business Combination Agreement, dated as of July 29, 2019, by and among Pfizer Inc., Upjohn Inc., Utah Acquisition Sub Inc.,</w:t>
            </w:r>
          </w:p>
        </w:tc>
      </w:tr>
      <w:tr>
        <w:trPr>
          <w:trHeight w:val="155"/>
        </w:trPr>
        <w:tc>
          <w:tcPr>
            <w:tcW w:w="4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9620" w:type="dxa"/>
            <w:vAlign w:val="bottom"/>
          </w:tcPr>
          <w:p>
            <w:pPr>
              <w:ind w:left="400"/>
              <w:spacing w:after="0" w:line="156" w:lineRule="exact"/>
              <w:rPr>
                <w:sz w:val="20"/>
                <w:szCs w:val="20"/>
                <w:color w:val="auto"/>
              </w:rPr>
            </w:pPr>
            <w:r>
              <w:rPr>
                <w:rFonts w:ascii="Arial" w:cs="Arial" w:eastAsia="Arial" w:hAnsi="Arial"/>
                <w:sz w:val="18"/>
                <w:szCs w:val="18"/>
                <w:color w:val="auto"/>
                <w:w w:val="93"/>
              </w:rPr>
              <w:t xml:space="preserve">Mylan N.V., </w:t>
            </w:r>
            <w:r>
              <w:rPr>
                <w:rFonts w:ascii="Arial" w:cs="Arial" w:eastAsia="Arial" w:hAnsi="Arial"/>
                <w:sz w:val="18"/>
                <w:szCs w:val="18"/>
                <w:color w:val="212529"/>
                <w:w w:val="93"/>
              </w:rPr>
              <w:t>Mylan I B.V. and Mylan II B.V.,</w:t>
            </w:r>
            <w:r>
              <w:rPr>
                <w:rFonts w:ascii="Arial" w:cs="Arial" w:eastAsia="Arial" w:hAnsi="Arial"/>
                <w:sz w:val="18"/>
                <w:szCs w:val="18"/>
                <w:color w:val="auto"/>
                <w:w w:val="93"/>
              </w:rPr>
              <w:t xml:space="preserve"> included as Annex A to the Information Statement included as Exhibit 99.1 to the</w:t>
            </w:r>
          </w:p>
        </w:tc>
      </w:tr>
      <w:tr>
        <w:trPr>
          <w:trHeight w:val="230"/>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tcPr>
          <w:p>
            <w:pPr>
              <w:ind w:left="400"/>
              <w:spacing w:after="0"/>
              <w:rPr>
                <w:sz w:val="20"/>
                <w:szCs w:val="20"/>
                <w:color w:val="auto"/>
              </w:rPr>
            </w:pPr>
            <w:r>
              <w:rPr>
                <w:rFonts w:ascii="Arial" w:cs="Arial" w:eastAsia="Arial" w:hAnsi="Arial"/>
                <w:sz w:val="18"/>
                <w:szCs w:val="18"/>
                <w:color w:val="auto"/>
              </w:rPr>
              <w:t>Report on Form 8-K filed by Upjohn Inc. with the SEC on August 6, 2020, and incorporated herein by reference.</w:t>
            </w:r>
            <w:r>
              <w:rPr>
                <w:rFonts w:ascii="Arial" w:cs="Arial" w:eastAsia="Arial" w:hAnsi="Arial"/>
                <w:sz w:val="18"/>
                <w:szCs w:val="18"/>
                <w:color w:val="212529"/>
              </w:rPr>
              <w:t>^</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41" w:lineRule="exact"/>
        <w:rPr>
          <w:sz w:val="20"/>
          <w:szCs w:val="20"/>
          <w:color w:val="auto"/>
        </w:rPr>
      </w:pPr>
    </w:p>
    <w:p>
      <w:pPr>
        <w:ind w:left="20"/>
        <w:spacing w:after="0"/>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2.1(b)</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2.2(a)</w:t>
        </w:r>
      </w:hyperlink>
    </w:p>
    <w:p>
      <w:pPr>
        <w:spacing w:after="0" w:line="235" w:lineRule="exact"/>
        <w:rPr>
          <w:sz w:val="20"/>
          <w:szCs w:val="20"/>
          <w:color w:val="auto"/>
        </w:rPr>
      </w:pPr>
    </w:p>
    <w:p>
      <w:pPr>
        <w:ind w:left="20"/>
        <w:spacing w:after="0"/>
        <w:rPr>
          <w:rFonts w:ascii="Arial" w:cs="Arial" w:eastAsia="Arial" w:hAnsi="Arial"/>
          <w:sz w:val="16"/>
          <w:szCs w:val="16"/>
          <w:u w:val="single" w:color="auto"/>
          <w:color w:val="0000FF"/>
        </w:rPr>
      </w:pPr>
      <w:hyperlink r:id="rId185">
        <w:r>
          <w:rPr>
            <w:rFonts w:ascii="Arial" w:cs="Arial" w:eastAsia="Arial" w:hAnsi="Arial"/>
            <w:sz w:val="16"/>
            <w:szCs w:val="16"/>
            <w:u w:val="single" w:color="auto"/>
            <w:color w:val="0000FF"/>
          </w:rPr>
          <w:t>2.2(b)</w:t>
        </w:r>
      </w:hyperlink>
    </w:p>
    <w:p>
      <w:pPr>
        <w:spacing w:after="0" w:line="200" w:lineRule="exact"/>
        <w:rPr>
          <w:sz w:val="20"/>
          <w:szCs w:val="20"/>
          <w:color w:val="auto"/>
        </w:rPr>
      </w:pPr>
    </w:p>
    <w:p>
      <w:pPr>
        <w:spacing w:after="0" w:line="291" w:lineRule="exact"/>
        <w:rPr>
          <w:sz w:val="20"/>
          <w:szCs w:val="20"/>
          <w:color w:val="auto"/>
        </w:rPr>
      </w:pPr>
    </w:p>
    <w:p>
      <w:pPr>
        <w:ind w:left="20"/>
        <w:spacing w:after="0"/>
        <w:rPr>
          <w:rFonts w:ascii="Arial" w:cs="Arial" w:eastAsia="Arial" w:hAnsi="Arial"/>
          <w:sz w:val="17"/>
          <w:szCs w:val="17"/>
          <w:u w:val="single" w:color="auto"/>
          <w:color w:val="0000FF"/>
        </w:rPr>
      </w:pPr>
      <w:hyperlink r:id="rId186">
        <w:r>
          <w:rPr>
            <w:rFonts w:ascii="Arial" w:cs="Arial" w:eastAsia="Arial" w:hAnsi="Arial"/>
            <w:sz w:val="17"/>
            <w:szCs w:val="17"/>
            <w:u w:val="single" w:color="auto"/>
            <w:color w:val="0000FF"/>
          </w:rPr>
          <w:t>2.2(c)</w:t>
        </w:r>
      </w:hyperlink>
    </w:p>
    <w:p>
      <w:pPr>
        <w:spacing w:after="0" w:line="399" w:lineRule="exact"/>
        <w:rPr>
          <w:sz w:val="20"/>
          <w:szCs w:val="20"/>
          <w:color w:val="auto"/>
        </w:rPr>
      </w:pPr>
    </w:p>
    <w:p>
      <w:pPr>
        <w:ind w:left="20"/>
        <w:spacing w:after="0"/>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2.2(d)</w:t>
        </w:r>
      </w:hyperlink>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680"/>
        <w:spacing w:after="0" w:line="249" w:lineRule="auto"/>
        <w:rPr>
          <w:sz w:val="20"/>
          <w:szCs w:val="20"/>
          <w:color w:val="auto"/>
        </w:rPr>
      </w:pPr>
      <w:r>
        <w:rPr>
          <w:rFonts w:ascii="Arial" w:cs="Arial" w:eastAsia="Arial" w:hAnsi="Arial"/>
          <w:sz w:val="18"/>
          <w:szCs w:val="18"/>
          <w:color w:val="212529"/>
        </w:rPr>
        <w:t xml:space="preserve">Amendment No. 1, dated as of May 29, 2020, to the Business Combination Agreement, dated as of July 29, 2019, by and among Pfizer Inc., Upjohn Inc., Utah Acquisition Sub Inc., Mylan N.V., Mylan I B.V. and Mylan II B.V., included as Annex B to the Information Statement </w:t>
      </w:r>
      <w:r>
        <w:rPr>
          <w:rFonts w:ascii="Arial" w:cs="Arial" w:eastAsia="Arial" w:hAnsi="Arial"/>
          <w:sz w:val="18"/>
          <w:szCs w:val="18"/>
          <w:color w:val="000000"/>
        </w:rPr>
        <w:t>included as Exhibit</w:t>
      </w:r>
      <w:r>
        <w:rPr>
          <w:rFonts w:ascii="Arial" w:cs="Arial" w:eastAsia="Arial" w:hAnsi="Arial"/>
          <w:sz w:val="18"/>
          <w:szCs w:val="18"/>
          <w:color w:val="212529"/>
        </w:rPr>
        <w:t xml:space="preserve"> 99.1 </w:t>
      </w:r>
      <w:r>
        <w:rPr>
          <w:rFonts w:ascii="Arial" w:cs="Arial" w:eastAsia="Arial" w:hAnsi="Arial"/>
          <w:sz w:val="18"/>
          <w:szCs w:val="18"/>
          <w:color w:val="000000"/>
        </w:rPr>
        <w:t>to the Report on Form 8-K filed by Upjohn Inc. with the SEC on</w:t>
      </w:r>
      <w:r>
        <w:rPr>
          <w:rFonts w:ascii="Arial" w:cs="Arial" w:eastAsia="Arial" w:hAnsi="Arial"/>
          <w:sz w:val="18"/>
          <w:szCs w:val="18"/>
          <w:color w:val="212529"/>
        </w:rPr>
        <w:t xml:space="preserve"> August 6, 2020, </w:t>
      </w:r>
      <w:r>
        <w:rPr>
          <w:rFonts w:ascii="Arial" w:cs="Arial" w:eastAsia="Arial" w:hAnsi="Arial"/>
          <w:sz w:val="18"/>
          <w:szCs w:val="18"/>
          <w:color w:val="000000"/>
        </w:rPr>
        <w:t>and incorporated herein by reference</w:t>
      </w:r>
      <w:r>
        <w:rPr>
          <w:rFonts w:ascii="Arial" w:cs="Arial" w:eastAsia="Arial" w:hAnsi="Arial"/>
          <w:sz w:val="18"/>
          <w:szCs w:val="18"/>
          <w:color w:val="212529"/>
        </w:rPr>
        <w:t>.</w:t>
      </w:r>
      <w:r>
        <w:rPr>
          <w:rFonts w:ascii="Arial" w:cs="Arial" w:eastAsia="Arial" w:hAnsi="Arial"/>
          <w:sz w:val="18"/>
          <w:szCs w:val="18"/>
          <w:color w:val="000000"/>
        </w:rPr>
        <w:t>^</w:t>
      </w:r>
    </w:p>
    <w:p>
      <w:pPr>
        <w:spacing w:after="0" w:line="5"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color w:val="auto"/>
        </w:rPr>
        <w:t>Separation and Distribution Agreement, dated as of July 29, 2019, by and between Pfizer Inc. and Upjohn Inc., filed as Exhibit 2.2 to the Report on Form 8-K filed by Mylan N.V. with the SEC on July 29, 2019, and incorporated herein by reference.^</w:t>
      </w:r>
    </w:p>
    <w:p>
      <w:pPr>
        <w:ind w:right="420"/>
        <w:spacing w:after="0" w:line="255" w:lineRule="auto"/>
        <w:rPr>
          <w:sz w:val="20"/>
          <w:szCs w:val="20"/>
          <w:color w:val="auto"/>
        </w:rPr>
      </w:pPr>
      <w:r>
        <w:rPr>
          <w:rFonts w:ascii="Arial" w:cs="Arial" w:eastAsia="Arial" w:hAnsi="Arial"/>
          <w:sz w:val="18"/>
          <w:szCs w:val="18"/>
          <w:color w:val="auto"/>
        </w:rPr>
        <w:t xml:space="preserve">Amendment No. 1, dated as of February 18, 2020, to the Separation and Distribution Agreement, dated as of July 29, 2019, by and between Pfizer Inc. and Upjohn Inc., </w:t>
      </w:r>
      <w:r>
        <w:rPr>
          <w:rFonts w:ascii="Arial" w:cs="Arial" w:eastAsia="Arial" w:hAnsi="Arial"/>
          <w:sz w:val="18"/>
          <w:szCs w:val="18"/>
          <w:color w:val="212529"/>
        </w:rPr>
        <w:t>filed by Mylan N.V. as Exhibit 2.1 to the Form 10-Q</w:t>
      </w:r>
      <w:r>
        <w:rPr>
          <w:rFonts w:ascii="Arial" w:cs="Arial" w:eastAsia="Arial" w:hAnsi="Arial"/>
          <w:sz w:val="18"/>
          <w:szCs w:val="18"/>
          <w:color w:val="auto"/>
        </w:rPr>
        <w:t xml:space="preserve"> for the quarter ended March 31, 2020</w:t>
      </w:r>
      <w:r>
        <w:rPr>
          <w:rFonts w:ascii="Arial" w:cs="Arial" w:eastAsia="Arial" w:hAnsi="Arial"/>
          <w:sz w:val="18"/>
          <w:szCs w:val="18"/>
          <w:color w:val="212529"/>
        </w:rPr>
        <w:t>,</w:t>
      </w:r>
      <w:r>
        <w:rPr>
          <w:rFonts w:ascii="Arial" w:cs="Arial" w:eastAsia="Arial" w:hAnsi="Arial"/>
          <w:sz w:val="18"/>
          <w:szCs w:val="18"/>
          <w:color w:val="auto"/>
        </w:rPr>
        <w:t xml:space="preserve"> and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Amendment No. 2, dated as of May 29, 2020, to the Separation and Distribution Agreement, dated as of July 29, 2019, by and</w:t>
      </w:r>
    </w:p>
    <w:p>
      <w:pPr>
        <w:spacing w:after="0" w:line="10" w:lineRule="exact"/>
        <w:rPr>
          <w:sz w:val="20"/>
          <w:szCs w:val="20"/>
          <w:color w:val="auto"/>
        </w:rPr>
      </w:pPr>
    </w:p>
    <w:p>
      <w:pPr>
        <w:ind w:right="680"/>
        <w:spacing w:after="0" w:line="226" w:lineRule="auto"/>
        <w:rPr>
          <w:sz w:val="20"/>
          <w:szCs w:val="20"/>
          <w:color w:val="auto"/>
        </w:rPr>
      </w:pPr>
      <w:r>
        <w:rPr>
          <w:rFonts w:ascii="Arial" w:cs="Arial" w:eastAsia="Arial" w:hAnsi="Arial"/>
          <w:sz w:val="18"/>
          <w:szCs w:val="18"/>
          <w:color w:val="auto"/>
        </w:rPr>
        <w:t>between Pfizer Inc. and Upjohn Inc., filed as Exhibit 2.2 to the Report on Form 8-K filed by Mylan N.V. with the SEC on June 1, 2020, and incorporated herein by reference. ^</w:t>
      </w:r>
    </w:p>
    <w:p>
      <w:pPr>
        <w:spacing w:after="0" w:line="13"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Amendment No. 3, dated as of September 18, 2020, to the Separation and Distribution Agreement, dated as of July 29, 2019, by and between Pfizer Inc. and Upjohn Inc., filed as Exhibit 2.6 to the Report on Form 8-K filed by Viatris Inc. with the SEC on November 19, 2020, and incorporated herein by reference. ^</w:t>
      </w:r>
    </w:p>
    <w:p>
      <w:pPr>
        <w:spacing w:after="0" w:line="200" w:lineRule="exact"/>
        <w:rPr>
          <w:sz w:val="20"/>
          <w:szCs w:val="20"/>
          <w:color w:val="auto"/>
        </w:rPr>
      </w:pPr>
    </w:p>
    <w:p>
      <w:pPr>
        <w:sectPr>
          <w:pgSz w:w="11900" w:h="16838" w:orient="portrait"/>
          <w:cols w:equalWidth="0" w:num="2">
            <w:col w:w="540" w:space="720"/>
            <w:col w:w="9980"/>
          </w:cols>
          <w:pgMar w:left="320" w:top="125"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2.2(e)</w:t>
        </w:r>
      </w:hyperlink>
    </w:p>
    <w:p>
      <w:pPr>
        <w:spacing w:after="0" w:line="200" w:lineRule="exact"/>
        <w:rPr>
          <w:sz w:val="20"/>
          <w:szCs w:val="20"/>
          <w:color w:val="auto"/>
        </w:rPr>
      </w:pPr>
    </w:p>
    <w:p>
      <w:pPr>
        <w:spacing w:after="0" w:line="291" w:lineRule="exact"/>
        <w:rPr>
          <w:sz w:val="20"/>
          <w:szCs w:val="20"/>
          <w:color w:val="auto"/>
        </w:rPr>
      </w:pPr>
    </w:p>
    <w:p>
      <w:pPr>
        <w:ind w:left="20"/>
        <w:spacing w:after="0"/>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2.3(a)</w:t>
        </w:r>
      </w:hyperlink>
    </w:p>
    <w:p>
      <w:pPr>
        <w:spacing w:after="0" w:line="289" w:lineRule="exact"/>
        <w:rPr>
          <w:sz w:val="20"/>
          <w:szCs w:val="20"/>
          <w:color w:val="auto"/>
        </w:rPr>
      </w:pPr>
    </w:p>
    <w:p>
      <w:pPr>
        <w:ind w:left="20"/>
        <w:spacing w:after="0"/>
        <w:rPr>
          <w:rFonts w:ascii="Arial" w:cs="Arial" w:eastAsia="Arial" w:hAnsi="Arial"/>
          <w:sz w:val="16"/>
          <w:szCs w:val="16"/>
          <w:u w:val="single" w:color="auto"/>
          <w:color w:val="0000FF"/>
        </w:rPr>
      </w:pPr>
      <w:hyperlink r:id="rId191">
        <w:r>
          <w:rPr>
            <w:rFonts w:ascii="Arial" w:cs="Arial" w:eastAsia="Arial" w:hAnsi="Arial"/>
            <w:sz w:val="16"/>
            <w:szCs w:val="16"/>
            <w:u w:val="single" w:color="auto"/>
            <w:color w:val="0000FF"/>
          </w:rPr>
          <w:t>2.3(b)</w:t>
        </w:r>
      </w:hyperlink>
    </w:p>
    <w:p>
      <w:pPr>
        <w:spacing w:after="0" w:line="200" w:lineRule="exact"/>
        <w:rPr>
          <w:sz w:val="20"/>
          <w:szCs w:val="20"/>
          <w:color w:val="auto"/>
        </w:rPr>
      </w:pPr>
    </w:p>
    <w:p>
      <w:pPr>
        <w:spacing w:after="0" w:line="291" w:lineRule="exact"/>
        <w:rPr>
          <w:sz w:val="20"/>
          <w:szCs w:val="20"/>
          <w:color w:val="auto"/>
        </w:rPr>
      </w:pPr>
    </w:p>
    <w:p>
      <w:pPr>
        <w:ind w:left="20"/>
        <w:spacing w:after="0"/>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3.1(a)</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Amendment No. 4, dated as of November 15, 2020, to the Separation and Distribution Agreement, dated as of July 29, 2019, by and between Pfizer Inc. and Upjohn Inc., filed as Exhibit 2.7 to the Report on Form 8-K filed by Viatris Inc. with the SEC on November 19, 2020, and incorporated herein by reference. ^</w:t>
      </w:r>
    </w:p>
    <w:p>
      <w:pPr>
        <w:spacing w:after="0" w:line="33" w:lineRule="exact"/>
        <w:rPr>
          <w:sz w:val="20"/>
          <w:szCs w:val="20"/>
          <w:color w:val="auto"/>
        </w:rPr>
      </w:pPr>
    </w:p>
    <w:p>
      <w:pPr>
        <w:ind w:right="420"/>
        <w:spacing w:after="0" w:line="308" w:lineRule="auto"/>
        <w:rPr>
          <w:sz w:val="20"/>
          <w:szCs w:val="20"/>
          <w:color w:val="auto"/>
        </w:rPr>
      </w:pPr>
      <w:r>
        <w:rPr>
          <w:rFonts w:ascii="Arial" w:cs="Arial" w:eastAsia="Arial" w:hAnsi="Arial"/>
          <w:sz w:val="16"/>
          <w:szCs w:val="16"/>
          <w:color w:val="auto"/>
        </w:rPr>
        <w:t>Transaction Agreement, dated as of February 27, 2022, by and among Biocon Biologics Limited and Viatris Inc., filed as Exhibit 2.1 to the Report on Form 8-K filed by Viatris Inc. with the SEC on February 28, 2022, and incorporated herein by reference.^</w:t>
      </w:r>
    </w:p>
    <w:p>
      <w:pPr>
        <w:ind w:right="420"/>
        <w:spacing w:after="0" w:line="248" w:lineRule="auto"/>
        <w:rPr>
          <w:sz w:val="20"/>
          <w:szCs w:val="20"/>
          <w:color w:val="auto"/>
        </w:rPr>
      </w:pPr>
      <w:r>
        <w:rPr>
          <w:rFonts w:ascii="Arial" w:cs="Arial" w:eastAsia="Arial" w:hAnsi="Arial"/>
          <w:sz w:val="18"/>
          <w:szCs w:val="18"/>
          <w:color w:val="auto"/>
        </w:rPr>
        <w:t>Amendment No. 1 to Transaction Agreement, dated as of November 28, 2022, by and between Biocon Biologics Limited and Viatris Inc., filed as Exhibit 2.1 to the Report on Form 8-K filed by Viatris Inc. with the SEC on November 29, 2022, and incorporated herein by reference.^</w:t>
      </w:r>
    </w:p>
    <w:p>
      <w:pPr>
        <w:spacing w:after="0" w:line="20" w:lineRule="exact"/>
        <w:rPr>
          <w:sz w:val="20"/>
          <w:szCs w:val="20"/>
          <w:color w:val="auto"/>
        </w:rPr>
      </w:pPr>
    </w:p>
    <w:p>
      <w:pPr>
        <w:ind w:right="700"/>
        <w:spacing w:after="0" w:line="256" w:lineRule="auto"/>
        <w:rPr>
          <w:sz w:val="20"/>
          <w:szCs w:val="20"/>
          <w:color w:val="auto"/>
        </w:rPr>
      </w:pPr>
      <w:r>
        <w:rPr>
          <w:rFonts w:ascii="Arial" w:cs="Arial" w:eastAsia="Arial" w:hAnsi="Arial"/>
          <w:sz w:val="17"/>
          <w:szCs w:val="17"/>
          <w:color w:val="auto"/>
        </w:rPr>
        <w:t>Amended and Restated Certificate of Incorporation of Upjohn Inc., effective as of November 13, 2020, filed as Exhibit 3.1 to the Report on Form 8-K filed by Viatris Inc. with the SEC on November 19, 2020, and incorporated herein by reference.</w:t>
      </w:r>
    </w:p>
    <w:p>
      <w:pPr>
        <w:spacing w:after="0" w:line="1" w:lineRule="exact"/>
        <w:rPr>
          <w:sz w:val="20"/>
          <w:szCs w:val="20"/>
          <w:color w:val="auto"/>
        </w:rPr>
      </w:pPr>
    </w:p>
    <w:p>
      <w:pPr>
        <w:sectPr>
          <w:pgSz w:w="11900" w:h="16838" w:orient="portrait"/>
          <w:cols w:equalWidth="0" w:num="2">
            <w:col w:w="540" w:space="720"/>
            <w:col w:w="99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840" w:type="dxa"/>
            <w:vAlign w:val="bottom"/>
            <w:gridSpan w:val="3"/>
          </w:tcPr>
          <w:p>
            <w:pPr>
              <w:spacing w:after="0" w:line="191" w:lineRule="exact"/>
              <w:rPr>
                <w:rFonts w:ascii="Arial" w:cs="Arial" w:eastAsia="Arial" w:hAnsi="Arial"/>
                <w:sz w:val="18"/>
                <w:szCs w:val="18"/>
                <w:color w:val="0000FF"/>
              </w:rPr>
            </w:pPr>
            <w:hyperlink r:id="rId193">
              <w:r>
                <w:rPr>
                  <w:rFonts w:ascii="Arial" w:cs="Arial" w:eastAsia="Arial" w:hAnsi="Arial"/>
                  <w:sz w:val="18"/>
                  <w:szCs w:val="18"/>
                  <w:color w:val="0000FF"/>
                </w:rPr>
                <w:t>3.</w:t>
              </w:r>
              <w:r>
                <w:rPr>
                  <w:rFonts w:ascii="Arial" w:cs="Arial" w:eastAsia="Arial" w:hAnsi="Arial"/>
                  <w:sz w:val="18"/>
                  <w:szCs w:val="18"/>
                  <w:u w:val="single" w:color="auto"/>
                  <w:color w:val="0000FF"/>
                </w:rPr>
                <w:t>1(b)</w:t>
              </w:r>
            </w:hyperlink>
          </w:p>
        </w:tc>
        <w:tc>
          <w:tcPr>
            <w:tcW w:w="10380" w:type="dxa"/>
            <w:vAlign w:val="bottom"/>
          </w:tcPr>
          <w:p>
            <w:pPr>
              <w:ind w:left="400"/>
              <w:spacing w:after="0" w:line="191" w:lineRule="exact"/>
              <w:rPr>
                <w:sz w:val="20"/>
                <w:szCs w:val="20"/>
                <w:color w:val="auto"/>
              </w:rPr>
            </w:pPr>
            <w:r>
              <w:rPr>
                <w:rFonts w:ascii="Arial" w:cs="Arial" w:eastAsia="Arial" w:hAnsi="Arial"/>
                <w:sz w:val="18"/>
                <w:szCs w:val="18"/>
                <w:color w:val="auto"/>
                <w:w w:val="97"/>
              </w:rPr>
              <w:t>Certificate of Amendment to the Amended and Restated Certificate of Incorporation of Upjohn Inc., effective as of November 16,</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0380" w:type="dxa"/>
            <w:vAlign w:val="bottom"/>
          </w:tcPr>
          <w:p>
            <w:pPr>
              <w:ind w:left="400"/>
              <w:spacing w:after="0" w:line="142" w:lineRule="exact"/>
              <w:rPr>
                <w:sz w:val="20"/>
                <w:szCs w:val="20"/>
                <w:color w:val="auto"/>
              </w:rPr>
            </w:pPr>
            <w:r>
              <w:rPr>
                <w:rFonts w:ascii="Arial" w:cs="Arial" w:eastAsia="Arial" w:hAnsi="Arial"/>
                <w:sz w:val="16"/>
                <w:szCs w:val="16"/>
                <w:color w:val="auto"/>
              </w:rPr>
              <w:t>2020, filed as Exhibit 3.3 to the Report on Form 8-K filed by Viatris Inc. with the SEC on November 19, 2020, and incorporated</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herein by reference.</w:t>
            </w:r>
          </w:p>
        </w:tc>
      </w:tr>
      <w:tr>
        <w:trPr>
          <w:trHeight w:val="202"/>
        </w:trPr>
        <w:tc>
          <w:tcPr>
            <w:tcW w:w="460" w:type="dxa"/>
            <w:vAlign w:val="bottom"/>
            <w:gridSpan w:val="3"/>
          </w:tcPr>
          <w:p>
            <w:pPr>
              <w:ind w:left="20"/>
              <w:spacing w:after="0" w:line="201" w:lineRule="exact"/>
              <w:rPr>
                <w:rFonts w:ascii="Arial" w:cs="Arial" w:eastAsia="Arial" w:hAnsi="Arial"/>
                <w:sz w:val="18"/>
                <w:szCs w:val="18"/>
                <w:color w:val="0000FF"/>
              </w:rPr>
            </w:pPr>
            <w:hyperlink r:id="rId19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00" w:type="dxa"/>
            <w:vAlign w:val="bottom"/>
          </w:tcPr>
          <w:p>
            <w:pPr>
              <w:spacing w:after="0"/>
              <w:rPr>
                <w:sz w:val="17"/>
                <w:szCs w:val="17"/>
                <w:color w:val="auto"/>
              </w:rPr>
            </w:pPr>
          </w:p>
        </w:tc>
        <w:tc>
          <w:tcPr>
            <w:tcW w:w="10380" w:type="dxa"/>
            <w:vAlign w:val="bottom"/>
          </w:tcPr>
          <w:p>
            <w:pPr>
              <w:ind w:left="400"/>
              <w:spacing w:after="0" w:line="201" w:lineRule="exact"/>
              <w:rPr>
                <w:sz w:val="20"/>
                <w:szCs w:val="20"/>
                <w:color w:val="auto"/>
              </w:rPr>
            </w:pPr>
            <w:r>
              <w:rPr>
                <w:rFonts w:ascii="Arial" w:cs="Arial" w:eastAsia="Arial" w:hAnsi="Arial"/>
                <w:sz w:val="18"/>
                <w:szCs w:val="18"/>
                <w:color w:val="auto"/>
                <w:w w:val="98"/>
              </w:rPr>
              <w:t>Amended and Restated Bylaws of Viatris Inc., effective as of November 16, 2020, filed as Exhibit 3.2 to Form 10-K for the fiscal</w:t>
            </w: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year ended December 31, 2020, and incorporated herein by reference.</w:t>
            </w:r>
          </w:p>
        </w:tc>
      </w:tr>
      <w:tr>
        <w:trPr>
          <w:trHeight w:val="459"/>
        </w:trPr>
        <w:tc>
          <w:tcPr>
            <w:tcW w:w="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FF"/>
              </w:rPr>
            </w:pPr>
            <w:hyperlink r:id="rId195">
              <w:r>
                <w:rPr>
                  <w:rFonts w:ascii="Arial" w:cs="Arial" w:eastAsia="Arial" w:hAnsi="Arial"/>
                  <w:sz w:val="18"/>
                  <w:szCs w:val="18"/>
                  <w:color w:val="0000FF"/>
                </w:rPr>
                <w:t>4.</w:t>
              </w:r>
              <w:r>
                <w:rPr>
                  <w:rFonts w:ascii="Arial" w:cs="Arial" w:eastAsia="Arial" w:hAnsi="Arial"/>
                  <w:sz w:val="18"/>
                  <w:szCs w:val="18"/>
                  <w:u w:val="single" w:color="auto"/>
                  <w:color w:val="0000FF"/>
                </w:rPr>
                <w:t>1(a)</w:t>
              </w:r>
            </w:hyperlink>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Indenture, dated December 21, 2012, between and among Mylan Inc., as issuer, the guarantors named therein, and The Bank of New</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0380" w:type="dxa"/>
            <w:vAlign w:val="bottom"/>
          </w:tcPr>
          <w:p>
            <w:pPr>
              <w:ind w:left="400"/>
              <w:spacing w:after="0" w:line="142" w:lineRule="exact"/>
              <w:rPr>
                <w:sz w:val="20"/>
                <w:szCs w:val="20"/>
                <w:color w:val="auto"/>
              </w:rPr>
            </w:pPr>
            <w:r>
              <w:rPr>
                <w:rFonts w:ascii="Arial" w:cs="Arial" w:eastAsia="Arial" w:hAnsi="Arial"/>
                <w:sz w:val="16"/>
                <w:szCs w:val="16"/>
                <w:color w:val="auto"/>
              </w:rPr>
              <w:t>York Mellon, as trustee, filed as Exhibit 4.1 to the Report on Form 8-K filed by Mylan Inc. with the SEC on December 24, 2012, and</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incorporated herein by reference.</w:t>
            </w:r>
          </w:p>
        </w:tc>
      </w:tr>
      <w:tr>
        <w:trPr>
          <w:trHeight w:val="202"/>
        </w:trPr>
        <w:tc>
          <w:tcPr>
            <w:tcW w:w="20" w:type="dxa"/>
            <w:vAlign w:val="bottom"/>
          </w:tcPr>
          <w:p>
            <w:pPr>
              <w:spacing w:after="0"/>
              <w:rPr>
                <w:sz w:val="17"/>
                <w:szCs w:val="17"/>
                <w:color w:val="auto"/>
              </w:rPr>
            </w:pPr>
          </w:p>
        </w:tc>
        <w:tc>
          <w:tcPr>
            <w:tcW w:w="840" w:type="dxa"/>
            <w:vAlign w:val="bottom"/>
            <w:gridSpan w:val="3"/>
          </w:tcPr>
          <w:p>
            <w:pPr>
              <w:spacing w:after="0" w:line="201" w:lineRule="exact"/>
              <w:rPr>
                <w:rFonts w:ascii="Arial" w:cs="Arial" w:eastAsia="Arial" w:hAnsi="Arial"/>
                <w:sz w:val="18"/>
                <w:szCs w:val="18"/>
                <w:color w:val="0000FF"/>
              </w:rPr>
            </w:pPr>
            <w:hyperlink r:id="rId196">
              <w:r>
                <w:rPr>
                  <w:rFonts w:ascii="Arial" w:cs="Arial" w:eastAsia="Arial" w:hAnsi="Arial"/>
                  <w:sz w:val="18"/>
                  <w:szCs w:val="18"/>
                  <w:color w:val="0000FF"/>
                </w:rPr>
                <w:t>4.</w:t>
              </w:r>
              <w:r>
                <w:rPr>
                  <w:rFonts w:ascii="Arial" w:cs="Arial" w:eastAsia="Arial" w:hAnsi="Arial"/>
                  <w:sz w:val="18"/>
                  <w:szCs w:val="18"/>
                  <w:u w:val="single" w:color="auto"/>
                  <w:color w:val="0000FF"/>
                </w:rPr>
                <w:t>1(b)</w:t>
              </w:r>
            </w:hyperlink>
          </w:p>
        </w:tc>
        <w:tc>
          <w:tcPr>
            <w:tcW w:w="10380" w:type="dxa"/>
            <w:vAlign w:val="bottom"/>
          </w:tcPr>
          <w:p>
            <w:pPr>
              <w:ind w:left="400"/>
              <w:spacing w:after="0" w:line="201" w:lineRule="exact"/>
              <w:rPr>
                <w:sz w:val="20"/>
                <w:szCs w:val="20"/>
                <w:color w:val="auto"/>
              </w:rPr>
            </w:pPr>
            <w:r>
              <w:rPr>
                <w:rFonts w:ascii="Arial" w:cs="Arial" w:eastAsia="Arial" w:hAnsi="Arial"/>
                <w:sz w:val="18"/>
                <w:szCs w:val="18"/>
                <w:color w:val="auto"/>
                <w:w w:val="93"/>
              </w:rPr>
              <w:t>First Supplemental Indenture, dated February 27, 2015, between and among Mylan Inc., as issuer, Mylan N.V., as guarantor, and The</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0380" w:type="dxa"/>
            <w:vAlign w:val="bottom"/>
          </w:tcPr>
          <w:p>
            <w:pPr>
              <w:ind w:left="400"/>
              <w:spacing w:after="0" w:line="142" w:lineRule="exact"/>
              <w:rPr>
                <w:sz w:val="20"/>
                <w:szCs w:val="20"/>
                <w:color w:val="auto"/>
              </w:rPr>
            </w:pPr>
            <w:r>
              <w:rPr>
                <w:rFonts w:ascii="Arial" w:cs="Arial" w:eastAsia="Arial" w:hAnsi="Arial"/>
                <w:sz w:val="16"/>
                <w:szCs w:val="16"/>
                <w:color w:val="auto"/>
              </w:rPr>
              <w:t>Bank of New York Mellon, as trustee, to the Indenture, dated December 21, 2012, filed as Exhibit 4.4 to the Report on Form 8-K</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filed by Mylan N.V. with the SEC on February 27, 2015, and incorporated herein by reference.</w:t>
            </w:r>
          </w:p>
        </w:tc>
      </w:tr>
      <w:tr>
        <w:trPr>
          <w:trHeight w:val="202"/>
        </w:trPr>
        <w:tc>
          <w:tcPr>
            <w:tcW w:w="20" w:type="dxa"/>
            <w:vAlign w:val="bottom"/>
          </w:tcPr>
          <w:p>
            <w:pPr>
              <w:spacing w:after="0"/>
              <w:rPr>
                <w:sz w:val="17"/>
                <w:szCs w:val="17"/>
                <w:color w:val="auto"/>
              </w:rPr>
            </w:pPr>
          </w:p>
        </w:tc>
        <w:tc>
          <w:tcPr>
            <w:tcW w:w="840" w:type="dxa"/>
            <w:vAlign w:val="bottom"/>
            <w:gridSpan w:val="3"/>
          </w:tcPr>
          <w:p>
            <w:pPr>
              <w:spacing w:after="0" w:line="201" w:lineRule="exact"/>
              <w:rPr>
                <w:rFonts w:ascii="Arial" w:cs="Arial" w:eastAsia="Arial" w:hAnsi="Arial"/>
                <w:sz w:val="18"/>
                <w:szCs w:val="18"/>
                <w:color w:val="0000FF"/>
              </w:rPr>
            </w:pPr>
            <w:hyperlink r:id="rId197">
              <w:r>
                <w:rPr>
                  <w:rFonts w:ascii="Arial" w:cs="Arial" w:eastAsia="Arial" w:hAnsi="Arial"/>
                  <w:sz w:val="18"/>
                  <w:szCs w:val="18"/>
                  <w:color w:val="0000FF"/>
                </w:rPr>
                <w:t>4.</w:t>
              </w:r>
              <w:r>
                <w:rPr>
                  <w:rFonts w:ascii="Arial" w:cs="Arial" w:eastAsia="Arial" w:hAnsi="Arial"/>
                  <w:sz w:val="18"/>
                  <w:szCs w:val="18"/>
                  <w:u w:val="single" w:color="auto"/>
                  <w:color w:val="0000FF"/>
                </w:rPr>
                <w:t>1(c)</w:t>
              </w:r>
            </w:hyperlink>
          </w:p>
        </w:tc>
        <w:tc>
          <w:tcPr>
            <w:tcW w:w="10380" w:type="dxa"/>
            <w:vAlign w:val="bottom"/>
          </w:tcPr>
          <w:p>
            <w:pPr>
              <w:ind w:left="400"/>
              <w:spacing w:after="0" w:line="201" w:lineRule="exact"/>
              <w:rPr>
                <w:sz w:val="20"/>
                <w:szCs w:val="20"/>
                <w:color w:val="auto"/>
              </w:rPr>
            </w:pPr>
            <w:r>
              <w:rPr>
                <w:rFonts w:ascii="Arial" w:cs="Arial" w:eastAsia="Arial" w:hAnsi="Arial"/>
                <w:sz w:val="18"/>
                <w:szCs w:val="18"/>
                <w:color w:val="auto"/>
                <w:w w:val="95"/>
              </w:rPr>
              <w:t>Second Supplemental Indenture, dated March 12, 2015, between and among Mylan Inc., as issuer, Mylan N.V., as parent, and The</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0380" w:type="dxa"/>
            <w:vAlign w:val="bottom"/>
          </w:tcPr>
          <w:p>
            <w:pPr>
              <w:ind w:left="400"/>
              <w:spacing w:after="0" w:line="142" w:lineRule="exact"/>
              <w:rPr>
                <w:sz w:val="20"/>
                <w:szCs w:val="20"/>
                <w:color w:val="auto"/>
              </w:rPr>
            </w:pPr>
            <w:r>
              <w:rPr>
                <w:rFonts w:ascii="Arial" w:cs="Arial" w:eastAsia="Arial" w:hAnsi="Arial"/>
                <w:sz w:val="16"/>
                <w:szCs w:val="16"/>
                <w:color w:val="auto"/>
              </w:rPr>
              <w:t>Bank of New York Mellon, as trustee, to the Indenture, dated December 21, 2012, filed by Mylan N.V. as Exhibit 4.3(b) to Form 10-</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Q for the quarter ended March 31, 2015, and incorporated herein by reference.</w:t>
            </w:r>
          </w:p>
        </w:tc>
      </w:tr>
      <w:tr>
        <w:trPr>
          <w:trHeight w:val="202"/>
        </w:trPr>
        <w:tc>
          <w:tcPr>
            <w:tcW w:w="20" w:type="dxa"/>
            <w:vAlign w:val="bottom"/>
          </w:tcPr>
          <w:p>
            <w:pPr>
              <w:spacing w:after="0"/>
              <w:rPr>
                <w:sz w:val="17"/>
                <w:szCs w:val="17"/>
                <w:color w:val="auto"/>
              </w:rPr>
            </w:pPr>
          </w:p>
        </w:tc>
        <w:tc>
          <w:tcPr>
            <w:tcW w:w="440" w:type="dxa"/>
            <w:vAlign w:val="bottom"/>
            <w:tcBorders>
              <w:bottom w:val="single" w:sz="8" w:color="0000FF"/>
            </w:tcBorders>
            <w:gridSpan w:val="2"/>
          </w:tcPr>
          <w:p>
            <w:pPr>
              <w:spacing w:after="0" w:line="182" w:lineRule="exact"/>
              <w:rPr>
                <w:rFonts w:ascii="Arial" w:cs="Arial" w:eastAsia="Arial" w:hAnsi="Arial"/>
                <w:sz w:val="18"/>
                <w:szCs w:val="18"/>
                <w:color w:val="0000FF"/>
                <w:w w:val="89"/>
              </w:rPr>
            </w:pPr>
            <w:hyperlink r:id="rId198">
              <w:r>
                <w:rPr>
                  <w:rFonts w:ascii="Arial" w:cs="Arial" w:eastAsia="Arial" w:hAnsi="Arial"/>
                  <w:sz w:val="18"/>
                  <w:szCs w:val="18"/>
                  <w:color w:val="0000FF"/>
                  <w:w w:val="89"/>
                </w:rPr>
                <w:t>4.</w:t>
              </w:r>
              <w:r>
                <w:rPr>
                  <w:rFonts w:ascii="Arial" w:cs="Arial" w:eastAsia="Arial" w:hAnsi="Arial"/>
                  <w:sz w:val="18"/>
                  <w:szCs w:val="18"/>
                  <w:u w:val="single" w:color="auto"/>
                  <w:color w:val="0000FF"/>
                  <w:w w:val="89"/>
                </w:rPr>
                <w:t>1(d)</w:t>
              </w:r>
            </w:hyperlink>
          </w:p>
        </w:tc>
        <w:tc>
          <w:tcPr>
            <w:tcW w:w="400" w:type="dxa"/>
            <w:vAlign w:val="bottom"/>
          </w:tcPr>
          <w:p>
            <w:pPr>
              <w:spacing w:after="0"/>
              <w:rPr>
                <w:sz w:val="17"/>
                <w:szCs w:val="17"/>
                <w:color w:val="auto"/>
              </w:rPr>
            </w:pPr>
          </w:p>
        </w:tc>
        <w:tc>
          <w:tcPr>
            <w:tcW w:w="10380" w:type="dxa"/>
            <w:vAlign w:val="bottom"/>
          </w:tcPr>
          <w:p>
            <w:pPr>
              <w:ind w:left="400"/>
              <w:spacing w:after="0" w:line="201" w:lineRule="exact"/>
              <w:rPr>
                <w:sz w:val="20"/>
                <w:szCs w:val="20"/>
                <w:color w:val="auto"/>
              </w:rPr>
            </w:pPr>
            <w:r>
              <w:rPr>
                <w:rFonts w:ascii="Arial" w:cs="Arial" w:eastAsia="Arial" w:hAnsi="Arial"/>
                <w:sz w:val="18"/>
                <w:szCs w:val="18"/>
                <w:color w:val="auto"/>
                <w:w w:val="95"/>
              </w:rPr>
              <w:t>Third Supplemental Indenture dated November 16, 2020, by and among Mylan Inc., Viatris Inc., Utah Acquisition Sub Inc., Mylan II</w:t>
            </w: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6"/>
              </w:rPr>
              <w:t>B.V. and the Bank of New York Mellon, as trustee, to the Indenture dated December 21, 2012, by and between Mylan Inc. and the</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Bank of New York Mellon, as trustee, filed as Exhibit 4.6 to the Report on Form 8-K/A filed by Viatris Inc. with the SEC on</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November 19, 2020, and incorporated herein by reference.</w:t>
            </w:r>
          </w:p>
        </w:tc>
      </w:tr>
      <w:tr>
        <w:trPr>
          <w:trHeight w:val="203"/>
        </w:trPr>
        <w:tc>
          <w:tcPr>
            <w:tcW w:w="20" w:type="dxa"/>
            <w:vAlign w:val="bottom"/>
          </w:tcPr>
          <w:p>
            <w:pPr>
              <w:spacing w:after="0"/>
              <w:rPr>
                <w:sz w:val="17"/>
                <w:szCs w:val="17"/>
                <w:color w:val="auto"/>
              </w:rPr>
            </w:pPr>
          </w:p>
        </w:tc>
        <w:tc>
          <w:tcPr>
            <w:tcW w:w="840" w:type="dxa"/>
            <w:vAlign w:val="bottom"/>
            <w:gridSpan w:val="3"/>
          </w:tcPr>
          <w:p>
            <w:pPr>
              <w:spacing w:after="0" w:line="202" w:lineRule="exact"/>
              <w:rPr>
                <w:rFonts w:ascii="Arial" w:cs="Arial" w:eastAsia="Arial" w:hAnsi="Arial"/>
                <w:sz w:val="18"/>
                <w:szCs w:val="18"/>
                <w:color w:val="0000FF"/>
              </w:rPr>
            </w:pPr>
            <w:hyperlink r:id="rId199">
              <w:r>
                <w:rPr>
                  <w:rFonts w:ascii="Arial" w:cs="Arial" w:eastAsia="Arial" w:hAnsi="Arial"/>
                  <w:sz w:val="18"/>
                  <w:szCs w:val="18"/>
                  <w:color w:val="0000FF"/>
                </w:rPr>
                <w:t>4.</w:t>
              </w:r>
              <w:r>
                <w:rPr>
                  <w:rFonts w:ascii="Arial" w:cs="Arial" w:eastAsia="Arial" w:hAnsi="Arial"/>
                  <w:sz w:val="18"/>
                  <w:szCs w:val="18"/>
                  <w:u w:val="single" w:color="auto"/>
                  <w:color w:val="0000FF"/>
                </w:rPr>
                <w:t>2(a)</w:t>
              </w:r>
            </w:hyperlink>
          </w:p>
        </w:tc>
        <w:tc>
          <w:tcPr>
            <w:tcW w:w="10380" w:type="dxa"/>
            <w:vAlign w:val="bottom"/>
          </w:tcPr>
          <w:p>
            <w:pPr>
              <w:ind w:left="400"/>
              <w:spacing w:after="0" w:line="202" w:lineRule="exact"/>
              <w:rPr>
                <w:sz w:val="20"/>
                <w:szCs w:val="20"/>
                <w:color w:val="auto"/>
              </w:rPr>
            </w:pPr>
            <w:r>
              <w:rPr>
                <w:rFonts w:ascii="Arial" w:cs="Arial" w:eastAsia="Arial" w:hAnsi="Arial"/>
                <w:sz w:val="18"/>
                <w:szCs w:val="18"/>
                <w:color w:val="auto"/>
                <w:w w:val="96"/>
              </w:rPr>
              <w:t>Indenture, dated November 29, 2013, between Mylan Inc. and The Bank of New York Mellon, as trustee, filed as Exhibit 4.1 to the</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Report on Form 8-K filed by Mylan Inc. with the SEC on November 29, 2013, and incorporated herein by reference.</w:t>
            </w:r>
          </w:p>
        </w:tc>
      </w:tr>
      <w:tr>
        <w:trPr>
          <w:trHeight w:val="190"/>
        </w:trPr>
        <w:tc>
          <w:tcPr>
            <w:tcW w:w="20" w:type="dxa"/>
            <w:vAlign w:val="bottom"/>
          </w:tcPr>
          <w:p>
            <w:pPr>
              <w:spacing w:after="0"/>
              <w:rPr>
                <w:sz w:val="16"/>
                <w:szCs w:val="16"/>
                <w:color w:val="auto"/>
              </w:rPr>
            </w:pPr>
          </w:p>
        </w:tc>
        <w:tc>
          <w:tcPr>
            <w:tcW w:w="840" w:type="dxa"/>
            <w:vAlign w:val="bottom"/>
            <w:gridSpan w:val="3"/>
          </w:tcPr>
          <w:p>
            <w:pPr>
              <w:spacing w:after="0" w:line="190" w:lineRule="exact"/>
              <w:rPr>
                <w:rFonts w:ascii="Arial" w:cs="Arial" w:eastAsia="Arial" w:hAnsi="Arial"/>
                <w:sz w:val="18"/>
                <w:szCs w:val="18"/>
                <w:color w:val="0000FF"/>
              </w:rPr>
            </w:pPr>
            <w:hyperlink r:id="rId200">
              <w:r>
                <w:rPr>
                  <w:rFonts w:ascii="Arial" w:cs="Arial" w:eastAsia="Arial" w:hAnsi="Arial"/>
                  <w:sz w:val="18"/>
                  <w:szCs w:val="18"/>
                  <w:color w:val="0000FF"/>
                </w:rPr>
                <w:t>4.</w:t>
              </w:r>
              <w:r>
                <w:rPr>
                  <w:rFonts w:ascii="Arial" w:cs="Arial" w:eastAsia="Arial" w:hAnsi="Arial"/>
                  <w:sz w:val="18"/>
                  <w:szCs w:val="18"/>
                  <w:u w:val="single" w:color="auto"/>
                  <w:color w:val="0000FF"/>
                </w:rPr>
                <w:t>2(b)</w:t>
              </w:r>
            </w:hyperlink>
          </w:p>
        </w:tc>
        <w:tc>
          <w:tcPr>
            <w:tcW w:w="10380" w:type="dxa"/>
            <w:vAlign w:val="bottom"/>
          </w:tcPr>
          <w:p>
            <w:pPr>
              <w:ind w:left="400"/>
              <w:spacing w:after="0" w:line="190" w:lineRule="exact"/>
              <w:rPr>
                <w:sz w:val="20"/>
                <w:szCs w:val="20"/>
                <w:color w:val="auto"/>
              </w:rPr>
            </w:pPr>
            <w:r>
              <w:rPr>
                <w:rFonts w:ascii="Arial" w:cs="Arial" w:eastAsia="Arial" w:hAnsi="Arial"/>
                <w:sz w:val="18"/>
                <w:szCs w:val="18"/>
                <w:color w:val="auto"/>
                <w:w w:val="94"/>
              </w:rPr>
              <w:t>First Supplemental Indenture, dated November 29, 2013, between Mylan Inc. and The Bank of New York Mellon, as trustee, filed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0380" w:type="dxa"/>
            <w:vAlign w:val="bottom"/>
          </w:tcPr>
          <w:p>
            <w:pPr>
              <w:ind w:left="400"/>
              <w:spacing w:after="0" w:line="142" w:lineRule="exact"/>
              <w:rPr>
                <w:sz w:val="20"/>
                <w:szCs w:val="20"/>
                <w:color w:val="auto"/>
              </w:rPr>
            </w:pPr>
            <w:r>
              <w:rPr>
                <w:rFonts w:ascii="Arial" w:cs="Arial" w:eastAsia="Arial" w:hAnsi="Arial"/>
                <w:sz w:val="16"/>
                <w:szCs w:val="16"/>
                <w:color w:val="auto"/>
              </w:rPr>
              <w:t>Exhibit 4.2 to the Report on Form 8-K filed by Mylan Inc. with the SEC on November 29, 2013, and incorporated herein by</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reference.</w:t>
            </w:r>
          </w:p>
        </w:tc>
      </w:tr>
      <w:tr>
        <w:trPr>
          <w:trHeight w:val="202"/>
        </w:trPr>
        <w:tc>
          <w:tcPr>
            <w:tcW w:w="20" w:type="dxa"/>
            <w:vAlign w:val="bottom"/>
          </w:tcPr>
          <w:p>
            <w:pPr>
              <w:spacing w:after="0"/>
              <w:rPr>
                <w:sz w:val="17"/>
                <w:szCs w:val="17"/>
                <w:color w:val="auto"/>
              </w:rPr>
            </w:pPr>
          </w:p>
        </w:tc>
        <w:tc>
          <w:tcPr>
            <w:tcW w:w="840" w:type="dxa"/>
            <w:vAlign w:val="bottom"/>
            <w:gridSpan w:val="3"/>
          </w:tcPr>
          <w:p>
            <w:pPr>
              <w:spacing w:after="0" w:line="201" w:lineRule="exact"/>
              <w:rPr>
                <w:rFonts w:ascii="Arial" w:cs="Arial" w:eastAsia="Arial" w:hAnsi="Arial"/>
                <w:sz w:val="18"/>
                <w:szCs w:val="18"/>
                <w:color w:val="0000FF"/>
              </w:rPr>
            </w:pPr>
            <w:hyperlink r:id="rId201">
              <w:r>
                <w:rPr>
                  <w:rFonts w:ascii="Arial" w:cs="Arial" w:eastAsia="Arial" w:hAnsi="Arial"/>
                  <w:sz w:val="18"/>
                  <w:szCs w:val="18"/>
                  <w:color w:val="0000FF"/>
                </w:rPr>
                <w:t>4.</w:t>
              </w:r>
              <w:r>
                <w:rPr>
                  <w:rFonts w:ascii="Arial" w:cs="Arial" w:eastAsia="Arial" w:hAnsi="Arial"/>
                  <w:sz w:val="18"/>
                  <w:szCs w:val="18"/>
                  <w:u w:val="single" w:color="auto"/>
                  <w:color w:val="0000FF"/>
                </w:rPr>
                <w:t>2(c)</w:t>
              </w:r>
            </w:hyperlink>
          </w:p>
        </w:tc>
        <w:tc>
          <w:tcPr>
            <w:tcW w:w="10380" w:type="dxa"/>
            <w:vAlign w:val="bottom"/>
          </w:tcPr>
          <w:p>
            <w:pPr>
              <w:ind w:left="400"/>
              <w:spacing w:after="0" w:line="201" w:lineRule="exact"/>
              <w:rPr>
                <w:sz w:val="20"/>
                <w:szCs w:val="20"/>
                <w:color w:val="auto"/>
              </w:rPr>
            </w:pPr>
            <w:r>
              <w:rPr>
                <w:rFonts w:ascii="Arial" w:cs="Arial" w:eastAsia="Arial" w:hAnsi="Arial"/>
                <w:sz w:val="18"/>
                <w:szCs w:val="18"/>
                <w:color w:val="auto"/>
                <w:w w:val="94"/>
              </w:rPr>
              <w:t>Second Supplemental Indenture, dated February 27, 2015, among Mylan Inc., as issuer, Mylan N.V., as guarantor, and The Bank of</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0380" w:type="dxa"/>
            <w:vAlign w:val="bottom"/>
          </w:tcPr>
          <w:p>
            <w:pPr>
              <w:ind w:left="400"/>
              <w:spacing w:after="0" w:line="142" w:lineRule="exact"/>
              <w:rPr>
                <w:sz w:val="20"/>
                <w:szCs w:val="20"/>
                <w:color w:val="auto"/>
              </w:rPr>
            </w:pPr>
            <w:r>
              <w:rPr>
                <w:rFonts w:ascii="Arial" w:cs="Arial" w:eastAsia="Arial" w:hAnsi="Arial"/>
                <w:sz w:val="16"/>
                <w:szCs w:val="16"/>
                <w:color w:val="auto"/>
              </w:rPr>
              <w:t>New York Mellon, as trustee, to the Indenture, dated November 29, 2013, filed as Exhibit 4.6 to the Report on Form 8-K filed by</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Mylan N.V. with the SEC on February 27, 2015, and incorporated herein by reference.</w:t>
            </w:r>
          </w:p>
        </w:tc>
      </w:tr>
      <w:tr>
        <w:trPr>
          <w:trHeight w:val="202"/>
        </w:trPr>
        <w:tc>
          <w:tcPr>
            <w:tcW w:w="20" w:type="dxa"/>
            <w:vAlign w:val="bottom"/>
          </w:tcPr>
          <w:p>
            <w:pPr>
              <w:spacing w:after="0"/>
              <w:rPr>
                <w:sz w:val="17"/>
                <w:szCs w:val="17"/>
                <w:color w:val="auto"/>
              </w:rPr>
            </w:pPr>
          </w:p>
        </w:tc>
        <w:tc>
          <w:tcPr>
            <w:tcW w:w="840" w:type="dxa"/>
            <w:vAlign w:val="bottom"/>
            <w:gridSpan w:val="3"/>
          </w:tcPr>
          <w:p>
            <w:pPr>
              <w:spacing w:after="0" w:line="201" w:lineRule="exact"/>
              <w:rPr>
                <w:rFonts w:ascii="Arial" w:cs="Arial" w:eastAsia="Arial" w:hAnsi="Arial"/>
                <w:sz w:val="18"/>
                <w:szCs w:val="18"/>
                <w:color w:val="0000FF"/>
              </w:rPr>
            </w:pPr>
            <w:hyperlink r:id="rId202">
              <w:r>
                <w:rPr>
                  <w:rFonts w:ascii="Arial" w:cs="Arial" w:eastAsia="Arial" w:hAnsi="Arial"/>
                  <w:sz w:val="18"/>
                  <w:szCs w:val="18"/>
                  <w:color w:val="0000FF"/>
                </w:rPr>
                <w:t>4.</w:t>
              </w:r>
              <w:r>
                <w:rPr>
                  <w:rFonts w:ascii="Arial" w:cs="Arial" w:eastAsia="Arial" w:hAnsi="Arial"/>
                  <w:sz w:val="18"/>
                  <w:szCs w:val="18"/>
                  <w:u w:val="single" w:color="auto"/>
                  <w:color w:val="0000FF"/>
                </w:rPr>
                <w:t>2(d)</w:t>
              </w:r>
            </w:hyperlink>
          </w:p>
        </w:tc>
        <w:tc>
          <w:tcPr>
            <w:tcW w:w="10380" w:type="dxa"/>
            <w:vAlign w:val="bottom"/>
          </w:tcPr>
          <w:p>
            <w:pPr>
              <w:ind w:left="400"/>
              <w:spacing w:after="0" w:line="201" w:lineRule="exact"/>
              <w:rPr>
                <w:sz w:val="20"/>
                <w:szCs w:val="20"/>
                <w:color w:val="auto"/>
              </w:rPr>
            </w:pPr>
            <w:r>
              <w:rPr>
                <w:rFonts w:ascii="Arial" w:cs="Arial" w:eastAsia="Arial" w:hAnsi="Arial"/>
                <w:sz w:val="18"/>
                <w:szCs w:val="18"/>
                <w:color w:val="auto"/>
                <w:w w:val="97"/>
              </w:rPr>
              <w:t>Third Supplemental Indenture, dated March 12, 2015, between and among Mylan Inc., as issuer, Mylan N.V., as parent, and The</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0380" w:type="dxa"/>
            <w:vAlign w:val="bottom"/>
          </w:tcPr>
          <w:p>
            <w:pPr>
              <w:ind w:left="400"/>
              <w:spacing w:after="0" w:line="142" w:lineRule="exact"/>
              <w:rPr>
                <w:sz w:val="20"/>
                <w:szCs w:val="20"/>
                <w:color w:val="auto"/>
              </w:rPr>
            </w:pPr>
            <w:r>
              <w:rPr>
                <w:rFonts w:ascii="Arial" w:cs="Arial" w:eastAsia="Arial" w:hAnsi="Arial"/>
                <w:sz w:val="16"/>
                <w:szCs w:val="16"/>
                <w:color w:val="auto"/>
              </w:rPr>
              <w:t>Bank of New York Mellon, as trustee, to the Indenture, dated November 29, 2013, filed by Mylan N.V. as Exhibit 4.5(b) to Form 10-</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Q for the quarter ended March 31, 2015, and incorporated herein by reference.</w:t>
            </w:r>
          </w:p>
        </w:tc>
      </w:tr>
      <w:tr>
        <w:trPr>
          <w:trHeight w:val="202"/>
        </w:trPr>
        <w:tc>
          <w:tcPr>
            <w:tcW w:w="20" w:type="dxa"/>
            <w:vAlign w:val="bottom"/>
          </w:tcPr>
          <w:p>
            <w:pPr>
              <w:spacing w:after="0"/>
              <w:rPr>
                <w:sz w:val="17"/>
                <w:szCs w:val="17"/>
                <w:color w:val="auto"/>
              </w:rPr>
            </w:pPr>
          </w:p>
        </w:tc>
        <w:tc>
          <w:tcPr>
            <w:tcW w:w="840" w:type="dxa"/>
            <w:vAlign w:val="bottom"/>
            <w:gridSpan w:val="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4.</w:t>
              </w:r>
              <w:r>
                <w:rPr>
                  <w:rFonts w:ascii="Arial" w:cs="Arial" w:eastAsia="Arial" w:hAnsi="Arial"/>
                  <w:sz w:val="18"/>
                  <w:szCs w:val="18"/>
                  <w:u w:val="single" w:color="auto"/>
                  <w:color w:val="0000FF"/>
                </w:rPr>
                <w:t>2(e)</w:t>
              </w:r>
            </w:hyperlink>
          </w:p>
        </w:tc>
        <w:tc>
          <w:tcPr>
            <w:tcW w:w="10380" w:type="dxa"/>
            <w:vAlign w:val="bottom"/>
          </w:tcPr>
          <w:p>
            <w:pPr>
              <w:ind w:left="400"/>
              <w:spacing w:after="0" w:line="182" w:lineRule="exact"/>
              <w:rPr>
                <w:sz w:val="20"/>
                <w:szCs w:val="20"/>
                <w:color w:val="auto"/>
              </w:rPr>
            </w:pPr>
            <w:r>
              <w:rPr>
                <w:rFonts w:ascii="Arial" w:cs="Arial" w:eastAsia="Arial" w:hAnsi="Arial"/>
                <w:sz w:val="18"/>
                <w:szCs w:val="18"/>
                <w:color w:val="auto"/>
                <w:w w:val="96"/>
              </w:rPr>
              <w:t>Fourth Supplemental Indenture dated November 16, 2020, by and among Mylan Inc., Viatris Inc., Utah Acquisition Sub Inc., Mylan</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4"/>
              </w:rPr>
              <w:t>II B.V. and the Bank of New York Mellon, as trustee, to the Indenture dated November 29, 2013, by and between Mylan Inc. and the</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Bank of New York Mellon, as trustee, filed as Exhibit 4.7 to the Report on Form 8-K/A filed by Viatris Inc. with the SEC on</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November 19, 2020, and incorporated herein by reference.</w:t>
            </w:r>
          </w:p>
        </w:tc>
      </w:tr>
      <w:tr>
        <w:trPr>
          <w:trHeight w:val="203"/>
        </w:trPr>
        <w:tc>
          <w:tcPr>
            <w:tcW w:w="20" w:type="dxa"/>
            <w:vAlign w:val="bottom"/>
          </w:tcPr>
          <w:p>
            <w:pPr>
              <w:spacing w:after="0"/>
              <w:rPr>
                <w:sz w:val="17"/>
                <w:szCs w:val="17"/>
                <w:color w:val="auto"/>
              </w:rPr>
            </w:pPr>
          </w:p>
        </w:tc>
        <w:tc>
          <w:tcPr>
            <w:tcW w:w="840" w:type="dxa"/>
            <w:vAlign w:val="bottom"/>
            <w:gridSpan w:val="3"/>
          </w:tcPr>
          <w:p>
            <w:pPr>
              <w:spacing w:after="0" w:line="202" w:lineRule="exact"/>
              <w:rPr>
                <w:rFonts w:ascii="Arial" w:cs="Arial" w:eastAsia="Arial" w:hAnsi="Arial"/>
                <w:sz w:val="18"/>
                <w:szCs w:val="18"/>
                <w:color w:val="0000FF"/>
              </w:rPr>
            </w:pPr>
            <w:hyperlink r:id="rId204">
              <w:r>
                <w:rPr>
                  <w:rFonts w:ascii="Arial" w:cs="Arial" w:eastAsia="Arial" w:hAnsi="Arial"/>
                  <w:sz w:val="18"/>
                  <w:szCs w:val="18"/>
                  <w:color w:val="0000FF"/>
                </w:rPr>
                <w:t>4.</w:t>
              </w:r>
              <w:r>
                <w:rPr>
                  <w:rFonts w:ascii="Arial" w:cs="Arial" w:eastAsia="Arial" w:hAnsi="Arial"/>
                  <w:sz w:val="18"/>
                  <w:szCs w:val="18"/>
                  <w:u w:val="single" w:color="auto"/>
                  <w:color w:val="0000FF"/>
                </w:rPr>
                <w:t>3(a)</w:t>
              </w:r>
            </w:hyperlink>
          </w:p>
        </w:tc>
        <w:tc>
          <w:tcPr>
            <w:tcW w:w="10380" w:type="dxa"/>
            <w:vAlign w:val="bottom"/>
          </w:tcPr>
          <w:p>
            <w:pPr>
              <w:ind w:left="400"/>
              <w:spacing w:after="0" w:line="202" w:lineRule="exact"/>
              <w:rPr>
                <w:sz w:val="20"/>
                <w:szCs w:val="20"/>
                <w:color w:val="auto"/>
              </w:rPr>
            </w:pPr>
            <w:r>
              <w:rPr>
                <w:rFonts w:ascii="Arial" w:cs="Arial" w:eastAsia="Arial" w:hAnsi="Arial"/>
                <w:sz w:val="18"/>
                <w:szCs w:val="18"/>
                <w:color w:val="auto"/>
                <w:w w:val="95"/>
              </w:rPr>
              <w:t>Indenture, dated as of June 9, 2016, among Mylan N.V., as issuer, Mylan Inc., as guarantor, and The Bank of New York Mellon,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0380" w:type="dxa"/>
            <w:vAlign w:val="bottom"/>
          </w:tcPr>
          <w:p>
            <w:pPr>
              <w:ind w:left="400"/>
              <w:spacing w:after="0" w:line="142" w:lineRule="exact"/>
              <w:rPr>
                <w:sz w:val="20"/>
                <w:szCs w:val="20"/>
                <w:color w:val="auto"/>
              </w:rPr>
            </w:pPr>
            <w:r>
              <w:rPr>
                <w:rFonts w:ascii="Arial" w:cs="Arial" w:eastAsia="Arial" w:hAnsi="Arial"/>
                <w:sz w:val="16"/>
                <w:szCs w:val="16"/>
                <w:color w:val="auto"/>
              </w:rPr>
              <w:t>trustee, filed as Exhibit 4.1 to the Report on Form 8-K filed by Mylan N.V. with the SEC on June 15, 2016, and incorporated herein</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by reference.</w:t>
            </w:r>
          </w:p>
        </w:tc>
      </w:tr>
      <w:tr>
        <w:trPr>
          <w:trHeight w:val="86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80" w:type="dxa"/>
            <w:vAlign w:val="bottom"/>
          </w:tcPr>
          <w:p>
            <w:pPr>
              <w:ind w:left="4620"/>
              <w:spacing w:after="0"/>
              <w:rPr>
                <w:sz w:val="20"/>
                <w:szCs w:val="20"/>
                <w:color w:val="auto"/>
              </w:rPr>
            </w:pPr>
            <w:r>
              <w:rPr>
                <w:rFonts w:ascii="Arial" w:cs="Arial" w:eastAsia="Arial" w:hAnsi="Arial"/>
                <w:sz w:val="18"/>
                <w:szCs w:val="18"/>
                <w:color w:val="auto"/>
              </w:rPr>
              <w:t>147</w:t>
            </w: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40" w:type="dxa"/>
            <w:vAlign w:val="bottom"/>
            <w:gridSpan w:val="2"/>
          </w:tcPr>
          <w:p>
            <w:pPr>
              <w:spacing w:after="0"/>
              <w:rPr>
                <w:rFonts w:ascii="Arial" w:cs="Arial" w:eastAsia="Arial" w:hAnsi="Arial"/>
                <w:sz w:val="18"/>
                <w:szCs w:val="18"/>
                <w:color w:val="0000FF"/>
              </w:rPr>
            </w:pPr>
            <w:hyperlink r:id="rId207">
              <w:r>
                <w:rPr>
                  <w:rFonts w:ascii="Arial" w:cs="Arial" w:eastAsia="Arial" w:hAnsi="Arial"/>
                  <w:sz w:val="18"/>
                  <w:szCs w:val="18"/>
                  <w:color w:val="0000FF"/>
                </w:rPr>
                <w:t>4.</w:t>
              </w:r>
              <w:r>
                <w:rPr>
                  <w:rFonts w:ascii="Arial" w:cs="Arial" w:eastAsia="Arial" w:hAnsi="Arial"/>
                  <w:sz w:val="18"/>
                  <w:szCs w:val="18"/>
                  <w:u w:val="single" w:color="auto"/>
                  <w:color w:val="0000FF"/>
                </w:rPr>
                <w:t>3(b)</w:t>
              </w:r>
            </w:hyperlink>
          </w:p>
        </w:tc>
        <w:tc>
          <w:tcPr>
            <w:tcW w:w="9980" w:type="dxa"/>
            <w:vAlign w:val="bottom"/>
          </w:tcPr>
          <w:p>
            <w:pPr>
              <w:ind w:left="400"/>
              <w:spacing w:after="0"/>
              <w:rPr>
                <w:sz w:val="20"/>
                <w:szCs w:val="20"/>
                <w:color w:val="auto"/>
              </w:rPr>
            </w:pPr>
            <w:r>
              <w:rPr>
                <w:rFonts w:ascii="Arial" w:cs="Arial" w:eastAsia="Arial" w:hAnsi="Arial"/>
                <w:sz w:val="18"/>
                <w:szCs w:val="18"/>
                <w:color w:val="auto"/>
                <w:w w:val="92"/>
              </w:rPr>
              <w:t>First Supplemental Indenture dated November 16, 2020, by and among Viatris Inc., Utah Acquisition Sub Inc., Mylan II B.V., Mylan</w:t>
            </w:r>
          </w:p>
        </w:tc>
      </w:tr>
      <w:tr>
        <w:trPr>
          <w:trHeight w:val="209"/>
        </w:trPr>
        <w:tc>
          <w:tcPr>
            <w:tcW w:w="44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w w:val="92"/>
              </w:rPr>
              <w:t>Inc. and the Bank of New York Mellon, as trustee, to the Indenture dated June 9, 2016, by and among Mylan N.V., Mylan Inc. and</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w w:val="96"/>
              </w:rPr>
              <w:t>the Bank of New York Mellon, as trustee, filed as Exhibit 4.4 to the Report on Form 8-K/A filed by Viatris Inc. with the SEC on</w:t>
            </w:r>
          </w:p>
        </w:tc>
      </w:tr>
      <w:tr>
        <w:trPr>
          <w:trHeight w:val="230"/>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November 19, 2020, and incorporated herein by reference.</w:t>
            </w:r>
          </w:p>
        </w:tc>
      </w:tr>
      <w:tr>
        <w:trPr>
          <w:trHeight w:val="203"/>
        </w:trPr>
        <w:tc>
          <w:tcPr>
            <w:tcW w:w="840" w:type="dxa"/>
            <w:vAlign w:val="bottom"/>
            <w:gridSpan w:val="2"/>
          </w:tcPr>
          <w:p>
            <w:pPr>
              <w:spacing w:after="0" w:line="202" w:lineRule="exact"/>
              <w:rPr>
                <w:rFonts w:ascii="Arial" w:cs="Arial" w:eastAsia="Arial" w:hAnsi="Arial"/>
                <w:sz w:val="18"/>
                <w:szCs w:val="18"/>
                <w:color w:val="0000FF"/>
              </w:rPr>
            </w:pPr>
            <w:hyperlink r:id="rId208">
              <w:r>
                <w:rPr>
                  <w:rFonts w:ascii="Arial" w:cs="Arial" w:eastAsia="Arial" w:hAnsi="Arial"/>
                  <w:sz w:val="18"/>
                  <w:szCs w:val="18"/>
                  <w:color w:val="0000FF"/>
                </w:rPr>
                <w:t>4.</w:t>
              </w:r>
              <w:r>
                <w:rPr>
                  <w:rFonts w:ascii="Arial" w:cs="Arial" w:eastAsia="Arial" w:hAnsi="Arial"/>
                  <w:sz w:val="18"/>
                  <w:szCs w:val="18"/>
                  <w:u w:val="single" w:color="auto"/>
                  <w:color w:val="0000FF"/>
                </w:rPr>
                <w:t>4(a)</w:t>
              </w:r>
            </w:hyperlink>
          </w:p>
        </w:tc>
        <w:tc>
          <w:tcPr>
            <w:tcW w:w="9980" w:type="dxa"/>
            <w:vAlign w:val="bottom"/>
          </w:tcPr>
          <w:p>
            <w:pPr>
              <w:ind w:left="400"/>
              <w:spacing w:after="0" w:line="202" w:lineRule="exact"/>
              <w:rPr>
                <w:sz w:val="20"/>
                <w:szCs w:val="20"/>
                <w:color w:val="auto"/>
              </w:rPr>
            </w:pPr>
            <w:r>
              <w:rPr>
                <w:rFonts w:ascii="Arial" w:cs="Arial" w:eastAsia="Arial" w:hAnsi="Arial"/>
                <w:sz w:val="18"/>
                <w:szCs w:val="18"/>
                <w:color w:val="auto"/>
                <w:w w:val="90"/>
              </w:rPr>
              <w:t>Indenture, dated November 22, 2016, among Mylan N.V., as issuer, Mylan, Inc., as guarantor and Citibank, N.A., London Branch, as</w:t>
            </w:r>
          </w:p>
        </w:tc>
      </w:tr>
      <w:tr>
        <w:trPr>
          <w:trHeight w:val="142"/>
        </w:trPr>
        <w:tc>
          <w:tcPr>
            <w:tcW w:w="44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9980" w:type="dxa"/>
            <w:vAlign w:val="bottom"/>
          </w:tcPr>
          <w:p>
            <w:pPr>
              <w:ind w:left="400"/>
              <w:spacing w:after="0" w:line="142" w:lineRule="exact"/>
              <w:rPr>
                <w:sz w:val="20"/>
                <w:szCs w:val="20"/>
                <w:color w:val="auto"/>
              </w:rPr>
            </w:pPr>
            <w:r>
              <w:rPr>
                <w:rFonts w:ascii="Arial" w:cs="Arial" w:eastAsia="Arial" w:hAnsi="Arial"/>
                <w:sz w:val="16"/>
                <w:szCs w:val="16"/>
                <w:color w:val="auto"/>
              </w:rPr>
              <w:t>trustee, paying agent, transfer agent, registrar and calculation agent, filed by Mylan N.V. as Exhibit 4.9 to Form 10-K for the fiscal</w:t>
            </w:r>
          </w:p>
        </w:tc>
      </w:tr>
      <w:tr>
        <w:trPr>
          <w:trHeight w:val="230"/>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year ended December 31, 2016, and incorporated herein by reference.</w:t>
            </w:r>
          </w:p>
        </w:tc>
      </w:tr>
      <w:tr>
        <w:trPr>
          <w:trHeight w:val="202"/>
        </w:trPr>
        <w:tc>
          <w:tcPr>
            <w:tcW w:w="840" w:type="dxa"/>
            <w:vAlign w:val="bottom"/>
            <w:gridSpan w:val="2"/>
          </w:tcPr>
          <w:p>
            <w:pPr>
              <w:spacing w:after="0" w:line="201" w:lineRule="exact"/>
              <w:rPr>
                <w:rFonts w:ascii="Arial" w:cs="Arial" w:eastAsia="Arial" w:hAnsi="Arial"/>
                <w:sz w:val="18"/>
                <w:szCs w:val="18"/>
                <w:color w:val="0000FF"/>
              </w:rPr>
            </w:pPr>
            <w:hyperlink r:id="rId209">
              <w:r>
                <w:rPr>
                  <w:rFonts w:ascii="Arial" w:cs="Arial" w:eastAsia="Arial" w:hAnsi="Arial"/>
                  <w:sz w:val="18"/>
                  <w:szCs w:val="18"/>
                  <w:color w:val="0000FF"/>
                </w:rPr>
                <w:t>4.</w:t>
              </w:r>
              <w:r>
                <w:rPr>
                  <w:rFonts w:ascii="Arial" w:cs="Arial" w:eastAsia="Arial" w:hAnsi="Arial"/>
                  <w:sz w:val="18"/>
                  <w:szCs w:val="18"/>
                  <w:u w:val="single" w:color="auto"/>
                  <w:color w:val="0000FF"/>
                </w:rPr>
                <w:t>4(b)</w:t>
              </w:r>
            </w:hyperlink>
          </w:p>
        </w:tc>
        <w:tc>
          <w:tcPr>
            <w:tcW w:w="9980" w:type="dxa"/>
            <w:vAlign w:val="bottom"/>
          </w:tcPr>
          <w:p>
            <w:pPr>
              <w:ind w:left="400"/>
              <w:spacing w:after="0" w:line="201" w:lineRule="exact"/>
              <w:rPr>
                <w:sz w:val="20"/>
                <w:szCs w:val="20"/>
                <w:color w:val="auto"/>
              </w:rPr>
            </w:pPr>
            <w:r>
              <w:rPr>
                <w:rFonts w:ascii="Arial" w:cs="Arial" w:eastAsia="Arial" w:hAnsi="Arial"/>
                <w:sz w:val="18"/>
                <w:szCs w:val="18"/>
                <w:color w:val="auto"/>
                <w:w w:val="92"/>
              </w:rPr>
              <w:t>First Supplemental Indenture dated November 16, 2020, by and among Viatris Inc., Utah Acquisition Sub Inc., Mylan II B.V., Mylan</w:t>
            </w:r>
          </w:p>
        </w:tc>
      </w:tr>
      <w:tr>
        <w:trPr>
          <w:trHeight w:val="142"/>
        </w:trPr>
        <w:tc>
          <w:tcPr>
            <w:tcW w:w="44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9980" w:type="dxa"/>
            <w:vAlign w:val="bottom"/>
          </w:tcPr>
          <w:p>
            <w:pPr>
              <w:ind w:left="400"/>
              <w:spacing w:after="0" w:line="142" w:lineRule="exact"/>
              <w:rPr>
                <w:sz w:val="20"/>
                <w:szCs w:val="20"/>
                <w:color w:val="auto"/>
              </w:rPr>
            </w:pPr>
            <w:r>
              <w:rPr>
                <w:rFonts w:ascii="Arial" w:cs="Arial" w:eastAsia="Arial" w:hAnsi="Arial"/>
                <w:sz w:val="16"/>
                <w:szCs w:val="16"/>
                <w:color w:val="auto"/>
              </w:rPr>
              <w:t>Inc. and Citibank, N.A., London Branch, as trustee, paying agent, transfer agent, and registrar, to the Indenture dated November 22,</w:t>
            </w:r>
          </w:p>
        </w:tc>
      </w:tr>
      <w:tr>
        <w:trPr>
          <w:trHeight w:val="188"/>
        </w:trPr>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980" w:type="dxa"/>
            <w:vAlign w:val="bottom"/>
          </w:tcPr>
          <w:p>
            <w:pPr>
              <w:ind w:left="400"/>
              <w:spacing w:after="0" w:line="189" w:lineRule="exact"/>
              <w:rPr>
                <w:sz w:val="20"/>
                <w:szCs w:val="20"/>
                <w:color w:val="auto"/>
              </w:rPr>
            </w:pPr>
            <w:r>
              <w:rPr>
                <w:rFonts w:ascii="Arial" w:cs="Arial" w:eastAsia="Arial" w:hAnsi="Arial"/>
                <w:sz w:val="18"/>
                <w:szCs w:val="18"/>
                <w:color w:val="auto"/>
                <w:w w:val="92"/>
              </w:rPr>
              <w:t>2016, by and among Mylan N.V., Mylan Inc. and Citibank, N.A., London Branch, as trustee, paying agent, transfer agent, registrar</w:t>
            </w:r>
          </w:p>
        </w:tc>
      </w:tr>
      <w:tr>
        <w:trPr>
          <w:trHeight w:val="176"/>
        </w:trPr>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980" w:type="dxa"/>
            <w:vAlign w:val="bottom"/>
          </w:tcPr>
          <w:p>
            <w:pPr>
              <w:ind w:left="400"/>
              <w:spacing w:after="0" w:line="176" w:lineRule="exact"/>
              <w:rPr>
                <w:sz w:val="20"/>
                <w:szCs w:val="20"/>
                <w:color w:val="auto"/>
              </w:rPr>
            </w:pPr>
            <w:r>
              <w:rPr>
                <w:rFonts w:ascii="Arial" w:cs="Arial" w:eastAsia="Arial" w:hAnsi="Arial"/>
                <w:sz w:val="18"/>
                <w:szCs w:val="18"/>
                <w:color w:val="auto"/>
                <w:w w:val="94"/>
              </w:rPr>
              <w:t>and calculation agent, filed as Exhibit 4.5 to the Report on Form 8-K/A filed by Viatris Inc. with the SEC on November 19, 2020,</w:t>
            </w:r>
          </w:p>
        </w:tc>
      </w:tr>
      <w:tr>
        <w:trPr>
          <w:trHeight w:val="230"/>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and incorporated herein by reference.</w:t>
            </w:r>
          </w:p>
        </w:tc>
      </w:tr>
      <w:tr>
        <w:trPr>
          <w:trHeight w:val="202"/>
        </w:trPr>
        <w:tc>
          <w:tcPr>
            <w:tcW w:w="840" w:type="dxa"/>
            <w:vAlign w:val="bottom"/>
            <w:gridSpan w:val="2"/>
          </w:tcPr>
          <w:p>
            <w:pPr>
              <w:spacing w:after="0" w:line="201" w:lineRule="exact"/>
              <w:rPr>
                <w:rFonts w:ascii="Arial" w:cs="Arial" w:eastAsia="Arial" w:hAnsi="Arial"/>
                <w:sz w:val="18"/>
                <w:szCs w:val="18"/>
                <w:color w:val="0000FF"/>
              </w:rPr>
            </w:pPr>
            <w:hyperlink r:id="rId210">
              <w:r>
                <w:rPr>
                  <w:rFonts w:ascii="Arial" w:cs="Arial" w:eastAsia="Arial" w:hAnsi="Arial"/>
                  <w:sz w:val="18"/>
                  <w:szCs w:val="18"/>
                  <w:color w:val="0000FF"/>
                </w:rPr>
                <w:t>4.</w:t>
              </w:r>
              <w:r>
                <w:rPr>
                  <w:rFonts w:ascii="Arial" w:cs="Arial" w:eastAsia="Arial" w:hAnsi="Arial"/>
                  <w:sz w:val="18"/>
                  <w:szCs w:val="18"/>
                  <w:u w:val="single" w:color="auto"/>
                  <w:color w:val="0000FF"/>
                </w:rPr>
                <w:t>5(a)</w:t>
              </w:r>
            </w:hyperlink>
          </w:p>
        </w:tc>
        <w:tc>
          <w:tcPr>
            <w:tcW w:w="9980" w:type="dxa"/>
            <w:vAlign w:val="bottom"/>
          </w:tcPr>
          <w:p>
            <w:pPr>
              <w:ind w:left="400"/>
              <w:spacing w:after="0" w:line="201" w:lineRule="exact"/>
              <w:rPr>
                <w:sz w:val="20"/>
                <w:szCs w:val="20"/>
                <w:color w:val="auto"/>
              </w:rPr>
            </w:pPr>
            <w:r>
              <w:rPr>
                <w:rFonts w:ascii="Arial" w:cs="Arial" w:eastAsia="Arial" w:hAnsi="Arial"/>
                <w:sz w:val="18"/>
                <w:szCs w:val="18"/>
                <w:color w:val="auto"/>
                <w:w w:val="92"/>
              </w:rPr>
              <w:t>Indenture, dated as of April 9, 2018, among Mylan Inc., as issuer, Mylan N.V., as guarantor, and the Bank of New York Mellon, as</w:t>
            </w:r>
          </w:p>
        </w:tc>
      </w:tr>
      <w:tr>
        <w:trPr>
          <w:trHeight w:val="142"/>
        </w:trPr>
        <w:tc>
          <w:tcPr>
            <w:tcW w:w="44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9980" w:type="dxa"/>
            <w:vAlign w:val="bottom"/>
          </w:tcPr>
          <w:p>
            <w:pPr>
              <w:ind w:left="400"/>
              <w:spacing w:after="0" w:line="142" w:lineRule="exact"/>
              <w:rPr>
                <w:sz w:val="20"/>
                <w:szCs w:val="20"/>
                <w:color w:val="auto"/>
              </w:rPr>
            </w:pPr>
            <w:r>
              <w:rPr>
                <w:rFonts w:ascii="Arial" w:cs="Arial" w:eastAsia="Arial" w:hAnsi="Arial"/>
                <w:sz w:val="16"/>
                <w:szCs w:val="16"/>
                <w:color w:val="auto"/>
              </w:rPr>
              <w:t>trustee, filed as Exhibit 4.1 to the Report on Form 8-K filed by Mylan N.V. with the SEC on April 9, 2018, and incorporated herein</w:t>
            </w:r>
          </w:p>
        </w:tc>
      </w:tr>
      <w:tr>
        <w:trPr>
          <w:trHeight w:val="230"/>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by reference.</w:t>
            </w:r>
          </w:p>
        </w:tc>
      </w:tr>
      <w:tr>
        <w:trPr>
          <w:trHeight w:val="202"/>
        </w:trPr>
        <w:tc>
          <w:tcPr>
            <w:tcW w:w="840" w:type="dxa"/>
            <w:vAlign w:val="bottom"/>
            <w:gridSpan w:val="2"/>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4.</w:t>
              </w:r>
              <w:r>
                <w:rPr>
                  <w:rFonts w:ascii="Arial" w:cs="Arial" w:eastAsia="Arial" w:hAnsi="Arial"/>
                  <w:sz w:val="18"/>
                  <w:szCs w:val="18"/>
                  <w:u w:val="single" w:color="auto"/>
                  <w:color w:val="0000FF"/>
                </w:rPr>
                <w:t>5(b)</w:t>
              </w:r>
            </w:hyperlink>
          </w:p>
        </w:tc>
        <w:tc>
          <w:tcPr>
            <w:tcW w:w="9980" w:type="dxa"/>
            <w:vAlign w:val="bottom"/>
          </w:tcPr>
          <w:p>
            <w:pPr>
              <w:ind w:left="400"/>
              <w:spacing w:after="0" w:line="182" w:lineRule="exact"/>
              <w:rPr>
                <w:sz w:val="20"/>
                <w:szCs w:val="20"/>
                <w:color w:val="auto"/>
              </w:rPr>
            </w:pPr>
            <w:r>
              <w:rPr>
                <w:rFonts w:ascii="Arial" w:cs="Arial" w:eastAsia="Arial" w:hAnsi="Arial"/>
                <w:sz w:val="18"/>
                <w:szCs w:val="18"/>
                <w:color w:val="auto"/>
                <w:w w:val="92"/>
              </w:rPr>
              <w:t>First Supplemental Indenture dated November 16, 2020, by and among Mylan Inc., Viatris Inc., Utah Acquisition Sub Inc., Mylan II</w:t>
            </w:r>
          </w:p>
        </w:tc>
      </w:tr>
      <w:tr>
        <w:trPr>
          <w:trHeight w:val="209"/>
        </w:trPr>
        <w:tc>
          <w:tcPr>
            <w:tcW w:w="44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w w:val="92"/>
              </w:rPr>
              <w:t>B.V. and the Bank of New York Mellon, as trustee, to the Indenture dated April 9, 2018, by and among Mylan Inc., Mylan N.V. and</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w w:val="96"/>
              </w:rPr>
              <w:t>the Bank of New York Mellon, as trustee, filed as Exhibit 4.8 to the Report on Form 8-K/A filed by Viatris Inc. with the SEC on</w:t>
            </w:r>
          </w:p>
        </w:tc>
      </w:tr>
      <w:tr>
        <w:trPr>
          <w:trHeight w:val="230"/>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November 19, 2020, and incorporated herein by reference.</w:t>
            </w:r>
          </w:p>
        </w:tc>
      </w:tr>
      <w:tr>
        <w:trPr>
          <w:trHeight w:val="203"/>
        </w:trPr>
        <w:tc>
          <w:tcPr>
            <w:tcW w:w="840" w:type="dxa"/>
            <w:vAlign w:val="bottom"/>
            <w:gridSpan w:val="2"/>
          </w:tcPr>
          <w:p>
            <w:pPr>
              <w:spacing w:after="0" w:line="202" w:lineRule="exact"/>
              <w:rPr>
                <w:rFonts w:ascii="Arial" w:cs="Arial" w:eastAsia="Arial" w:hAnsi="Arial"/>
                <w:sz w:val="18"/>
                <w:szCs w:val="18"/>
                <w:color w:val="0000FF"/>
              </w:rPr>
            </w:pPr>
            <w:hyperlink r:id="rId212">
              <w:r>
                <w:rPr>
                  <w:rFonts w:ascii="Arial" w:cs="Arial" w:eastAsia="Arial" w:hAnsi="Arial"/>
                  <w:sz w:val="18"/>
                  <w:szCs w:val="18"/>
                  <w:color w:val="0000FF"/>
                </w:rPr>
                <w:t>4.</w:t>
              </w:r>
              <w:r>
                <w:rPr>
                  <w:rFonts w:ascii="Arial" w:cs="Arial" w:eastAsia="Arial" w:hAnsi="Arial"/>
                  <w:sz w:val="18"/>
                  <w:szCs w:val="18"/>
                  <w:u w:val="single" w:color="auto"/>
                  <w:color w:val="0000FF"/>
                </w:rPr>
                <w:t>6(a)</w:t>
              </w:r>
            </w:hyperlink>
          </w:p>
        </w:tc>
        <w:tc>
          <w:tcPr>
            <w:tcW w:w="9980" w:type="dxa"/>
            <w:vAlign w:val="bottom"/>
          </w:tcPr>
          <w:p>
            <w:pPr>
              <w:ind w:left="400"/>
              <w:spacing w:after="0" w:line="202" w:lineRule="exact"/>
              <w:rPr>
                <w:sz w:val="20"/>
                <w:szCs w:val="20"/>
                <w:color w:val="auto"/>
              </w:rPr>
            </w:pPr>
            <w:r>
              <w:rPr>
                <w:rFonts w:ascii="Arial" w:cs="Arial" w:eastAsia="Arial" w:hAnsi="Arial"/>
                <w:sz w:val="18"/>
                <w:szCs w:val="18"/>
                <w:color w:val="auto"/>
                <w:w w:val="91"/>
              </w:rPr>
              <w:t>Indenture, dated as of May 23, 2018, among Mylan Inc., as issuer, Mylan N.V., as guarantor, and Citibank, N.A., London Branch, as</w:t>
            </w:r>
          </w:p>
        </w:tc>
      </w:tr>
      <w:tr>
        <w:trPr>
          <w:trHeight w:val="142"/>
        </w:trPr>
        <w:tc>
          <w:tcPr>
            <w:tcW w:w="44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9980" w:type="dxa"/>
            <w:vAlign w:val="bottom"/>
          </w:tcPr>
          <w:p>
            <w:pPr>
              <w:ind w:left="400"/>
              <w:spacing w:after="0" w:line="142" w:lineRule="exact"/>
              <w:rPr>
                <w:sz w:val="20"/>
                <w:szCs w:val="20"/>
                <w:color w:val="auto"/>
              </w:rPr>
            </w:pPr>
            <w:r>
              <w:rPr>
                <w:rFonts w:ascii="Arial" w:cs="Arial" w:eastAsia="Arial" w:hAnsi="Arial"/>
                <w:sz w:val="16"/>
                <w:szCs w:val="16"/>
                <w:color w:val="auto"/>
              </w:rPr>
              <w:t>trustee, paying agent, transfer agent and registrar, filed as Exhibit 4.1 to the Report on Form 8-K filed by Mylan N.V. with the SEC</w:t>
            </w:r>
          </w:p>
        </w:tc>
      </w:tr>
      <w:tr>
        <w:trPr>
          <w:trHeight w:val="230"/>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on May 23, 2018, and incorporated herein by reference.</w:t>
            </w:r>
          </w:p>
        </w:tc>
      </w:tr>
    </w:tbl>
    <w:p>
      <w:pPr>
        <w:spacing w:after="0" w:line="12" w:lineRule="exact"/>
        <w:rPr>
          <w:sz w:val="20"/>
          <w:szCs w:val="20"/>
          <w:color w:val="auto"/>
        </w:rPr>
      </w:pPr>
    </w:p>
    <w:p>
      <w:pPr>
        <w:sectPr>
          <w:pgSz w:w="11900" w:h="16838" w:orient="portrait"/>
          <w:cols w:equalWidth="0" w:num="1">
            <w:col w:w="10860"/>
          </w:cols>
          <w:pgMar w:left="320" w:top="125" w:right="719" w:bottom="1440" w:gutter="0" w:footer="0" w:header="0"/>
        </w:sectPr>
      </w:pPr>
    </w:p>
    <w:p>
      <w:pPr>
        <w:ind w:left="20"/>
        <w:spacing w:after="0"/>
        <w:rPr>
          <w:rFonts w:ascii="Arial" w:cs="Arial" w:eastAsia="Arial" w:hAnsi="Arial"/>
          <w:sz w:val="16"/>
          <w:szCs w:val="16"/>
          <w:u w:val="single" w:color="auto"/>
          <w:color w:val="0000FF"/>
        </w:rPr>
      </w:pPr>
      <w:hyperlink r:id="rId213">
        <w:r>
          <w:rPr>
            <w:rFonts w:ascii="Arial" w:cs="Arial" w:eastAsia="Arial" w:hAnsi="Arial"/>
            <w:sz w:val="16"/>
            <w:szCs w:val="16"/>
            <w:u w:val="single" w:color="auto"/>
            <w:color w:val="0000FF"/>
          </w:rPr>
          <w:t>4.6(b)</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rFonts w:ascii="Arial" w:cs="Arial" w:eastAsia="Arial" w:hAnsi="Arial"/>
          <w:sz w:val="16"/>
          <w:szCs w:val="16"/>
          <w:u w:val="single" w:color="auto"/>
          <w:color w:val="0000FF"/>
        </w:rPr>
      </w:pPr>
      <w:hyperlink r:id="rId214">
        <w:r>
          <w:rPr>
            <w:rFonts w:ascii="Arial" w:cs="Arial" w:eastAsia="Arial" w:hAnsi="Arial"/>
            <w:sz w:val="16"/>
            <w:szCs w:val="16"/>
            <w:u w:val="single" w:color="auto"/>
            <w:color w:val="0000FF"/>
          </w:rPr>
          <w:t>4.7(a)</w:t>
        </w:r>
      </w:hyperlink>
    </w:p>
    <w:p>
      <w:pPr>
        <w:spacing w:after="0" w:line="289" w:lineRule="exact"/>
        <w:rPr>
          <w:sz w:val="20"/>
          <w:szCs w:val="20"/>
          <w:color w:val="auto"/>
        </w:rPr>
      </w:pPr>
    </w:p>
    <w:p>
      <w:pPr>
        <w:ind w:left="20"/>
        <w:spacing w:after="0"/>
        <w:rPr>
          <w:rFonts w:ascii="Arial" w:cs="Arial" w:eastAsia="Arial" w:hAnsi="Arial"/>
          <w:sz w:val="16"/>
          <w:szCs w:val="16"/>
          <w:u w:val="single" w:color="auto"/>
          <w:color w:val="0000FF"/>
        </w:rPr>
      </w:pPr>
      <w:hyperlink r:id="rId215">
        <w:r>
          <w:rPr>
            <w:rFonts w:ascii="Arial" w:cs="Arial" w:eastAsia="Arial" w:hAnsi="Arial"/>
            <w:sz w:val="16"/>
            <w:szCs w:val="16"/>
            <w:u w:val="single" w:color="auto"/>
            <w:color w:val="0000FF"/>
          </w:rPr>
          <w:t>4.7(b)</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rFonts w:ascii="Arial" w:cs="Arial" w:eastAsia="Arial" w:hAnsi="Arial"/>
          <w:sz w:val="16"/>
          <w:szCs w:val="16"/>
          <w:u w:val="single" w:color="auto"/>
          <w:color w:val="0000FF"/>
        </w:rPr>
      </w:pPr>
      <w:hyperlink r:id="rId216">
        <w:r>
          <w:rPr>
            <w:rFonts w:ascii="Arial" w:cs="Arial" w:eastAsia="Arial" w:hAnsi="Arial"/>
            <w:sz w:val="16"/>
            <w:szCs w:val="16"/>
            <w:u w:val="single" w:color="auto"/>
            <w:color w:val="0000FF"/>
          </w:rPr>
          <w:t>4.8(a)</w:t>
        </w:r>
      </w:hyperlink>
    </w:p>
    <w:p>
      <w:pPr>
        <w:spacing w:after="0" w:line="200" w:lineRule="exact"/>
        <w:rPr>
          <w:sz w:val="20"/>
          <w:szCs w:val="20"/>
          <w:color w:val="auto"/>
        </w:rPr>
      </w:pPr>
    </w:p>
    <w:p>
      <w:pPr>
        <w:spacing w:after="0" w:line="291" w:lineRule="exact"/>
        <w:rPr>
          <w:sz w:val="20"/>
          <w:szCs w:val="20"/>
          <w:color w:val="auto"/>
        </w:rPr>
      </w:pPr>
    </w:p>
    <w:p>
      <w:pPr>
        <w:ind w:left="20"/>
        <w:spacing w:after="0"/>
        <w:rPr>
          <w:rFonts w:ascii="Arial" w:cs="Arial" w:eastAsia="Arial" w:hAnsi="Arial"/>
          <w:sz w:val="16"/>
          <w:szCs w:val="16"/>
          <w:u w:val="single" w:color="auto"/>
          <w:color w:val="0000FF"/>
        </w:rPr>
      </w:pPr>
      <w:hyperlink r:id="rId217">
        <w:r>
          <w:rPr>
            <w:rFonts w:ascii="Arial" w:cs="Arial" w:eastAsia="Arial" w:hAnsi="Arial"/>
            <w:sz w:val="16"/>
            <w:szCs w:val="16"/>
            <w:u w:val="single" w:color="auto"/>
            <w:color w:val="0000FF"/>
          </w:rPr>
          <w:t>4.8(b)</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4.9</w:t>
        </w:r>
      </w:hyperlink>
    </w:p>
    <w:p>
      <w:pPr>
        <w:spacing w:after="0" w:line="20" w:lineRule="exact"/>
        <w:rPr>
          <w:sz w:val="20"/>
          <w:szCs w:val="20"/>
          <w:color w:val="auto"/>
        </w:rPr>
      </w:pPr>
      <w:r>
        <w:rPr>
          <w:sz w:val="20"/>
          <w:szCs w:val="20"/>
          <w:color w:val="auto"/>
        </w:rPr>
        <w:br w:type="column"/>
      </w:r>
    </w:p>
    <w:p>
      <w:pPr>
        <w:ind w:right="60"/>
        <w:spacing w:after="0" w:line="245" w:lineRule="auto"/>
        <w:rPr>
          <w:sz w:val="20"/>
          <w:szCs w:val="20"/>
          <w:color w:val="auto"/>
        </w:rPr>
      </w:pPr>
      <w:r>
        <w:rPr>
          <w:rFonts w:ascii="Arial" w:cs="Arial" w:eastAsia="Arial" w:hAnsi="Arial"/>
          <w:sz w:val="18"/>
          <w:szCs w:val="18"/>
          <w:color w:val="auto"/>
        </w:rPr>
        <w:t>First Supplemental Indenture dated November 16, 2020, by and among Mylan Inc., Viatris Inc., Utah Acquisition Sub Inc., Mylan II B.V. and Citibank, N.A., London Branch, as trustee, paying agent, transfer agent, and registrar, to the Indenture dated May 23, 2018, by and among Mylan Inc., Mylan N.V. and Citibank, N.A., London Branch, as trustee, paying agent, transfer agent, and registrar, filed as Exhibit 4.9 to the Report on Form 8-K/A filed by Viatris Inc. with the SEC on November 19, 2020, and incorporated herein by reference.</w:t>
      </w:r>
    </w:p>
    <w:p>
      <w:pPr>
        <w:spacing w:after="0" w:line="37"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Indenture, dated as of June 22, 2020, between Upjohn Inc., as issuer, and The Bank of New York Mellon, as trustee, filed as Exhibit 4.1 to the Report on Form 8-K filed by Upjohn Inc. with the SEC on June 26, 2020, and incorporated herein by reference.</w:t>
      </w:r>
    </w:p>
    <w:p>
      <w:pPr>
        <w:ind w:right="20"/>
        <w:spacing w:after="0" w:line="249" w:lineRule="auto"/>
        <w:rPr>
          <w:sz w:val="20"/>
          <w:szCs w:val="20"/>
          <w:color w:val="auto"/>
        </w:rPr>
      </w:pPr>
      <w:r>
        <w:rPr>
          <w:rFonts w:ascii="Arial" w:cs="Arial" w:eastAsia="Arial" w:hAnsi="Arial"/>
          <w:sz w:val="18"/>
          <w:szCs w:val="18"/>
          <w:color w:val="auto"/>
        </w:rPr>
        <w:t>First Supplemental Indenture dated November 16, 2020, by and among Viatris Inc., Utah Acquisition Sub Inc., Mylan II B.V., Mylan Inc. and the Bank of New York Mellon, as trustee, to the Indenture dated June 22, 2020, by and among Viatris Inc. and the Bank of New York Mellon, as trustee, filed as Exhibit 4.1 to the Report on Form 8-K/A filed by Viatris Inc. with the SEC on November 19, 2020, and incorporated herein by reference.</w:t>
      </w:r>
    </w:p>
    <w:p>
      <w:pPr>
        <w:spacing w:after="0" w:line="1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Indenture, dated as of June 23, 2020, among Upjohn Finance B.V., as issuer, Upjohn Inc., as guarantor, and Citibank, N.A., London Branch, as trustee, transfer agent, paying agent and registrar, filed as Exhibit 4.9 to the Report on Form 8-K filed by Upjohn Inc. with the SEC on June 26, 2020, and incorporated herein by reference.</w:t>
      </w:r>
    </w:p>
    <w:p>
      <w:pPr>
        <w:spacing w:after="0" w:line="33"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First Supplemental Indenture dated November 16, 2020, by and among Upjohn Finance B.V., Viatris Inc., Utah Acquisition Sub Inc., Mylan II B.V., Mylan Inc. and Citibank, N.A., London Branch, as trustee, paying agent, transfer agent, and registrar, to the Indenture dated June 23, 2020, by and among Upjohn Finance B.V., Viatris Inc. and Citibank, N.A., London Branch, as trustee, paying agent, transfer agent, and registrar, filed as Exhibit 4.2 to the Report on Form 8-K/A filed by Viatris Inc. with the SEC on November 19, 2020, and incorporated herein by reference.</w:t>
      </w:r>
    </w:p>
    <w:p>
      <w:pPr>
        <w:spacing w:after="0" w:line="2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Description of Viatris Inc. Securities Registered Under Section 12 of the Exchange Act, filed as Exhibit 4.10 to Form 10-K for the fiscal year ended December 31, 2020, and incorporated herein by reference.</w:t>
      </w:r>
    </w:p>
    <w:p>
      <w:pPr>
        <w:spacing w:after="0" w:line="200" w:lineRule="exact"/>
        <w:rPr>
          <w:sz w:val="20"/>
          <w:szCs w:val="20"/>
          <w:color w:val="auto"/>
        </w:rPr>
      </w:pPr>
    </w:p>
    <w:p>
      <w:pPr>
        <w:sectPr>
          <w:pgSz w:w="11900" w:h="16838" w:orient="portrait"/>
          <w:cols w:equalWidth="0" w:num="2">
            <w:col w:w="540" w:space="720"/>
            <w:col w:w="9600"/>
          </w:cols>
          <w:pgMar w:left="320" w:top="125" w:right="7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20" w:type="dxa"/>
            <w:vAlign w:val="bottom"/>
            <w:tcBorders>
              <w:bottom w:val="single" w:sz="8" w:color="0000FF"/>
            </w:tcBorders>
            <w:gridSpan w:val="3"/>
          </w:tcPr>
          <w:p>
            <w:pPr>
              <w:spacing w:after="0"/>
              <w:rPr>
                <w:rFonts w:ascii="Arial" w:cs="Arial" w:eastAsia="Arial" w:hAnsi="Arial"/>
                <w:sz w:val="18"/>
                <w:szCs w:val="18"/>
                <w:color w:val="0000FF"/>
                <w:w w:val="87"/>
              </w:rPr>
            </w:pPr>
            <w:hyperlink r:id="rId220">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1(a)</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Viatris Inc. 2020 Stock Incentive Plan, included as Exhibit 10.1 to Amendment No. 1 to Form 10 filed by Upjohn Inc. with the SEC</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on February 6, 2020, and incorporated herein by reference.*</w:t>
            </w:r>
          </w:p>
        </w:tc>
      </w:tr>
      <w:tr>
        <w:trPr>
          <w:trHeight w:val="216"/>
        </w:trPr>
        <w:tc>
          <w:tcPr>
            <w:tcW w:w="20" w:type="dxa"/>
            <w:vAlign w:val="bottom"/>
          </w:tcPr>
          <w:p>
            <w:pPr>
              <w:spacing w:after="0"/>
              <w:rPr>
                <w:sz w:val="18"/>
                <w:szCs w:val="18"/>
                <w:color w:val="auto"/>
              </w:rPr>
            </w:pPr>
          </w:p>
        </w:tc>
        <w:tc>
          <w:tcPr>
            <w:tcW w:w="920" w:type="dxa"/>
            <w:vAlign w:val="bottom"/>
            <w:gridSpan w:val="6"/>
          </w:tcPr>
          <w:p>
            <w:pPr>
              <w:spacing w:after="0"/>
              <w:rPr>
                <w:rFonts w:ascii="Arial" w:cs="Arial" w:eastAsia="Arial" w:hAnsi="Arial"/>
                <w:sz w:val="18"/>
                <w:szCs w:val="18"/>
                <w:color w:val="0000FF"/>
              </w:rPr>
            </w:pPr>
            <w:hyperlink r:id="rId221">
              <w:r>
                <w:rPr>
                  <w:rFonts w:ascii="Arial" w:cs="Arial" w:eastAsia="Arial" w:hAnsi="Arial"/>
                  <w:sz w:val="18"/>
                  <w:szCs w:val="18"/>
                  <w:color w:val="0000FF"/>
                </w:rPr>
                <w:t>10.</w:t>
              </w:r>
              <w:r>
                <w:rPr>
                  <w:rFonts w:ascii="Arial" w:cs="Arial" w:eastAsia="Arial" w:hAnsi="Arial"/>
                  <w:sz w:val="18"/>
                  <w:szCs w:val="18"/>
                  <w:u w:val="single" w:color="auto"/>
                  <w:color w:val="0000FF"/>
                </w:rPr>
                <w:t>1(b)</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Form of Make-Whole Restricted Stock Unit Award Agreement under the Viatris 2020 Stock Incentive Plan, filed as Exhibit 10.1(b)</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to Form 10-K for the fiscal year ended December 31, 2020, and incorporated herein by reference.*</w:t>
            </w:r>
          </w:p>
        </w:tc>
      </w:tr>
      <w:tr>
        <w:trPr>
          <w:trHeight w:val="216"/>
        </w:trPr>
        <w:tc>
          <w:tcPr>
            <w:tcW w:w="20" w:type="dxa"/>
            <w:vAlign w:val="bottom"/>
          </w:tcPr>
          <w:p>
            <w:pPr>
              <w:spacing w:after="0"/>
              <w:rPr>
                <w:sz w:val="18"/>
                <w:szCs w:val="18"/>
                <w:color w:val="auto"/>
              </w:rPr>
            </w:pPr>
          </w:p>
        </w:tc>
        <w:tc>
          <w:tcPr>
            <w:tcW w:w="920" w:type="dxa"/>
            <w:vAlign w:val="bottom"/>
            <w:gridSpan w:val="6"/>
          </w:tcPr>
          <w:p>
            <w:pPr>
              <w:spacing w:after="0"/>
              <w:rPr>
                <w:rFonts w:ascii="Arial" w:cs="Arial" w:eastAsia="Arial" w:hAnsi="Arial"/>
                <w:sz w:val="18"/>
                <w:szCs w:val="18"/>
                <w:color w:val="0000FF"/>
              </w:rPr>
            </w:pPr>
            <w:hyperlink r:id="rId222">
              <w:r>
                <w:rPr>
                  <w:rFonts w:ascii="Arial" w:cs="Arial" w:eastAsia="Arial" w:hAnsi="Arial"/>
                  <w:sz w:val="18"/>
                  <w:szCs w:val="18"/>
                  <w:color w:val="0000FF"/>
                </w:rPr>
                <w:t>10.</w:t>
              </w:r>
              <w:r>
                <w:rPr>
                  <w:rFonts w:ascii="Arial" w:cs="Arial" w:eastAsia="Arial" w:hAnsi="Arial"/>
                  <w:sz w:val="18"/>
                  <w:szCs w:val="18"/>
                  <w:u w:val="single" w:color="auto"/>
                  <w:color w:val="0000FF"/>
                </w:rPr>
                <w:t>1(c)</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Form of Retention Restricted Stock Unit Award Agreement under the Viatris 2020 Stock Incentive Plan, filed as Exhibit 10.1(c) to</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Form 10-K for the fiscal year ended December 31, 2020, and incorporated herein by reference.*</w:t>
            </w:r>
          </w:p>
        </w:tc>
      </w:tr>
      <w:tr>
        <w:trPr>
          <w:trHeight w:val="216"/>
        </w:trPr>
        <w:tc>
          <w:tcPr>
            <w:tcW w:w="20" w:type="dxa"/>
            <w:vAlign w:val="bottom"/>
          </w:tcPr>
          <w:p>
            <w:pPr>
              <w:spacing w:after="0"/>
              <w:rPr>
                <w:sz w:val="18"/>
                <w:szCs w:val="18"/>
                <w:color w:val="auto"/>
              </w:rPr>
            </w:pPr>
          </w:p>
        </w:tc>
        <w:tc>
          <w:tcPr>
            <w:tcW w:w="920" w:type="dxa"/>
            <w:vAlign w:val="bottom"/>
            <w:gridSpan w:val="6"/>
          </w:tcPr>
          <w:p>
            <w:pPr>
              <w:spacing w:after="0"/>
              <w:rPr>
                <w:rFonts w:ascii="Arial" w:cs="Arial" w:eastAsia="Arial" w:hAnsi="Arial"/>
                <w:sz w:val="18"/>
                <w:szCs w:val="18"/>
                <w:color w:val="0000FF"/>
              </w:rPr>
            </w:pPr>
            <w:hyperlink r:id="rId223">
              <w:r>
                <w:rPr>
                  <w:rFonts w:ascii="Arial" w:cs="Arial" w:eastAsia="Arial" w:hAnsi="Arial"/>
                  <w:sz w:val="18"/>
                  <w:szCs w:val="18"/>
                  <w:color w:val="0000FF"/>
                </w:rPr>
                <w:t>10.</w:t>
              </w:r>
              <w:r>
                <w:rPr>
                  <w:rFonts w:ascii="Arial" w:cs="Arial" w:eastAsia="Arial" w:hAnsi="Arial"/>
                  <w:sz w:val="18"/>
                  <w:szCs w:val="18"/>
                  <w:u w:val="single" w:color="auto"/>
                  <w:color w:val="0000FF"/>
                </w:rPr>
                <w:t>1(d)</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9"/>
              </w:rPr>
              <w:t>Form of Restricted Stock Unit Award Agreement under the Viatris 2020 Stock Incentive Plan for Michael Goettler and Sanjeev</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Narula, filed as Exhibit 10.1(d) to Form 10-K for the fiscal year ended December 31, 2020, and incorporated herein by reference.*</w:t>
            </w:r>
          </w:p>
        </w:tc>
      </w:tr>
      <w:tr>
        <w:trPr>
          <w:trHeight w:val="216"/>
        </w:trPr>
        <w:tc>
          <w:tcPr>
            <w:tcW w:w="20" w:type="dxa"/>
            <w:vAlign w:val="bottom"/>
          </w:tcPr>
          <w:p>
            <w:pPr>
              <w:spacing w:after="0"/>
              <w:rPr>
                <w:sz w:val="18"/>
                <w:szCs w:val="18"/>
                <w:color w:val="auto"/>
              </w:rPr>
            </w:pPr>
          </w:p>
        </w:tc>
        <w:tc>
          <w:tcPr>
            <w:tcW w:w="920" w:type="dxa"/>
            <w:vAlign w:val="bottom"/>
            <w:gridSpan w:val="6"/>
          </w:tcPr>
          <w:p>
            <w:pPr>
              <w:spacing w:after="0"/>
              <w:rPr>
                <w:rFonts w:ascii="Arial" w:cs="Arial" w:eastAsia="Arial" w:hAnsi="Arial"/>
                <w:sz w:val="18"/>
                <w:szCs w:val="18"/>
                <w:color w:val="0000FF"/>
              </w:rPr>
            </w:pPr>
            <w:hyperlink r:id="rId224">
              <w:r>
                <w:rPr>
                  <w:rFonts w:ascii="Arial" w:cs="Arial" w:eastAsia="Arial" w:hAnsi="Arial"/>
                  <w:sz w:val="18"/>
                  <w:szCs w:val="18"/>
                  <w:color w:val="0000FF"/>
                </w:rPr>
                <w:t>10.</w:t>
              </w:r>
              <w:r>
                <w:rPr>
                  <w:rFonts w:ascii="Arial" w:cs="Arial" w:eastAsia="Arial" w:hAnsi="Arial"/>
                  <w:sz w:val="18"/>
                  <w:szCs w:val="18"/>
                  <w:u w:val="single" w:color="auto"/>
                  <w:color w:val="0000FF"/>
                </w:rPr>
                <w:t>1(e)</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Value Creation Incentive Award Performance-Based Restricted Stock Unit Award Agreement for Robert J. Coury under the Viatris</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00" w:type="dxa"/>
            <w:vAlign w:val="bottom"/>
          </w:tcPr>
          <w:p>
            <w:pPr>
              <w:ind w:left="320"/>
              <w:spacing w:after="0" w:line="195" w:lineRule="exact"/>
              <w:rPr>
                <w:sz w:val="20"/>
                <w:szCs w:val="20"/>
                <w:color w:val="auto"/>
              </w:rPr>
            </w:pPr>
            <w:r>
              <w:rPr>
                <w:rFonts w:ascii="Arial" w:cs="Arial" w:eastAsia="Arial" w:hAnsi="Arial"/>
                <w:sz w:val="18"/>
                <w:szCs w:val="18"/>
                <w:color w:val="auto"/>
                <w:w w:val="97"/>
              </w:rPr>
              <w:t>Inc. 2020 Stock Incentive Plan, effective as of November 23, 2020, filed as Exhibit 10.1(e) to Form 10-K for the fiscal year ended</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December 31, 2020, and incorporated herein by reference.*</w:t>
            </w:r>
          </w:p>
        </w:tc>
      </w:tr>
      <w:tr>
        <w:trPr>
          <w:trHeight w:val="216"/>
        </w:trPr>
        <w:tc>
          <w:tcPr>
            <w:tcW w:w="20" w:type="dxa"/>
            <w:vAlign w:val="bottom"/>
          </w:tcPr>
          <w:p>
            <w:pPr>
              <w:spacing w:after="0"/>
              <w:rPr>
                <w:sz w:val="18"/>
                <w:szCs w:val="18"/>
                <w:color w:val="auto"/>
              </w:rPr>
            </w:pPr>
          </w:p>
        </w:tc>
        <w:tc>
          <w:tcPr>
            <w:tcW w:w="920" w:type="dxa"/>
            <w:vAlign w:val="bottom"/>
            <w:gridSpan w:val="6"/>
          </w:tcPr>
          <w:p>
            <w:pPr>
              <w:spacing w:after="0"/>
              <w:rPr>
                <w:rFonts w:ascii="Arial" w:cs="Arial" w:eastAsia="Arial" w:hAnsi="Arial"/>
                <w:sz w:val="18"/>
                <w:szCs w:val="18"/>
                <w:color w:val="0000FF"/>
              </w:rPr>
            </w:pPr>
            <w:hyperlink r:id="rId225">
              <w:r>
                <w:rPr>
                  <w:rFonts w:ascii="Arial" w:cs="Arial" w:eastAsia="Arial" w:hAnsi="Arial"/>
                  <w:sz w:val="18"/>
                  <w:szCs w:val="18"/>
                  <w:color w:val="0000FF"/>
                </w:rPr>
                <w:t>10.</w:t>
              </w:r>
              <w:r>
                <w:rPr>
                  <w:rFonts w:ascii="Arial" w:cs="Arial" w:eastAsia="Arial" w:hAnsi="Arial"/>
                  <w:sz w:val="18"/>
                  <w:szCs w:val="18"/>
                  <w:u w:val="single" w:color="auto"/>
                  <w:color w:val="0000FF"/>
                </w:rPr>
                <w:t>1(f)</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8"/>
              </w:rPr>
              <w:t>Form of Restricted Stock Unit Award Agreement under the Viatris Inc. 2020 Stock Incentive Plan for awards granted on or after</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5"/>
              </w:rPr>
              <w:t>March 2, 2021, included as Exhibit 10.1 to Form 10-Q for the quarter ended March 31, 2021 and incorporated by reference herein.*</w:t>
            </w:r>
          </w:p>
        </w:tc>
      </w:tr>
      <w:tr>
        <w:trPr>
          <w:trHeight w:val="216"/>
        </w:trPr>
        <w:tc>
          <w:tcPr>
            <w:tcW w:w="20" w:type="dxa"/>
            <w:vAlign w:val="bottom"/>
          </w:tcPr>
          <w:p>
            <w:pPr>
              <w:spacing w:after="0"/>
              <w:rPr>
                <w:sz w:val="18"/>
                <w:szCs w:val="18"/>
                <w:color w:val="auto"/>
              </w:rPr>
            </w:pPr>
          </w:p>
        </w:tc>
        <w:tc>
          <w:tcPr>
            <w:tcW w:w="920" w:type="dxa"/>
            <w:vAlign w:val="bottom"/>
            <w:gridSpan w:val="6"/>
          </w:tcPr>
          <w:p>
            <w:pPr>
              <w:spacing w:after="0"/>
              <w:rPr>
                <w:rFonts w:ascii="Arial" w:cs="Arial" w:eastAsia="Arial" w:hAnsi="Arial"/>
                <w:sz w:val="18"/>
                <w:szCs w:val="18"/>
                <w:color w:val="0000FF"/>
              </w:rPr>
            </w:pPr>
            <w:hyperlink r:id="rId226">
              <w:r>
                <w:rPr>
                  <w:rFonts w:ascii="Arial" w:cs="Arial" w:eastAsia="Arial" w:hAnsi="Arial"/>
                  <w:sz w:val="18"/>
                  <w:szCs w:val="18"/>
                  <w:color w:val="0000FF"/>
                </w:rPr>
                <w:t>10.</w:t>
              </w:r>
              <w:r>
                <w:rPr>
                  <w:rFonts w:ascii="Arial" w:cs="Arial" w:eastAsia="Arial" w:hAnsi="Arial"/>
                  <w:sz w:val="18"/>
                  <w:szCs w:val="18"/>
                  <w:u w:val="single" w:color="auto"/>
                  <w:color w:val="0000FF"/>
                </w:rPr>
                <w:t>1(g)</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Form of Performance-Based Restricted Stock Unit Award Agreement under the Viatris Inc. 2020 Stock Incentive Plan for awards</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00" w:type="dxa"/>
            <w:vAlign w:val="bottom"/>
          </w:tcPr>
          <w:p>
            <w:pPr>
              <w:ind w:left="320"/>
              <w:spacing w:after="0" w:line="195" w:lineRule="exact"/>
              <w:rPr>
                <w:sz w:val="20"/>
                <w:szCs w:val="20"/>
                <w:color w:val="auto"/>
              </w:rPr>
            </w:pPr>
            <w:r>
              <w:rPr>
                <w:rFonts w:ascii="Arial" w:cs="Arial" w:eastAsia="Arial" w:hAnsi="Arial"/>
                <w:sz w:val="18"/>
                <w:szCs w:val="18"/>
                <w:color w:val="auto"/>
                <w:w w:val="95"/>
              </w:rPr>
              <w:t xml:space="preserve">granted on or after March 2, 2021, included as Exhibit 10.2 to Form 10-Q for the quarter ended March </w:t>
            </w:r>
            <w:r>
              <w:rPr>
                <w:rFonts w:ascii="Arial" w:cs="Arial" w:eastAsia="Arial" w:hAnsi="Arial"/>
                <w:sz w:val="18"/>
                <w:szCs w:val="18"/>
                <w:color w:val="008080"/>
                <w:w w:val="95"/>
              </w:rPr>
              <w:t>3</w:t>
            </w:r>
            <w:r>
              <w:rPr>
                <w:rFonts w:ascii="Arial" w:cs="Arial" w:eastAsia="Arial" w:hAnsi="Arial"/>
                <w:sz w:val="18"/>
                <w:szCs w:val="18"/>
                <w:color w:val="auto"/>
                <w:w w:val="95"/>
              </w:rPr>
              <w:t>1, 2021 and incorporated by</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reference herein.*</w:t>
            </w:r>
          </w:p>
        </w:tc>
      </w:tr>
      <w:tr>
        <w:trPr>
          <w:trHeight w:val="216"/>
        </w:trPr>
        <w:tc>
          <w:tcPr>
            <w:tcW w:w="20" w:type="dxa"/>
            <w:vAlign w:val="bottom"/>
          </w:tcPr>
          <w:p>
            <w:pPr>
              <w:spacing w:after="0"/>
              <w:rPr>
                <w:sz w:val="18"/>
                <w:szCs w:val="18"/>
                <w:color w:val="auto"/>
              </w:rPr>
            </w:pPr>
          </w:p>
        </w:tc>
        <w:tc>
          <w:tcPr>
            <w:tcW w:w="920" w:type="dxa"/>
            <w:vAlign w:val="bottom"/>
            <w:gridSpan w:val="6"/>
          </w:tcPr>
          <w:p>
            <w:pPr>
              <w:spacing w:after="0"/>
              <w:rPr>
                <w:rFonts w:ascii="Arial" w:cs="Arial" w:eastAsia="Arial" w:hAnsi="Arial"/>
                <w:sz w:val="18"/>
                <w:szCs w:val="18"/>
                <w:color w:val="0000FF"/>
              </w:rPr>
            </w:pPr>
            <w:hyperlink r:id="rId227">
              <w:r>
                <w:rPr>
                  <w:rFonts w:ascii="Arial" w:cs="Arial" w:eastAsia="Arial" w:hAnsi="Arial"/>
                  <w:sz w:val="18"/>
                  <w:szCs w:val="18"/>
                  <w:color w:val="0000FF"/>
                </w:rPr>
                <w:t>10.</w:t>
              </w:r>
              <w:r>
                <w:rPr>
                  <w:rFonts w:ascii="Arial" w:cs="Arial" w:eastAsia="Arial" w:hAnsi="Arial"/>
                  <w:sz w:val="18"/>
                  <w:szCs w:val="18"/>
                  <w:u w:val="single" w:color="auto"/>
                  <w:color w:val="0000FF"/>
                </w:rPr>
                <w:t>1(h)</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rPr>
              <w:t>Form of Director Restricted Stock Unit Award Agreement under the Viatris Inc. 2020 Stock Incentive Plan for non-employee</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00" w:type="dxa"/>
            <w:vAlign w:val="bottom"/>
          </w:tcPr>
          <w:p>
            <w:pPr>
              <w:ind w:left="320"/>
              <w:spacing w:after="0" w:line="195" w:lineRule="exact"/>
              <w:rPr>
                <w:sz w:val="20"/>
                <w:szCs w:val="20"/>
                <w:color w:val="auto"/>
              </w:rPr>
            </w:pPr>
            <w:r>
              <w:rPr>
                <w:rFonts w:ascii="Arial" w:cs="Arial" w:eastAsia="Arial" w:hAnsi="Arial"/>
                <w:sz w:val="18"/>
                <w:szCs w:val="18"/>
                <w:color w:val="auto"/>
                <w:w w:val="95"/>
              </w:rPr>
              <w:t>directors for awards granted on or after March 2, 2021, included as Exhibit 10.3 to Form 10-Q for the quarter ended March 31, 2021</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and incorporated by reference herein.*</w:t>
            </w:r>
          </w:p>
        </w:tc>
      </w:tr>
      <w:tr>
        <w:trPr>
          <w:trHeight w:val="216"/>
        </w:trPr>
        <w:tc>
          <w:tcPr>
            <w:tcW w:w="520" w:type="dxa"/>
            <w:vAlign w:val="bottom"/>
            <w:gridSpan w:val="3"/>
          </w:tcPr>
          <w:p>
            <w:pPr>
              <w:ind w:left="20"/>
              <w:spacing w:after="0"/>
              <w:rPr>
                <w:rFonts w:ascii="Arial" w:cs="Arial" w:eastAsia="Arial" w:hAnsi="Arial"/>
                <w:sz w:val="18"/>
                <w:szCs w:val="18"/>
                <w:color w:val="0000FF"/>
              </w:rPr>
            </w:pPr>
            <w:hyperlink r:id="rId228">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4"/>
              </w:rPr>
              <w:t>Letter Agreement entered into on February 6, 2020 by and between Pfizer Inc. and Sanjeev Narula, filed as Exhibit 10.2 to Form 10-</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K for the fiscal year ended December 31, 2020, and incorporated herein by reference.*</w:t>
            </w:r>
          </w:p>
        </w:tc>
      </w:tr>
      <w:tr>
        <w:trPr>
          <w:trHeight w:val="216"/>
        </w:trPr>
        <w:tc>
          <w:tcPr>
            <w:tcW w:w="520" w:type="dxa"/>
            <w:vAlign w:val="bottom"/>
            <w:gridSpan w:val="3"/>
          </w:tcPr>
          <w:p>
            <w:pPr>
              <w:ind w:left="20"/>
              <w:spacing w:after="0"/>
              <w:rPr>
                <w:rFonts w:ascii="Arial" w:cs="Arial" w:eastAsia="Arial" w:hAnsi="Arial"/>
                <w:sz w:val="18"/>
                <w:szCs w:val="18"/>
                <w:color w:val="0000FF"/>
              </w:rPr>
            </w:pPr>
            <w:hyperlink r:id="rId22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5"/>
              </w:rPr>
              <w:t>Letter Agreement entered into on June 25, 2019 by and between Pfizer Inc. and Sanjeev Narula, filed as Exhibit 10.3 to Form 10-K</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for the fiscal year ended December 31, 2020, and incorporated herein by reference.*</w:t>
            </w:r>
          </w:p>
        </w:tc>
      </w:tr>
      <w:tr>
        <w:trPr>
          <w:trHeight w:val="216"/>
        </w:trPr>
        <w:tc>
          <w:tcPr>
            <w:tcW w:w="520" w:type="dxa"/>
            <w:vAlign w:val="bottom"/>
            <w:gridSpan w:val="3"/>
          </w:tcPr>
          <w:p>
            <w:pPr>
              <w:ind w:left="20"/>
              <w:spacing w:after="0"/>
              <w:rPr>
                <w:rFonts w:ascii="Arial" w:cs="Arial" w:eastAsia="Arial" w:hAnsi="Arial"/>
                <w:sz w:val="18"/>
                <w:szCs w:val="18"/>
                <w:color w:val="0000FF"/>
              </w:rPr>
            </w:pPr>
            <w:hyperlink r:id="rId230">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5"/>
              </w:rPr>
              <w:t>Letter Agreement entered into on June 26, 2019 by and between Pfizer Inc. and Michael Goettler, filed as Exhibit 10.4 to Form 10-K</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for the fiscal year ended December 31, 2020, and incorporated herein by reference.*</w:t>
            </w:r>
          </w:p>
        </w:tc>
      </w:tr>
      <w:tr>
        <w:trPr>
          <w:trHeight w:val="216"/>
        </w:trPr>
        <w:tc>
          <w:tcPr>
            <w:tcW w:w="520" w:type="dxa"/>
            <w:vAlign w:val="bottom"/>
            <w:gridSpan w:val="3"/>
          </w:tcPr>
          <w:p>
            <w:pPr>
              <w:ind w:left="20"/>
              <w:spacing w:after="0"/>
              <w:rPr>
                <w:rFonts w:ascii="Arial" w:cs="Arial" w:eastAsia="Arial" w:hAnsi="Arial"/>
                <w:sz w:val="18"/>
                <w:szCs w:val="18"/>
                <w:color w:val="0000FF"/>
              </w:rPr>
            </w:pPr>
            <w:hyperlink r:id="rId231">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5"/>
              </w:rPr>
              <w:t>Letter Agreement entered into on July 29, 2019 by and between Pfizer Inc. and Michael Goettler, filed as Exhibit 10.5 to Form 10-K</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for the fiscal year ended December 31, 2020, and incorporated herein by reference.*</w:t>
            </w:r>
          </w:p>
        </w:tc>
      </w:tr>
      <w:tr>
        <w:trPr>
          <w:trHeight w:val="216"/>
        </w:trPr>
        <w:tc>
          <w:tcPr>
            <w:tcW w:w="520" w:type="dxa"/>
            <w:vAlign w:val="bottom"/>
            <w:gridSpan w:val="3"/>
          </w:tcPr>
          <w:p>
            <w:pPr>
              <w:ind w:left="20"/>
              <w:spacing w:after="0"/>
              <w:rPr>
                <w:rFonts w:ascii="Arial" w:cs="Arial" w:eastAsia="Arial" w:hAnsi="Arial"/>
                <w:sz w:val="18"/>
                <w:szCs w:val="18"/>
                <w:color w:val="0000FF"/>
              </w:rPr>
            </w:pPr>
            <w:hyperlink r:id="rId232">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Severance Agreement entered into on December 3, 2020 by and between Viatris Inc. and Michael Goettler, filed as Exhibit 10.6 to</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Form 10-K for the fiscal year ended December 31, 2020, and incorporated herein by reference.*</w:t>
            </w:r>
          </w:p>
        </w:tc>
      </w:tr>
      <w:tr>
        <w:trPr>
          <w:trHeight w:val="216"/>
        </w:trPr>
        <w:tc>
          <w:tcPr>
            <w:tcW w:w="520" w:type="dxa"/>
            <w:vAlign w:val="bottom"/>
            <w:gridSpan w:val="3"/>
          </w:tcPr>
          <w:p>
            <w:pPr>
              <w:ind w:left="20"/>
              <w:spacing w:after="0"/>
              <w:rPr>
                <w:rFonts w:ascii="Arial" w:cs="Arial" w:eastAsia="Arial" w:hAnsi="Arial"/>
                <w:sz w:val="18"/>
                <w:szCs w:val="18"/>
                <w:color w:val="0000FF"/>
              </w:rPr>
            </w:pPr>
            <w:hyperlink r:id="rId233">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Retention Agreement entered into on December 3, 2020, by and between Viatris Inc. and Rajiv Malik, filed as Exhibit 10.7 to Form</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10-K for the fiscal year ended December 31, 2020, and incorporated herein by reference.*</w:t>
            </w:r>
          </w:p>
        </w:tc>
      </w:tr>
      <w:tr>
        <w:trPr>
          <w:trHeight w:val="216"/>
        </w:trPr>
        <w:tc>
          <w:tcPr>
            <w:tcW w:w="520" w:type="dxa"/>
            <w:vAlign w:val="bottom"/>
            <w:gridSpan w:val="3"/>
          </w:tcPr>
          <w:p>
            <w:pPr>
              <w:ind w:left="20"/>
              <w:spacing w:after="0"/>
              <w:rPr>
                <w:rFonts w:ascii="Arial" w:cs="Arial" w:eastAsia="Arial" w:hAnsi="Arial"/>
                <w:sz w:val="18"/>
                <w:szCs w:val="18"/>
                <w:color w:val="0000FF"/>
              </w:rPr>
            </w:pPr>
            <w:hyperlink r:id="rId234">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Retention Agreement entered into on December 3, 2020, by and between Viatris Inc. and Anthony Mauro, filed as Exhibit 10.1 to</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Amendment No. 1 to Form 10-K for the fiscal year ended December 31, 2020, and incorporated herein by reference.*</w:t>
            </w:r>
          </w:p>
        </w:tc>
      </w:tr>
      <w:tr>
        <w:trPr>
          <w:trHeight w:val="216"/>
        </w:trPr>
        <w:tc>
          <w:tcPr>
            <w:tcW w:w="520" w:type="dxa"/>
            <w:vAlign w:val="bottom"/>
            <w:gridSpan w:val="3"/>
          </w:tcPr>
          <w:p>
            <w:pPr>
              <w:ind w:left="20"/>
              <w:spacing w:after="0"/>
              <w:rPr>
                <w:rFonts w:ascii="Arial" w:cs="Arial" w:eastAsia="Arial" w:hAnsi="Arial"/>
                <w:sz w:val="18"/>
                <w:szCs w:val="18"/>
                <w:color w:val="0000FF"/>
              </w:rPr>
            </w:pPr>
            <w:hyperlink r:id="rId235">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Executive Employment Agreement, entered into on November 20, 2020, by and between Viatris Inc. and Robert J. Coury, filed as</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Exhibit 10.9 to Form 10-K for the fiscal year ended December 31, 2020, and incorporated herein by reference.*</w:t>
            </w:r>
          </w:p>
        </w:tc>
      </w:tr>
      <w:tr>
        <w:trPr>
          <w:trHeight w:val="216"/>
        </w:trPr>
        <w:tc>
          <w:tcPr>
            <w:tcW w:w="20" w:type="dxa"/>
            <w:vAlign w:val="bottom"/>
          </w:tcPr>
          <w:p>
            <w:pPr>
              <w:spacing w:after="0"/>
              <w:rPr>
                <w:sz w:val="18"/>
                <w:szCs w:val="18"/>
                <w:color w:val="auto"/>
              </w:rPr>
            </w:pPr>
          </w:p>
        </w:tc>
        <w:tc>
          <w:tcPr>
            <w:tcW w:w="920" w:type="dxa"/>
            <w:vAlign w:val="bottom"/>
            <w:gridSpan w:val="6"/>
          </w:tcPr>
          <w:p>
            <w:pPr>
              <w:spacing w:after="0"/>
              <w:rPr>
                <w:rFonts w:ascii="Arial" w:cs="Arial" w:eastAsia="Arial" w:hAnsi="Arial"/>
                <w:sz w:val="18"/>
                <w:szCs w:val="18"/>
                <w:color w:val="0000FF"/>
              </w:rPr>
            </w:pPr>
            <w:hyperlink r:id="rId236">
              <w:r>
                <w:rPr>
                  <w:rFonts w:ascii="Arial" w:cs="Arial" w:eastAsia="Arial" w:hAnsi="Arial"/>
                  <w:sz w:val="18"/>
                  <w:szCs w:val="18"/>
                  <w:color w:val="0000FF"/>
                </w:rPr>
                <w:t>10.</w:t>
              </w:r>
              <w:r>
                <w:rPr>
                  <w:rFonts w:ascii="Arial" w:cs="Arial" w:eastAsia="Arial" w:hAnsi="Arial"/>
                  <w:sz w:val="18"/>
                  <w:szCs w:val="18"/>
                  <w:u w:val="single" w:color="auto"/>
                  <w:color w:val="0000FF"/>
                </w:rPr>
                <w:t>10(a)</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rPr>
              <w:t>Mylan N.V. Amended and Restated 2003 Long-Term Incentive Plan, filed as Appendix B to Mylan N.V.’s Definitive Proxy</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Statement on Schedule 14A filed by Mylan N.V. with the SEC on May 25, 2016, and incorporated herein by reference.*</w:t>
            </w:r>
          </w:p>
        </w:tc>
      </w:tr>
      <w:tr>
        <w:trPr>
          <w:trHeight w:val="85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tcPr>
          <w:p>
            <w:pPr>
              <w:ind w:left="4540"/>
              <w:spacing w:after="0"/>
              <w:rPr>
                <w:sz w:val="20"/>
                <w:szCs w:val="20"/>
                <w:color w:val="auto"/>
              </w:rPr>
            </w:pPr>
            <w:r>
              <w:rPr>
                <w:rFonts w:ascii="Arial" w:cs="Arial" w:eastAsia="Arial" w:hAnsi="Arial"/>
                <w:sz w:val="18"/>
                <w:szCs w:val="18"/>
                <w:color w:val="auto"/>
              </w:rPr>
              <w:t>149</w:t>
            </w: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gridSpan w:val="6"/>
          </w:tcPr>
          <w:p>
            <w:pPr>
              <w:spacing w:after="0"/>
              <w:rPr>
                <w:rFonts w:ascii="Arial" w:cs="Arial" w:eastAsia="Arial" w:hAnsi="Arial"/>
                <w:sz w:val="18"/>
                <w:szCs w:val="18"/>
                <w:color w:val="0000FF"/>
              </w:rPr>
            </w:pPr>
            <w:hyperlink r:id="rId236">
              <w:r>
                <w:rPr>
                  <w:rFonts w:ascii="Arial" w:cs="Arial" w:eastAsia="Arial" w:hAnsi="Arial"/>
                  <w:sz w:val="18"/>
                  <w:szCs w:val="18"/>
                  <w:color w:val="0000FF"/>
                </w:rPr>
                <w:t>10.</w:t>
              </w:r>
              <w:r>
                <w:rPr>
                  <w:rFonts w:ascii="Arial" w:cs="Arial" w:eastAsia="Arial" w:hAnsi="Arial"/>
                  <w:sz w:val="18"/>
                  <w:szCs w:val="18"/>
                  <w:u w:val="single" w:color="auto"/>
                  <w:color w:val="0000FF"/>
                </w:rPr>
                <w:t>10(b)</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Amendment to Mylan N.V. Amended and Restated 2003 Long-Term Incentive Plan, filed as Appendix B to Mylan N.V.’s Definitive</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Proxy Statement on Schedule 14A filed by Mylan N.V. on May 25, 2016, and incorporated herein by reference.*</w:t>
            </w:r>
          </w:p>
        </w:tc>
      </w:tr>
      <w:tr>
        <w:trPr>
          <w:trHeight w:val="190"/>
        </w:trPr>
        <w:tc>
          <w:tcPr>
            <w:tcW w:w="20" w:type="dxa"/>
            <w:vAlign w:val="bottom"/>
          </w:tcPr>
          <w:p>
            <w:pPr>
              <w:spacing w:after="0"/>
              <w:rPr>
                <w:sz w:val="16"/>
                <w:szCs w:val="16"/>
                <w:color w:val="auto"/>
              </w:rPr>
            </w:pPr>
          </w:p>
        </w:tc>
        <w:tc>
          <w:tcPr>
            <w:tcW w:w="920" w:type="dxa"/>
            <w:vAlign w:val="bottom"/>
            <w:gridSpan w:val="6"/>
          </w:tcPr>
          <w:p>
            <w:pPr>
              <w:spacing w:after="0" w:line="190" w:lineRule="exact"/>
              <w:rPr>
                <w:rFonts w:ascii="Arial" w:cs="Arial" w:eastAsia="Arial" w:hAnsi="Arial"/>
                <w:sz w:val="18"/>
                <w:szCs w:val="18"/>
                <w:color w:val="0000FF"/>
              </w:rPr>
            </w:pPr>
            <w:hyperlink r:id="rId239">
              <w:r>
                <w:rPr>
                  <w:rFonts w:ascii="Arial" w:cs="Arial" w:eastAsia="Arial" w:hAnsi="Arial"/>
                  <w:sz w:val="18"/>
                  <w:szCs w:val="18"/>
                  <w:color w:val="0000FF"/>
                </w:rPr>
                <w:t>10.</w:t>
              </w:r>
              <w:r>
                <w:rPr>
                  <w:rFonts w:ascii="Arial" w:cs="Arial" w:eastAsia="Arial" w:hAnsi="Arial"/>
                  <w:sz w:val="18"/>
                  <w:szCs w:val="18"/>
                  <w:u w:val="single" w:color="auto"/>
                  <w:color w:val="0000FF"/>
                </w:rPr>
                <w:t>10(c)</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6"/>
              </w:rPr>
              <w:t>Amendment to the Mylan N.V. Amended and Restated 2003 Long-Term Incentive Plan, adopted as of February 23, 2017, filed by</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Mylan N.V. as Exhibit 10.1 to Form 10-Q for the quarter ended March 31, 2017, and incorporated herein by reference.*</w:t>
            </w:r>
          </w:p>
        </w:tc>
      </w:tr>
      <w:tr>
        <w:trPr>
          <w:trHeight w:val="190"/>
        </w:trPr>
        <w:tc>
          <w:tcPr>
            <w:tcW w:w="20" w:type="dxa"/>
            <w:vAlign w:val="bottom"/>
          </w:tcPr>
          <w:p>
            <w:pPr>
              <w:spacing w:after="0"/>
              <w:rPr>
                <w:sz w:val="16"/>
                <w:szCs w:val="16"/>
                <w:color w:val="auto"/>
              </w:rPr>
            </w:pPr>
          </w:p>
        </w:tc>
        <w:tc>
          <w:tcPr>
            <w:tcW w:w="920" w:type="dxa"/>
            <w:vAlign w:val="bottom"/>
            <w:gridSpan w:val="6"/>
          </w:tcPr>
          <w:p>
            <w:pPr>
              <w:spacing w:after="0" w:line="190" w:lineRule="exact"/>
              <w:rPr>
                <w:rFonts w:ascii="Arial" w:cs="Arial" w:eastAsia="Arial" w:hAnsi="Arial"/>
                <w:sz w:val="18"/>
                <w:szCs w:val="18"/>
                <w:color w:val="0000FF"/>
              </w:rPr>
            </w:pPr>
            <w:hyperlink r:id="rId240">
              <w:r>
                <w:rPr>
                  <w:rFonts w:ascii="Arial" w:cs="Arial" w:eastAsia="Arial" w:hAnsi="Arial"/>
                  <w:sz w:val="18"/>
                  <w:szCs w:val="18"/>
                  <w:color w:val="0000FF"/>
                </w:rPr>
                <w:t>10.</w:t>
              </w:r>
              <w:r>
                <w:rPr>
                  <w:rFonts w:ascii="Arial" w:cs="Arial" w:eastAsia="Arial" w:hAnsi="Arial"/>
                  <w:sz w:val="18"/>
                  <w:szCs w:val="18"/>
                  <w:u w:val="single" w:color="auto"/>
                  <w:color w:val="0000FF"/>
                </w:rPr>
                <w:t>10(d)</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5"/>
              </w:rPr>
              <w:t>Amended and Restated Form of Stock Option Agreement under the Mylan N.V. 2003 Long-Term Incentive Plan for Robert J. Coury</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and Rajiv Malik, filed by Mylan Inc. as Exhibit 10.2 to Form 10-Q for the quarter ended September 30, 2013, and incorporated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herein by reference.*</w:t>
            </w:r>
          </w:p>
        </w:tc>
      </w:tr>
      <w:tr>
        <w:trPr>
          <w:trHeight w:val="202"/>
        </w:trPr>
        <w:tc>
          <w:tcPr>
            <w:tcW w:w="20" w:type="dxa"/>
            <w:vAlign w:val="bottom"/>
          </w:tcPr>
          <w:p>
            <w:pPr>
              <w:spacing w:after="0"/>
              <w:rPr>
                <w:sz w:val="17"/>
                <w:szCs w:val="17"/>
                <w:color w:val="auto"/>
              </w:rPr>
            </w:pPr>
          </w:p>
        </w:tc>
        <w:tc>
          <w:tcPr>
            <w:tcW w:w="920" w:type="dxa"/>
            <w:vAlign w:val="bottom"/>
            <w:gridSpan w:val="6"/>
          </w:tcPr>
          <w:p>
            <w:pPr>
              <w:spacing w:after="0" w:line="201" w:lineRule="exact"/>
              <w:rPr>
                <w:rFonts w:ascii="Arial" w:cs="Arial" w:eastAsia="Arial" w:hAnsi="Arial"/>
                <w:sz w:val="18"/>
                <w:szCs w:val="18"/>
                <w:color w:val="0000FF"/>
              </w:rPr>
            </w:pPr>
            <w:hyperlink r:id="rId241">
              <w:r>
                <w:rPr>
                  <w:rFonts w:ascii="Arial" w:cs="Arial" w:eastAsia="Arial" w:hAnsi="Arial"/>
                  <w:sz w:val="18"/>
                  <w:szCs w:val="18"/>
                  <w:color w:val="0000FF"/>
                </w:rPr>
                <w:t>10.</w:t>
              </w:r>
              <w:r>
                <w:rPr>
                  <w:rFonts w:ascii="Arial" w:cs="Arial" w:eastAsia="Arial" w:hAnsi="Arial"/>
                  <w:sz w:val="18"/>
                  <w:szCs w:val="18"/>
                  <w:u w:val="single" w:color="auto"/>
                  <w:color w:val="0000FF"/>
                </w:rPr>
                <w:t>10(e)</w:t>
              </w:r>
            </w:hyperlink>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5"/>
              </w:rPr>
              <w:t>Amended and Restated Form of Stock Option Agreement under the Mylan N.V. 2003 Long-Term Incentive Plan for awards granted</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following fiscal year 2012, filed by Mylan Inc. as Exhibit 10.4(i) to Form 10-K for the fiscal year ended December 31, 2013, and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incorporated herein by reference.*</w:t>
            </w:r>
          </w:p>
        </w:tc>
      </w:tr>
      <w:tr>
        <w:trPr>
          <w:trHeight w:val="202"/>
        </w:trPr>
        <w:tc>
          <w:tcPr>
            <w:tcW w:w="20" w:type="dxa"/>
            <w:vAlign w:val="bottom"/>
          </w:tcPr>
          <w:p>
            <w:pPr>
              <w:spacing w:after="0"/>
              <w:rPr>
                <w:sz w:val="17"/>
                <w:szCs w:val="17"/>
                <w:color w:val="auto"/>
              </w:rPr>
            </w:pPr>
          </w:p>
        </w:tc>
        <w:tc>
          <w:tcPr>
            <w:tcW w:w="920" w:type="dxa"/>
            <w:vAlign w:val="bottom"/>
            <w:gridSpan w:val="6"/>
          </w:tcPr>
          <w:p>
            <w:pPr>
              <w:spacing w:after="0" w:line="201" w:lineRule="exact"/>
              <w:rPr>
                <w:rFonts w:ascii="Arial" w:cs="Arial" w:eastAsia="Arial" w:hAnsi="Arial"/>
                <w:sz w:val="18"/>
                <w:szCs w:val="18"/>
                <w:color w:val="0000FF"/>
              </w:rPr>
            </w:pPr>
            <w:hyperlink r:id="rId242">
              <w:r>
                <w:rPr>
                  <w:rFonts w:ascii="Arial" w:cs="Arial" w:eastAsia="Arial" w:hAnsi="Arial"/>
                  <w:sz w:val="18"/>
                  <w:szCs w:val="18"/>
                  <w:color w:val="0000FF"/>
                </w:rPr>
                <w:t>10.</w:t>
              </w:r>
              <w:r>
                <w:rPr>
                  <w:rFonts w:ascii="Arial" w:cs="Arial" w:eastAsia="Arial" w:hAnsi="Arial"/>
                  <w:sz w:val="18"/>
                  <w:szCs w:val="18"/>
                  <w:u w:val="single" w:color="auto"/>
                  <w:color w:val="0000FF"/>
                </w:rPr>
                <w:t>10(f)</w:t>
              </w:r>
            </w:hyperlink>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9"/>
              </w:rPr>
              <w:t>Form of Stock Option Agreement under the Mylan N.V. 2003 Long-Term Incentive Plan for Robert J. Coury and Rajiv Malik for</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awards granted after February 27, 2015, filed by Mylan N.V. as Exhibit 10.1(i) to Form 10-K for the fiscal year ended December 31,</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2015, and incorporated herein by reference.*</w:t>
            </w:r>
          </w:p>
        </w:tc>
      </w:tr>
      <w:tr>
        <w:trPr>
          <w:trHeight w:val="202"/>
        </w:trPr>
        <w:tc>
          <w:tcPr>
            <w:tcW w:w="20" w:type="dxa"/>
            <w:vAlign w:val="bottom"/>
          </w:tcPr>
          <w:p>
            <w:pPr>
              <w:spacing w:after="0"/>
              <w:rPr>
                <w:sz w:val="17"/>
                <w:szCs w:val="17"/>
                <w:color w:val="auto"/>
              </w:rPr>
            </w:pPr>
          </w:p>
        </w:tc>
        <w:tc>
          <w:tcPr>
            <w:tcW w:w="920" w:type="dxa"/>
            <w:vAlign w:val="bottom"/>
            <w:gridSpan w:val="6"/>
          </w:tcPr>
          <w:p>
            <w:pPr>
              <w:spacing w:after="0" w:line="201" w:lineRule="exact"/>
              <w:rPr>
                <w:rFonts w:ascii="Arial" w:cs="Arial" w:eastAsia="Arial" w:hAnsi="Arial"/>
                <w:sz w:val="18"/>
                <w:szCs w:val="18"/>
                <w:color w:val="0000FF"/>
              </w:rPr>
            </w:pPr>
            <w:hyperlink r:id="rId243">
              <w:r>
                <w:rPr>
                  <w:rFonts w:ascii="Arial" w:cs="Arial" w:eastAsia="Arial" w:hAnsi="Arial"/>
                  <w:sz w:val="18"/>
                  <w:szCs w:val="18"/>
                  <w:color w:val="0000FF"/>
                </w:rPr>
                <w:t>10.</w:t>
              </w:r>
              <w:r>
                <w:rPr>
                  <w:rFonts w:ascii="Arial" w:cs="Arial" w:eastAsia="Arial" w:hAnsi="Arial"/>
                  <w:sz w:val="18"/>
                  <w:szCs w:val="18"/>
                  <w:u w:val="single" w:color="auto"/>
                  <w:color w:val="0000FF"/>
                </w:rPr>
                <w:t>10(g)</w:t>
              </w:r>
            </w:hyperlink>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5"/>
              </w:rPr>
              <w:t>Form of Stock Option Agreement under the Mylan N.V. 2003 Long-Term Incentive Plan for awards granted after February 27, 2015,</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filed by Mylan N.V. as Exhibit 10.1(l) to Form 10-K for the fiscal year ended December 31, 2015, and incorporated herein by</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202"/>
        </w:trPr>
        <w:tc>
          <w:tcPr>
            <w:tcW w:w="20" w:type="dxa"/>
            <w:vAlign w:val="bottom"/>
          </w:tcPr>
          <w:p>
            <w:pPr>
              <w:spacing w:after="0"/>
              <w:rPr>
                <w:sz w:val="17"/>
                <w:szCs w:val="17"/>
                <w:color w:val="auto"/>
              </w:rPr>
            </w:pPr>
          </w:p>
        </w:tc>
        <w:tc>
          <w:tcPr>
            <w:tcW w:w="920" w:type="dxa"/>
            <w:vAlign w:val="bottom"/>
            <w:gridSpan w:val="6"/>
          </w:tcPr>
          <w:p>
            <w:pPr>
              <w:spacing w:after="0" w:line="201" w:lineRule="exact"/>
              <w:rPr>
                <w:rFonts w:ascii="Arial" w:cs="Arial" w:eastAsia="Arial" w:hAnsi="Arial"/>
                <w:sz w:val="18"/>
                <w:szCs w:val="18"/>
                <w:color w:val="0000FF"/>
              </w:rPr>
            </w:pPr>
            <w:hyperlink r:id="rId244">
              <w:r>
                <w:rPr>
                  <w:rFonts w:ascii="Arial" w:cs="Arial" w:eastAsia="Arial" w:hAnsi="Arial"/>
                  <w:sz w:val="18"/>
                  <w:szCs w:val="18"/>
                  <w:color w:val="0000FF"/>
                </w:rPr>
                <w:t>10.</w:t>
              </w:r>
              <w:r>
                <w:rPr>
                  <w:rFonts w:ascii="Arial" w:cs="Arial" w:eastAsia="Arial" w:hAnsi="Arial"/>
                  <w:sz w:val="18"/>
                  <w:szCs w:val="18"/>
                  <w:u w:val="single" w:color="auto"/>
                  <w:color w:val="0000FF"/>
                </w:rPr>
                <w:t>10(h)</w:t>
              </w:r>
            </w:hyperlink>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8"/>
              </w:rPr>
              <w:t>Form of Stock Option Agreement under the Mylan N.V. 2003 Long-Term Incentive Plan for Rajiv Malik for awards granted on or</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after February 19, 2019, filed by Mylan N.V. as Exhibit 10.7 to Form 10-Q for the quarter ended March 31, 2019, and incorporated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herein by reference.*</w:t>
            </w:r>
          </w:p>
        </w:tc>
      </w:tr>
      <w:tr>
        <w:trPr>
          <w:trHeight w:val="202"/>
        </w:trPr>
        <w:tc>
          <w:tcPr>
            <w:tcW w:w="20" w:type="dxa"/>
            <w:vAlign w:val="bottom"/>
          </w:tcPr>
          <w:p>
            <w:pPr>
              <w:spacing w:after="0"/>
              <w:rPr>
                <w:sz w:val="17"/>
                <w:szCs w:val="17"/>
                <w:color w:val="auto"/>
              </w:rPr>
            </w:pPr>
          </w:p>
        </w:tc>
        <w:tc>
          <w:tcPr>
            <w:tcW w:w="920" w:type="dxa"/>
            <w:vAlign w:val="bottom"/>
            <w:gridSpan w:val="6"/>
          </w:tcPr>
          <w:p>
            <w:pPr>
              <w:spacing w:after="0" w:line="201" w:lineRule="exact"/>
              <w:rPr>
                <w:rFonts w:ascii="Arial" w:cs="Arial" w:eastAsia="Arial" w:hAnsi="Arial"/>
                <w:sz w:val="18"/>
                <w:szCs w:val="18"/>
                <w:color w:val="0000FF"/>
              </w:rPr>
            </w:pPr>
            <w:hyperlink r:id="rId245">
              <w:r>
                <w:rPr>
                  <w:rFonts w:ascii="Arial" w:cs="Arial" w:eastAsia="Arial" w:hAnsi="Arial"/>
                  <w:sz w:val="18"/>
                  <w:szCs w:val="18"/>
                  <w:color w:val="0000FF"/>
                </w:rPr>
                <w:t>10.</w:t>
              </w:r>
              <w:r>
                <w:rPr>
                  <w:rFonts w:ascii="Arial" w:cs="Arial" w:eastAsia="Arial" w:hAnsi="Arial"/>
                  <w:sz w:val="18"/>
                  <w:szCs w:val="18"/>
                  <w:u w:val="single" w:color="auto"/>
                  <w:color w:val="0000FF"/>
                </w:rPr>
                <w:t>10(i)</w:t>
              </w:r>
            </w:hyperlink>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7"/>
              </w:rPr>
              <w:t>Form of Restricted Stock Unit Award Agreement under the Mylan N.V. 2003 Long-Term Incentive Plan for Rajiv Malik for awards</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granted on or after February 19, 2019, filed by Mylan N.V. as Exhibit 10.8 to Form 10-Q for the quarter ended March 31, 2019, and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incorporated herein by reference.*</w:t>
            </w:r>
          </w:p>
        </w:tc>
      </w:tr>
      <w:tr>
        <w:trPr>
          <w:trHeight w:val="202"/>
        </w:trPr>
        <w:tc>
          <w:tcPr>
            <w:tcW w:w="20" w:type="dxa"/>
            <w:vAlign w:val="bottom"/>
          </w:tcPr>
          <w:p>
            <w:pPr>
              <w:spacing w:after="0"/>
              <w:rPr>
                <w:sz w:val="17"/>
                <w:szCs w:val="17"/>
                <w:color w:val="auto"/>
              </w:rPr>
            </w:pPr>
          </w:p>
        </w:tc>
        <w:tc>
          <w:tcPr>
            <w:tcW w:w="920" w:type="dxa"/>
            <w:vAlign w:val="bottom"/>
            <w:gridSpan w:val="6"/>
          </w:tcPr>
          <w:p>
            <w:pPr>
              <w:spacing w:after="0" w:line="201" w:lineRule="exact"/>
              <w:rPr>
                <w:rFonts w:ascii="Arial" w:cs="Arial" w:eastAsia="Arial" w:hAnsi="Arial"/>
                <w:sz w:val="18"/>
                <w:szCs w:val="18"/>
                <w:color w:val="0000FF"/>
              </w:rPr>
            </w:pPr>
            <w:hyperlink r:id="rId246">
              <w:r>
                <w:rPr>
                  <w:rFonts w:ascii="Arial" w:cs="Arial" w:eastAsia="Arial" w:hAnsi="Arial"/>
                  <w:sz w:val="18"/>
                  <w:szCs w:val="18"/>
                  <w:color w:val="0000FF"/>
                </w:rPr>
                <w:t>10.</w:t>
              </w:r>
              <w:r>
                <w:rPr>
                  <w:rFonts w:ascii="Arial" w:cs="Arial" w:eastAsia="Arial" w:hAnsi="Arial"/>
                  <w:sz w:val="18"/>
                  <w:szCs w:val="18"/>
                  <w:u w:val="single" w:color="auto"/>
                  <w:color w:val="0000FF"/>
                </w:rPr>
                <w:t>10(j)</w:t>
              </w:r>
            </w:hyperlink>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9"/>
              </w:rPr>
              <w:t>Form of Performance-Based Restricted Stock Unit Award Agreement under the Mylan N.V. 2003 Long-Term Incentive Plan for</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Rajiv Malik for awards granted on or after February 19, 2019, filed by Mylan N.V. as Exhibit 10.6 to Form 10-Q for the quarter</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ended March 31, 2019, and incorporated herein by reference.*</w:t>
            </w:r>
          </w:p>
        </w:tc>
      </w:tr>
      <w:tr>
        <w:trPr>
          <w:trHeight w:val="377"/>
        </w:trPr>
        <w:tc>
          <w:tcPr>
            <w:tcW w:w="20" w:type="dxa"/>
            <w:vAlign w:val="bottom"/>
          </w:tcPr>
          <w:p>
            <w:pPr>
              <w:spacing w:after="0"/>
              <w:rPr>
                <w:sz w:val="24"/>
                <w:szCs w:val="24"/>
                <w:color w:val="auto"/>
              </w:rPr>
            </w:pPr>
          </w:p>
        </w:tc>
        <w:tc>
          <w:tcPr>
            <w:tcW w:w="620" w:type="dxa"/>
            <w:vAlign w:val="bottom"/>
            <w:tcBorders>
              <w:bottom w:val="single" w:sz="8" w:color="0000FF"/>
            </w:tcBorders>
            <w:gridSpan w:val="5"/>
          </w:tcPr>
          <w:p>
            <w:pPr>
              <w:spacing w:after="0"/>
              <w:rPr>
                <w:rFonts w:ascii="Arial" w:cs="Arial" w:eastAsia="Arial" w:hAnsi="Arial"/>
                <w:sz w:val="18"/>
                <w:szCs w:val="18"/>
                <w:color w:val="0000FF"/>
                <w:w w:val="90"/>
              </w:rPr>
            </w:pPr>
            <w:hyperlink r:id="rId24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10(k)</w:t>
              </w:r>
            </w:hyperlink>
          </w:p>
        </w:tc>
        <w:tc>
          <w:tcPr>
            <w:tcW w:w="300" w:type="dxa"/>
            <w:vAlign w:val="bottom"/>
          </w:tcPr>
          <w:p>
            <w:pPr>
              <w:spacing w:after="0"/>
              <w:rPr>
                <w:sz w:val="24"/>
                <w:szCs w:val="24"/>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Form of Stock Option Agreement under the Mylan N.V. 2003 Long-Term Incentive Plan for independent directors for awards</w:t>
            </w: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8"/>
              </w:rPr>
              <w:t>granted on or after March 2, 2020, filed by Mylan N.V. as Exhibit 10.2 to Form 10-Q for the quarter ended March 31, 2020, and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440" w:type="dxa"/>
            <w:vAlign w:val="bottom"/>
            <w:gridSpan w:val="3"/>
          </w:tcPr>
          <w:p>
            <w:pPr>
              <w:ind w:left="20"/>
              <w:spacing w:after="0"/>
              <w:rPr>
                <w:rFonts w:ascii="Arial" w:cs="Arial" w:eastAsia="Arial" w:hAnsi="Arial"/>
                <w:sz w:val="18"/>
                <w:szCs w:val="18"/>
                <w:color w:val="0000FF"/>
                <w:w w:val="88"/>
              </w:rPr>
            </w:pPr>
            <w:hyperlink r:id="rId24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212529"/>
              </w:rPr>
              <w:t>Mylan N.V. Severance Plan and Global Guidelines</w:t>
            </w:r>
            <w:r>
              <w:rPr>
                <w:rFonts w:ascii="Arial" w:cs="Arial" w:eastAsia="Arial" w:hAnsi="Arial"/>
                <w:sz w:val="18"/>
                <w:szCs w:val="18"/>
                <w:color w:val="000000"/>
              </w:rPr>
              <w:t>, filed by Mylan N.V. as Exhibit 10.1 to Form 10-Q for the quarter ended</w:t>
            </w:r>
          </w:p>
        </w:tc>
      </w:tr>
      <w:tr>
        <w:trPr>
          <w:trHeight w:val="210"/>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September 30, 2019, and incorporated herein by reference.*</w:t>
            </w:r>
          </w:p>
        </w:tc>
      </w:tr>
      <w:tr>
        <w:trPr>
          <w:trHeight w:val="431"/>
        </w:trPr>
        <w:tc>
          <w:tcPr>
            <w:tcW w:w="600" w:type="dxa"/>
            <w:vAlign w:val="bottom"/>
            <w:gridSpan w:val="4"/>
          </w:tcPr>
          <w:p>
            <w:pPr>
              <w:ind w:left="20"/>
              <w:spacing w:after="0"/>
              <w:rPr>
                <w:rFonts w:ascii="Arial" w:cs="Arial" w:eastAsia="Arial" w:hAnsi="Arial"/>
                <w:sz w:val="18"/>
                <w:szCs w:val="18"/>
                <w:color w:val="0000FF"/>
              </w:rPr>
            </w:pPr>
            <w:hyperlink r:id="rId249">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Retirement Benefit Agreement, dated August 31, 2009, by and between Mylan Inc. and Rajiv Malik, filed by Mylan Inc. as Exhibit</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10.4 to Form 10-Q for the quarter ended September 30, 2009, and incorporated herein by reference.*</w:t>
            </w:r>
          </w:p>
        </w:tc>
      </w:tr>
      <w:tr>
        <w:trPr>
          <w:trHeight w:val="190"/>
        </w:trPr>
        <w:tc>
          <w:tcPr>
            <w:tcW w:w="20" w:type="dxa"/>
            <w:vAlign w:val="bottom"/>
          </w:tcPr>
          <w:p>
            <w:pPr>
              <w:spacing w:after="0"/>
              <w:rPr>
                <w:sz w:val="16"/>
                <w:szCs w:val="16"/>
                <w:color w:val="auto"/>
              </w:rPr>
            </w:pPr>
          </w:p>
        </w:tc>
        <w:tc>
          <w:tcPr>
            <w:tcW w:w="920" w:type="dxa"/>
            <w:vAlign w:val="bottom"/>
            <w:gridSpan w:val="6"/>
          </w:tcPr>
          <w:p>
            <w:pPr>
              <w:spacing w:after="0" w:line="190" w:lineRule="exact"/>
              <w:rPr>
                <w:rFonts w:ascii="Arial" w:cs="Arial" w:eastAsia="Arial" w:hAnsi="Arial"/>
                <w:sz w:val="18"/>
                <w:szCs w:val="18"/>
                <w:color w:val="0000FF"/>
              </w:rPr>
            </w:pPr>
            <w:hyperlink r:id="rId250">
              <w:r>
                <w:rPr>
                  <w:rFonts w:ascii="Arial" w:cs="Arial" w:eastAsia="Arial" w:hAnsi="Arial"/>
                  <w:sz w:val="18"/>
                  <w:szCs w:val="18"/>
                  <w:color w:val="0000FF"/>
                </w:rPr>
                <w:t>10.</w:t>
              </w:r>
              <w:r>
                <w:rPr>
                  <w:rFonts w:ascii="Arial" w:cs="Arial" w:eastAsia="Arial" w:hAnsi="Arial"/>
                  <w:sz w:val="18"/>
                  <w:szCs w:val="18"/>
                  <w:u w:val="single" w:color="auto"/>
                  <w:color w:val="0000FF"/>
                </w:rPr>
                <w:t>13(a)</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6"/>
              </w:rPr>
              <w:t>Transition and Succession Agreement, dated January 31, 2007, between Mylan Inc. and Rajiv Malik, filed by Mylan Inc. as Exhibit</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10.5 to Form 10-Q for the quarter ended March 31, 2008, and incorporated herein by reference.*</w:t>
            </w:r>
          </w:p>
        </w:tc>
      </w:tr>
      <w:tr>
        <w:trPr>
          <w:trHeight w:val="190"/>
        </w:trPr>
        <w:tc>
          <w:tcPr>
            <w:tcW w:w="20" w:type="dxa"/>
            <w:vAlign w:val="bottom"/>
          </w:tcPr>
          <w:p>
            <w:pPr>
              <w:spacing w:after="0"/>
              <w:rPr>
                <w:sz w:val="16"/>
                <w:szCs w:val="16"/>
                <w:color w:val="auto"/>
              </w:rPr>
            </w:pPr>
          </w:p>
        </w:tc>
        <w:tc>
          <w:tcPr>
            <w:tcW w:w="920" w:type="dxa"/>
            <w:vAlign w:val="bottom"/>
            <w:gridSpan w:val="6"/>
          </w:tcPr>
          <w:p>
            <w:pPr>
              <w:spacing w:after="0" w:line="190" w:lineRule="exact"/>
              <w:rPr>
                <w:rFonts w:ascii="Arial" w:cs="Arial" w:eastAsia="Arial" w:hAnsi="Arial"/>
                <w:sz w:val="18"/>
                <w:szCs w:val="18"/>
                <w:color w:val="0000FF"/>
              </w:rPr>
            </w:pPr>
            <w:hyperlink r:id="rId251">
              <w:r>
                <w:rPr>
                  <w:rFonts w:ascii="Arial" w:cs="Arial" w:eastAsia="Arial" w:hAnsi="Arial"/>
                  <w:sz w:val="18"/>
                  <w:szCs w:val="18"/>
                  <w:color w:val="0000FF"/>
                </w:rPr>
                <w:t>10.</w:t>
              </w:r>
              <w:r>
                <w:rPr>
                  <w:rFonts w:ascii="Arial" w:cs="Arial" w:eastAsia="Arial" w:hAnsi="Arial"/>
                  <w:sz w:val="18"/>
                  <w:szCs w:val="18"/>
                  <w:u w:val="single" w:color="auto"/>
                  <w:color w:val="0000FF"/>
                </w:rPr>
                <w:t>13(b)</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4"/>
              </w:rPr>
              <w:t>Amendment No. 1 to Transition and Succession Agreement, dated December 22, 2008, between Mylan Inc. and Rajiv Malik, filed by</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Mylan Inc. as Exhibit 10.28(b) to Form 10-K for the fiscal year ended December 31, 2008, and incorporated herein by reference.*</w:t>
            </w:r>
          </w:p>
        </w:tc>
      </w:tr>
      <w:tr>
        <w:trPr>
          <w:trHeight w:val="190"/>
        </w:trPr>
        <w:tc>
          <w:tcPr>
            <w:tcW w:w="20" w:type="dxa"/>
            <w:vAlign w:val="bottom"/>
          </w:tcPr>
          <w:p>
            <w:pPr>
              <w:spacing w:after="0"/>
              <w:rPr>
                <w:sz w:val="16"/>
                <w:szCs w:val="16"/>
                <w:color w:val="auto"/>
              </w:rPr>
            </w:pPr>
          </w:p>
        </w:tc>
        <w:tc>
          <w:tcPr>
            <w:tcW w:w="920" w:type="dxa"/>
            <w:vAlign w:val="bottom"/>
            <w:gridSpan w:val="6"/>
          </w:tcPr>
          <w:p>
            <w:pPr>
              <w:spacing w:after="0" w:line="190" w:lineRule="exact"/>
              <w:rPr>
                <w:rFonts w:ascii="Arial" w:cs="Arial" w:eastAsia="Arial" w:hAnsi="Arial"/>
                <w:sz w:val="18"/>
                <w:szCs w:val="18"/>
                <w:color w:val="0000FF"/>
              </w:rPr>
            </w:pPr>
            <w:hyperlink r:id="rId252">
              <w:r>
                <w:rPr>
                  <w:rFonts w:ascii="Arial" w:cs="Arial" w:eastAsia="Arial" w:hAnsi="Arial"/>
                  <w:sz w:val="18"/>
                  <w:szCs w:val="18"/>
                  <w:color w:val="0000FF"/>
                </w:rPr>
                <w:t>10.</w:t>
              </w:r>
              <w:r>
                <w:rPr>
                  <w:rFonts w:ascii="Arial" w:cs="Arial" w:eastAsia="Arial" w:hAnsi="Arial"/>
                  <w:sz w:val="18"/>
                  <w:szCs w:val="18"/>
                  <w:u w:val="single" w:color="auto"/>
                  <w:color w:val="0000FF"/>
                </w:rPr>
                <w:t>14(a)</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4"/>
              </w:rPr>
              <w:t>Transition and Succession Agreement, dated February 25, 2008, by and between Mylan Inc. and Anthony Mauro, filed by Mylan Inc.</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as Exhibit 10.5(a) to Form 10-Q for the quarter ended March 31, 2012, and incorporated herein by reference.*</w:t>
            </w:r>
          </w:p>
        </w:tc>
      </w:tr>
      <w:tr>
        <w:trPr>
          <w:trHeight w:val="190"/>
        </w:trPr>
        <w:tc>
          <w:tcPr>
            <w:tcW w:w="20" w:type="dxa"/>
            <w:vAlign w:val="bottom"/>
          </w:tcPr>
          <w:p>
            <w:pPr>
              <w:spacing w:after="0"/>
              <w:rPr>
                <w:sz w:val="16"/>
                <w:szCs w:val="16"/>
                <w:color w:val="auto"/>
              </w:rPr>
            </w:pPr>
          </w:p>
        </w:tc>
        <w:tc>
          <w:tcPr>
            <w:tcW w:w="920" w:type="dxa"/>
            <w:vAlign w:val="bottom"/>
            <w:gridSpan w:val="6"/>
          </w:tcPr>
          <w:p>
            <w:pPr>
              <w:spacing w:after="0" w:line="190" w:lineRule="exact"/>
              <w:rPr>
                <w:rFonts w:ascii="Arial" w:cs="Arial" w:eastAsia="Arial" w:hAnsi="Arial"/>
                <w:sz w:val="18"/>
                <w:szCs w:val="18"/>
                <w:color w:val="0000FF"/>
              </w:rPr>
            </w:pPr>
            <w:hyperlink r:id="rId253">
              <w:r>
                <w:rPr>
                  <w:rFonts w:ascii="Arial" w:cs="Arial" w:eastAsia="Arial" w:hAnsi="Arial"/>
                  <w:sz w:val="18"/>
                  <w:szCs w:val="18"/>
                  <w:color w:val="0000FF"/>
                </w:rPr>
                <w:t>10.</w:t>
              </w:r>
              <w:r>
                <w:rPr>
                  <w:rFonts w:ascii="Arial" w:cs="Arial" w:eastAsia="Arial" w:hAnsi="Arial"/>
                  <w:sz w:val="18"/>
                  <w:szCs w:val="18"/>
                  <w:u w:val="single" w:color="auto"/>
                  <w:color w:val="0000FF"/>
                </w:rPr>
                <w:t>14(b)</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7"/>
              </w:rPr>
              <w:t>Amendment No. 1 to Transition and Succession Agreement, dated December 15, 2008, by and between Mylan Inc. and Anthony</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Mauro, filed by Mylan Inc. as Exhibit 10.5(b) to Form 10-Q for the quarter ended March 31, 2012, and incorporated herein by</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202"/>
        </w:trPr>
        <w:tc>
          <w:tcPr>
            <w:tcW w:w="20" w:type="dxa"/>
            <w:vAlign w:val="bottom"/>
          </w:tcPr>
          <w:p>
            <w:pPr>
              <w:spacing w:after="0"/>
              <w:rPr>
                <w:sz w:val="17"/>
                <w:szCs w:val="17"/>
                <w:color w:val="auto"/>
              </w:rPr>
            </w:pPr>
          </w:p>
        </w:tc>
        <w:tc>
          <w:tcPr>
            <w:tcW w:w="920" w:type="dxa"/>
            <w:vAlign w:val="bottom"/>
            <w:gridSpan w:val="6"/>
          </w:tcPr>
          <w:p>
            <w:pPr>
              <w:spacing w:after="0" w:line="201" w:lineRule="exact"/>
              <w:rPr>
                <w:rFonts w:ascii="Arial" w:cs="Arial" w:eastAsia="Arial" w:hAnsi="Arial"/>
                <w:sz w:val="18"/>
                <w:szCs w:val="18"/>
                <w:color w:val="0000FF"/>
              </w:rPr>
            </w:pPr>
            <w:hyperlink r:id="rId254">
              <w:r>
                <w:rPr>
                  <w:rFonts w:ascii="Arial" w:cs="Arial" w:eastAsia="Arial" w:hAnsi="Arial"/>
                  <w:sz w:val="18"/>
                  <w:szCs w:val="18"/>
                  <w:color w:val="0000FF"/>
                </w:rPr>
                <w:t>10.</w:t>
              </w:r>
              <w:r>
                <w:rPr>
                  <w:rFonts w:ascii="Arial" w:cs="Arial" w:eastAsia="Arial" w:hAnsi="Arial"/>
                  <w:sz w:val="18"/>
                  <w:szCs w:val="18"/>
                  <w:u w:val="single" w:color="auto"/>
                  <w:color w:val="0000FF"/>
                </w:rPr>
                <w:t>14(c)</w:t>
              </w:r>
            </w:hyperlink>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9"/>
              </w:rPr>
              <w:t>Amendment No. 2 to Transition and Succession Agreement, dated October 15, 2009, by and between Mylan Inc. and Anthony</w:t>
            </w: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Mauro, filed by Mylan Inc. as Exhibit 10.5(c) to Form 10-Q for the quarter ended March 31, 2012, and incorporated herein by</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86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tcPr>
          <w:p>
            <w:pPr>
              <w:ind w:left="4540"/>
              <w:spacing w:after="0"/>
              <w:rPr>
                <w:sz w:val="20"/>
                <w:szCs w:val="20"/>
                <w:color w:val="auto"/>
              </w:rPr>
            </w:pPr>
            <w:r>
              <w:rPr>
                <w:rFonts w:ascii="Arial" w:cs="Arial" w:eastAsia="Arial" w:hAnsi="Arial"/>
                <w:sz w:val="18"/>
                <w:szCs w:val="18"/>
                <w:color w:val="auto"/>
              </w:rPr>
              <w:t>150</w:t>
            </w:r>
          </w:p>
        </w:tc>
      </w:tr>
      <w:tr>
        <w:trPr>
          <w:trHeight w:val="115"/>
        </w:trPr>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gridSpan w:val="3"/>
          </w:tcPr>
          <w:p>
            <w:pPr>
              <w:spacing w:after="0"/>
              <w:rPr>
                <w:rFonts w:ascii="Arial" w:cs="Arial" w:eastAsia="Arial" w:hAnsi="Arial"/>
                <w:sz w:val="18"/>
                <w:szCs w:val="18"/>
                <w:color w:val="0000FF"/>
              </w:rPr>
            </w:pPr>
            <w:hyperlink r:id="rId257">
              <w:r>
                <w:rPr>
                  <w:rFonts w:ascii="Arial" w:cs="Arial" w:eastAsia="Arial" w:hAnsi="Arial"/>
                  <w:sz w:val="18"/>
                  <w:szCs w:val="18"/>
                  <w:color w:val="0000FF"/>
                </w:rPr>
                <w:t>10.</w:t>
              </w:r>
              <w:r>
                <w:rPr>
                  <w:rFonts w:ascii="Arial" w:cs="Arial" w:eastAsia="Arial" w:hAnsi="Arial"/>
                  <w:sz w:val="18"/>
                  <w:szCs w:val="18"/>
                  <w:u w:val="single" w:color="auto"/>
                  <w:color w:val="0000FF"/>
                </w:rPr>
                <w:t>15(a)</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5"/>
              </w:rPr>
              <w:t>Mylan 401(k) Restoration Plan, dated January 1, 2010, filed by Mylan Inc. as Exhibit 10.1 to the Report on Form 8-K filed by Mylan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 with the SEC on December 14, 2009, and 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gridSpan w:val="3"/>
          </w:tcPr>
          <w:p>
            <w:pPr>
              <w:spacing w:after="0" w:line="190" w:lineRule="exact"/>
              <w:rPr>
                <w:rFonts w:ascii="Arial" w:cs="Arial" w:eastAsia="Arial" w:hAnsi="Arial"/>
                <w:sz w:val="18"/>
                <w:szCs w:val="18"/>
                <w:color w:val="0000FF"/>
              </w:rPr>
            </w:pPr>
            <w:hyperlink r:id="rId258">
              <w:r>
                <w:rPr>
                  <w:rFonts w:ascii="Arial" w:cs="Arial" w:eastAsia="Arial" w:hAnsi="Arial"/>
                  <w:sz w:val="18"/>
                  <w:szCs w:val="18"/>
                  <w:color w:val="0000FF"/>
                </w:rPr>
                <w:t>10.</w:t>
              </w:r>
              <w:r>
                <w:rPr>
                  <w:rFonts w:ascii="Arial" w:cs="Arial" w:eastAsia="Arial" w:hAnsi="Arial"/>
                  <w:sz w:val="18"/>
                  <w:szCs w:val="18"/>
                  <w:u w:val="single" w:color="auto"/>
                  <w:color w:val="0000FF"/>
                </w:rPr>
                <w:t>15(b)</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7"/>
              </w:rPr>
              <w:t>Amendment to Mylan 401(k) Restoration Plan, dated November 4, 2014, filed by Mylan Inc. as Exhibit 10.41(b) to Form 10-K for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the fiscal year ended December 31, 2014, and 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gridSpan w:val="3"/>
          </w:tcPr>
          <w:p>
            <w:pPr>
              <w:spacing w:after="0" w:line="190" w:lineRule="exact"/>
              <w:rPr>
                <w:rFonts w:ascii="Arial" w:cs="Arial" w:eastAsia="Arial" w:hAnsi="Arial"/>
                <w:sz w:val="18"/>
                <w:szCs w:val="18"/>
                <w:color w:val="0000FF"/>
              </w:rPr>
            </w:pPr>
            <w:hyperlink r:id="rId259">
              <w:r>
                <w:rPr>
                  <w:rFonts w:ascii="Arial" w:cs="Arial" w:eastAsia="Arial" w:hAnsi="Arial"/>
                  <w:sz w:val="18"/>
                  <w:szCs w:val="18"/>
                  <w:color w:val="0000FF"/>
                </w:rPr>
                <w:t>10.</w:t>
              </w:r>
              <w:r>
                <w:rPr>
                  <w:rFonts w:ascii="Arial" w:cs="Arial" w:eastAsia="Arial" w:hAnsi="Arial"/>
                  <w:sz w:val="18"/>
                  <w:szCs w:val="18"/>
                  <w:u w:val="single" w:color="auto"/>
                  <w:color w:val="0000FF"/>
                </w:rPr>
                <w:t>16(a)</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8"/>
              </w:rPr>
              <w:t>Mylan Executive Income Deferral Plan, filed by Mylan Inc. as Exhibit 10.2 to the Report on Form 8-K filed by Mylan Inc. with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SEC on December 14, 2009, and 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gridSpan w:val="3"/>
          </w:tcPr>
          <w:p>
            <w:pPr>
              <w:spacing w:after="0" w:line="190" w:lineRule="exact"/>
              <w:rPr>
                <w:rFonts w:ascii="Arial" w:cs="Arial" w:eastAsia="Arial" w:hAnsi="Arial"/>
                <w:sz w:val="18"/>
                <w:szCs w:val="18"/>
                <w:color w:val="0000FF"/>
              </w:rPr>
            </w:pPr>
            <w:hyperlink r:id="rId260">
              <w:r>
                <w:rPr>
                  <w:rFonts w:ascii="Arial" w:cs="Arial" w:eastAsia="Arial" w:hAnsi="Arial"/>
                  <w:sz w:val="18"/>
                  <w:szCs w:val="18"/>
                  <w:color w:val="0000FF"/>
                </w:rPr>
                <w:t>10.</w:t>
              </w:r>
              <w:r>
                <w:rPr>
                  <w:rFonts w:ascii="Arial" w:cs="Arial" w:eastAsia="Arial" w:hAnsi="Arial"/>
                  <w:sz w:val="18"/>
                  <w:szCs w:val="18"/>
                  <w:u w:val="single" w:color="auto"/>
                  <w:color w:val="0000FF"/>
                </w:rPr>
                <w:t>16(b)</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8"/>
              </w:rPr>
              <w:t>Amendment to Mylan Executive Income Deferral Plan, dated November 4, 2014, filed by Mylan Inc. as Exhibit 10.42(b) to Form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10-K for the fiscal year ended December 31, 2014, and incorporated herein by reference.*</w:t>
            </w:r>
          </w:p>
        </w:tc>
        <w:tc>
          <w:tcPr>
            <w:tcW w:w="0" w:type="dxa"/>
            <w:vAlign w:val="bottom"/>
          </w:tcPr>
          <w:p>
            <w:pPr>
              <w:spacing w:after="0"/>
              <w:rPr>
                <w:sz w:val="1"/>
                <w:szCs w:val="1"/>
                <w:color w:val="auto"/>
              </w:rPr>
            </w:pPr>
          </w:p>
        </w:tc>
      </w:tr>
      <w:tr>
        <w:trPr>
          <w:trHeight w:val="190"/>
        </w:trPr>
        <w:tc>
          <w:tcPr>
            <w:tcW w:w="640" w:type="dxa"/>
            <w:vAlign w:val="bottom"/>
            <w:gridSpan w:val="3"/>
          </w:tcPr>
          <w:p>
            <w:pPr>
              <w:ind w:left="20"/>
              <w:spacing w:after="0" w:line="190" w:lineRule="exact"/>
              <w:rPr>
                <w:rFonts w:ascii="Arial" w:cs="Arial" w:eastAsia="Arial" w:hAnsi="Arial"/>
                <w:sz w:val="18"/>
                <w:szCs w:val="18"/>
                <w:color w:val="0000FF"/>
              </w:rPr>
            </w:pPr>
            <w:hyperlink r:id="rId261">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300" w:type="dxa"/>
            <w:vAlign w:val="bottom"/>
          </w:tcPr>
          <w:p>
            <w:pPr>
              <w:spacing w:after="0"/>
              <w:rPr>
                <w:sz w:val="16"/>
                <w:szCs w:val="16"/>
                <w:color w:val="auto"/>
              </w:rPr>
            </w:pPr>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8"/>
              </w:rPr>
              <w:t>The Executive Nonqualified Excess Plan Adoption Agreement, effective as of December 28, 2007, between Mylan International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Holdings, Inc. and Rajiv Malik, filed by Mylan Inc. as Exhibit 10.27(b) to Form 10-K for the fiscal year ended December 31,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62">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6"/>
              </w:rPr>
              <w:t>The Executive Nonqualified Excess Plan, effective as of December 28, 2007, between Mylan International Holdings, Inc. and Rajiv</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Malik, filed by Mylan Inc. as Exhibit 10.57 to Form 10-K for the fiscal year ended December 31, 2013, and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63">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8"/>
              </w:rPr>
              <w:t>Third Amended and Restated Executive Employment Agreement, entered into on February 25, 2019, and effective as of April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2019, by and between Mylan Inc. and Rajiv Malik, filed by Mylan N.V. as Exhibit 10.20(c) to Form 10-K for the fiscal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December 31, 2018, and incorporated herein by reference.*</w:t>
            </w:r>
          </w:p>
        </w:tc>
        <w:tc>
          <w:tcPr>
            <w:tcW w:w="0" w:type="dxa"/>
            <w:vAlign w:val="bottom"/>
          </w:tcPr>
          <w:p>
            <w:pPr>
              <w:spacing w:after="0"/>
              <w:rPr>
                <w:sz w:val="1"/>
                <w:szCs w:val="1"/>
                <w:color w:val="auto"/>
              </w:rPr>
            </w:pP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64">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4"/>
              </w:rPr>
              <w:t>Executive Employment Agreement, dated as of February 25, 2019, and effective as of April 1, 2019, by and between Mylan Inc. and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Anthony Mauro, filed as Exhibit 10.21(b) to Form 10-K for the fiscal year ended December 31, 2018, and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65">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6"/>
              </w:rPr>
              <w:t>2007 Supplemental Health Insurance Plan for Certain Key Employees of Mylan Laboratories Inc., adopted as of January 29,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filed by Mylan N.V. as Exhibit 10.29 to the Form 10-K for the fiscal year ended December 31, 2019 and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66">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5"/>
              </w:rPr>
              <w:t>Form of Indemnification Agreement between Viatris Inc. and each of its directors and its executive officers, filed as Exhibit 10.25 to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Form 10-K for the fiscal year ended December 31, 2020, and incorporated herein by reference.*</w:t>
            </w:r>
          </w:p>
        </w:tc>
        <w:tc>
          <w:tcPr>
            <w:tcW w:w="0" w:type="dxa"/>
            <w:vAlign w:val="bottom"/>
          </w:tcPr>
          <w:p>
            <w:pPr>
              <w:spacing w:after="0"/>
              <w:rPr>
                <w:sz w:val="1"/>
                <w:szCs w:val="1"/>
                <w:color w:val="auto"/>
              </w:rPr>
            </w:pPr>
          </w:p>
        </w:tc>
      </w:tr>
      <w:tr>
        <w:trPr>
          <w:trHeight w:val="216"/>
        </w:trPr>
        <w:tc>
          <w:tcPr>
            <w:tcW w:w="640" w:type="dxa"/>
            <w:vAlign w:val="bottom"/>
            <w:gridSpan w:val="3"/>
          </w:tcPr>
          <w:p>
            <w:pPr>
              <w:ind w:left="20"/>
              <w:spacing w:after="0"/>
              <w:rPr>
                <w:rFonts w:ascii="Arial" w:cs="Arial" w:eastAsia="Arial" w:hAnsi="Arial"/>
                <w:sz w:val="18"/>
                <w:szCs w:val="18"/>
                <w:color w:val="0000FF"/>
              </w:rPr>
            </w:pPr>
            <w:hyperlink r:id="rId267">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Amended and Restated Form of Indemnification Agreement between Mylan Inc. and each Director, filed by Mylan Inc. as Exhibit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10.38 to Form 10-K for the fiscal year ended December 31, 2013, and incorporated herein by reference.*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bottom w:val="single" w:sz="8" w:color="0000FF"/>
            </w:tcBorders>
          </w:tcPr>
          <w:p>
            <w:pPr>
              <w:spacing w:after="0" w:line="190" w:lineRule="exact"/>
              <w:rPr>
                <w:rFonts w:ascii="Arial" w:cs="Arial" w:eastAsia="Arial" w:hAnsi="Arial"/>
                <w:sz w:val="18"/>
                <w:szCs w:val="18"/>
                <w:color w:val="0000FF"/>
                <w:w w:val="88"/>
              </w:rPr>
            </w:pPr>
            <w:hyperlink r:id="rId2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24</w:t>
              </w:r>
            </w:hyperlink>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9"/>
              </w:rPr>
              <w:t>Form of Indemnification Agreement between Mylan N.V. and directors, filed as Exhibit 10.1 to the Report on Form 8-K filed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vMerge w:val="restart"/>
          </w:tcPr>
          <w:p>
            <w:pPr>
              <w:spacing w:after="0"/>
              <w:rPr>
                <w:rFonts w:ascii="Arial" w:cs="Arial" w:eastAsia="Arial" w:hAnsi="Arial"/>
                <w:sz w:val="18"/>
                <w:szCs w:val="18"/>
                <w:color w:val="0000FF"/>
              </w:rPr>
            </w:pPr>
            <w:hyperlink r:id="rId269">
              <w:r>
                <w:rPr>
                  <w:rFonts w:ascii="Arial" w:cs="Arial" w:eastAsia="Arial" w:hAnsi="Arial"/>
                  <w:sz w:val="18"/>
                  <w:szCs w:val="18"/>
                  <w:color w:val="0000FF"/>
                </w:rPr>
                <w:t>10.</w:t>
              </w:r>
              <w:r>
                <w:rPr>
                  <w:rFonts w:ascii="Arial" w:cs="Arial" w:eastAsia="Arial" w:hAnsi="Arial"/>
                  <w:sz w:val="18"/>
                  <w:szCs w:val="18"/>
                  <w:u w:val="single" w:color="auto"/>
                  <w:color w:val="0000FF"/>
                </w:rPr>
                <w:t>25(a)</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rPr>
              <w:t>Mylan N.V. with the SEC on February 27, 2015, and incorporated herein by reference.*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300" w:type="dxa"/>
            <w:vAlign w:val="bottom"/>
          </w:tcPr>
          <w:p>
            <w:pPr>
              <w:ind w:left="320"/>
              <w:spacing w:after="0" w:line="168" w:lineRule="exact"/>
              <w:rPr>
                <w:sz w:val="20"/>
                <w:szCs w:val="20"/>
                <w:color w:val="auto"/>
              </w:rPr>
            </w:pPr>
            <w:r>
              <w:rPr>
                <w:rFonts w:ascii="Arial" w:cs="Arial" w:eastAsia="Arial" w:hAnsi="Arial"/>
                <w:sz w:val="18"/>
                <w:szCs w:val="18"/>
                <w:color w:val="auto"/>
                <w:w w:val="98"/>
              </w:rPr>
              <w:t>Revolving Credit Agreement, dated as of June 16, 2020, among Upjohn Inc., the guarantors from time to time party thereto,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lenders and issuing banks from time to time party thereto and Bank of America, N.A., as administrative agent, filed as Exhibit 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to the Report on Form 8-K filed by Upjohn Inc. with the SEC on June 17, 2020, and incorporated herein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gridSpan w:val="3"/>
          </w:tcPr>
          <w:p>
            <w:pPr>
              <w:spacing w:after="0"/>
              <w:rPr>
                <w:rFonts w:ascii="Arial" w:cs="Arial" w:eastAsia="Arial" w:hAnsi="Arial"/>
                <w:sz w:val="18"/>
                <w:szCs w:val="18"/>
                <w:color w:val="0000FF"/>
              </w:rPr>
            </w:pPr>
            <w:hyperlink r:id="rId270">
              <w:r>
                <w:rPr>
                  <w:rFonts w:ascii="Arial" w:cs="Arial" w:eastAsia="Arial" w:hAnsi="Arial"/>
                  <w:sz w:val="18"/>
                  <w:szCs w:val="18"/>
                  <w:color w:val="0000FF"/>
                </w:rPr>
                <w:t>10.</w:t>
              </w:r>
              <w:r>
                <w:rPr>
                  <w:rFonts w:ascii="Arial" w:cs="Arial" w:eastAsia="Arial" w:hAnsi="Arial"/>
                  <w:sz w:val="18"/>
                  <w:szCs w:val="18"/>
                  <w:u w:val="single" w:color="auto"/>
                  <w:color w:val="0000FF"/>
                </w:rPr>
                <w:t>25(b)</w:t>
              </w:r>
            </w:hyperlink>
          </w:p>
        </w:tc>
        <w:tc>
          <w:tcPr>
            <w:tcW w:w="10300" w:type="dxa"/>
            <w:vAlign w:val="bottom"/>
          </w:tcPr>
          <w:p>
            <w:pPr>
              <w:ind w:left="320"/>
              <w:spacing w:after="0"/>
              <w:rPr>
                <w:sz w:val="20"/>
                <w:szCs w:val="20"/>
                <w:color w:val="auto"/>
              </w:rPr>
            </w:pPr>
            <w:r>
              <w:rPr>
                <w:rFonts w:ascii="Arial" w:cs="Arial" w:eastAsia="Arial" w:hAnsi="Arial"/>
                <w:sz w:val="18"/>
                <w:szCs w:val="18"/>
                <w:color w:val="auto"/>
                <w:w w:val="94"/>
              </w:rPr>
              <w:t>Amended and Restated Revolving Credit Agreement, dated as of July 1, 2021, among Viatris, the guarantors from time to time party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10300" w:type="dxa"/>
            <w:vAlign w:val="bottom"/>
          </w:tcPr>
          <w:p>
            <w:pPr>
              <w:ind w:left="320"/>
              <w:spacing w:after="0" w:line="195" w:lineRule="exact"/>
              <w:rPr>
                <w:sz w:val="20"/>
                <w:szCs w:val="20"/>
                <w:color w:val="auto"/>
              </w:rPr>
            </w:pPr>
            <w:r>
              <w:rPr>
                <w:rFonts w:ascii="Arial" w:cs="Arial" w:eastAsia="Arial" w:hAnsi="Arial"/>
                <w:sz w:val="18"/>
                <w:szCs w:val="18"/>
                <w:color w:val="auto"/>
                <w:w w:val="96"/>
              </w:rPr>
              <w:t>thereto, the lenders and issuing banks from time to time party thereto and Bank of America, N.A., as administrative agent,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Exhibit 10.1 to the Report on Form 8-K filed by Viatris Inc. with the SEC on July 1, 2021, and incorporated herein by reference. ^</w:t>
            </w:r>
          </w:p>
        </w:tc>
        <w:tc>
          <w:tcPr>
            <w:tcW w:w="0" w:type="dxa"/>
            <w:vAlign w:val="bottom"/>
          </w:tcPr>
          <w:p>
            <w:pPr>
              <w:spacing w:after="0"/>
              <w:rPr>
                <w:sz w:val="1"/>
                <w:szCs w:val="1"/>
                <w:color w:val="auto"/>
              </w:rPr>
            </w:pPr>
          </w:p>
        </w:tc>
      </w:tr>
      <w:tr>
        <w:trPr>
          <w:trHeight w:val="216"/>
        </w:trPr>
        <w:tc>
          <w:tcPr>
            <w:tcW w:w="640" w:type="dxa"/>
            <w:vAlign w:val="bottom"/>
            <w:gridSpan w:val="3"/>
          </w:tcPr>
          <w:p>
            <w:pPr>
              <w:ind w:left="20"/>
              <w:spacing w:after="0" w:line="196" w:lineRule="exact"/>
              <w:rPr>
                <w:rFonts w:ascii="Arial" w:cs="Arial" w:eastAsia="Arial" w:hAnsi="Arial"/>
                <w:sz w:val="18"/>
                <w:szCs w:val="18"/>
                <w:color w:val="0000FF"/>
              </w:rPr>
            </w:pPr>
            <w:hyperlink r:id="rId271">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300" w:type="dxa"/>
            <w:vAlign w:val="bottom"/>
          </w:tcPr>
          <w:p>
            <w:pPr>
              <w:spacing w:after="0"/>
              <w:rPr>
                <w:sz w:val="18"/>
                <w:szCs w:val="18"/>
                <w:color w:val="auto"/>
              </w:rPr>
            </w:pPr>
          </w:p>
        </w:tc>
        <w:tc>
          <w:tcPr>
            <w:tcW w:w="10300" w:type="dxa"/>
            <w:vAlign w:val="bottom"/>
          </w:tcPr>
          <w:p>
            <w:pPr>
              <w:ind w:left="320"/>
              <w:spacing w:after="0" w:line="196" w:lineRule="exact"/>
              <w:rPr>
                <w:sz w:val="20"/>
                <w:szCs w:val="20"/>
                <w:color w:val="auto"/>
              </w:rPr>
            </w:pPr>
            <w:r>
              <w:rPr>
                <w:rFonts w:ascii="Arial" w:cs="Arial" w:eastAsia="Arial" w:hAnsi="Arial"/>
                <w:sz w:val="18"/>
                <w:szCs w:val="18"/>
                <w:color w:val="auto"/>
                <w:w w:val="95"/>
              </w:rPr>
              <w:t>Delayed Draw Term Loan Credit Agreement, dated as of June 16, 2020, among Upjohn Inc., the guarantors from time to time party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4"/>
              </w:rPr>
              <w:t>thereto, the lenders from time to time party thereto and MUFG Bank, Ltd., as administrative agent, filed as Exhibit 10.2 to the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on Form 8-K filed by Upjohn Inc. with the SEC on June 17, 2020, and incorporated herein by reference.</w:t>
            </w:r>
          </w:p>
        </w:tc>
        <w:tc>
          <w:tcPr>
            <w:tcW w:w="0" w:type="dxa"/>
            <w:vAlign w:val="bottom"/>
          </w:tcPr>
          <w:p>
            <w:pPr>
              <w:spacing w:after="0"/>
              <w:rPr>
                <w:sz w:val="1"/>
                <w:szCs w:val="1"/>
                <w:color w:val="auto"/>
              </w:rPr>
            </w:pPr>
          </w:p>
        </w:tc>
      </w:tr>
      <w:tr>
        <w:trPr>
          <w:trHeight w:val="216"/>
        </w:trPr>
        <w:tc>
          <w:tcPr>
            <w:tcW w:w="640" w:type="dxa"/>
            <w:vAlign w:val="bottom"/>
            <w:gridSpan w:val="3"/>
          </w:tcPr>
          <w:p>
            <w:pPr>
              <w:ind w:left="20"/>
              <w:spacing w:after="0"/>
              <w:rPr>
                <w:rFonts w:ascii="Arial" w:cs="Arial" w:eastAsia="Arial" w:hAnsi="Arial"/>
                <w:sz w:val="18"/>
                <w:szCs w:val="18"/>
                <w:color w:val="0000FF"/>
              </w:rPr>
            </w:pPr>
            <w:hyperlink r:id="rId272">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Term Loan Credit Agreement, dated as of July 1, 2021, among Viatris, the guarantors from time to time party thereto, the lenders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00" w:type="dxa"/>
            <w:vAlign w:val="bottom"/>
          </w:tcPr>
          <w:p>
            <w:pPr>
              <w:ind w:left="320"/>
              <w:spacing w:after="0" w:line="195" w:lineRule="exact"/>
              <w:rPr>
                <w:sz w:val="20"/>
                <w:szCs w:val="20"/>
                <w:color w:val="auto"/>
              </w:rPr>
            </w:pPr>
            <w:r>
              <w:rPr>
                <w:rFonts w:ascii="Arial" w:cs="Arial" w:eastAsia="Arial" w:hAnsi="Arial"/>
                <w:sz w:val="18"/>
                <w:szCs w:val="18"/>
                <w:color w:val="auto"/>
                <w:w w:val="95"/>
              </w:rPr>
              <w:t>from time to time party thereto and Mizuho Bank, Ltd., as administrative agent, filed as Exhibit 10.2 to the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by Viatris Inc. with the SEC on July 1, 2021, and incorporated herein by reference. ^</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tcPr>
          <w:p>
            <w:pPr>
              <w:ind w:left="45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0" w:type="dxa"/>
            <w:vAlign w:val="bottom"/>
            <w:gridSpan w:val="3"/>
          </w:tcPr>
          <w:p>
            <w:pPr>
              <w:ind w:left="20"/>
              <w:spacing w:after="0"/>
              <w:rPr>
                <w:rFonts w:ascii="Arial" w:cs="Arial" w:eastAsia="Arial" w:hAnsi="Arial"/>
                <w:sz w:val="18"/>
                <w:szCs w:val="18"/>
                <w:color w:val="0000FF"/>
              </w:rPr>
            </w:pPr>
            <w:hyperlink r:id="rId275">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Form of Dealer Agreement among Viatris Inc., Utah Acquisition Sub Inc., Mylan II B.V., Mylan Inc. and the dealer thereto, filed as</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9"/>
              </w:rPr>
              <w:t>Exhibit 10.1 to the Report on Form 8-K/A filed by Viatris Inc. with the SEC on November 19, 2020, and incorporated herein by</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216"/>
        </w:trPr>
        <w:tc>
          <w:tcPr>
            <w:tcW w:w="640" w:type="dxa"/>
            <w:vAlign w:val="bottom"/>
            <w:gridSpan w:val="3"/>
          </w:tcPr>
          <w:p>
            <w:pPr>
              <w:ind w:left="20"/>
              <w:spacing w:after="0"/>
              <w:rPr>
                <w:rFonts w:ascii="Arial" w:cs="Arial" w:eastAsia="Arial" w:hAnsi="Arial"/>
                <w:sz w:val="18"/>
                <w:szCs w:val="18"/>
                <w:color w:val="0000FF"/>
              </w:rPr>
            </w:pPr>
            <w:hyperlink r:id="rId276">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Settlement Agreement with the U.S. Department of Justice and two relators finalizing the Medicaid drug rebate settlement, dated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August 16, 2017, filed as Exhibit 10.1 to the Report on Form 8-K filed by Mylan N.V. with the SEC on August 21, 2017, and</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incorporated herein by reference.</w:t>
            </w: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77">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4"/>
              </w:rPr>
              <w:t>Corporate Integrity Agreement between the Office of Inspector General of the Department of Health and Human Services and Mylan</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Inc. and Mylan Specialty L.P., dated August 16, 2017, filed as Exhibit 10.2 to the Report on Form 8-K filed by Mylan N.V. with the</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SEC on August 21, 2017, and incorporated herein by reference.</w:t>
            </w: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78">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9"/>
              </w:rPr>
              <w:t>Registration Rights Agreement, dated as of June 22, 2020, by and between Upjohn Inc. and Goldman Sachs &amp; Co. LLC, BofA</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Securities, Inc., Citigroup Global Markets Inc., Morgan Stanley and Co. LLC, and Mizuho Securities USA LLC, as representatives</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00" w:type="dxa"/>
            <w:vAlign w:val="bottom"/>
          </w:tcPr>
          <w:p>
            <w:pPr>
              <w:ind w:left="320"/>
              <w:spacing w:after="0" w:line="189" w:lineRule="exact"/>
              <w:rPr>
                <w:sz w:val="20"/>
                <w:szCs w:val="20"/>
                <w:color w:val="auto"/>
              </w:rPr>
            </w:pPr>
            <w:r>
              <w:rPr>
                <w:rFonts w:ascii="Arial" w:cs="Arial" w:eastAsia="Arial" w:hAnsi="Arial"/>
                <w:sz w:val="18"/>
                <w:szCs w:val="18"/>
                <w:color w:val="auto"/>
                <w:w w:val="96"/>
              </w:rPr>
              <w:t>of the several initial purchasers of the U.S. Dollar Notes, filed as Exhibit 4.8 to the Report on Form 8-K filed by Upjohn Inc. with the</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SEC on June 26, 2020, and incorporated herein by reference.</w:t>
            </w:r>
          </w:p>
        </w:tc>
      </w:tr>
      <w:tr>
        <w:trPr>
          <w:trHeight w:val="190"/>
        </w:trPr>
        <w:tc>
          <w:tcPr>
            <w:tcW w:w="20" w:type="dxa"/>
            <w:vAlign w:val="bottom"/>
          </w:tcPr>
          <w:p>
            <w:pPr>
              <w:spacing w:after="0"/>
              <w:rPr>
                <w:sz w:val="16"/>
                <w:szCs w:val="16"/>
                <w:color w:val="auto"/>
              </w:rPr>
            </w:pPr>
          </w:p>
        </w:tc>
        <w:tc>
          <w:tcPr>
            <w:tcW w:w="920" w:type="dxa"/>
            <w:vAlign w:val="bottom"/>
            <w:gridSpan w:val="3"/>
          </w:tcPr>
          <w:p>
            <w:pPr>
              <w:spacing w:after="0" w:line="190" w:lineRule="exact"/>
              <w:rPr>
                <w:rFonts w:ascii="Arial" w:cs="Arial" w:eastAsia="Arial" w:hAnsi="Arial"/>
                <w:sz w:val="18"/>
                <w:szCs w:val="18"/>
                <w:color w:val="0000FF"/>
              </w:rPr>
            </w:pPr>
            <w:hyperlink r:id="rId279">
              <w:r>
                <w:rPr>
                  <w:rFonts w:ascii="Arial" w:cs="Arial" w:eastAsia="Arial" w:hAnsi="Arial"/>
                  <w:sz w:val="18"/>
                  <w:szCs w:val="18"/>
                  <w:color w:val="0000FF"/>
                </w:rPr>
                <w:t>10.</w:t>
              </w:r>
              <w:r>
                <w:rPr>
                  <w:rFonts w:ascii="Arial" w:cs="Arial" w:eastAsia="Arial" w:hAnsi="Arial"/>
                  <w:sz w:val="18"/>
                  <w:szCs w:val="18"/>
                  <w:u w:val="single" w:color="auto"/>
                  <w:color w:val="0000FF"/>
                </w:rPr>
                <w:t>32(a)</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4"/>
              </w:rPr>
              <w:t>Asset Purchase Agreement, dated as of September 7, 2020, between Aspen Global Incorporated and Mylan Ireland Limited, filed by</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8"/>
              </w:rPr>
              <w:t>Mylan N.V. as Exhibit 10.2 to the Form 10-Q for the quarter ended September 30, 2020, and incorporated herein by reference.^</w:t>
            </w:r>
          </w:p>
        </w:tc>
      </w:tr>
      <w:tr>
        <w:trPr>
          <w:trHeight w:val="190"/>
        </w:trPr>
        <w:tc>
          <w:tcPr>
            <w:tcW w:w="20" w:type="dxa"/>
            <w:vAlign w:val="bottom"/>
          </w:tcPr>
          <w:p>
            <w:pPr>
              <w:spacing w:after="0"/>
              <w:rPr>
                <w:sz w:val="16"/>
                <w:szCs w:val="16"/>
                <w:color w:val="auto"/>
              </w:rPr>
            </w:pPr>
          </w:p>
        </w:tc>
        <w:tc>
          <w:tcPr>
            <w:tcW w:w="920" w:type="dxa"/>
            <w:vAlign w:val="bottom"/>
            <w:gridSpan w:val="3"/>
          </w:tcPr>
          <w:p>
            <w:pPr>
              <w:spacing w:after="0" w:line="190" w:lineRule="exact"/>
              <w:rPr>
                <w:rFonts w:ascii="Arial" w:cs="Arial" w:eastAsia="Arial" w:hAnsi="Arial"/>
                <w:sz w:val="18"/>
                <w:szCs w:val="18"/>
                <w:color w:val="0000FF"/>
              </w:rPr>
            </w:pPr>
            <w:hyperlink r:id="rId280">
              <w:r>
                <w:rPr>
                  <w:rFonts w:ascii="Arial" w:cs="Arial" w:eastAsia="Arial" w:hAnsi="Arial"/>
                  <w:sz w:val="18"/>
                  <w:szCs w:val="18"/>
                  <w:color w:val="0000FF"/>
                </w:rPr>
                <w:t>10.</w:t>
              </w:r>
              <w:r>
                <w:rPr>
                  <w:rFonts w:ascii="Arial" w:cs="Arial" w:eastAsia="Arial" w:hAnsi="Arial"/>
                  <w:sz w:val="18"/>
                  <w:szCs w:val="18"/>
                  <w:u w:val="single" w:color="auto"/>
                  <w:color w:val="0000FF"/>
                </w:rPr>
                <w:t>32(b)</w:t>
              </w:r>
            </w:hyperlink>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3"/>
              </w:rPr>
              <w:t>Amendment No. 1, dated as of November 5, 2020, to the Asset Purchase Agreement dated as of September 7, 2020, between Aspen</w:t>
            </w: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10300" w:type="dxa"/>
            <w:vAlign w:val="bottom"/>
          </w:tcPr>
          <w:p>
            <w:pPr>
              <w:ind w:left="320"/>
              <w:spacing w:after="0" w:line="195" w:lineRule="exact"/>
              <w:rPr>
                <w:sz w:val="20"/>
                <w:szCs w:val="20"/>
                <w:color w:val="auto"/>
              </w:rPr>
            </w:pPr>
            <w:r>
              <w:rPr>
                <w:rFonts w:ascii="Arial" w:cs="Arial" w:eastAsia="Arial" w:hAnsi="Arial"/>
                <w:sz w:val="18"/>
                <w:szCs w:val="18"/>
                <w:color w:val="auto"/>
                <w:w w:val="95"/>
              </w:rPr>
              <w:t>Global Incorporated and Mylan Ireland Limited, filed as Exhibit 10.34(b) to Form 10-K for the fiscal year ended December 31, 2020,</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and incorporated herein by reference. ^</w:t>
            </w:r>
          </w:p>
        </w:tc>
      </w:tr>
      <w:tr>
        <w:trPr>
          <w:trHeight w:val="216"/>
        </w:trPr>
        <w:tc>
          <w:tcPr>
            <w:tcW w:w="640" w:type="dxa"/>
            <w:vAlign w:val="bottom"/>
            <w:gridSpan w:val="3"/>
          </w:tcPr>
          <w:p>
            <w:pPr>
              <w:ind w:left="20"/>
              <w:spacing w:after="0"/>
              <w:rPr>
                <w:rFonts w:ascii="Arial" w:cs="Arial" w:eastAsia="Arial" w:hAnsi="Arial"/>
                <w:sz w:val="18"/>
                <w:szCs w:val="18"/>
                <w:color w:val="0000FF"/>
              </w:rPr>
            </w:pPr>
            <w:hyperlink r:id="rId281">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6"/>
              </w:rPr>
              <w:t>Transition Services Agreement, dated as of November 16, 2020, by and between Pfizer Inc. (as Service Provider) and Upjohn Inc.</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(as Service Recipient), filed as Exhibit 10.1 to the Report on Form 8-K filed by Viatris Inc. with the SEC on November 19, 2020, and</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incorporated herein by reference. ^</w:t>
            </w: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82">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6"/>
              </w:rPr>
              <w:t>Transition Services Agreement, dated as of November 16, 2020, by and between Upjohn Inc. (as Service Provider) and Pfizer Inc.</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(as Service Recipient), filed as Exhibit 10.2 to the Report on Form 8-K filed by Viatris Inc. with the SEC on November 19, 2020, and</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incorporated herein by reference. ^</w:t>
            </w: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83">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7"/>
              </w:rPr>
              <w:t>Tax Matters Agreement, dated as of November 16, 2020, by and between Pfizer Inc. and Upjohn Inc., filed as Exhibit 10.3 to the</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Report on Form 8-K filed by Viatris Inc. with the SEC on November 19, 2020, and incorporated herein by reference. ^</w:t>
            </w:r>
          </w:p>
        </w:tc>
      </w:tr>
      <w:tr>
        <w:trPr>
          <w:trHeight w:val="190"/>
        </w:trPr>
        <w:tc>
          <w:tcPr>
            <w:tcW w:w="640" w:type="dxa"/>
            <w:vAlign w:val="bottom"/>
            <w:gridSpan w:val="3"/>
          </w:tcPr>
          <w:p>
            <w:pPr>
              <w:ind w:left="20"/>
              <w:spacing w:after="0" w:line="190" w:lineRule="exact"/>
              <w:rPr>
                <w:rFonts w:ascii="Arial" w:cs="Arial" w:eastAsia="Arial" w:hAnsi="Arial"/>
                <w:sz w:val="18"/>
                <w:szCs w:val="18"/>
                <w:color w:val="0000FF"/>
              </w:rPr>
            </w:pPr>
            <w:hyperlink r:id="rId284">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300" w:type="dxa"/>
            <w:vAlign w:val="bottom"/>
          </w:tcPr>
          <w:p>
            <w:pPr>
              <w:spacing w:after="0"/>
              <w:rPr>
                <w:sz w:val="16"/>
                <w:szCs w:val="16"/>
                <w:color w:val="auto"/>
              </w:rPr>
            </w:pPr>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6"/>
              </w:rPr>
              <w:t>Employee Matters Agreement, dated as of November 16, 2020, by and between Pfizer Inc. and Viatris Inc., filed as Exhibit 10.4 to</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the Report on Form 8-K filed by Viatris Inc. with the SEC on November 19, 2020, and incorporated herein by reference.^</w:t>
            </w:r>
          </w:p>
        </w:tc>
      </w:tr>
      <w:tr>
        <w:trPr>
          <w:trHeight w:val="190"/>
        </w:trPr>
        <w:tc>
          <w:tcPr>
            <w:tcW w:w="640" w:type="dxa"/>
            <w:vAlign w:val="bottom"/>
            <w:gridSpan w:val="3"/>
          </w:tcPr>
          <w:p>
            <w:pPr>
              <w:ind w:left="20"/>
              <w:spacing w:after="0" w:line="190" w:lineRule="exact"/>
              <w:rPr>
                <w:rFonts w:ascii="Arial" w:cs="Arial" w:eastAsia="Arial" w:hAnsi="Arial"/>
                <w:sz w:val="18"/>
                <w:szCs w:val="18"/>
                <w:color w:val="0000FF"/>
              </w:rPr>
            </w:pPr>
            <w:hyperlink r:id="rId285">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300" w:type="dxa"/>
            <w:vAlign w:val="bottom"/>
          </w:tcPr>
          <w:p>
            <w:pPr>
              <w:spacing w:after="0"/>
              <w:rPr>
                <w:sz w:val="16"/>
                <w:szCs w:val="16"/>
                <w:color w:val="auto"/>
              </w:rPr>
            </w:pPr>
          </w:p>
        </w:tc>
        <w:tc>
          <w:tcPr>
            <w:tcW w:w="10300" w:type="dxa"/>
            <w:vAlign w:val="bottom"/>
          </w:tcPr>
          <w:p>
            <w:pPr>
              <w:ind w:left="320"/>
              <w:spacing w:after="0" w:line="190" w:lineRule="exact"/>
              <w:rPr>
                <w:sz w:val="20"/>
                <w:szCs w:val="20"/>
                <w:color w:val="auto"/>
              </w:rPr>
            </w:pPr>
            <w:r>
              <w:rPr>
                <w:rFonts w:ascii="Arial" w:cs="Arial" w:eastAsia="Arial" w:hAnsi="Arial"/>
                <w:sz w:val="18"/>
                <w:szCs w:val="18"/>
                <w:color w:val="auto"/>
                <w:w w:val="97"/>
              </w:rPr>
              <w:t>Manufacturing and Supply Agreement, dated as of November 16, 2020, by and between Pfizer Inc. (as Manufacturer) and Viatris</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Inc. (as Customer), filed as Exhibit 10.5 to the Report on Form 8-K filed by Viatris Inc. with the SEC on November 19, 2020, and</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incorporated herein by reference.^</w:t>
            </w: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86">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7"/>
              </w:rPr>
              <w:t>Manufacturing and Supply Agreement, dated as of November 16, 2020, by and between Viatris Inc. (as Manufacturer) and Pfizer</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tcPr>
          <w:p>
            <w:pPr>
              <w:ind w:left="320"/>
              <w:spacing w:after="0" w:line="142" w:lineRule="exact"/>
              <w:rPr>
                <w:sz w:val="20"/>
                <w:szCs w:val="20"/>
                <w:color w:val="auto"/>
              </w:rPr>
            </w:pPr>
            <w:r>
              <w:rPr>
                <w:rFonts w:ascii="Arial" w:cs="Arial" w:eastAsia="Arial" w:hAnsi="Arial"/>
                <w:sz w:val="16"/>
                <w:szCs w:val="16"/>
                <w:color w:val="auto"/>
              </w:rPr>
              <w:t>Inc. (as Customer), filed as Exhibit 10.6 to the Report on Form 8-K filed by Viatris Inc. with the SEC on November 19, 2020, and</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rPr>
              <w:t>incorporated herein by reference. ^</w:t>
            </w:r>
          </w:p>
        </w:tc>
      </w:tr>
      <w:tr>
        <w:trPr>
          <w:trHeight w:val="202"/>
        </w:trPr>
        <w:tc>
          <w:tcPr>
            <w:tcW w:w="640" w:type="dxa"/>
            <w:vAlign w:val="bottom"/>
            <w:gridSpan w:val="3"/>
          </w:tcPr>
          <w:p>
            <w:pPr>
              <w:ind w:left="20"/>
              <w:spacing w:after="0" w:line="201" w:lineRule="exact"/>
              <w:rPr>
                <w:rFonts w:ascii="Arial" w:cs="Arial" w:eastAsia="Arial" w:hAnsi="Arial"/>
                <w:sz w:val="18"/>
                <w:szCs w:val="18"/>
                <w:color w:val="0000FF"/>
              </w:rPr>
            </w:pPr>
            <w:hyperlink r:id="rId287">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300" w:type="dxa"/>
            <w:vAlign w:val="bottom"/>
          </w:tcPr>
          <w:p>
            <w:pPr>
              <w:spacing w:after="0"/>
              <w:rPr>
                <w:sz w:val="17"/>
                <w:szCs w:val="17"/>
                <w:color w:val="auto"/>
              </w:rPr>
            </w:pPr>
          </w:p>
        </w:tc>
        <w:tc>
          <w:tcPr>
            <w:tcW w:w="10300" w:type="dxa"/>
            <w:vAlign w:val="bottom"/>
          </w:tcPr>
          <w:p>
            <w:pPr>
              <w:ind w:left="320"/>
              <w:spacing w:after="0" w:line="201" w:lineRule="exact"/>
              <w:rPr>
                <w:sz w:val="20"/>
                <w:szCs w:val="20"/>
                <w:color w:val="auto"/>
              </w:rPr>
            </w:pPr>
            <w:r>
              <w:rPr>
                <w:rFonts w:ascii="Arial" w:cs="Arial" w:eastAsia="Arial" w:hAnsi="Arial"/>
                <w:sz w:val="18"/>
                <w:szCs w:val="18"/>
                <w:color w:val="auto"/>
                <w:w w:val="94"/>
              </w:rPr>
              <w:t>Intellectual Property Matters Agreement, dated as of November 16, 2020, by and between Pfizer Inc. and Viatris Inc., filed as Exhibit</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00" w:type="dxa"/>
            <w:vAlign w:val="bottom"/>
          </w:tcPr>
          <w:p>
            <w:pPr>
              <w:ind w:left="320"/>
              <w:spacing w:after="0"/>
              <w:rPr>
                <w:sz w:val="20"/>
                <w:szCs w:val="20"/>
                <w:color w:val="auto"/>
              </w:rPr>
            </w:pPr>
            <w:r>
              <w:rPr>
                <w:rFonts w:ascii="Arial" w:cs="Arial" w:eastAsia="Arial" w:hAnsi="Arial"/>
                <w:sz w:val="18"/>
                <w:szCs w:val="18"/>
                <w:color w:val="auto"/>
                <w:w w:val="97"/>
              </w:rPr>
              <w:t>10.7 to the Report on Form 8-K filed by Viatris Inc. with the SEC on November 19, 2020, and incorporated herein by reference. ^</w:t>
            </w:r>
          </w:p>
        </w:tc>
      </w:tr>
      <w:tr>
        <w:trPr>
          <w:trHeight w:val="85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tcPr>
          <w:p>
            <w:pPr>
              <w:ind w:left="4540"/>
              <w:spacing w:after="0"/>
              <w:rPr>
                <w:sz w:val="20"/>
                <w:szCs w:val="20"/>
                <w:color w:val="auto"/>
              </w:rPr>
            </w:pPr>
            <w:r>
              <w:rPr>
                <w:rFonts w:ascii="Arial" w:cs="Arial" w:eastAsia="Arial" w:hAnsi="Arial"/>
                <w:sz w:val="18"/>
                <w:szCs w:val="18"/>
                <w:color w:val="auto"/>
              </w:rPr>
              <w:t>152</w:t>
            </w: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gridSpan w:val="2"/>
          </w:tcPr>
          <w:p>
            <w:pPr>
              <w:jc w:val="right"/>
              <w:ind w:right="400"/>
              <w:spacing w:after="0"/>
              <w:rPr>
                <w:rFonts w:ascii="Arial" w:cs="Arial" w:eastAsia="Arial" w:hAnsi="Arial"/>
                <w:sz w:val="18"/>
                <w:szCs w:val="18"/>
                <w:color w:val="0000FF"/>
                <w:w w:val="88"/>
              </w:rPr>
            </w:pPr>
            <w:hyperlink r:id="rId29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40</w:t>
              </w:r>
            </w:hyperlink>
          </w:p>
        </w:tc>
        <w:tc>
          <w:tcPr>
            <w:tcW w:w="9900" w:type="dxa"/>
            <w:vAlign w:val="bottom"/>
          </w:tcPr>
          <w:p>
            <w:pPr>
              <w:ind w:left="420"/>
              <w:spacing w:after="0"/>
              <w:rPr>
                <w:sz w:val="20"/>
                <w:szCs w:val="20"/>
                <w:color w:val="auto"/>
              </w:rPr>
            </w:pPr>
            <w:r>
              <w:rPr>
                <w:rFonts w:ascii="Arial" w:cs="Arial" w:eastAsia="Arial" w:hAnsi="Arial"/>
                <w:sz w:val="18"/>
                <w:szCs w:val="18"/>
                <w:color w:val="auto"/>
                <w:w w:val="90"/>
              </w:rPr>
              <w:t>Trademark License Agreement, dated as of November 16, 2020, by and between Pfizer Inc. and Viatris Inc., filed as Exhibit 10.8 to</w:t>
            </w:r>
          </w:p>
        </w:tc>
      </w:tr>
      <w:tr>
        <w:trPr>
          <w:trHeight w:val="210"/>
        </w:trPr>
        <w:tc>
          <w:tcPr>
            <w:tcW w:w="42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9900" w:type="dxa"/>
            <w:vAlign w:val="bottom"/>
          </w:tcPr>
          <w:p>
            <w:pPr>
              <w:ind w:left="420"/>
              <w:spacing w:after="0"/>
              <w:rPr>
                <w:sz w:val="20"/>
                <w:szCs w:val="20"/>
                <w:color w:val="auto"/>
              </w:rPr>
            </w:pPr>
            <w:r>
              <w:rPr>
                <w:rFonts w:ascii="Arial" w:cs="Arial" w:eastAsia="Arial" w:hAnsi="Arial"/>
                <w:sz w:val="18"/>
                <w:szCs w:val="18"/>
                <w:color w:val="auto"/>
                <w:w w:val="98"/>
              </w:rPr>
              <w:t>the Report on Form 8-K filed by Viatris Inc. with the SEC on November 19, 2020, and incorporated herein by reference. ^</w:t>
            </w:r>
          </w:p>
        </w:tc>
      </w:tr>
    </w:tbl>
    <w:p>
      <w:pPr>
        <w:ind w:left="1260" w:hanging="1234"/>
        <w:spacing w:after="0"/>
        <w:tabs>
          <w:tab w:leader="none" w:pos="1260" w:val="left"/>
        </w:tabs>
        <w:numPr>
          <w:ilvl w:val="0"/>
          <w:numId w:val="82"/>
        </w:numPr>
        <w:rPr>
          <w:rFonts w:ascii="Arial" w:cs="Arial" w:eastAsia="Arial" w:hAnsi="Arial"/>
          <w:sz w:val="18"/>
          <w:szCs w:val="18"/>
          <w:u w:val="single" w:color="auto"/>
          <w:color w:val="0000FF"/>
        </w:rPr>
      </w:pPr>
      <w:r>
        <w:rPr>
          <w:rFonts w:ascii="Arial" w:cs="Arial" w:eastAsia="Arial" w:hAnsi="Arial"/>
          <w:sz w:val="18"/>
          <w:szCs w:val="18"/>
          <w:color w:val="auto"/>
        </w:rPr>
        <w:t>Subsidiaries of the registrant.</w:t>
      </w:r>
    </w:p>
    <w:p>
      <w:pPr>
        <w:spacing w:after="0" w:line="21" w:lineRule="exact"/>
        <w:rPr>
          <w:rFonts w:ascii="Arial" w:cs="Arial" w:eastAsia="Arial" w:hAnsi="Arial"/>
          <w:sz w:val="18"/>
          <w:szCs w:val="18"/>
          <w:u w:val="single" w:color="auto"/>
          <w:color w:val="0000FF"/>
        </w:rPr>
      </w:pPr>
    </w:p>
    <w:p>
      <w:pPr>
        <w:ind w:left="1260" w:hanging="1234"/>
        <w:spacing w:after="0"/>
        <w:tabs>
          <w:tab w:leader="none" w:pos="1260" w:val="left"/>
        </w:tabs>
        <w:numPr>
          <w:ilvl w:val="0"/>
          <w:numId w:val="82"/>
        </w:numPr>
        <w:rPr>
          <w:rFonts w:ascii="Arial" w:cs="Arial" w:eastAsia="Arial" w:hAnsi="Arial"/>
          <w:sz w:val="18"/>
          <w:szCs w:val="18"/>
          <w:u w:val="single" w:color="auto"/>
          <w:color w:val="0000FF"/>
        </w:rPr>
      </w:pPr>
      <w:r>
        <w:rPr>
          <w:rFonts w:ascii="Arial" w:cs="Arial" w:eastAsia="Arial" w:hAnsi="Arial"/>
          <w:sz w:val="18"/>
          <w:szCs w:val="18"/>
          <w:color w:val="auto"/>
        </w:rPr>
        <w:t>List of subsidiary guarantors and issuers of guaranteed securities.</w:t>
      </w:r>
    </w:p>
    <w:p>
      <w:pPr>
        <w:spacing w:after="0" w:line="22" w:lineRule="exact"/>
        <w:rPr>
          <w:rFonts w:ascii="Arial" w:cs="Arial" w:eastAsia="Arial" w:hAnsi="Arial"/>
          <w:sz w:val="18"/>
          <w:szCs w:val="18"/>
          <w:u w:val="single" w:color="auto"/>
          <w:color w:val="0000FF"/>
        </w:rPr>
      </w:pPr>
    </w:p>
    <w:p>
      <w:pPr>
        <w:ind w:left="1260" w:hanging="1234"/>
        <w:spacing w:after="0"/>
        <w:tabs>
          <w:tab w:leader="none" w:pos="1260" w:val="left"/>
        </w:tabs>
        <w:numPr>
          <w:ilvl w:val="0"/>
          <w:numId w:val="82"/>
        </w:numPr>
        <w:rPr>
          <w:rFonts w:ascii="Arial" w:cs="Arial" w:eastAsia="Arial" w:hAnsi="Arial"/>
          <w:sz w:val="18"/>
          <w:szCs w:val="18"/>
          <w:u w:val="single" w:color="auto"/>
          <w:color w:val="0000FF"/>
        </w:rPr>
      </w:pPr>
      <w:r>
        <w:rPr>
          <w:rFonts w:ascii="Arial" w:cs="Arial" w:eastAsia="Arial" w:hAnsi="Arial"/>
          <w:sz w:val="18"/>
          <w:szCs w:val="18"/>
          <w:color w:val="auto"/>
        </w:rPr>
        <w:t>Consent of Deloitte &amp; Touche LLP, Independent Registered Public Accounting Firm.</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8400" w:type="dxa"/>
            <w:vAlign w:val="bottom"/>
          </w:tcPr>
          <w:p>
            <w:pPr>
              <w:ind w:left="92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210"/>
        </w:trPr>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8400" w:type="dxa"/>
            <w:vAlign w:val="bottom"/>
          </w:tcPr>
          <w:p>
            <w:pPr>
              <w:ind w:left="92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26" w:lineRule="exact"/>
        <w:rPr>
          <w:sz w:val="20"/>
          <w:szCs w:val="20"/>
          <w:color w:val="auto"/>
        </w:rPr>
      </w:pPr>
    </w:p>
    <w:p>
      <w:pPr>
        <w:ind w:left="1260" w:right="340" w:hanging="1234"/>
        <w:spacing w:after="0" w:line="235" w:lineRule="auto"/>
        <w:tabs>
          <w:tab w:leader="none" w:pos="1260" w:val="left"/>
        </w:tabs>
        <w:numPr>
          <w:ilvl w:val="0"/>
          <w:numId w:val="83"/>
        </w:numPr>
        <w:rPr>
          <w:rFonts w:ascii="Arial" w:cs="Arial" w:eastAsia="Arial" w:hAnsi="Arial"/>
          <w:sz w:val="18"/>
          <w:szCs w:val="18"/>
          <w:u w:val="single" w:color="auto"/>
          <w:color w:val="0000FF"/>
        </w:rPr>
      </w:pPr>
      <w:r>
        <w:rPr>
          <w:rFonts w:ascii="Arial" w:cs="Arial" w:eastAsia="Arial" w:hAnsi="Arial"/>
          <w:sz w:val="18"/>
          <w:szCs w:val="18"/>
          <w:color w:val="auto"/>
        </w:rPr>
        <w:t>Certification of Principal Executive Officer and Principal Financial Officer pursuant to Section 906 of the Sarbanes-Oxley Act of 2002.</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440" w:type="dxa"/>
            <w:vAlign w:val="bottom"/>
          </w:tcPr>
          <w:p>
            <w:pPr>
              <w:ind w:left="280"/>
              <w:spacing w:after="0"/>
              <w:rPr>
                <w:sz w:val="20"/>
                <w:szCs w:val="20"/>
                <w:color w:val="auto"/>
              </w:rPr>
            </w:pPr>
            <w:r>
              <w:rPr>
                <w:rFonts w:ascii="Arial" w:cs="Arial" w:eastAsia="Arial" w:hAnsi="Arial"/>
                <w:sz w:val="18"/>
                <w:szCs w:val="18"/>
                <w:color w:val="auto"/>
              </w:rPr>
              <w:t>Inline XBRL Instance Document</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44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440" w:type="dxa"/>
            <w:vAlign w:val="bottom"/>
          </w:tcPr>
          <w:p>
            <w:pPr>
              <w:ind w:left="28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44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440" w:type="dxa"/>
            <w:vAlign w:val="bottom"/>
          </w:tcPr>
          <w:p>
            <w:pPr>
              <w:ind w:left="28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440" w:type="dxa"/>
            <w:vAlign w:val="bottom"/>
          </w:tcPr>
          <w:p>
            <w:pPr>
              <w:ind w:left="280"/>
              <w:spacing w:after="0"/>
              <w:rPr>
                <w:sz w:val="20"/>
                <w:szCs w:val="20"/>
                <w:color w:val="auto"/>
              </w:rPr>
            </w:pPr>
            <w:r>
              <w:rPr>
                <w:rFonts w:ascii="Arial" w:cs="Arial" w:eastAsia="Arial" w:hAnsi="Arial"/>
                <w:sz w:val="18"/>
                <w:szCs w:val="18"/>
                <w:color w:val="auto"/>
                <w:w w:val="97"/>
              </w:rPr>
              <w:t>Inline XBRL Taxonomy Extension Definition Linkbase</w:t>
            </w:r>
          </w:p>
        </w:tc>
      </w:tr>
    </w:tbl>
    <w:p>
      <w:pPr>
        <w:ind w:left="1260" w:right="160" w:hanging="1234"/>
        <w:spacing w:after="0" w:line="234" w:lineRule="auto"/>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122" w:lineRule="exact"/>
        <w:rPr>
          <w:sz w:val="20"/>
          <w:szCs w:val="20"/>
          <w:color w:val="auto"/>
        </w:rPr>
      </w:pPr>
    </w:p>
    <w:p>
      <w:pPr>
        <w:ind w:left="600" w:hanging="574"/>
        <w:spacing w:after="0"/>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3" w:lineRule="exact"/>
        <w:rPr>
          <w:sz w:val="20"/>
          <w:szCs w:val="20"/>
          <w:color w:val="auto"/>
        </w:rPr>
      </w:pPr>
    </w:p>
    <w:p>
      <w:pPr>
        <w:ind w:left="600" w:hanging="574"/>
        <w:spacing w:after="0" w:line="245"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Annexes, schedules and/or exhibits have been omitted pursuant to Item 601(a)(5)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to be signed on its behalf by the undersigned, thereunto duly authorized on February 27, 2023.</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Viatris Inc.</w:t>
      </w:r>
    </w:p>
    <w:p>
      <w:pPr>
        <w:spacing w:after="0" w:line="77" w:lineRule="exact"/>
        <w:rPr>
          <w:sz w:val="20"/>
          <w:szCs w:val="20"/>
          <w:color w:val="auto"/>
        </w:rPr>
      </w:pPr>
    </w:p>
    <w:p>
      <w:pPr>
        <w:ind w:left="6480"/>
        <w:spacing w:after="0"/>
        <w:tabs>
          <w:tab w:leader="none" w:pos="6840" w:val="left"/>
        </w:tabs>
        <w:rPr>
          <w:sz w:val="20"/>
          <w:szCs w:val="20"/>
          <w:color w:val="auto"/>
        </w:rPr>
      </w:pPr>
      <w:r>
        <w:rPr>
          <w:rFonts w:ascii="Arial" w:cs="Arial" w:eastAsia="Arial" w:hAnsi="Arial"/>
          <w:sz w:val="18"/>
          <w:szCs w:val="18"/>
          <w:color w:val="auto"/>
        </w:rPr>
        <w:t>by</w:t>
        <w:tab/>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8460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Form has been signed below by the following persons on behalf of the registrant and in the capacities indicated as of February 27,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Signature</w:t>
            </w:r>
          </w:p>
        </w:tc>
        <w:tc>
          <w:tcPr>
            <w:tcW w:w="4240" w:type="dxa"/>
            <w:vAlign w:val="bottom"/>
          </w:tcPr>
          <w:p>
            <w:pPr>
              <w:spacing w:after="0"/>
              <w:rPr>
                <w:sz w:val="17"/>
                <w:szCs w:val="17"/>
                <w:color w:val="auto"/>
              </w:rPr>
            </w:pPr>
          </w:p>
        </w:tc>
        <w:tc>
          <w:tcPr>
            <w:tcW w:w="5120" w:type="dxa"/>
            <w:vAlign w:val="bottom"/>
          </w:tcPr>
          <w:p>
            <w:pPr>
              <w:jc w:val="center"/>
              <w:ind w:left="1310"/>
              <w:spacing w:after="0"/>
              <w:rPr>
                <w:sz w:val="20"/>
                <w:szCs w:val="20"/>
                <w:color w:val="auto"/>
              </w:rPr>
            </w:pPr>
            <w:r>
              <w:rPr>
                <w:rFonts w:ascii="Arial" w:cs="Arial" w:eastAsia="Arial" w:hAnsi="Arial"/>
                <w:sz w:val="18"/>
                <w:szCs w:val="18"/>
                <w:b w:val="1"/>
                <w:bCs w:val="1"/>
                <w:color w:val="auto"/>
                <w:w w:val="97"/>
              </w:rPr>
              <w:t>Title</w:t>
            </w:r>
          </w:p>
        </w:tc>
      </w:tr>
      <w:tr>
        <w:trPr>
          <w:trHeight w:val="304"/>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ROBERT J. COURY</w:t>
            </w:r>
          </w:p>
        </w:tc>
        <w:tc>
          <w:tcPr>
            <w:tcW w:w="5120" w:type="dxa"/>
            <w:vAlign w:val="bottom"/>
          </w:tcPr>
          <w:p>
            <w:pPr>
              <w:jc w:val="center"/>
              <w:ind w:left="1330"/>
              <w:spacing w:after="0"/>
              <w:rPr>
                <w:sz w:val="20"/>
                <w:szCs w:val="20"/>
                <w:color w:val="auto"/>
              </w:rPr>
            </w:pPr>
            <w:r>
              <w:rPr>
                <w:rFonts w:ascii="Arial" w:cs="Arial" w:eastAsia="Arial" w:hAnsi="Arial"/>
                <w:sz w:val="18"/>
                <w:szCs w:val="18"/>
                <w:color w:val="auto"/>
                <w:w w:val="91"/>
              </w:rPr>
              <w:t>Executive Chairman and 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Robert J. Coury</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GOETTLER</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Michael Goettler</w:t>
            </w:r>
          </w:p>
        </w:tc>
        <w:tc>
          <w:tcPr>
            <w:tcW w:w="5120" w:type="dxa"/>
            <w:vAlign w:val="bottom"/>
          </w:tcPr>
          <w:p>
            <w:pPr>
              <w:jc w:val="center"/>
              <w:ind w:left="133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283"/>
        </w:trPr>
        <w:tc>
          <w:tcPr>
            <w:tcW w:w="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SANJEEV NARULA</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Sanjeev Narula</w:t>
            </w:r>
          </w:p>
        </w:tc>
        <w:tc>
          <w:tcPr>
            <w:tcW w:w="5120" w:type="dxa"/>
            <w:vAlign w:val="bottom"/>
          </w:tcPr>
          <w:p>
            <w:pPr>
              <w:jc w:val="center"/>
              <w:ind w:left="133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PAUL B. CAMPBELL</w:t>
            </w:r>
          </w:p>
        </w:tc>
        <w:tc>
          <w:tcPr>
            <w:tcW w:w="5120" w:type="dxa"/>
            <w:vAlign w:val="bottom"/>
          </w:tcPr>
          <w:p>
            <w:pPr>
              <w:jc w:val="center"/>
              <w:ind w:left="1330"/>
              <w:spacing w:after="0"/>
              <w:rPr>
                <w:sz w:val="20"/>
                <w:szCs w:val="20"/>
                <w:color w:val="auto"/>
              </w:rPr>
            </w:pPr>
            <w:r>
              <w:rPr>
                <w:rFonts w:ascii="Arial" w:cs="Arial" w:eastAsia="Arial" w:hAnsi="Arial"/>
                <w:sz w:val="18"/>
                <w:szCs w:val="18"/>
                <w:color w:val="auto"/>
                <w:w w:val="93"/>
              </w:rPr>
              <w:t>Chief Accounting Officer and Corporate Controller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Paul B. Campbell</w:t>
            </w:r>
          </w:p>
        </w:tc>
        <w:tc>
          <w:tcPr>
            <w:tcW w:w="5120" w:type="dxa"/>
            <w:vAlign w:val="bottom"/>
          </w:tcPr>
          <w:p>
            <w:pPr>
              <w:jc w:val="center"/>
              <w:ind w:left="133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 DON CORNWELL</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W. Don Cornwell</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JOELLEN LYONS DILLON</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JoEllen Lyons Dillon</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ELISHA FINNEY</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Elisha Finney</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MELINA HIGGINS</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Melina Higgins</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JAMES M. KILTS</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James M. Kilts</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HARRY A. KORMAN</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Harry A. Korman</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RAJIV MALIK</w:t>
            </w:r>
          </w:p>
        </w:tc>
        <w:tc>
          <w:tcPr>
            <w:tcW w:w="5120" w:type="dxa"/>
            <w:vAlign w:val="bottom"/>
          </w:tcPr>
          <w:p>
            <w:pPr>
              <w:jc w:val="center"/>
              <w:ind w:left="1330"/>
              <w:spacing w:after="0"/>
              <w:rPr>
                <w:sz w:val="20"/>
                <w:szCs w:val="20"/>
                <w:color w:val="auto"/>
              </w:rPr>
            </w:pPr>
            <w:r>
              <w:rPr>
                <w:rFonts w:ascii="Arial" w:cs="Arial" w:eastAsia="Arial" w:hAnsi="Arial"/>
                <w:sz w:val="18"/>
                <w:szCs w:val="18"/>
                <w:color w:val="auto"/>
                <w:w w:val="90"/>
              </w:rPr>
              <w:t>President and 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Rajiv Malik</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RICHARD A. MARK</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Richard A. Mark</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MARK W. PARRISH</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Mark W. Parrish</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SCOTT SMITH</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Scott Smith</w:t>
            </w:r>
          </w:p>
        </w:tc>
        <w:tc>
          <w:tcPr>
            <w:tcW w:w="5120" w:type="dxa"/>
            <w:vAlign w:val="bottom"/>
          </w:tcPr>
          <w:p>
            <w:pPr>
              <w:spacing w:after="0"/>
              <w:rPr>
                <w:sz w:val="19"/>
                <w:szCs w:val="19"/>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PAULINE VAN DER MEER MOHR</w:t>
            </w:r>
          </w:p>
        </w:tc>
        <w:tc>
          <w:tcPr>
            <w:tcW w:w="5120" w:type="dxa"/>
            <w:vAlign w:val="bottom"/>
          </w:tcPr>
          <w:p>
            <w:pPr>
              <w:jc w:val="center"/>
              <w:ind w:left="1310"/>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Pauline van der Meer Mohr</w:t>
            </w:r>
          </w:p>
        </w:tc>
        <w:tc>
          <w:tcPr>
            <w:tcW w:w="5120" w:type="dxa"/>
            <w:vAlign w:val="bottom"/>
          </w:tcPr>
          <w:p>
            <w:pPr>
              <w:spacing w:after="0"/>
              <w:rPr>
                <w:sz w:val="19"/>
                <w:szCs w:val="19"/>
                <w:color w:val="auto"/>
              </w:rPr>
            </w:pPr>
          </w:p>
        </w:tc>
      </w:tr>
      <w:tr>
        <w:trPr>
          <w:trHeight w:val="86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120" w:type="dxa"/>
            <w:vAlign w:val="bottom"/>
          </w:tcPr>
          <w:p>
            <w:pPr>
              <w:jc w:val="right"/>
              <w:ind w:right="4290"/>
              <w:spacing w:after="0"/>
              <w:rPr>
                <w:sz w:val="20"/>
                <w:szCs w:val="20"/>
                <w:color w:val="auto"/>
              </w:rPr>
            </w:pPr>
            <w:r>
              <w:rPr>
                <w:rFonts w:ascii="Arial" w:cs="Arial" w:eastAsia="Arial" w:hAnsi="Arial"/>
                <w:sz w:val="18"/>
                <w:szCs w:val="18"/>
                <w:color w:val="auto"/>
              </w:rPr>
              <w:t>154</w:t>
            </w:r>
          </w:p>
        </w:tc>
      </w:tr>
    </w:tbl>
    <w:p>
      <w:pPr>
        <w:sectPr>
          <w:pgSz w:w="11900" w:h="16838" w:orient="portrait"/>
          <w:cols w:equalWidth="0" w:num="1">
            <w:col w:w="11060"/>
          </w:cols>
          <w:pgMar w:left="320" w:top="125" w:right="51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color w:val="auto"/>
        </w:rPr>
        <w:t>Exhibit 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320" w:type="dxa"/>
            <w:vAlign w:val="bottom"/>
            <w:gridSpan w:val="3"/>
          </w:tcPr>
          <w:p>
            <w:pPr>
              <w:spacing w:after="0"/>
              <w:rPr>
                <w:sz w:val="20"/>
                <w:szCs w:val="20"/>
                <w:color w:val="auto"/>
              </w:rPr>
            </w:pPr>
            <w:r>
              <w:rPr>
                <w:rFonts w:ascii="Arial" w:cs="Arial" w:eastAsia="Arial" w:hAnsi="Arial"/>
                <w:sz w:val="20"/>
                <w:szCs w:val="20"/>
                <w:b w:val="1"/>
                <w:bCs w:val="1"/>
                <w:color w:val="auto"/>
              </w:rPr>
              <w:t>Subsidiaries as of December 31, 2022</w:t>
            </w:r>
          </w:p>
        </w:tc>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01"/>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b w:val="1"/>
                <w:bCs w:val="1"/>
                <w:color w:val="auto"/>
              </w:rPr>
              <w:t>Name</w:t>
            </w:r>
          </w:p>
        </w:tc>
        <w:tc>
          <w:tcPr>
            <w:tcW w:w="2120" w:type="dxa"/>
            <w:vAlign w:val="bottom"/>
            <w:gridSpan w:val="3"/>
          </w:tcPr>
          <w:p>
            <w:pPr>
              <w:spacing w:after="0"/>
              <w:rPr>
                <w:sz w:val="20"/>
                <w:szCs w:val="20"/>
                <w:color w:val="auto"/>
              </w:rPr>
            </w:pPr>
            <w:r>
              <w:rPr>
                <w:rFonts w:ascii="Arial" w:cs="Arial" w:eastAsia="Arial" w:hAnsi="Arial"/>
                <w:sz w:val="22"/>
                <w:szCs w:val="22"/>
                <w:b w:val="1"/>
                <w:bCs w:val="1"/>
                <w:color w:val="auto"/>
              </w:rPr>
              <w:t>State or Country of</w:t>
            </w: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76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89"/>
              </w:rPr>
              <w:t>Organization</w:t>
            </w: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328"/>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Upjohn Saidal Pharma</w:t>
            </w:r>
          </w:p>
        </w:tc>
        <w:tc>
          <w:tcPr>
            <w:tcW w:w="2120" w:type="dxa"/>
            <w:vAlign w:val="bottom"/>
            <w:gridSpan w:val="3"/>
          </w:tcPr>
          <w:p>
            <w:pPr>
              <w:spacing w:after="0"/>
              <w:rPr>
                <w:sz w:val="20"/>
                <w:szCs w:val="20"/>
                <w:color w:val="auto"/>
              </w:rPr>
            </w:pPr>
            <w:r>
              <w:rPr>
                <w:rFonts w:ascii="Arial" w:cs="Arial" w:eastAsia="Arial" w:hAnsi="Arial"/>
                <w:sz w:val="22"/>
                <w:szCs w:val="22"/>
                <w:color w:val="auto"/>
              </w:rPr>
              <w:t>Algeria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Agila Australasia Pty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Australia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Alphapharm Pty.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Australia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Australia Holding Pty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Australia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Australia Pty Limited</w:t>
            </w:r>
          </w:p>
        </w:tc>
        <w:tc>
          <w:tcPr>
            <w:tcW w:w="2120" w:type="dxa"/>
            <w:vAlign w:val="bottom"/>
            <w:gridSpan w:val="3"/>
          </w:tcPr>
          <w:p>
            <w:pPr>
              <w:spacing w:after="0"/>
              <w:rPr>
                <w:sz w:val="20"/>
                <w:szCs w:val="20"/>
                <w:color w:val="auto"/>
              </w:rPr>
            </w:pPr>
            <w:r>
              <w:rPr>
                <w:rFonts w:ascii="Arial" w:cs="Arial" w:eastAsia="Arial" w:hAnsi="Arial"/>
                <w:sz w:val="22"/>
                <w:szCs w:val="22"/>
                <w:color w:val="auto"/>
              </w:rPr>
              <w:t>Australia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Upjohn Australia Pty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Australia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Viatris Pty.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Australia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Arcana Arzneimittel GmbH</w:t>
            </w:r>
          </w:p>
        </w:tc>
        <w:tc>
          <w:tcPr>
            <w:tcW w:w="2120" w:type="dxa"/>
            <w:vAlign w:val="bottom"/>
            <w:gridSpan w:val="3"/>
          </w:tcPr>
          <w:p>
            <w:pPr>
              <w:spacing w:after="0"/>
              <w:rPr>
                <w:sz w:val="20"/>
                <w:szCs w:val="20"/>
                <w:color w:val="auto"/>
              </w:rPr>
            </w:pPr>
            <w:r>
              <w:rPr>
                <w:rFonts w:ascii="Arial" w:cs="Arial" w:eastAsia="Arial" w:hAnsi="Arial"/>
                <w:sz w:val="22"/>
                <w:szCs w:val="22"/>
                <w:color w:val="auto"/>
              </w:rPr>
              <w:t>Austria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Österreich GmbH</w:t>
            </w:r>
          </w:p>
        </w:tc>
        <w:tc>
          <w:tcPr>
            <w:tcW w:w="2120" w:type="dxa"/>
            <w:vAlign w:val="bottom"/>
            <w:gridSpan w:val="3"/>
          </w:tcPr>
          <w:p>
            <w:pPr>
              <w:spacing w:after="0"/>
              <w:rPr>
                <w:sz w:val="20"/>
                <w:szCs w:val="20"/>
                <w:color w:val="auto"/>
              </w:rPr>
            </w:pPr>
            <w:r>
              <w:rPr>
                <w:rFonts w:ascii="Arial" w:cs="Arial" w:eastAsia="Arial" w:hAnsi="Arial"/>
                <w:sz w:val="22"/>
                <w:szCs w:val="22"/>
                <w:color w:val="auto"/>
              </w:rPr>
              <w:t>Austria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Viatris LLC</w:t>
            </w:r>
          </w:p>
        </w:tc>
        <w:tc>
          <w:tcPr>
            <w:tcW w:w="2120" w:type="dxa"/>
            <w:vAlign w:val="bottom"/>
            <w:gridSpan w:val="3"/>
          </w:tcPr>
          <w:p>
            <w:pPr>
              <w:spacing w:after="0"/>
              <w:rPr>
                <w:sz w:val="20"/>
                <w:szCs w:val="20"/>
                <w:color w:val="auto"/>
              </w:rPr>
            </w:pPr>
            <w:r>
              <w:rPr>
                <w:rFonts w:ascii="Arial" w:cs="Arial" w:eastAsia="Arial" w:hAnsi="Arial"/>
                <w:sz w:val="22"/>
                <w:szCs w:val="22"/>
                <w:color w:val="auto"/>
              </w:rPr>
              <w:t>Belarus</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BV</w:t>
            </w:r>
          </w:p>
        </w:tc>
        <w:tc>
          <w:tcPr>
            <w:tcW w:w="2120" w:type="dxa"/>
            <w:vAlign w:val="bottom"/>
            <w:gridSpan w:val="3"/>
          </w:tcPr>
          <w:p>
            <w:pPr>
              <w:spacing w:after="0"/>
              <w:rPr>
                <w:sz w:val="20"/>
                <w:szCs w:val="20"/>
                <w:color w:val="auto"/>
              </w:rPr>
            </w:pPr>
            <w:r>
              <w:rPr>
                <w:rFonts w:ascii="Arial" w:cs="Arial" w:eastAsia="Arial" w:hAnsi="Arial"/>
                <w:sz w:val="22"/>
                <w:szCs w:val="22"/>
                <w:color w:val="auto"/>
              </w:rPr>
              <w:t>Belgium</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EPD BVBA</w:t>
            </w:r>
          </w:p>
        </w:tc>
        <w:tc>
          <w:tcPr>
            <w:tcW w:w="2120" w:type="dxa"/>
            <w:vAlign w:val="bottom"/>
            <w:gridSpan w:val="3"/>
          </w:tcPr>
          <w:p>
            <w:pPr>
              <w:spacing w:after="0"/>
              <w:rPr>
                <w:sz w:val="20"/>
                <w:szCs w:val="20"/>
                <w:color w:val="auto"/>
              </w:rPr>
            </w:pPr>
            <w:r>
              <w:rPr>
                <w:rFonts w:ascii="Arial" w:cs="Arial" w:eastAsia="Arial" w:hAnsi="Arial"/>
                <w:sz w:val="22"/>
                <w:szCs w:val="22"/>
                <w:color w:val="auto"/>
              </w:rPr>
              <w:t>Belgium</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Pfizer Innovative Supply Point International BVBA</w:t>
            </w:r>
          </w:p>
        </w:tc>
        <w:tc>
          <w:tcPr>
            <w:tcW w:w="2120" w:type="dxa"/>
            <w:vAlign w:val="bottom"/>
            <w:gridSpan w:val="3"/>
          </w:tcPr>
          <w:p>
            <w:pPr>
              <w:spacing w:after="0"/>
              <w:rPr>
                <w:sz w:val="20"/>
                <w:szCs w:val="20"/>
                <w:color w:val="auto"/>
              </w:rPr>
            </w:pPr>
            <w:r>
              <w:rPr>
                <w:rFonts w:ascii="Arial" w:cs="Arial" w:eastAsia="Arial" w:hAnsi="Arial"/>
                <w:sz w:val="22"/>
                <w:szCs w:val="22"/>
                <w:color w:val="auto"/>
              </w:rPr>
              <w:t>Belgium</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Upjohn SRL</w:t>
            </w:r>
          </w:p>
        </w:tc>
        <w:tc>
          <w:tcPr>
            <w:tcW w:w="2120" w:type="dxa"/>
            <w:vAlign w:val="bottom"/>
            <w:gridSpan w:val="3"/>
          </w:tcPr>
          <w:p>
            <w:pPr>
              <w:spacing w:after="0"/>
              <w:rPr>
                <w:sz w:val="20"/>
                <w:szCs w:val="20"/>
                <w:color w:val="auto"/>
              </w:rPr>
            </w:pPr>
            <w:r>
              <w:rPr>
                <w:rFonts w:ascii="Arial" w:cs="Arial" w:eastAsia="Arial" w:hAnsi="Arial"/>
                <w:sz w:val="22"/>
                <w:szCs w:val="22"/>
                <w:color w:val="auto"/>
              </w:rPr>
              <w:t>Belgium</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Viatris Healthcare NV</w:t>
            </w:r>
          </w:p>
        </w:tc>
        <w:tc>
          <w:tcPr>
            <w:tcW w:w="2120" w:type="dxa"/>
            <w:vAlign w:val="bottom"/>
            <w:gridSpan w:val="3"/>
          </w:tcPr>
          <w:p>
            <w:pPr>
              <w:spacing w:after="0"/>
              <w:rPr>
                <w:sz w:val="20"/>
                <w:szCs w:val="20"/>
                <w:color w:val="auto"/>
              </w:rPr>
            </w:pPr>
            <w:r>
              <w:rPr>
                <w:rFonts w:ascii="Arial" w:cs="Arial" w:eastAsia="Arial" w:hAnsi="Arial"/>
                <w:sz w:val="22"/>
                <w:szCs w:val="22"/>
                <w:color w:val="auto"/>
              </w:rPr>
              <w:t>Belgium</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Bermuda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Bermuda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Viatris BH, drustvo sa ogranicenom odgovornoscu za trgovinu i usluge</w:t>
            </w:r>
          </w:p>
        </w:tc>
        <w:tc>
          <w:tcPr>
            <w:tcW w:w="2120" w:type="dxa"/>
            <w:vAlign w:val="bottom"/>
            <w:gridSpan w:val="3"/>
          </w:tcPr>
          <w:p>
            <w:pPr>
              <w:spacing w:after="0"/>
              <w:rPr>
                <w:sz w:val="20"/>
                <w:szCs w:val="20"/>
                <w:color w:val="auto"/>
              </w:rPr>
            </w:pPr>
            <w:r>
              <w:rPr>
                <w:rFonts w:ascii="Arial" w:cs="Arial" w:eastAsia="Arial" w:hAnsi="Arial"/>
                <w:sz w:val="22"/>
                <w:szCs w:val="22"/>
                <w:color w:val="auto"/>
                <w:w w:val="87"/>
              </w:rPr>
              <w:t>Bosnia and Herzegovina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Brasil Distribuidora de Medicamentos Ltda</w:t>
            </w:r>
          </w:p>
        </w:tc>
        <w:tc>
          <w:tcPr>
            <w:tcW w:w="2120" w:type="dxa"/>
            <w:vAlign w:val="bottom"/>
            <w:gridSpan w:val="3"/>
          </w:tcPr>
          <w:p>
            <w:pPr>
              <w:spacing w:after="0"/>
              <w:rPr>
                <w:sz w:val="20"/>
                <w:szCs w:val="20"/>
                <w:color w:val="auto"/>
              </w:rPr>
            </w:pPr>
            <w:r>
              <w:rPr>
                <w:rFonts w:ascii="Arial" w:cs="Arial" w:eastAsia="Arial" w:hAnsi="Arial"/>
                <w:sz w:val="22"/>
                <w:szCs w:val="22"/>
                <w:color w:val="auto"/>
              </w:rPr>
              <w:t>Brazil</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Laboratórios Ltda</w:t>
            </w:r>
          </w:p>
        </w:tc>
        <w:tc>
          <w:tcPr>
            <w:tcW w:w="2120" w:type="dxa"/>
            <w:vAlign w:val="bottom"/>
            <w:gridSpan w:val="3"/>
          </w:tcPr>
          <w:p>
            <w:pPr>
              <w:spacing w:after="0"/>
              <w:rPr>
                <w:sz w:val="20"/>
                <w:szCs w:val="20"/>
                <w:color w:val="auto"/>
              </w:rPr>
            </w:pPr>
            <w:r>
              <w:rPr>
                <w:rFonts w:ascii="Arial" w:cs="Arial" w:eastAsia="Arial" w:hAnsi="Arial"/>
                <w:sz w:val="22"/>
                <w:szCs w:val="22"/>
                <w:color w:val="auto"/>
              </w:rPr>
              <w:t>Brazil</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Upjohn Brasil Importadora e Distribuidora de Medicamentos Ltda</w:t>
            </w:r>
          </w:p>
        </w:tc>
        <w:tc>
          <w:tcPr>
            <w:tcW w:w="2120" w:type="dxa"/>
            <w:vAlign w:val="bottom"/>
            <w:gridSpan w:val="3"/>
          </w:tcPr>
          <w:p>
            <w:pPr>
              <w:spacing w:after="0"/>
              <w:rPr>
                <w:sz w:val="20"/>
                <w:szCs w:val="20"/>
                <w:color w:val="auto"/>
              </w:rPr>
            </w:pPr>
            <w:r>
              <w:rPr>
                <w:rFonts w:ascii="Arial" w:cs="Arial" w:eastAsia="Arial" w:hAnsi="Arial"/>
                <w:sz w:val="22"/>
                <w:szCs w:val="22"/>
                <w:color w:val="auto"/>
              </w:rPr>
              <w:t>Brazil</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EOOD</w:t>
            </w:r>
          </w:p>
        </w:tc>
        <w:tc>
          <w:tcPr>
            <w:tcW w:w="2120" w:type="dxa"/>
            <w:vAlign w:val="bottom"/>
            <w:gridSpan w:val="3"/>
          </w:tcPr>
          <w:p>
            <w:pPr>
              <w:spacing w:after="0"/>
              <w:rPr>
                <w:sz w:val="20"/>
                <w:szCs w:val="20"/>
                <w:color w:val="auto"/>
              </w:rPr>
            </w:pPr>
            <w:r>
              <w:rPr>
                <w:rFonts w:ascii="Arial" w:cs="Arial" w:eastAsia="Arial" w:hAnsi="Arial"/>
                <w:sz w:val="22"/>
                <w:szCs w:val="22"/>
                <w:color w:val="auto"/>
              </w:rPr>
              <w:t>Bulgaria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BGP Pharma ULC</w:t>
            </w:r>
          </w:p>
        </w:tc>
        <w:tc>
          <w:tcPr>
            <w:tcW w:w="2120" w:type="dxa"/>
            <w:vAlign w:val="bottom"/>
            <w:gridSpan w:val="3"/>
          </w:tcPr>
          <w:p>
            <w:pPr>
              <w:spacing w:after="0"/>
              <w:rPr>
                <w:sz w:val="20"/>
                <w:szCs w:val="20"/>
                <w:color w:val="auto"/>
              </w:rPr>
            </w:pPr>
            <w:r>
              <w:rPr>
                <w:rFonts w:ascii="Arial" w:cs="Arial" w:eastAsia="Arial" w:hAnsi="Arial"/>
                <w:sz w:val="22"/>
                <w:szCs w:val="22"/>
                <w:color w:val="auto"/>
              </w:rPr>
              <w:t>Canada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Meda Pharmaceuticals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Canada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Pharmaceuticals ULC</w:t>
            </w:r>
          </w:p>
        </w:tc>
        <w:tc>
          <w:tcPr>
            <w:tcW w:w="2120" w:type="dxa"/>
            <w:vAlign w:val="bottom"/>
            <w:gridSpan w:val="3"/>
          </w:tcPr>
          <w:p>
            <w:pPr>
              <w:spacing w:after="0"/>
              <w:rPr>
                <w:sz w:val="20"/>
                <w:szCs w:val="20"/>
                <w:color w:val="auto"/>
              </w:rPr>
            </w:pPr>
            <w:r>
              <w:rPr>
                <w:rFonts w:ascii="Arial" w:cs="Arial" w:eastAsia="Arial" w:hAnsi="Arial"/>
                <w:sz w:val="22"/>
                <w:szCs w:val="22"/>
                <w:color w:val="auto"/>
              </w:rPr>
              <w:t>Canada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Upjohn Canada ULC</w:t>
            </w:r>
          </w:p>
        </w:tc>
        <w:tc>
          <w:tcPr>
            <w:tcW w:w="2120" w:type="dxa"/>
            <w:vAlign w:val="bottom"/>
            <w:gridSpan w:val="3"/>
          </w:tcPr>
          <w:p>
            <w:pPr>
              <w:spacing w:after="0"/>
              <w:rPr>
                <w:sz w:val="20"/>
                <w:szCs w:val="20"/>
                <w:color w:val="auto"/>
              </w:rPr>
            </w:pPr>
            <w:r>
              <w:rPr>
                <w:rFonts w:ascii="Arial" w:cs="Arial" w:eastAsia="Arial" w:hAnsi="Arial"/>
                <w:sz w:val="22"/>
                <w:szCs w:val="22"/>
                <w:color w:val="auto"/>
              </w:rPr>
              <w:t>Canada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Gezhi (Hainan) Health Investment Co.,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Gezhi (Hainan) Medical Technology Co</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Gezhi Health Management Co.,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Medicine Meda Pharmaceutical Information Consultancy (Beijing) Co.,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Mylan Pharmaceutical Science and Technology (Shanghai) Co.,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Pfizer Pharmaceuticals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Pfizer Upjohn Management Co.,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Viatris (Hainan) Investment Co.,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Viatris Pharmaceutical Co., Ltd.</w:t>
            </w:r>
          </w:p>
        </w:tc>
        <w:tc>
          <w:tcPr>
            <w:tcW w:w="2120" w:type="dxa"/>
            <w:vAlign w:val="bottom"/>
            <w:gridSpan w:val="3"/>
          </w:tcPr>
          <w:p>
            <w:pPr>
              <w:spacing w:after="0"/>
              <w:rPr>
                <w:sz w:val="20"/>
                <w:szCs w:val="20"/>
                <w:color w:val="auto"/>
              </w:rPr>
            </w:pPr>
            <w:r>
              <w:rPr>
                <w:rFonts w:ascii="Arial" w:cs="Arial" w:eastAsia="Arial" w:hAnsi="Arial"/>
                <w:sz w:val="22"/>
                <w:szCs w:val="22"/>
                <w:color w:val="auto"/>
              </w:rPr>
              <w:t>China</w:t>
            </w:r>
          </w:p>
        </w:tc>
      </w:tr>
    </w:tbl>
    <w:p>
      <w:pPr>
        <w:sectPr>
          <w:pgSz w:w="11900" w:h="16838" w:orient="portrait"/>
          <w:cols w:equalWidth="0" w:num="1">
            <w:col w:w="11240"/>
          </w:cols>
          <w:pgMar w:left="320" w:top="1426" w:right="339" w:bottom="1440" w:gutter="0" w:footer="0" w:header="0"/>
        </w:sectPr>
      </w:pPr>
    </w:p>
    <w:bookmarkStart w:id="156" w:name="page157"/>
    <w:bookmarkEnd w:id="156"/>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Mylan Hrvatska d.o.o.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Onco Laboratories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s.r.o.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Pharmaceuticals s.r.o.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CZ s.r.o.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Acton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Alaven Pharmaceutical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ALVP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Delcor Asset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Denco Asset,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Deogun Manufacturing,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Dey Limited Partner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Dey,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EMD,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Ezio Pharma,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Franklin Pharmaceutical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G.D. Searle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Greenstone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Iris Purchaser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Lotic.ai,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Madaus Inc.</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Marquis Industrial Company, LLC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Meda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API Inc.</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Mylan Consumer Healthcare,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Mylan D.T. (U.S.) Holdings, Inc.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Mylan D.T. DPT Partner Sub, LLC</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Mylan D.T.,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Holdings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Holdings I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Holdings II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Institutional LLC</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Mylan Investment Holdings 4 LLC</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Mylan Investment Holdings 5 LLC</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Mylan Investment Holdings 6 LLC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Mylan Securitization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Special Investments LLC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Mylan Special Investments II, LLC</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Mylan Special Investments III, LLC</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Mylan Special Investments IV, LLC</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Mylan Special Investments V, LLC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Croatia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Cyprus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Czech Republic</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Czech Republic</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Czech Republic</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ectPr>
          <w:pgSz w:w="11900" w:h="16838" w:orient="portrait"/>
          <w:cols w:equalWidth="0" w:num="2">
            <w:col w:w="6580" w:space="720"/>
            <w:col w:w="2819"/>
          </w:cols>
          <w:pgMar w:left="340" w:top="1440" w:right="1440" w:bottom="1440" w:gutter="0" w:footer="0" w:header="0"/>
        </w:sectPr>
      </w:pPr>
    </w:p>
    <w:bookmarkStart w:id="157" w:name="page158"/>
    <w:bookmarkEnd w:id="157"/>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Mylan Special Investments VI,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Specialty L.P.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Nimes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PFE Wyeth Holdings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Pfizer PFE US Holdings 4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Pfizer Pharmaceuticals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Powder Street,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Prestium Pharma,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Somerset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US 2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US Employment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US Holdings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Worldwide Holdings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Utah Acquisition Holdco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Utah Acquisition Sub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Enterprises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Specialty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US Holdings 5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Wallace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ApS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ApS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Pfizer Africa &amp; Middle East for Pharmaceuticals, Veterinarian Products &amp;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Denmark</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Denmark</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Egypt</w:t>
      </w:r>
    </w:p>
    <w:p>
      <w:pPr>
        <w:spacing w:after="0" w:line="21" w:lineRule="exact"/>
        <w:rPr>
          <w:sz w:val="20"/>
          <w:szCs w:val="20"/>
          <w:color w:val="auto"/>
        </w:rPr>
      </w:pPr>
    </w:p>
    <w:p>
      <w:pPr>
        <w:sectPr>
          <w:pgSz w:w="11900" w:h="16838" w:orient="portrait"/>
          <w:cols w:equalWidth="0" w:num="2">
            <w:col w:w="6580" w:space="720"/>
            <w:col w:w="2819"/>
          </w:cols>
          <w:pgMar w:left="340" w:top="1440" w:right="1440" w:bottom="1440" w:gutter="0" w:footer="0" w:header="0"/>
        </w:sectPr>
      </w:pPr>
    </w:p>
    <w:p>
      <w:pPr>
        <w:spacing w:after="0"/>
        <w:rPr>
          <w:sz w:val="20"/>
          <w:szCs w:val="20"/>
          <w:color w:val="auto"/>
        </w:rPr>
      </w:pPr>
      <w:r>
        <w:rPr>
          <w:rFonts w:ascii="Arial" w:cs="Arial" w:eastAsia="Arial" w:hAnsi="Arial"/>
          <w:sz w:val="19"/>
          <w:szCs w:val="19"/>
          <w:color w:val="auto"/>
        </w:rPr>
        <w:t>Chemicals S.A.E.</w:t>
      </w:r>
    </w:p>
    <w:p>
      <w:pPr>
        <w:sectPr>
          <w:pgSz w:w="11900" w:h="16838" w:orient="portrait"/>
          <w:cols w:equalWidth="0" w:num="1">
            <w:col w:w="10119"/>
          </w:cols>
          <w:pgMar w:left="340" w:top="1440" w:right="1440"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Viatris Egypt S.A.E.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 Care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Agila Specialties Investments Limited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Generics (U.K.)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Holdings Acquisition Limited</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Mylan Holdings Acquisition 2 Limited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Mylan Holdings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 UK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Products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UK 2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UK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UK Healthcare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Oy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Laboratoires Madaus S.A.S.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Holding S.A.S.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Manufacturing S.A.S.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S.A.S.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Mylan Generics France Holding S.A.S.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Egypt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Egypt</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England &amp; Wales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Finland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ectPr>
          <w:pgSz w:w="11900" w:h="16838" w:orient="portrait"/>
          <w:cols w:equalWidth="0" w:num="2">
            <w:col w:w="6580" w:space="720"/>
            <w:col w:w="2819"/>
          </w:cols>
          <w:pgMar w:left="340" w:top="1440" w:right="1440" w:bottom="1440" w:gutter="0" w:footer="0" w:header="0"/>
          <w:type w:val="continuous"/>
        </w:sectPr>
      </w:pPr>
    </w:p>
    <w:bookmarkStart w:id="158" w:name="page159"/>
    <w:bookmarkEnd w:id="158"/>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Mylan Laboratories S.A.S.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Rottapharm S.A.S.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Healthcare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Medical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Sante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Up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Erste Madaus Beteiligungs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Madaus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Germany Holding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Manufacturing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GmbH &amp; Co. KG</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MWB Pharma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dura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Germany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Pharmazeutische Union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PharmLog Pharma Logistik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ROTTAPHARM | MADAUS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Healthcare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Zweite Madaus Beteiligungs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(Gibraltar) 4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(Gibraltar) 5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(Gibraltar) 6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(Gibraltar) 7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(Gibraltar) 8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(Gibraltar) 9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BGP Pharmaceutical Products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Generics Pharma Hellas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Pharmaceuticals S.A.</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Upjohn Hellas Pharmaceutical Limited Liability Company</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Mylan Pharmaceutical Hong Kong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Healthcare Hong Kong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HUNGARY KERESKEDELMI Kft.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EPD Kft.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Hungary Kft.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Kft.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Institutional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Laboratories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Pharmaceuticals Private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McDermott Laboratories Limited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Gibraltar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Gibraltar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Gibraltar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Gibraltar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Gibraltar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Gibraltar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Greece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Greece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Greece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Greece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Hong Kong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Hong Kong</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Hungary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Hungary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Hungary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Hungary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Illinois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India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India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ectPr>
          <w:pgSz w:w="11900" w:h="16838" w:orient="portrait"/>
          <w:cols w:equalWidth="0" w:num="2">
            <w:col w:w="6580" w:space="720"/>
            <w:col w:w="2819"/>
          </w:cols>
          <w:pgMar w:left="340" w:top="1440" w:right="1440" w:bottom="1440" w:gutter="0" w:footer="0" w:header="0"/>
        </w:sectPr>
      </w:pPr>
    </w:p>
    <w:bookmarkStart w:id="159" w:name="page160"/>
    <w:bookmarkEnd w:id="159"/>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Meda Health Sales Ireland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Investments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IRE Healthcare Limited</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Mylan Ireland Investment Designated Activity Company</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Mylan Ireland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 Acquisition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 Group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 Holdings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Pharmaceuticals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Teoranta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Rottapharm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Manufacturing Ireland Unlimited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Healthcare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DERMOGROUP S.r.l.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S.p.A.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Italia S.r.l.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S.p.A.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Rottapharm S.p.A.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 S.r.l.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EPD G.K.</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Seiyaku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Pfizer UPJ G.K.</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Pharmaceuticals Japan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Limited Liability Partnership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SIA “Meda Pharma”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SIA “Mylan Healthcare”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Healthcare UAB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BGP Products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Integral S.A.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Luxembourg 1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Luxembourg 2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Luxembourg 3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Luxembourg 6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Luxembourg 7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Luxembourg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SIM S.A.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 Lux Newco S.à 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Healthcare Sdn. Bhd.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Malaysia SDN. BHD.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Kazakhstan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Latvia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Latvia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Lithuania</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Luxembourg</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Malaysia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Malaysia</w:t>
      </w:r>
    </w:p>
    <w:p>
      <w:pPr>
        <w:sectPr>
          <w:pgSz w:w="11900" w:h="16838" w:orient="portrait"/>
          <w:cols w:equalWidth="0" w:num="2">
            <w:col w:w="6580" w:space="720"/>
            <w:col w:w="2819"/>
          </w:cols>
          <w:pgMar w:left="340" w:top="1440" w:right="1440" w:bottom="1440" w:gutter="0" w:footer="0" w:header="0"/>
        </w:sectPr>
      </w:pPr>
    </w:p>
    <w:bookmarkStart w:id="160" w:name="page161"/>
    <w:bookmarkEnd w:id="160"/>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Pfizer Parke Davis Sdn. Bhd.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Sdn. Bhd.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MP Laboratories (Mauritius)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Phama, S. de R.L. de C.V.</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Meda Pharma Servicios, S. de R.L. de C.V.</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Viatris Healthcare Mexico S. de R.L. de C.V.</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Viatris Pharmaceuticals S.A.S.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Group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Healthcare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II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Manufacturing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Ireland Holding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Mexico Holding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Philippines Holding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Spain Holding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Enterprise Holding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Pharmaceuticals Holding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Turkey Holding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Belgium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EESV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Europe Holdings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Export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Finance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Global Holdings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Group Holdings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Intermediate Holdings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International Holdings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Vietnam Dutch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Netherlands B.V.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Agila Specialties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BGP Products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New Zealand ULC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Pharmaceuticals Pty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Health Management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ZpearPoint 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MLRE LLC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Malaysia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Malaysia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Mauritius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Mexico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Mexico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Mexico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Morocco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New Jersey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New Zealand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New Zealand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New Zealand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Nigeria</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North Carolina</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Pennsylvania</w:t>
      </w:r>
    </w:p>
    <w:p>
      <w:pPr>
        <w:sectPr>
          <w:pgSz w:w="11900" w:h="16838" w:orient="portrait"/>
          <w:cols w:equalWidth="0" w:num="2">
            <w:col w:w="6580" w:space="720"/>
            <w:col w:w="2819"/>
          </w:cols>
          <w:pgMar w:left="340" w:top="1440" w:right="1440" w:bottom="1440" w:gutter="0" w:footer="0" w:header="0"/>
        </w:sectPr>
      </w:pPr>
    </w:p>
    <w:bookmarkStart w:id="161" w:name="page162"/>
    <w:bookmarkEnd w:id="161"/>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Mylan Holdings Sub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Synerx Pharma,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EPD Sp. Z o.o.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Healthcare Sp. Z o.o.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BGP Products, Unipessoal, LDA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Laboratorios Anova - Produtos Farmaceuticos, LDA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Laboratorios Delta, S.A.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Healthcare, Lda.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Lda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BGP Products S.r.l.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LLC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Viatris Healthcare Drustvo SA Ogranicenom Odgovornoscu Beograd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Mylan Pharmaceuticals Pte.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Pfizer Asia Pacific Pte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Private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Singapore Pte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spol. s.r.o.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s.r.o.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Slovakia s.r.o.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farmacevtsko podjetje, d.o.o.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South Africa (Pty)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Pharmaceuticals (Pty)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SCP Pharmaceuticals (Proprietary)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South Africa Proprietary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Healthcare (Pty)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South Africa (Proprietary)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Korea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Fundacion Viatris para la Salud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Laboratorios Parke Davis, S.L.U.</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S.L.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PEMB OFG Spain Holding, S.L.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Pfizer PFE Spain Holding, S.L.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Healthcare S.L.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Pharmaceuticals, S.L.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Abbex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BGP Products AB</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Pennsylvania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Pennsylvania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Pennsylvania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Philippines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Philippines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Portugal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Portugal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Portugal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Portugal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Portugal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Romania</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Russian Federation</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Russian Federation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Serbia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Singapore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Singapore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Singapore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Singapore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Slovakia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Slovakia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Slovakia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Slovenia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South Africa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South Africa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South Africa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South Africa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South Africa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South Africa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South Korea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ectPr>
          <w:pgSz w:w="11900" w:h="16838" w:orient="portrait"/>
          <w:cols w:equalWidth="0" w:num="2">
            <w:col w:w="6580" w:space="720"/>
            <w:col w:w="2819"/>
          </w:cols>
          <w:pgMar w:left="340" w:top="1440" w:right="1440" w:bottom="1440" w:gutter="0" w:footer="0" w:header="0"/>
        </w:sectPr>
      </w:pPr>
    </w:p>
    <w:bookmarkStart w:id="162" w:name="page163"/>
    <w:bookmarkEnd w:id="162"/>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Ipex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Ipex Medical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OTC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Sweden Holdings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Recip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Scandinavian Pharmaceuticals-Generics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BGP Products Operations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BGP Products Switzerland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Pharmaceuticals Switzerland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Holdings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(Taiwan)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Pharmaceutical Company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DPT Laboratories,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Bertek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 (Thailand) Co.,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Healthcare (Thailand)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(Thailand) Limited</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Meda Pharma Ilaç Sanayi ve Ticaret Limited Sirketi</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Pfizer Ilaclari Limited Sirketi</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Meda Pharmaceuticals MEA FZ-LLC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FZ-LLC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Upjohn Middle East FZ-LLC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American Triumvirate Insurance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International Holdings,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Viatris Vietnam Limited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MP AIR,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Mylan ASI LLC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Switzerland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Switzerland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Switzerland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Switzerland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Switzerland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Switzerland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Switzerland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Taiwan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Taiwan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Texas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Texas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Thailand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Thailand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Thailand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Turkey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Turkey</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United Arab Emirates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Arab Emirates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Arab Emirates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Vermont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Vermont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Vietnam</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West Virginia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West Virginia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West Virginia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Wyoming</w:t>
      </w:r>
    </w:p>
    <w:p>
      <w:pPr>
        <w:sectPr>
          <w:pgSz w:w="11900" w:h="16838" w:orient="portrait"/>
          <w:cols w:equalWidth="0" w:num="2">
            <w:col w:w="6580" w:space="720"/>
            <w:col w:w="2819"/>
          </w:cols>
          <w:pgMar w:left="340" w:top="1440"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Exhibit 22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Guarantors and Issuers of Guaranteed Securities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of December 31, 2022, Viatris Inc., a Delaware corporation (“Viatris”), Mylan Inc., a Pennsylvania corporation (“Mylan Inc.”), and Mylan II B.V., a company incorporated under the laws of the Netherlands (“Mylan II”), were the guarantors of the 3.950% Senior Notes due 2026 and 5.250% Senior Notes due 2046 issued by Utah Acquisition Sub Inc., a Delaware corporation (“Utah”).</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December 31, 2022, Viatris, Utah and Mylan II were the guarantors of the 4.200% Senior Notes due 2023, 3.125% Senior Notes due 2023, 4.550% Senior Notes due 2028, 5.400% Senior Notes due 2043 and 5.200% Senior Notes due 2048 issued by Mylan Inc.</w:t>
      </w:r>
    </w:p>
    <w:p>
      <w:pPr>
        <w:spacing w:after="0" w:line="21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As of December 31, 2022, Utah, Mylan Inc. and Mylan II were the guarantors of the 1.650% Senior Notes due 2025, 2.300% Senior Notes due 2027, 2.700% Senior Notes due 2030, 3.850% Senior Notes due 2040 and 4.000% Senior Notes due 2050 issued by Viatris.</w:t>
      </w:r>
    </w:p>
    <w:p>
      <w:pPr>
        <w:sectPr>
          <w:pgSz w:w="11900" w:h="16838" w:orient="portrait"/>
          <w:cols w:equalWidth="0" w:num="1">
            <w:col w:w="11240"/>
          </w:cols>
          <w:pgMar w:left="320" w:top="1422" w:right="339" w:bottom="1440" w:gutter="0" w:footer="0" w:header="0"/>
        </w:sectPr>
      </w:pPr>
    </w:p>
    <w:bookmarkStart w:id="164" w:name="page165"/>
    <w:bookmarkEnd w:id="164"/>
    <w:p>
      <w:pPr>
        <w:spacing w:after="0" w:line="4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Registration Statement No. 333-250845 on Form S-8, Registration Statement No. 333-</w:t>
      </w:r>
    </w:p>
    <w:p>
      <w:pPr>
        <w:spacing w:after="0" w:line="25"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264760 on Form S-3ASR and Registration Statement No. 333-264762 on Form S-3 of our reports dated February 27, 2023, relating to the consolidated financial statements of Viatris Inc. (the “Company”) and the effectiveness of the Company's internal control over financial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reporting appearing in this Annual Report on Form 10-K for the year ended December 31, 2022.</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Pittsburgh, Pennsylvania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2023</w:t>
      </w:r>
    </w:p>
    <w:p>
      <w:pPr>
        <w:sectPr>
          <w:pgSz w:w="11900" w:h="16838" w:orient="portrait"/>
          <w:cols w:equalWidth="0" w:num="1">
            <w:col w:w="11240"/>
          </w:cols>
          <w:pgMar w:left="320" w:top="1440"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90"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Form 10-K of Viatris Inc.;</w:t>
      </w:r>
    </w:p>
    <w:p>
      <w:pPr>
        <w:spacing w:after="0" w:line="10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jc w:val="both"/>
        <w:ind w:left="660" w:firstLine="644"/>
        <w:spacing w:after="0" w:line="263" w:lineRule="auto"/>
        <w:tabs>
          <w:tab w:leader="none" w:pos="19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firstLine="644"/>
        <w:spacing w:after="0" w:line="263" w:lineRule="auto"/>
        <w:tabs>
          <w:tab w:leader="none" w:pos="19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660" w:firstLine="644"/>
        <w:spacing w:after="0" w:line="342" w:lineRule="auto"/>
        <w:tabs>
          <w:tab w:leader="none" w:pos="194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660" w:firstLine="644"/>
        <w:spacing w:after="0" w:line="263" w:lineRule="auto"/>
        <w:tabs>
          <w:tab w:leader="none" w:pos="19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firstLine="656"/>
        <w:spacing w:after="0" w:line="308" w:lineRule="auto"/>
        <w:tabs>
          <w:tab w:leader="none" w:pos="12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20" w:firstLine="644"/>
        <w:spacing w:after="0" w:line="308" w:lineRule="auto"/>
        <w:tabs>
          <w:tab w:leader="none" w:pos="1947"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firstLine="644"/>
        <w:spacing w:after="0" w:line="277" w:lineRule="auto"/>
        <w:tabs>
          <w:tab w:leader="none" w:pos="19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5031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(Principal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ectPr>
          <w:pgSz w:w="11900" w:h="16838" w:orient="portrait"/>
          <w:cols w:equalWidth="0" w:num="1">
            <w:col w:w="11240"/>
          </w:cols>
          <w:pgMar w:left="320" w:top="89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90"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Form 10-K of Viatris Inc.;</w:t>
      </w:r>
    </w:p>
    <w:p>
      <w:pPr>
        <w:spacing w:after="0" w:line="10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jc w:val="both"/>
        <w:ind w:left="660" w:firstLine="644"/>
        <w:spacing w:after="0" w:line="263" w:lineRule="auto"/>
        <w:tabs>
          <w:tab w:leader="none" w:pos="19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firstLine="644"/>
        <w:spacing w:after="0" w:line="263" w:lineRule="auto"/>
        <w:tabs>
          <w:tab w:leader="none" w:pos="19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660" w:firstLine="644"/>
        <w:spacing w:after="0" w:line="342" w:lineRule="auto"/>
        <w:tabs>
          <w:tab w:leader="none" w:pos="1947"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660" w:firstLine="644"/>
        <w:spacing w:after="0" w:line="263" w:lineRule="auto"/>
        <w:tabs>
          <w:tab w:leader="none" w:pos="19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firstLine="656"/>
        <w:spacing w:after="0" w:line="308" w:lineRule="auto"/>
        <w:tabs>
          <w:tab w:leader="none" w:pos="129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20" w:firstLine="644"/>
        <w:spacing w:after="0" w:line="308" w:lineRule="auto"/>
        <w:tabs>
          <w:tab w:leader="none" w:pos="1947"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firstLine="644"/>
        <w:spacing w:after="0" w:line="277" w:lineRule="auto"/>
        <w:tabs>
          <w:tab w:leader="none" w:pos="19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5031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(Principal Financial Officer)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ectPr>
          <w:pgSz w:w="11900" w:h="16838" w:orient="portrait"/>
          <w:cols w:equalWidth="0" w:num="1">
            <w:col w:w="11240"/>
          </w:cols>
          <w:pgMar w:left="320" w:top="89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Form 10-K of Viatris Inc. (the “Company”) for the year ended December 31, 2022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9" w:lineRule="exact"/>
        <w:rPr>
          <w:sz w:val="20"/>
          <w:szCs w:val="20"/>
          <w:color w:val="auto"/>
        </w:rPr>
      </w:pPr>
    </w:p>
    <w:p>
      <w:pPr>
        <w:ind w:left="1300" w:hanging="320"/>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60" w:firstLine="320"/>
        <w:spacing w:after="0" w:line="277" w:lineRule="auto"/>
        <w:tabs>
          <w:tab w:leader="none" w:pos="13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pacing w:after="0" w:line="14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MICHAEL GOETTLER</w:t>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Goettler</w:t>
      </w:r>
    </w:p>
    <w:p>
      <w:pPr>
        <w:ind w:left="5980"/>
        <w:spacing w:after="0" w:line="203" w:lineRule="auto"/>
        <w:rPr>
          <w:sz w:val="20"/>
          <w:szCs w:val="20"/>
          <w:color w:val="auto"/>
        </w:rPr>
      </w:pPr>
      <w:r>
        <w:rPr>
          <w:rFonts w:ascii="Arial" w:cs="Arial" w:eastAsia="Arial" w:hAnsi="Arial"/>
          <w:sz w:val="18"/>
          <w:szCs w:val="18"/>
          <w:color w:val="auto"/>
        </w:rPr>
        <w:t>Chief Executive Officer</w:t>
      </w: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1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SANJEEV NARULA</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Sanjeev Narula</w:t>
      </w:r>
    </w:p>
    <w:p>
      <w:pPr>
        <w:ind w:left="5980"/>
        <w:spacing w:after="0" w:line="203" w:lineRule="auto"/>
        <w:rPr>
          <w:sz w:val="20"/>
          <w:szCs w:val="20"/>
          <w:color w:val="auto"/>
        </w:rPr>
      </w:pPr>
      <w:r>
        <w:rPr>
          <w:rFonts w:ascii="Arial" w:cs="Arial" w:eastAsia="Arial" w:hAnsi="Arial"/>
          <w:sz w:val="18"/>
          <w:szCs w:val="18"/>
          <w:color w:val="auto"/>
        </w:rPr>
        <w:t>Chief Financial Officer</w:t>
      </w: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15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10-K.</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lvl w:ilvl="1">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2"/>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1."/>
      <w:numFmt w:val="decimal"/>
      <w:start w:val="3"/>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decimal"/>
      <w:start w:val="4"/>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decimal"/>
      <w:start w:val="5"/>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lvl w:ilvl="1">
      <w:lvlJc w:val="left"/>
      <w:lvlText w:val="(%2)"/>
      <w:numFmt w:val="decimal"/>
      <w:start w:val="1"/>
    </w:lvl>
  </w:abstractNum>
  <w:abstractNum w:abstractNumId="52">
    <w:nsid w:val="799D0247"/>
    <w:multiLevelType w:val="hybridMultilevel"/>
    <w:lvl w:ilvl="0">
      <w:lvlJc w:val="left"/>
      <w:lvlText w:val="%1."/>
      <w:numFmt w:val="decimal"/>
      <w:start w:val="7"/>
    </w:lvl>
    <w:lvl w:ilvl="1">
      <w:lvlJc w:val="left"/>
      <w:lvlText w:val="%2"/>
      <w:numFmt w:val="decimal"/>
      <w:start w:val="1"/>
    </w:lvl>
  </w:abstractNum>
  <w:abstractNum w:abstractNumId="53">
    <w:nsid w:val="6B94764"/>
    <w:multiLevelType w:val="hybridMultilevel"/>
    <w:lvl w:ilvl="0">
      <w:lvlJc w:val="left"/>
      <w:lvlText w:val="%1."/>
      <w:numFmt w:val="decimal"/>
      <w:start w:val="8"/>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10"/>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5"/>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decimal"/>
      <w:start w:val="15"/>
    </w:lvl>
  </w:abstractNum>
  <w:abstractNum w:abstractNumId="73">
    <w:nsid w:val="6A5EE64"/>
    <w:multiLevelType w:val="hybridMultilevel"/>
    <w:lvl w:ilvl="0">
      <w:lvlJc w:val="left"/>
      <w:lvlText w:val="(%1)"/>
      <w:numFmt w:val="decimal"/>
      <w:start w:val="17"/>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2"/>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2"/>
    </w:lvl>
  </w:abstractNum>
  <w:abstractNum w:abstractNumId="79">
    <w:nsid w:val="7FB7E0AA"/>
    <w:multiLevelType w:val="hybridMultilevel"/>
    <w:lvl w:ilvl="0">
      <w:lvlJc w:val="left"/>
      <w:lvlText w:val="%1"/>
      <w:numFmt w:val="decimal"/>
      <w:start w:val="1"/>
    </w:lvl>
    <w:lvl w:ilvl="1">
      <w:lvlJc w:val="left"/>
      <w:lvlText w:val="(%2)"/>
      <w:numFmt w:val="decimal"/>
      <w:start w:val="1"/>
    </w:lvl>
  </w:abstractNum>
  <w:abstractNum w:abstractNumId="80">
    <w:nsid w:val="6EB5BD4"/>
    <w:multiLevelType w:val="hybridMultilevel"/>
    <w:lvl w:ilvl="0">
      <w:lvlJc w:val="left"/>
      <w:lvlText w:val="%1."/>
      <w:numFmt w:val="decimal"/>
      <w:start w:val="3"/>
    </w:lvl>
    <w:lvl w:ilvl="1">
      <w:lvlJc w:val="left"/>
      <w:lvlText w:val="%2"/>
      <w:numFmt w:val="decimal"/>
      <w:start w:val="1"/>
    </w:lvl>
  </w:abstractNum>
  <w:abstractNum w:abstractNumId="81">
    <w:nsid w:val="6F6DD9AC"/>
    <w:multiLevelType w:val="hybridMultilevel"/>
    <w:lvl w:ilvl="0">
      <w:lvlJc w:val="left"/>
      <w:lvlText w:val="%1"/>
      <w:numFmt w:val="decimal"/>
      <w:start w:val="21"/>
    </w:lvl>
  </w:abstractNum>
  <w:abstractNum w:abstractNumId="82">
    <w:nsid w:val="94211F2"/>
    <w:multiLevelType w:val="hybridMultilevel"/>
    <w:lvl w:ilvl="0">
      <w:lvlJc w:val="left"/>
      <w:lvlText w:val="%1"/>
      <w:numFmt w:val="decimal"/>
      <w:start w:val="32"/>
    </w:lvl>
  </w:abstractNum>
  <w:abstractNum w:abstractNumId="83">
    <w:nsid w:val="885E1B"/>
    <w:multiLevelType w:val="hybridMultilevel"/>
    <w:lvl w:ilvl="0">
      <w:lvlJc w:val="left"/>
      <w:lvlText w:val="%1"/>
      <w:numFmt w:val="decimal"/>
      <w:start w:val="104"/>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8"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19"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55" Type="http://schemas.openxmlformats.org/officeDocument/2006/relationships/image" Target="media/image181.png"/><Relationship Id="rId256" Type="http://schemas.openxmlformats.org/officeDocument/2006/relationships/image" Target="media/image182.png"/><Relationship Id="rId273" Type="http://schemas.openxmlformats.org/officeDocument/2006/relationships/image" Target="media/image183.png"/><Relationship Id="rId274" Type="http://schemas.openxmlformats.org/officeDocument/2006/relationships/image" Target="media/image184.png"/><Relationship Id="rId288" Type="http://schemas.openxmlformats.org/officeDocument/2006/relationships/image" Target="media/image185.png"/><Relationship Id="rId289" Type="http://schemas.openxmlformats.org/officeDocument/2006/relationships/image" Target="media/image186.png"/><Relationship Id="rId291" Type="http://schemas.openxmlformats.org/officeDocument/2006/relationships/image" Target="media/image187.png"/><Relationship Id="rId292" Type="http://schemas.openxmlformats.org/officeDocument/2006/relationships/image" Target="media/image188.png"/><Relationship Id="rId293" Type="http://schemas.openxmlformats.org/officeDocument/2006/relationships/image" Target="media/image189.png"/><Relationship Id="rId294" Type="http://schemas.openxmlformats.org/officeDocument/2006/relationships/image" Target="media/image190.png"/><Relationship Id="rId182" Type="http://schemas.openxmlformats.org/officeDocument/2006/relationships/hyperlink" Target="http://www.sec.gov/Archives/edgar/data/1792044/000119312520212083/d159300dex991.htm#toc781435_29" TargetMode="External"/><Relationship Id="rId183" Type="http://schemas.openxmlformats.org/officeDocument/2006/relationships/hyperlink" Target="http://www.sec.gov/Archives/edgar/data/1792044/000119312520157465/d904458dex21.htm" TargetMode="External"/><Relationship Id="rId184" Type="http://schemas.openxmlformats.org/officeDocument/2006/relationships/hyperlink" Target="http://www.sec.gov/Archives/edgar/data/0001623613/000119312519205031/d775236dex22.htm" TargetMode="External"/><Relationship Id="rId185" Type="http://schemas.openxmlformats.org/officeDocument/2006/relationships/hyperlink" Target="http://www.sec.gov/Archives/edgar/data/0001623613/000162361320000018/mylex2120200331-10q.htm" TargetMode="External"/><Relationship Id="rId186" Type="http://schemas.openxmlformats.org/officeDocument/2006/relationships/hyperlink" Target="http://www.sec.gov/Archives/edgar/data/0001623613/000119312520157416/d830428dex22.htm" TargetMode="External"/><Relationship Id="rId187" Type="http://schemas.openxmlformats.org/officeDocument/2006/relationships/hyperlink" Target="http://www.sec.gov/Archives/edgar/data/0001792044/000119312520298226/d56774dex26.htm" TargetMode="External"/><Relationship Id="rId189" Type="http://schemas.openxmlformats.org/officeDocument/2006/relationships/hyperlink" Target="http://www.sec.gov/Archives/edgar/data/1792044/000119312520298226/d56774dex27.htm" TargetMode="External"/><Relationship Id="rId190" Type="http://schemas.openxmlformats.org/officeDocument/2006/relationships/hyperlink" Target="http://www.sec.gov/Archives/edgar/data/1792044/000119312522058054/d265304dex21.htm" TargetMode="External"/><Relationship Id="rId191" Type="http://schemas.openxmlformats.org/officeDocument/2006/relationships/hyperlink" Target="http://www.sec.gov/Archives/edgar/data/1792044/000095015722001253/ex2-1.htm" TargetMode="External"/><Relationship Id="rId192" Type="http://schemas.openxmlformats.org/officeDocument/2006/relationships/hyperlink" Target="http://www.sec.gov/Archives/edgar/data/1792044/000119312520298226/d56774dex31.htm" TargetMode="External"/><Relationship Id="rId193" Type="http://schemas.openxmlformats.org/officeDocument/2006/relationships/hyperlink" Target="http://www.sec.gov/Archives/edgar/data/1792044/000119312520298226/d56774dex33.htm" TargetMode="External"/><Relationship Id="rId194" Type="http://schemas.openxmlformats.org/officeDocument/2006/relationships/hyperlink" Target="http://www.sec.gov/Archives/edgar/data/1792044/000179204421000009/ex_32-vtrsx20201231x10k.htm" TargetMode="External"/><Relationship Id="rId195" Type="http://schemas.openxmlformats.org/officeDocument/2006/relationships/hyperlink" Target="http://www.sec.gov/Archives/edgar/data/69499/000006949912000042/exhibit_41xindenture.htm" TargetMode="External"/><Relationship Id="rId196" Type="http://schemas.openxmlformats.org/officeDocument/2006/relationships/hyperlink" Target="http://www.sec.gov/Archives/edgar/data/1623613/000119312515068819/d882101dex44.htm" TargetMode="External"/><Relationship Id="rId197" Type="http://schemas.openxmlformats.org/officeDocument/2006/relationships/hyperlink" Target="http://www.sec.gov/Archives/edgar/data/1623613/000162361315000009/myl_ex43bx20150331-10q.htm" TargetMode="External"/><Relationship Id="rId198" Type="http://schemas.openxmlformats.org/officeDocument/2006/relationships/hyperlink" Target="http://www.sec.gov/Archives/edgar/data/1792044/000119312520298236/d57281dex46.htm" TargetMode="External"/><Relationship Id="rId199" Type="http://schemas.openxmlformats.org/officeDocument/2006/relationships/hyperlink" Target="http://www.sec.gov/Archives/edgar/data/69499/000110465913087739/a13-20314_5ex4d1.htm" TargetMode="External"/><Relationship Id="rId200" Type="http://schemas.openxmlformats.org/officeDocument/2006/relationships/hyperlink" Target="http://www.sec.gov/Archives/edgar/data/69499/000110465913087739/a13-20314_5ex4d2.htm" TargetMode="External"/><Relationship Id="rId201" Type="http://schemas.openxmlformats.org/officeDocument/2006/relationships/hyperlink" Target="http://www.sec.gov/Archives/edgar/data/1623613/000119312515068819/d882101dex46.htm" TargetMode="External"/><Relationship Id="rId202" Type="http://schemas.openxmlformats.org/officeDocument/2006/relationships/hyperlink" Target="http://www.sec.gov/Archives/edgar/data/1623613/000162361315000009/myl_ex45bx20150331-10q.htm" TargetMode="External"/><Relationship Id="rId203" Type="http://schemas.openxmlformats.org/officeDocument/2006/relationships/hyperlink" Target="http://www.sec.gov/Archives/edgar/data/1792044/000119312520298236/d57281dex47.htm" TargetMode="External"/><Relationship Id="rId204" Type="http://schemas.openxmlformats.org/officeDocument/2006/relationships/hyperlink" Target="http://www.sec.gov/Archives/edgar/data/1623613/000119312516622620/d207286dex41.htm" TargetMode="External"/><Relationship Id="rId207" Type="http://schemas.openxmlformats.org/officeDocument/2006/relationships/hyperlink" Target="http://www.sec.gov/Archives/edgar/data/1792044/000119312520298236/d57281dex44.htm" TargetMode="External"/><Relationship Id="rId208" Type="http://schemas.openxmlformats.org/officeDocument/2006/relationships/hyperlink" Target="http://www.sec.gov/Archives/edgar/data/1623613/000162361317000007/exhibit49.htm" TargetMode="External"/><Relationship Id="rId209" Type="http://schemas.openxmlformats.org/officeDocument/2006/relationships/hyperlink" Target="http://www.sec.gov/Archives/edgar/data/1792044/000119312520298236/d57281dex45.htm" TargetMode="External"/><Relationship Id="rId210" Type="http://schemas.openxmlformats.org/officeDocument/2006/relationships/hyperlink" Target="http://www.sec.gov/Archives/edgar/data/1623613/000119312518111603/d560332dex41.htm" TargetMode="External"/><Relationship Id="rId211" Type="http://schemas.openxmlformats.org/officeDocument/2006/relationships/hyperlink" Target="http://www.sec.gov/Archives/edgar/data/1792044/000119312520298236/d57281dex48.htm" TargetMode="External"/><Relationship Id="rId212" Type="http://schemas.openxmlformats.org/officeDocument/2006/relationships/hyperlink" Target="http://www.sec.gov/Archives/edgar/data/1623613/000119312518172116/d566535dex41.htm" TargetMode="External"/><Relationship Id="rId213" Type="http://schemas.openxmlformats.org/officeDocument/2006/relationships/hyperlink" Target="https://www.sec.gov/Archives/edgar/data/1792044/000119312520298236/d57281dex49.htm" TargetMode="External"/><Relationship Id="rId214" Type="http://schemas.openxmlformats.org/officeDocument/2006/relationships/hyperlink" Target="http://www.sec.gov/Archives/edgar/data/1792044/000119312520181088/d920857dex41.htm" TargetMode="External"/><Relationship Id="rId215" Type="http://schemas.openxmlformats.org/officeDocument/2006/relationships/hyperlink" Target="http://www.sec.gov/Archives/edgar/data/1792044/000119312520298236/d57281dex41.htm" TargetMode="External"/><Relationship Id="rId216" Type="http://schemas.openxmlformats.org/officeDocument/2006/relationships/hyperlink" Target="http://www.sec.gov/Archives/edgar/data/1792044/000119312520181088/d920857dex49.htm" TargetMode="External"/><Relationship Id="rId217" Type="http://schemas.openxmlformats.org/officeDocument/2006/relationships/hyperlink" Target="http://www.sec.gov/Archives/edgar/data/1792044/000119312520298236/d57281dex42.htm" TargetMode="External"/><Relationship Id="rId218" Type="http://schemas.openxmlformats.org/officeDocument/2006/relationships/hyperlink" Target="http://www.sec.gov/Archives/edgar/data/1792044/000179204421000009/ex_410-vtrsx20201231x10k.htm" TargetMode="External"/><Relationship Id="rId220" Type="http://schemas.openxmlformats.org/officeDocument/2006/relationships/hyperlink" Target="http://www.sec.gov/Archives/edgar/data/1792044/000119312520167802/d781435dex101.htm" TargetMode="External"/><Relationship Id="rId221" Type="http://schemas.openxmlformats.org/officeDocument/2006/relationships/hyperlink" Target="http://www.sec.gov/Archives/edgar/data/1792044/000179204421000009/ex_101b-vtrsx20201231x10xk.htm" TargetMode="External"/><Relationship Id="rId222" Type="http://schemas.openxmlformats.org/officeDocument/2006/relationships/hyperlink" Target="http://www.sec.gov/Archives/edgar/data/1792044/000179204421000009/ex_101c-vtrsx20201231x10xk.htm" TargetMode="External"/><Relationship Id="rId223" Type="http://schemas.openxmlformats.org/officeDocument/2006/relationships/hyperlink" Target="http://www.sec.gov/Archives/edgar/data/1792044/000179204421000009/ex_101d-vtrsx20201231x10xk.htm" TargetMode="External"/><Relationship Id="rId224" Type="http://schemas.openxmlformats.org/officeDocument/2006/relationships/hyperlink" Target="http://www.sec.gov/Archives/edgar/data/1792044/000179204421000009/ex_101e-vtrsx20201231x10xk.htm" TargetMode="External"/><Relationship Id="rId225" Type="http://schemas.openxmlformats.org/officeDocument/2006/relationships/hyperlink" Target="http://www.sec.gov/Archives/edgar/data/1792044/000179204421000018/ex_101xvtrsx20210331x10-q.htm" TargetMode="External"/><Relationship Id="rId226" Type="http://schemas.openxmlformats.org/officeDocument/2006/relationships/hyperlink" Target="http://www.sec.gov/Archives/edgar/data/1792044/000179204421000018/ex_102xvtrsx20210331x10-q.htm" TargetMode="External"/><Relationship Id="rId227" Type="http://schemas.openxmlformats.org/officeDocument/2006/relationships/hyperlink" Target="http://www.sec.gov/Archives/edgar/data/1792044/000179204421000018/ex_103xvtrsx20210331x10-q.htm" TargetMode="External"/><Relationship Id="rId228" Type="http://schemas.openxmlformats.org/officeDocument/2006/relationships/hyperlink" Target="http://www.sec.gov/Archives/edgar/data/1792044/000179204421000009/ex_102-vtrsx20201231x10xk.htm" TargetMode="External"/><Relationship Id="rId229" Type="http://schemas.openxmlformats.org/officeDocument/2006/relationships/hyperlink" Target="https://www.sec.gov/Archives/edgar/data/1792044/000179204421000009/ex_103-vtrsx20201231x10xk.htm" TargetMode="External"/><Relationship Id="rId230" Type="http://schemas.openxmlformats.org/officeDocument/2006/relationships/hyperlink" Target="http://www.sec.gov/Archives/edgar/data/1792044/000179204421000009/ex_104-vtrsx20201231x10xk.htm" TargetMode="External"/><Relationship Id="rId231" Type="http://schemas.openxmlformats.org/officeDocument/2006/relationships/hyperlink" Target="http://www.sec.gov/Archives/edgar/data/1792044/000179204421000009/ex_105-vtrsx20201231x10xk.htm" TargetMode="External"/><Relationship Id="rId232" Type="http://schemas.openxmlformats.org/officeDocument/2006/relationships/hyperlink" Target="http://www.sec.gov/Archives/edgar/data/1792044/000179204421000009/ex_106-vtrsx20201231x10xk.htm" TargetMode="External"/><Relationship Id="rId233" Type="http://schemas.openxmlformats.org/officeDocument/2006/relationships/hyperlink" Target="http://www.sec.gov/Archives/edgar/data/1792044/000179204421000009/ex_107-vtrsx20201231x10xk.htm" TargetMode="External"/><Relationship Id="rId234" Type="http://schemas.openxmlformats.org/officeDocument/2006/relationships/hyperlink" Target="http://www.sec.gov/Archives/edgar/data/1792044/000119312521145240/d113011dex101.htm" TargetMode="External"/><Relationship Id="rId235" Type="http://schemas.openxmlformats.org/officeDocument/2006/relationships/hyperlink" Target="http://www.sec.gov/Archives/edgar/data/1792044/000179204421000009/ex_109-vtrsx20201231x10xk.htm" TargetMode="External"/><Relationship Id="rId236" Type="http://schemas.openxmlformats.org/officeDocument/2006/relationships/hyperlink" Target="http://www.sec.gov/Archives/edgar/data/1623613/000119312516602386/d157810ddef14a.htm#toc157810_69" TargetMode="External"/><Relationship Id="rId239" Type="http://schemas.openxmlformats.org/officeDocument/2006/relationships/hyperlink" Target="http://www.sec.gov/Archives/edgar/data/1623613/000162361317000014/exhibit101_20170331.htm" TargetMode="External"/><Relationship Id="rId240" Type="http://schemas.openxmlformats.org/officeDocument/2006/relationships/hyperlink" Target="http://www.sec.gov/Archives/edgar/data/69499/000006949913000044/myl_ex102x2013930-10q.htm" TargetMode="External"/><Relationship Id="rId241" Type="http://schemas.openxmlformats.org/officeDocument/2006/relationships/hyperlink" Target="http://www.sec.gov/Archives/edgar/data/69499/000006949914000007/myl_ex104ix20131231-10k.htm" TargetMode="External"/><Relationship Id="rId242" Type="http://schemas.openxmlformats.org/officeDocument/2006/relationships/hyperlink" Target="http://www.sec.gov/Archives/edgar/data/1623613/000162361316000046/myl_ex101ix20151231-10k.htm" TargetMode="External"/><Relationship Id="rId243" Type="http://schemas.openxmlformats.org/officeDocument/2006/relationships/hyperlink" Target="http://www.sec.gov/Archives/edgar/data/1623613/000162361316000046/myl_ex101lx20151231-10k.htm" TargetMode="External"/><Relationship Id="rId244" Type="http://schemas.openxmlformats.org/officeDocument/2006/relationships/hyperlink" Target="http://www.sec.gov/Archives/edgar/data/1623613/000162361319000016/myl_ex107x20190331-10xq.htm" TargetMode="External"/><Relationship Id="rId245" Type="http://schemas.openxmlformats.org/officeDocument/2006/relationships/hyperlink" Target="http://www.sec.gov/Archives/edgar/data/1623613/000162361319000016/myl_ex108x20190331-10q.htm" TargetMode="External"/><Relationship Id="rId246" Type="http://schemas.openxmlformats.org/officeDocument/2006/relationships/hyperlink" Target="http://www.sec.gov/Archives/edgar/data/1623613/000162361319000016/myl_ex106x20190331-10q.htm" TargetMode="External"/><Relationship Id="rId247" Type="http://schemas.openxmlformats.org/officeDocument/2006/relationships/hyperlink" Target="http://www.sec.gov/Archives/edgar/data/1623613/000162361320000018/mylex10220200331-10q.htm" TargetMode="External"/><Relationship Id="rId248" Type="http://schemas.openxmlformats.org/officeDocument/2006/relationships/hyperlink" Target="http://www.sec.gov/Archives/edgar/data/1623613/000162361319000030/mylex10120190930-10xq.htm" TargetMode="External"/><Relationship Id="rId249" Type="http://schemas.openxmlformats.org/officeDocument/2006/relationships/hyperlink" Target="http://www.sec.gov/Archives/edgar/data/69499/000095012309055689/l37693exv10w4.htm" TargetMode="External"/><Relationship Id="rId250" Type="http://schemas.openxmlformats.org/officeDocument/2006/relationships/hyperlink" Target="http://www.sec.gov/Archives/edgar/data/69499/000095015208003868/l31450aexv10w5.htm" TargetMode="External"/><Relationship Id="rId251" Type="http://schemas.openxmlformats.org/officeDocument/2006/relationships/hyperlink" Target="http://www.sec.gov/Archives/edgar/data/69499/000095015209001668/l35088aexv10w28wb.htm" TargetMode="External"/><Relationship Id="rId252" Type="http://schemas.openxmlformats.org/officeDocument/2006/relationships/hyperlink" Target="http://www.sec.gov/Archives/edgar/data/69499/000119312512187918/d327924dex105a.htm" TargetMode="External"/><Relationship Id="rId253" Type="http://schemas.openxmlformats.org/officeDocument/2006/relationships/hyperlink" Target="http://www.sec.gov/Archives/edgar/data/69499/000119312512187918/d327924dex105b.htm" TargetMode="External"/><Relationship Id="rId254" Type="http://schemas.openxmlformats.org/officeDocument/2006/relationships/hyperlink" Target="http://www.sec.gov/Archives/edgar/data/69499/000119312512187918/d327924dex105c.htm" TargetMode="External"/><Relationship Id="rId257" Type="http://schemas.openxmlformats.org/officeDocument/2006/relationships/hyperlink" Target="http://www.sec.gov/Archives/edgar/data/69499/000095012309070283/l38158exv10w1.htm" TargetMode="External"/><Relationship Id="rId258" Type="http://schemas.openxmlformats.org/officeDocument/2006/relationships/hyperlink" Target="http://www.sec.gov/Archives/edgar/data/69499/000006949915000003/myl_ex1041bx20141231-10k.htm" TargetMode="External"/><Relationship Id="rId259" Type="http://schemas.openxmlformats.org/officeDocument/2006/relationships/hyperlink" Target="http://www.sec.gov/Archives/edgar/data/69499/000095012309070283/l38158exv10w2.htm" TargetMode="External"/><Relationship Id="rId260" Type="http://schemas.openxmlformats.org/officeDocument/2006/relationships/hyperlink" Target="http://www.sec.gov/Archives/edgar/data/69499/000006949915000003/myl_ex1042bx20141231-10k.htm" TargetMode="External"/><Relationship Id="rId261" Type="http://schemas.openxmlformats.org/officeDocument/2006/relationships/hyperlink" Target="http://www.sec.gov/Archives/edgar/data/69499/000006949914000007/myl_ex1027bx20131232-10k.htm" TargetMode="External"/><Relationship Id="rId262" Type="http://schemas.openxmlformats.org/officeDocument/2006/relationships/hyperlink" Target="http://www.sec.gov/Archives/edgar/data/69499/000006949914000007/myl_ex1057x20131232-10k.htm" TargetMode="External"/><Relationship Id="rId263" Type="http://schemas.openxmlformats.org/officeDocument/2006/relationships/hyperlink" Target="http://www.sec.gov/Archives/edgar/data/1623613/000162361319000008/myl_ex1020cx20181231-10xk.htm" TargetMode="External"/><Relationship Id="rId264" Type="http://schemas.openxmlformats.org/officeDocument/2006/relationships/hyperlink" Target="http://www.sec.gov/Archives/edgar/data/1623613/000162361319000008/myl_ex1021bx20181231-10xk.htm" TargetMode="External"/><Relationship Id="rId265" Type="http://schemas.openxmlformats.org/officeDocument/2006/relationships/hyperlink" Target="http://www.sec.gov/Archives/edgar/data/1623613/000162361320000011/mylex102920191231-10k.htm" TargetMode="External"/><Relationship Id="rId266" Type="http://schemas.openxmlformats.org/officeDocument/2006/relationships/hyperlink" Target="http://www.sec.gov/Archives/edgar/data/1792044/000179204421000009/ex_1025-vtrsx20201231x10xk.htm" TargetMode="External"/><Relationship Id="rId267" Type="http://schemas.openxmlformats.org/officeDocument/2006/relationships/hyperlink" Target="http://www.sec.gov/Archives/edgar/data/69499/000006949914000007/myl_ex1038x20131231-10k.htm" TargetMode="External"/><Relationship Id="rId268" Type="http://schemas.openxmlformats.org/officeDocument/2006/relationships/hyperlink" Target="http://www.sec.gov/Archives/edgar/data/1623613/000119312515068819/d882101dex101.htm" TargetMode="External"/><Relationship Id="rId269" Type="http://schemas.openxmlformats.org/officeDocument/2006/relationships/hyperlink" Target="http://www.sec.gov/Archives/edgar/data/1792044/000119312520170586/d133688dex101.htm" TargetMode="External"/><Relationship Id="rId270" Type="http://schemas.openxmlformats.org/officeDocument/2006/relationships/hyperlink" Target="http://www.sec.gov/Archives/edgar/data/1792044/000119312521206477/d50384dex101.htm" TargetMode="External"/><Relationship Id="rId271" Type="http://schemas.openxmlformats.org/officeDocument/2006/relationships/hyperlink" Target="http://www.sec.gov/Archives/edgar/data/1792044/000119312520170586/d133688dex102.htm" TargetMode="External"/><Relationship Id="rId272" Type="http://schemas.openxmlformats.org/officeDocument/2006/relationships/hyperlink" Target="http://www.sec.gov/Archives/edgar/data/1792044/000119312521206477/d50384dex102.htm" TargetMode="External"/><Relationship Id="rId275" Type="http://schemas.openxmlformats.org/officeDocument/2006/relationships/hyperlink" Target="http://www.sec.gov/Archives/edgar/data/1792044/000119312520298236/d57281dex101.htm" TargetMode="External"/><Relationship Id="rId276" Type="http://schemas.openxmlformats.org/officeDocument/2006/relationships/hyperlink" Target="http://www.sec.gov/Archives/edgar/data/1623613/000119312517263762/d418144dex101.htm" TargetMode="External"/><Relationship Id="rId277" Type="http://schemas.openxmlformats.org/officeDocument/2006/relationships/hyperlink" Target="http://www.sec.gov/Archives/edgar/data/1623613/000119312517263762/d418144dex102.htm" TargetMode="External"/><Relationship Id="rId278" Type="http://schemas.openxmlformats.org/officeDocument/2006/relationships/hyperlink" Target="http://www.sec.gov/Archives/edgar/data/1792044/000119312520181088/d920857dex48.htm" TargetMode="External"/><Relationship Id="rId279" Type="http://schemas.openxmlformats.org/officeDocument/2006/relationships/hyperlink" Target="http://www.sec.gov/Archives/edgar/data/1623613/000162361320000035/ex102myl10-q09302020.htm" TargetMode="External"/><Relationship Id="rId280" Type="http://schemas.openxmlformats.org/officeDocument/2006/relationships/hyperlink" Target="http://www.sec.gov/Archives/edgar/data/1792044/000179204421000009/ex_1034b-vtrsx20201231x10xk.htm" TargetMode="External"/><Relationship Id="rId281" Type="http://schemas.openxmlformats.org/officeDocument/2006/relationships/hyperlink" Target="http://www.sec.gov/Archives/edgar/data/1792044/000119312520298226/d56774dex101.htm" TargetMode="External"/><Relationship Id="rId282" Type="http://schemas.openxmlformats.org/officeDocument/2006/relationships/hyperlink" Target="http://www.sec.gov/Archives/edgar/data/1792044/000119312520298226/d56774dex102.htm" TargetMode="External"/><Relationship Id="rId283" Type="http://schemas.openxmlformats.org/officeDocument/2006/relationships/hyperlink" Target="http://www.sec.gov/Archives/edgar/data/1792044/000119312520298226/d56774dex103.htm" TargetMode="External"/><Relationship Id="rId284" Type="http://schemas.openxmlformats.org/officeDocument/2006/relationships/hyperlink" Target="http://www.sec.gov/Archives/edgar/data/1792044/000119312520298226/d56774dex104.htm" TargetMode="External"/><Relationship Id="rId285" Type="http://schemas.openxmlformats.org/officeDocument/2006/relationships/hyperlink" Target="http://www.sec.gov/Archives/edgar/data/1792044/000119312520298226/d56774dex105.htm" TargetMode="External"/><Relationship Id="rId286" Type="http://schemas.openxmlformats.org/officeDocument/2006/relationships/hyperlink" Target="http://www.sec.gov/Archives/edgar/data/1792044/000119312520298226/d56774dex106.htm" TargetMode="External"/><Relationship Id="rId287" Type="http://schemas.openxmlformats.org/officeDocument/2006/relationships/hyperlink" Target="http://www.sec.gov/Archives/edgar/data/1792044/000119312520298226/d56774dex107.htm" TargetMode="External"/><Relationship Id="rId290" Type="http://schemas.openxmlformats.org/officeDocument/2006/relationships/hyperlink" Target="http://www.sec.gov/Archives/edgar/data/1792044/000119312520298226/d56774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2023-02-27T16:54:41Z</dcterms:created>
  <dcterms:modified xsi:type="dcterms:W3CDTF">2023-02-27T16:54:41Z</dcterms:modified>
</cp:coreProperties>
</file>