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7855" cy="161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61480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Narula Sanjeev</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03/02/2021</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04"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15317</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151130</wp:posOffset>
            </wp:positionV>
            <wp:extent cx="6967855" cy="876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876935"/>
                    </a:xfrm>
                    <a:prstGeom prst="rect">
                      <a:avLst/>
                    </a:prstGeom>
                    <a:noFill/>
                  </pic:spPr>
                </pic:pic>
              </a:graphicData>
            </a:graphic>
          </wp:anchor>
        </w:drawing>
      </w:r>
    </w:p>
    <w:p>
      <w:pPr>
        <w:spacing w:after="0" w:line="295"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80"/>
              <w:spacing w:after="0" w:line="124"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008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850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78,377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03/02/2021</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78,377</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78,377</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one share of common stock of Viatris Inc. 26,126 of the RSUs will vest on March 2, 2022, 26,125 will vest on March 2, 2023 and 26,126 will vest on March 2, 2024.</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Kevin Macikowski, by</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03/04/2021</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20590"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2021-03-04T17:37:41Z</dcterms:created>
  <dcterms:modified xsi:type="dcterms:W3CDTF">2021-03-04T17:37:41Z</dcterms:modified>
</cp:coreProperties>
</file>