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29845</wp:posOffset>
            </wp:positionH>
            <wp:positionV relativeFrom="paragraph">
              <wp:posOffset>-220980</wp:posOffset>
            </wp:positionV>
            <wp:extent cx="124460" cy="1244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" cy="124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3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9"/>
        </w:trPr>
        <w:tc>
          <w:tcPr>
            <w:tcW w:w="6160" w:type="dxa"/>
            <w:vAlign w:val="bottom"/>
          </w:tcPr>
          <w:p>
            <w:pPr>
              <w:jc w:val="center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60" w:type="dxa"/>
            <w:vAlign w:val="bottom"/>
            <w:vMerge w:val="restart"/>
          </w:tcPr>
          <w:p>
            <w:pPr>
              <w:jc w:val="center"/>
              <w:ind w:righ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6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6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60" w:type="dxa"/>
            <w:vAlign w:val="bottom"/>
            <w:vMerge w:val="restart"/>
          </w:tcPr>
          <w:p>
            <w:pPr>
              <w:jc w:val="center"/>
              <w:ind w:right="340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61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6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6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6160" w:type="dxa"/>
            <w:vAlign w:val="bottom"/>
            <w:vMerge w:val="restart"/>
          </w:tcPr>
          <w:p>
            <w:pPr>
              <w:jc w:val="center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-594360</wp:posOffset>
            </wp:positionV>
            <wp:extent cx="56515" cy="6076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" cy="607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3895090</wp:posOffset>
            </wp:positionH>
            <wp:positionV relativeFrom="paragraph">
              <wp:posOffset>-594360</wp:posOffset>
            </wp:positionV>
            <wp:extent cx="56515" cy="6076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" cy="607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-1727835</wp:posOffset>
            </wp:positionH>
            <wp:positionV relativeFrom="paragraph">
              <wp:posOffset>16510</wp:posOffset>
            </wp:positionV>
            <wp:extent cx="7000240" cy="43592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0240" cy="435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40" w:space="560"/>
            <w:col w:w="8380"/>
          </w:cols>
          <w:pgMar w:left="460" w:top="218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0"/>
                <w:szCs w:val="20"/>
                <w:color w:val="auto"/>
                <w:vertAlign w:val="superscript"/>
              </w:rPr>
              <w:t>*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 Ticker or Trading Symbol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>MARK RICHARD A</w:t>
              </w:r>
            </w:hyperlink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98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Viatris Inc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VTRS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(Check all applicable)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Director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Officer (give title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(First)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(Middle)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3. Date of Earliest Transaction 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1000 MYLAN BOULEVARD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00" w:type="dxa"/>
            <w:vAlign w:val="bottom"/>
            <w:gridSpan w:val="6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9"/>
              </w:rPr>
              <w:t>03/21/2022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4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20" w:type="dxa"/>
            <w:vAlign w:val="bottom"/>
            <w:gridSpan w:val="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700" w:type="dxa"/>
            <w:vAlign w:val="bottom"/>
            <w:gridSpan w:val="4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20" w:type="dxa"/>
            <w:vAlign w:val="bottom"/>
            <w:gridSpan w:val="5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CANONSBURG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PA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15317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One Reporting Person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2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8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03/21/2022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M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166</w:t>
            </w:r>
            <w:r>
              <w:rPr>
                <w:rFonts w:ascii="Arial" w:cs="Arial" w:eastAsia="Arial" w:hAnsi="Arial"/>
                <w:sz w:val="20"/>
                <w:szCs w:val="20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0.00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33,165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80" w:type="dxa"/>
            <w:vAlign w:val="bottom"/>
            <w:gridSpan w:val="1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 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4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center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 and 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6"/>
              </w:rPr>
              <w:t>or Indirect</w:t>
            </w:r>
          </w:p>
        </w:tc>
        <w:tc>
          <w:tcPr>
            <w:tcW w:w="80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40" w:type="dxa"/>
            <w:vAlign w:val="bottom"/>
            <w:tcBorders>
              <w:right w:val="single" w:sz="8" w:color="2C2C2C"/>
            </w:tcBorders>
            <w:gridSpan w:val="4"/>
            <w:vMerge w:val="restart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right w:val="single" w:sz="8" w:color="2C2C2C"/>
            </w:tcBorders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1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6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Dividend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(2)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165.5224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Equivalent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jc w:val="center"/>
              <w:ind w:left="18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03/21/2022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A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165.5224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203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125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165.5224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Units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Dividend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(2)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165.5224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Equivalent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65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center"/>
              <w:ind w:left="18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03/21/2022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2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165.5224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203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Units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7007860</wp:posOffset>
            </wp:positionH>
            <wp:positionV relativeFrom="paragraph">
              <wp:posOffset>-1775460</wp:posOffset>
            </wp:positionV>
            <wp:extent cx="27940" cy="17805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40" cy="1780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160" w:hanging="125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Fractional shares have been rounded up in connection with the settlement described in footnote 2 pursuant to the terms of the restricted stock unit (RSU) award agreement under the Viatris Inc. 2020 Stock Incentive Plan.</w:t>
      </w:r>
    </w:p>
    <w:p>
      <w:pPr>
        <w:spacing w:after="0" w:line="56" w:lineRule="exact"/>
        <w:rPr>
          <w:rFonts w:ascii="Arial" w:cs="Arial" w:eastAsia="Arial" w:hAnsi="Arial"/>
          <w:sz w:val="11"/>
          <w:szCs w:val="11"/>
          <w:color w:val="008000"/>
        </w:rPr>
      </w:pPr>
    </w:p>
    <w:p>
      <w:pPr>
        <w:ind w:left="160" w:hanging="125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dividend equivalent units (DEUs) that accrued with respect to RSUs previously granted on March 2, 2021. The DEUs vested upon accrual as the underlying RSUs had previously vested.</w:t>
      </w:r>
    </w:p>
    <w:p>
      <w:pPr>
        <w:sectPr>
          <w:pgSz w:w="11900" w:h="16838" w:orient="portrait"/>
          <w:cols w:equalWidth="0" w:num="1">
            <w:col w:w="11080"/>
          </w:cols>
          <w:pgMar w:left="460" w:top="218" w:right="359" w:bottom="1440" w:gutter="0" w:footer="0" w:header="0"/>
          <w:type w:val="continuous"/>
        </w:sectPr>
      </w:pP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Kevin Macikowski, by power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4185285</wp:posOffset>
            </wp:positionH>
            <wp:positionV relativeFrom="paragraph">
              <wp:posOffset>-2540</wp:posOffset>
            </wp:positionV>
            <wp:extent cx="1320800" cy="76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of 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4185285</wp:posOffset>
            </wp:positionH>
            <wp:positionV relativeFrom="paragraph">
              <wp:posOffset>-14605</wp:posOffset>
            </wp:positionV>
            <wp:extent cx="440055" cy="762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03/23/2022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-3810</wp:posOffset>
            </wp:positionH>
            <wp:positionV relativeFrom="paragraph">
              <wp:posOffset>4445</wp:posOffset>
            </wp:positionV>
            <wp:extent cx="459740" cy="762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74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80" w:space="120"/>
            <w:col w:w="2280"/>
          </w:cols>
          <w:pgMar w:left="460" w:top="218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980" w:hanging="5"/>
        <w:spacing w:after="0" w:line="317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8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76105" TargetMode="External"/><Relationship Id="rId13" Type="http://schemas.openxmlformats.org/officeDocument/2006/relationships/hyperlink" Target="http://www.sec.gov/cgi-bin/browse-edgar?action=getcompany&amp;CIK=00017920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2022-03-23T18:03:25Z</dcterms:created>
  <dcterms:modified xsi:type="dcterms:W3CDTF">2022-03-23T18:03:25Z</dcterms:modified>
</cp:coreProperties>
</file>