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 15317</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12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On November 19, 2020, Viatris Inc. (“Viatris” or the “Company”) filed a Current Report on Form 8-K (the “Original Form 8-K”) disclosing that, among other things, on November 16, 2020, Viatris announced a significant global restructuring program. On December 11, 2020, Viatris filed a Form 8-K/A announcing additional details with respect to this global restructuring program, including that it had identified five impacted sites, and providing the expected pre-tax charges and potential annual savings relating to committed restructuring activities involving those sites. Since December 11, 2020, Viatris has identified and finalized plans to close, downsize or divest an additional eight manufacturing facilities (beyond the five sites identified in the prior Form 8-K/A) and has committed to workforce actions impacting these sites and commercial and enabling functions.</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For all committed restructuring activities under the global restructuring program to date, the Company now expects to incur aggregate pre-tax charges ranging between $1.1 billion and $1.4 billion. Such charges are expected to include between $350 million and $450 million of non-cash charges mainly related to accelerated depreciation and asset impairment charges, including inventory write-offs. The remaining estimated cash costs of between $750 million and $950 million are expected to be primarily related to severance and employee benefits expense, as well as other costs, including those related to contract terminations and decommissioning costs. In addition, management believes the potential aggregate annual savings related to all committed restructuring activities to be between $700 million and $900 million once fully implemented, with most of these savings expected to improve operating cash flow. The committed restructuring actions are expected to be implemented through 2024. The successful implementation of the restructuring activities under the global restructuring program are subject to many factors, risks and uncertainties and so the actual results may vary materially from the above-described estimates.</w:t>
      </w:r>
    </w:p>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These statements are made pursuant to the safe harbor provisions of the Private Securities Litigation Reform Act of 1995. Such forward-looking statements may include, without limitation, that for all committed restructuring activities under the global restructuring program to date, the Company now expects to incur aggregate pre-tax charges ranging between $1.1 billion and $1.4 billion; that such charges are expected to include between $350 million and $450 million of non-cash charges mainly related to accelerated depreciation and asset impairment charges, including inventory write-offs; that the remaining estimated cash costs of between $750 million and $950 million are expected to be primarily related to severance and employee benefits expense, as well as other costs, including those related to contract terminations and decommissioning costs; that management believes the potential aggregate annual savings related to all committed restructuring activities to be between $700 million and $900 million once fully implemented, with most of these savings expected to improve operating cash flow; that the committed restructuring actions are expected to be implemented through 2024; and that the successful implementation of the restructuring activities under the global restructuring program are subject to many factors, risks and uncertainties and so the actual results may vary materially from the above-described estimates.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potential impact of public health outbreaks, epidemics and pandemics, including the ongoing challenges and uncertainties posed by the COVID-19 pandemic; the integration of Mylan and Pfizer Inc.’s Upjohn business (the “Upjohn Business”) being more difficult, time consuming or costly than expected; the possibility that Viatris may be unable to achieve expected benefits, synergies and operating efficiencies in connection with the transaction pursuant to which Mylan combined with the Upjohn Business in a Reverse Morris Trust transaction (the “Combination”) and Upjohn Inc. (“Upjohn”) became the parent entity of the combined Upjohn Business and Mylan business and was renamed Viatris effective as of the closing of the Combination within the expected timeframe or at all or to successfully integrate Mylan and the Upjohn Business; uncertainties and matters beyond the control of management; and the other risks detailed in Viatris’ (and, prior to the closing of the Combination, Upjohn’s) filings with the Securities and Exchange Commission. Viatris undertakes no obligation to update these statements for revisions or changes after the date of this release other than as required by law.</w:t>
      </w:r>
    </w:p>
    <w:p>
      <w:pPr>
        <w:sectPr>
          <w:pgSz w:w="11900" w:h="16838" w:orient="portrait"/>
          <w:cols w:equalWidth="0" w:num="1">
            <w:col w:w="11020"/>
          </w:cols>
          <w:pgMar w:left="440" w:top="293"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Sanjeev Narula</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February 25, 2021</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2021-02-25T16:24:42Z</dcterms:created>
  <dcterms:modified xsi:type="dcterms:W3CDTF">2021-02-25T16:24:42Z</dcterms:modified>
</cp:coreProperties>
</file>