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Roman Brian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tcPr>
          <w:p>
            <w:pPr>
              <w:ind w:left="400"/>
              <w:spacing w:after="0"/>
              <w:rPr>
                <w:sz w:val="20"/>
                <w:szCs w:val="20"/>
                <w:color w:val="auto"/>
              </w:rPr>
            </w:pPr>
            <w:r>
              <w:rPr>
                <w:rFonts w:ascii="Arial" w:cs="Arial" w:eastAsia="Arial" w:hAnsi="Arial"/>
                <w:sz w:val="13"/>
                <w:szCs w:val="13"/>
                <w:color w:val="auto"/>
              </w:rPr>
              <w:t>(First)</w:t>
            </w:r>
          </w:p>
        </w:tc>
        <w:tc>
          <w:tcPr>
            <w:tcW w:w="136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1000 MYLAN BOULEVARD</w:t>
            </w:r>
          </w:p>
        </w:tc>
        <w:tc>
          <w:tcPr>
            <w:tcW w:w="13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CANONSBURG PA</w:t>
            </w:r>
          </w:p>
        </w:tc>
        <w:tc>
          <w:tcPr>
            <w:tcW w:w="13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15317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tcPr>
          <w:p>
            <w:pPr>
              <w:ind w:left="400"/>
              <w:spacing w:after="0"/>
              <w:rPr>
                <w:sz w:val="20"/>
                <w:szCs w:val="20"/>
                <w:color w:val="auto"/>
              </w:rPr>
            </w:pPr>
            <w:r>
              <w:rPr>
                <w:rFonts w:ascii="Arial" w:cs="Arial" w:eastAsia="Arial" w:hAnsi="Arial"/>
                <w:sz w:val="13"/>
                <w:szCs w:val="13"/>
                <w:color w:val="auto"/>
              </w:rPr>
              <w:t>(State)</w:t>
            </w:r>
          </w:p>
        </w:tc>
        <w:tc>
          <w:tcPr>
            <w:tcW w:w="136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Viatris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2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05/28/2024</w:t>
            </w: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05/28/2024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89,419</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10.3829</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67,723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reporting person's disposition of 89,419 shares of common stock in transactions ranging from $10.335 to $10.445.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2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05/28/2024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7829"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2024-05-28T18:08:17Z</dcterms:created>
  <dcterms:modified xsi:type="dcterms:W3CDTF">2024-05-28T18:08:17Z</dcterms:modified>
</cp:coreProperties>
</file>