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561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56196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Groothuis Leo Frans</w:t>
        </w:r>
      </w:hyperlink>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(Last)</w:t>
            </w:r>
          </w:p>
        </w:tc>
        <w:tc>
          <w:tcPr>
            <w:tcW w:w="1040" w:type="dxa"/>
            <w:vAlign w:val="bottom"/>
          </w:tcPr>
          <w:p>
            <w:pPr>
              <w:ind w:left="60"/>
              <w:spacing w:after="0"/>
              <w:rPr>
                <w:sz w:val="20"/>
                <w:szCs w:val="20"/>
                <w:color w:val="auto"/>
              </w:rPr>
            </w:pPr>
            <w:r>
              <w:rPr>
                <w:rFonts w:ascii="Arial" w:cs="Arial" w:eastAsia="Arial" w:hAnsi="Arial"/>
                <w:sz w:val="12"/>
                <w:szCs w:val="12"/>
                <w:color w:val="auto"/>
              </w:rPr>
              <w:t>(First)</w:t>
            </w:r>
          </w:p>
        </w:tc>
        <w:tc>
          <w:tcPr>
            <w:tcW w:w="1440" w:type="dxa"/>
            <w:vAlign w:val="bottom"/>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144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CANONSBURG</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PA</w:t>
            </w:r>
          </w:p>
        </w:tc>
        <w:tc>
          <w:tcPr>
            <w:tcW w:w="14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15317</w:t>
            </w:r>
          </w:p>
        </w:tc>
      </w:tr>
      <w:tr>
        <w:trPr>
          <w:trHeight w:val="142"/>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2"/>
                <w:szCs w:val="12"/>
                <w:color w:val="auto"/>
              </w:rPr>
              <w:t>(City)</w:t>
            </w:r>
          </w:p>
        </w:tc>
        <w:tc>
          <w:tcPr>
            <w:tcW w:w="1040" w:type="dxa"/>
            <w:vAlign w:val="bottom"/>
          </w:tcPr>
          <w:p>
            <w:pPr>
              <w:ind w:left="60"/>
              <w:spacing w:after="0"/>
              <w:rPr>
                <w:sz w:val="20"/>
                <w:szCs w:val="20"/>
                <w:color w:val="auto"/>
              </w:rPr>
            </w:pPr>
            <w:r>
              <w:rPr>
                <w:rFonts w:ascii="Arial" w:cs="Arial" w:eastAsia="Arial" w:hAnsi="Arial"/>
                <w:sz w:val="12"/>
                <w:szCs w:val="12"/>
                <w:color w:val="auto"/>
              </w:rPr>
              <w:t>(State)</w:t>
            </w:r>
          </w:p>
        </w:tc>
        <w:tc>
          <w:tcPr>
            <w:tcW w:w="1440" w:type="dxa"/>
            <w:vAlign w:val="bottom"/>
          </w:tcPr>
          <w:p>
            <w:pPr>
              <w:ind w:left="2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3"/>
        </w:trPr>
        <w:tc>
          <w:tcPr>
            <w:tcW w:w="60" w:type="dxa"/>
            <w:vAlign w:val="bottom"/>
          </w:tcPr>
          <w:p>
            <w:pPr>
              <w:spacing w:after="0"/>
              <w:rPr>
                <w:sz w:val="17"/>
                <w:szCs w:val="17"/>
                <w:color w:val="auto"/>
              </w:rPr>
            </w:pPr>
          </w:p>
        </w:tc>
        <w:tc>
          <w:tcPr>
            <w:tcW w:w="3780" w:type="dxa"/>
            <w:vAlign w:val="bottom"/>
            <w:gridSpan w:val="3"/>
          </w:tcPr>
          <w:p>
            <w:pPr>
              <w:spacing w:after="0" w:line="198"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Viatris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720" w:type="dxa"/>
            <w:vAlign w:val="bottom"/>
            <w:tcBorders>
              <w:top w:val="single" w:sz="8" w:color="0000EE"/>
              <w:bottom w:val="single" w:sz="8" w:color="2C2C2C"/>
            </w:tcBorders>
          </w:tcPr>
          <w:p>
            <w:pPr>
              <w:spacing w:after="0"/>
              <w:rPr>
                <w:sz w:val="11"/>
                <w:szCs w:val="11"/>
                <w:color w:val="auto"/>
              </w:rPr>
            </w:pPr>
          </w:p>
        </w:tc>
        <w:tc>
          <w:tcPr>
            <w:tcW w:w="29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4"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4" w:lineRule="exact"/>
              <w:rPr>
                <w:sz w:val="20"/>
                <w:szCs w:val="20"/>
                <w:color w:val="auto"/>
              </w:rPr>
            </w:pPr>
            <w:r>
              <w:rPr>
                <w:rFonts w:ascii="Arial" w:cs="Arial" w:eastAsia="Arial" w:hAnsi="Arial"/>
                <w:sz w:val="12"/>
                <w:szCs w:val="12"/>
                <w:color w:val="auto"/>
              </w:rPr>
              <w:t>10% Owner</w:t>
            </w: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09"/>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03/03/2024</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2"/>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20" w:right="380"/>
        <w:spacing w:after="0" w:line="27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jc w:val="center"/>
              <w:ind w:left="839"/>
              <w:spacing w:after="0" w:line="124"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center"/>
              <w:ind w:left="124"/>
              <w:spacing w:after="0"/>
              <w:rPr>
                <w:sz w:val="20"/>
                <w:szCs w:val="20"/>
                <w:color w:val="auto"/>
              </w:rPr>
            </w:pPr>
            <w:r>
              <w:rPr>
                <w:rFonts w:ascii="Times New Roman" w:cs="Times New Roman" w:eastAsia="Times New Roman" w:hAnsi="Times New Roman"/>
                <w:sz w:val="16"/>
                <w:szCs w:val="16"/>
                <w:color w:val="0000FF"/>
                <w:w w:val="99"/>
              </w:rPr>
              <w:t>21,954</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center"/>
              <w:ind w:left="49"/>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20" w:type="dxa"/>
            <w:vAlign w:val="bottom"/>
          </w:tcPr>
          <w:p>
            <w:pPr>
              <w:spacing w:after="0"/>
              <w:rPr>
                <w:sz w:val="21"/>
                <w:szCs w:val="21"/>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0000FF"/>
              </w:rPr>
              <w:t>21,954</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124"/>
              <w:spacing w:after="0" w:line="296" w:lineRule="exact"/>
              <w:rPr>
                <w:sz w:val="20"/>
                <w:szCs w:val="20"/>
                <w:color w:val="auto"/>
              </w:rPr>
            </w:pPr>
            <w:r>
              <w:rPr>
                <w:rFonts w:ascii="Times New Roman" w:cs="Times New Roman" w:eastAsia="Times New Roman" w:hAnsi="Times New Roman"/>
                <w:sz w:val="32"/>
                <w:szCs w:val="32"/>
                <w:color w:val="0000FF"/>
                <w:w w:val="82"/>
                <w:vertAlign w:val="subscript"/>
              </w:rPr>
              <w:t>330</w:t>
            </w:r>
            <w:r>
              <w:rPr>
                <w:rFonts w:ascii="Times New Roman" w:cs="Times New Roman" w:eastAsia="Times New Roman" w:hAnsi="Times New Roman"/>
                <w:sz w:val="10"/>
                <w:szCs w:val="10"/>
                <w:color w:val="008000"/>
                <w:w w:val="82"/>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12.59</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21,624</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left="124"/>
              <w:spacing w:after="0" w:line="296" w:lineRule="exact"/>
              <w:rPr>
                <w:sz w:val="20"/>
                <w:szCs w:val="20"/>
                <w:color w:val="auto"/>
              </w:rPr>
            </w:pPr>
            <w:r>
              <w:rPr>
                <w:rFonts w:ascii="Times New Roman" w:cs="Times New Roman" w:eastAsia="Times New Roman" w:hAnsi="Times New Roman"/>
                <w:sz w:val="32"/>
                <w:szCs w:val="32"/>
                <w:color w:val="0000FF"/>
                <w:w w:val="82"/>
                <w:vertAlign w:val="subscript"/>
              </w:rPr>
              <w:t>530</w:t>
            </w:r>
            <w:r>
              <w:rPr>
                <w:rFonts w:ascii="Times New Roman" w:cs="Times New Roman" w:eastAsia="Times New Roman" w:hAnsi="Times New Roman"/>
                <w:sz w:val="10"/>
                <w:szCs w:val="10"/>
                <w:color w:val="008000"/>
                <w:w w:val="82"/>
              </w:rPr>
              <w:t>(2)</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22,154</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1"/>
              <w:spacing w:after="0"/>
              <w:rPr>
                <w:sz w:val="20"/>
                <w:szCs w:val="20"/>
                <w:color w:val="auto"/>
              </w:rPr>
            </w:pPr>
            <w:r>
              <w:rPr>
                <w:rFonts w:ascii="Times New Roman" w:cs="Times New Roman" w:eastAsia="Times New Roman" w:hAnsi="Times New Roman"/>
                <w:sz w:val="16"/>
                <w:szCs w:val="16"/>
                <w:color w:val="0000FF"/>
              </w:rPr>
              <w:t>03/03/2024</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2"/>
                <w:szCs w:val="12"/>
                <w:color w:val="0000FF"/>
              </w:rPr>
              <w:t>F</w:t>
            </w:r>
          </w:p>
        </w:tc>
        <w:tc>
          <w:tcPr>
            <w:tcW w:w="700" w:type="dxa"/>
            <w:vAlign w:val="bottom"/>
            <w:tcBorders>
              <w:bottom w:val="single" w:sz="8" w:color="2C2C2C"/>
            </w:tcBorders>
          </w:tcPr>
          <w:p>
            <w:pPr>
              <w:jc w:val="center"/>
              <w:ind w:left="124"/>
              <w:spacing w:after="0" w:line="296" w:lineRule="exact"/>
              <w:rPr>
                <w:sz w:val="20"/>
                <w:szCs w:val="20"/>
                <w:color w:val="auto"/>
              </w:rPr>
            </w:pPr>
            <w:r>
              <w:rPr>
                <w:rFonts w:ascii="Times New Roman" w:cs="Times New Roman" w:eastAsia="Times New Roman" w:hAnsi="Times New Roman"/>
                <w:sz w:val="32"/>
                <w:szCs w:val="32"/>
                <w:color w:val="0000FF"/>
                <w:w w:val="89"/>
                <w:vertAlign w:val="subscript"/>
              </w:rPr>
              <w:t>8</w:t>
            </w:r>
            <w:r>
              <w:rPr>
                <w:rFonts w:ascii="Times New Roman" w:cs="Times New Roman" w:eastAsia="Times New Roman" w:hAnsi="Times New Roman"/>
                <w:sz w:val="10"/>
                <w:szCs w:val="10"/>
                <w:color w:val="008000"/>
                <w:w w:val="89"/>
              </w:rPr>
              <w:t>(3)</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ind w:left="49"/>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12.59</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6"/>
                <w:szCs w:val="16"/>
                <w:color w:val="0000FF"/>
              </w:rPr>
              <w:t>22,146</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2"/>
          </w:tcPr>
          <w:p>
            <w:pPr>
              <w:ind w:left="1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1"/>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21,954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5"/>
                <w:szCs w:val="5"/>
                <w:color w:val="auto"/>
              </w:rPr>
            </w:pPr>
          </w:p>
        </w:tc>
        <w:tc>
          <w:tcPr>
            <w:tcW w:w="60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21,954</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40" w:type="dxa"/>
            <w:vAlign w:val="bottom"/>
            <w:vMerge w:val="restart"/>
          </w:tcPr>
          <w:p>
            <w:pPr>
              <w:jc w:val="center"/>
              <w:ind w:left="26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529.3225</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03/03/2024</w:t>
            </w: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10"/>
                <w:szCs w:val="10"/>
                <w:color w:val="auto"/>
              </w:rPr>
            </w:pPr>
          </w:p>
        </w:tc>
        <w:tc>
          <w:tcPr>
            <w:tcW w:w="60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529.3225</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40" w:type="dxa"/>
            <w:vAlign w:val="bottom"/>
          </w:tcPr>
          <w:p>
            <w:pPr>
              <w:jc w:val="center"/>
              <w:ind w:left="26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18,204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4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03/04/2024</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4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18,204</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restricted stock units (RSUs) granted on May 26, 2023.</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5 pursuant to the terms of the RSU award agreement under the Viatris Inc. 2020 Stock Incentive Plan.</w:t>
      </w:r>
    </w:p>
    <w:p>
      <w:pPr>
        <w:spacing w:after="0" w:line="47" w:lineRule="exact"/>
        <w:rPr>
          <w:rFonts w:ascii="Times New Roman" w:cs="Times New Roman" w:eastAsia="Times New Roman" w:hAnsi="Times New Roman"/>
          <w:sz w:val="12"/>
          <w:szCs w:val="12"/>
          <w:color w:val="008000"/>
        </w:rPr>
      </w:pPr>
    </w:p>
    <w:p>
      <w:pPr>
        <w:ind w:left="40" w:right="30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dividend equivalent units (DEUs) that accrued with respect to the RSUs previously granted on May 26, 2023.</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vested in full on March 3, 2024.</w:t>
      </w:r>
    </w:p>
    <w:p>
      <w:pPr>
        <w:spacing w:after="0" w:line="47" w:lineRule="exact"/>
        <w:rPr>
          <w:rFonts w:ascii="Times New Roman" w:cs="Times New Roman" w:eastAsia="Times New Roman" w:hAnsi="Times New Roman"/>
          <w:sz w:val="12"/>
          <w:szCs w:val="12"/>
          <w:color w:val="008000"/>
        </w:rPr>
      </w:pPr>
    </w:p>
    <w:p>
      <w:pPr>
        <w:ind w:left="40" w:right="18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May 26, 2023 and vested on the same schedule as the underlying RSUs. Amount represents DEUs that accrued with respect to such RSUs in transactions exempt from Section 16 under Rule 16a-11.</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will vest on March 4, 2025.</w:t>
      </w:r>
    </w:p>
    <w:p>
      <w:pPr>
        <w:ind w:left="6600"/>
        <w:spacing w:after="0" w:line="187"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2"/>
          <w:szCs w:val="32"/>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-25400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78507"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2024-03-05T19:29:23Z</dcterms:created>
  <dcterms:modified xsi:type="dcterms:W3CDTF">2024-03-05T19:29:23Z</dcterms:modified>
</cp:coreProperties>
</file>