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140"/>
        <w:spacing w:after="0" w:line="26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-172085</wp:posOffset>
            </wp:positionV>
            <wp:extent cx="109220" cy="109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2" w:lineRule="exact"/>
        <w:rPr>
          <w:sz w:val="24"/>
          <w:szCs w:val="24"/>
          <w:color w:val="auto"/>
        </w:rPr>
      </w:pPr>
    </w:p>
    <w:p>
      <w:pPr>
        <w:ind w:left="300"/>
        <w:spacing w:after="0" w:line="247"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-442595</wp:posOffset>
            </wp:positionV>
            <wp:extent cx="109220" cy="109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jc w:val="center"/>
              <w:ind w:right="505"/>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960" w:type="dxa"/>
            <w:vAlign w:val="bottom"/>
            <w:vMerge w:val="restart"/>
          </w:tcPr>
          <w:p>
            <w:pPr>
              <w:jc w:val="center"/>
              <w:ind w:right="505"/>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59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jc w:val="center"/>
              <w:ind w:right="505"/>
              <w:spacing w:after="0" w:line="164"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960" w:type="dxa"/>
            <w:vAlign w:val="bottom"/>
            <w:vMerge w:val="restart"/>
          </w:tcPr>
          <w:p>
            <w:pPr>
              <w:jc w:val="center"/>
              <w:ind w:right="505"/>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5064760</wp:posOffset>
            </wp:positionH>
            <wp:positionV relativeFrom="paragraph">
              <wp:posOffset>-559435</wp:posOffset>
            </wp:positionV>
            <wp:extent cx="54610" cy="572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277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-559435</wp:posOffset>
            </wp:positionV>
            <wp:extent cx="54610" cy="572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 cy="57277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-1858645</wp:posOffset>
            </wp:positionH>
            <wp:positionV relativeFrom="paragraph">
              <wp:posOffset>592455</wp:posOffset>
            </wp:positionV>
            <wp:extent cx="7007860" cy="8204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7860" cy="8204835"/>
                    </a:xfrm>
                    <a:prstGeom prst="rect">
                      <a:avLst/>
                    </a:prstGeom>
                    <a:noFill/>
                  </pic:spPr>
                </pic:pic>
              </a:graphicData>
            </a:graphic>
          </wp:anchor>
        </w:drawing>
      </w:r>
    </w:p>
    <w:p>
      <w:pPr>
        <w:spacing w:after="0" w:line="940" w:lineRule="exact"/>
        <w:rPr>
          <w:sz w:val="24"/>
          <w:szCs w:val="24"/>
          <w:color w:val="auto"/>
        </w:rPr>
      </w:pPr>
    </w:p>
    <w:p>
      <w:pPr>
        <w:sectPr>
          <w:pgSz w:w="11900" w:h="16852" w:orient="portrait"/>
          <w:cols w:equalWidth="0" w:num="2">
            <w:col w:w="2320" w:space="580"/>
            <w:col w:w="8180"/>
          </w:cols>
          <w:pgMar w:left="460" w:top="208" w:right="359" w:bottom="0" w:gutter="0" w:footer="0" w:header="0"/>
        </w:sectPr>
      </w:pPr>
    </w:p>
    <w:tbl>
      <w:tblPr>
        <w:tblLayout w:type="fixed"/>
        <w:tblInd w:w="60" w:type="dxa"/>
        <w:tblCellMar>
          <w:top w:w="0" w:type="dxa"/>
          <w:left w:w="0" w:type="dxa"/>
          <w:bottom w:w="0" w:type="dxa"/>
          <w:right w:w="0" w:type="dxa"/>
        </w:tblCellMar>
      </w:tblPr>
      <w:tr>
        <w:trPr>
          <w:trHeight w:val="218"/>
        </w:trPr>
        <w:tc>
          <w:tcPr>
            <w:tcW w:w="2340" w:type="dxa"/>
            <w:vAlign w:val="bottom"/>
            <w:gridSpan w:val="5"/>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Malik Rajiv</w:t>
              </w:r>
            </w:hyperlink>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gridSpan w:val="3"/>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1"/>
                <w:szCs w:val="11"/>
                <w:color w:val="auto"/>
              </w:rPr>
              <w:t>(Last)</w:t>
            </w:r>
          </w:p>
        </w:tc>
        <w:tc>
          <w:tcPr>
            <w:tcW w:w="1240" w:type="dxa"/>
            <w:vAlign w:val="bottom"/>
          </w:tcPr>
          <w:p>
            <w:pPr>
              <w:ind w:left="160"/>
              <w:spacing w:after="0"/>
              <w:rPr>
                <w:sz w:val="20"/>
                <w:szCs w:val="20"/>
                <w:color w:val="auto"/>
              </w:rPr>
            </w:pPr>
            <w:r>
              <w:rPr>
                <w:rFonts w:ascii="Arial" w:cs="Arial" w:eastAsia="Arial" w:hAnsi="Arial"/>
                <w:sz w:val="11"/>
                <w:szCs w:val="11"/>
                <w:color w:val="auto"/>
              </w:rPr>
              <w:t>(First)</w:t>
            </w:r>
          </w:p>
        </w:tc>
        <w:tc>
          <w:tcPr>
            <w:tcW w:w="1360" w:type="dxa"/>
            <w:vAlign w:val="bottom"/>
          </w:tcPr>
          <w:p>
            <w:pPr>
              <w:ind w:left="16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4"/>
                <w:szCs w:val="14"/>
                <w:color w:val="auto"/>
              </w:rPr>
            </w:pPr>
          </w:p>
        </w:tc>
        <w:tc>
          <w:tcPr>
            <w:tcW w:w="3840" w:type="dxa"/>
            <w:vAlign w:val="bottom"/>
            <w:gridSpan w:val="3"/>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136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0000FF"/>
              </w:rPr>
              <w:t>03/03/2025</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4" w:right="920" w:hanging="4"/>
        <w:spacing w:after="0" w:line="284" w:lineRule="auto"/>
        <w:tabs>
          <w:tab w:leader="none" w:pos="131"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1" w:lineRule="exact"/>
        <w:rPr>
          <w:sz w:val="20"/>
          <w:szCs w:val="20"/>
          <w:color w:val="auto"/>
        </w:rPr>
      </w:pPr>
    </w:p>
    <w:p>
      <w:pPr>
        <w:ind w:left="524"/>
        <w:spacing w:after="0"/>
        <w:tabs>
          <w:tab w:leader="none" w:pos="2083" w:val="left"/>
        </w:tabs>
        <w:rPr>
          <w:sz w:val="20"/>
          <w:szCs w:val="20"/>
          <w:color w:val="auto"/>
        </w:rPr>
      </w:pPr>
      <w:r>
        <w:rPr>
          <w:rFonts w:ascii="Arial" w:cs="Arial" w:eastAsia="Arial" w:hAnsi="Arial"/>
          <w:sz w:val="11"/>
          <w:szCs w:val="11"/>
          <w:color w:val="auto"/>
        </w:rPr>
        <w:t>Director</w:t>
      </w:r>
      <w:r>
        <w:rPr>
          <w:sz w:val="20"/>
          <w:szCs w:val="20"/>
          <w:color w:val="auto"/>
        </w:rPr>
        <w:tab/>
      </w:r>
      <w:r>
        <w:rPr>
          <w:rFonts w:ascii="Arial" w:cs="Arial" w:eastAsia="Arial" w:hAnsi="Arial"/>
          <w:sz w:val="11"/>
          <w:szCs w:val="11"/>
          <w:color w:val="auto"/>
        </w:rPr>
        <w:t>10% Owner</w:t>
      </w:r>
    </w:p>
    <w:p>
      <w:pPr>
        <w:spacing w:after="0" w:line="69" w:lineRule="exact"/>
        <w:rPr>
          <w:sz w:val="20"/>
          <w:szCs w:val="20"/>
          <w:color w:val="auto"/>
        </w:rPr>
      </w:pPr>
    </w:p>
    <w:p>
      <w:pPr>
        <w:jc w:val="right"/>
        <w:ind w:right="520"/>
        <w:spacing w:after="0"/>
        <w:tabs>
          <w:tab w:leader="none" w:pos="70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spacing w:after="0" w:line="10" w:lineRule="exact"/>
        <w:rPr>
          <w:sz w:val="20"/>
          <w:szCs w:val="20"/>
          <w:color w:val="auto"/>
        </w:rPr>
      </w:pPr>
    </w:p>
    <w:p>
      <w:pPr>
        <w:ind w:left="524"/>
        <w:spacing w:after="0"/>
        <w:tabs>
          <w:tab w:leader="none" w:pos="2083"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497" w:lineRule="exact"/>
        <w:rPr>
          <w:sz w:val="20"/>
          <w:szCs w:val="20"/>
          <w:color w:val="auto"/>
        </w:rPr>
      </w:pPr>
    </w:p>
    <w:p>
      <w:pPr>
        <w:sectPr>
          <w:pgSz w:w="11900" w:h="16852" w:orient="portrait"/>
          <w:cols w:equalWidth="0" w:num="2">
            <w:col w:w="7680" w:space="56"/>
            <w:col w:w="3344"/>
          </w:cols>
          <w:pgMar w:left="460" w:top="208" w:right="359" w:bottom="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40" w:type="dxa"/>
            <w:vAlign w:val="bottom"/>
            <w:gridSpan w:val="7"/>
          </w:tcPr>
          <w:p>
            <w:pPr>
              <w:ind w:left="140"/>
              <w:spacing w:after="0"/>
              <w:rPr>
                <w:sz w:val="20"/>
                <w:szCs w:val="20"/>
                <w:color w:val="auto"/>
              </w:rPr>
            </w:pPr>
            <w:r>
              <w:rPr>
                <w:rFonts w:ascii="Arial" w:cs="Arial" w:eastAsia="Arial" w:hAnsi="Arial"/>
                <w:sz w:val="11"/>
                <w:szCs w:val="11"/>
                <w:color w:val="auto"/>
              </w:rPr>
              <w:t>4. If Amendment, Date of Original Filed (Month/Day/Year)</w:t>
            </w:r>
          </w:p>
        </w:tc>
        <w:tc>
          <w:tcPr>
            <w:tcW w:w="540" w:type="dxa"/>
            <w:vAlign w:val="bottom"/>
          </w:tcPr>
          <w:p>
            <w:pPr>
              <w:spacing w:after="0"/>
              <w:rPr>
                <w:sz w:val="15"/>
                <w:szCs w:val="15"/>
                <w:color w:val="auto"/>
              </w:rPr>
            </w:pPr>
          </w:p>
        </w:tc>
        <w:tc>
          <w:tcPr>
            <w:tcW w:w="3640" w:type="dxa"/>
            <w:vAlign w:val="bottom"/>
            <w:gridSpan w:val="12"/>
          </w:tcPr>
          <w:p>
            <w:pPr>
              <w:ind w:left="30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CANONSBURG   PA</w:t>
            </w:r>
          </w:p>
        </w:tc>
        <w:tc>
          <w:tcPr>
            <w:tcW w:w="98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15317</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spacing w:after="0"/>
              <w:rPr>
                <w:sz w:val="20"/>
                <w:szCs w:val="20"/>
                <w:color w:val="auto"/>
              </w:rPr>
            </w:pPr>
            <w:r>
              <w:rPr>
                <w:rFonts w:ascii="Arial" w:cs="Arial" w:eastAsia="Arial" w:hAnsi="Arial"/>
                <w:sz w:val="11"/>
                <w:szCs w:val="11"/>
                <w:color w:val="auto"/>
              </w:rPr>
              <w:t>Form filed by One Reporting Person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20" w:type="dxa"/>
            <w:vAlign w:val="bottom"/>
            <w:gridSpan w:val="9"/>
          </w:tcPr>
          <w:p>
            <w:pPr>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266"/>
        </w:trPr>
        <w:tc>
          <w:tcPr>
            <w:tcW w:w="8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1"/>
                <w:szCs w:val="11"/>
                <w:color w:val="auto"/>
              </w:rPr>
              <w:t>(City)</w:t>
            </w:r>
          </w:p>
        </w:tc>
        <w:tc>
          <w:tcPr>
            <w:tcW w:w="1640" w:type="dxa"/>
            <w:vAlign w:val="bottom"/>
            <w:gridSpan w:val="2"/>
          </w:tcPr>
          <w:p>
            <w:pPr>
              <w:ind w:left="600"/>
              <w:spacing w:after="0"/>
              <w:rPr>
                <w:sz w:val="20"/>
                <w:szCs w:val="20"/>
                <w:color w:val="auto"/>
              </w:rPr>
            </w:pPr>
            <w:r>
              <w:rPr>
                <w:rFonts w:ascii="Arial" w:cs="Arial" w:eastAsia="Arial" w:hAnsi="Arial"/>
                <w:sz w:val="11"/>
                <w:szCs w:val="11"/>
                <w:color w:val="auto"/>
              </w:rPr>
              <w:t>(State)</w:t>
            </w:r>
          </w:p>
        </w:tc>
        <w:tc>
          <w:tcPr>
            <w:tcW w:w="980" w:type="dxa"/>
            <w:vAlign w:val="bottom"/>
          </w:tcPr>
          <w:p>
            <w:pPr>
              <w:ind w:left="200"/>
              <w:spacing w:after="0"/>
              <w:rPr>
                <w:sz w:val="20"/>
                <w:szCs w:val="20"/>
                <w:color w:val="auto"/>
              </w:rPr>
            </w:pPr>
            <w:r>
              <w:rPr>
                <w:rFonts w:ascii="Arial" w:cs="Arial" w:eastAsia="Arial" w:hAnsi="Arial"/>
                <w:sz w:val="11"/>
                <w:szCs w:val="11"/>
                <w:color w:val="auto"/>
              </w:rPr>
              <w:t>(Zip)</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gridSpan w:val="2"/>
          </w:tcPr>
          <w:p>
            <w:pPr>
              <w:spacing w:after="0"/>
              <w:rPr>
                <w:sz w:val="9"/>
                <w:szCs w:val="9"/>
                <w:color w:val="auto"/>
              </w:rPr>
            </w:pPr>
          </w:p>
        </w:tc>
        <w:tc>
          <w:tcPr>
            <w:tcW w:w="1620" w:type="dxa"/>
            <w:vAlign w:val="bottom"/>
            <w:tcBorders>
              <w:bottom w:val="single" w:sz="8" w:color="2C2C2C"/>
            </w:tcBorders>
            <w:gridSpan w:val="3"/>
          </w:tcPr>
          <w:p>
            <w:pPr>
              <w:spacing w:after="0"/>
              <w:rPr>
                <w:sz w:val="9"/>
                <w:szCs w:val="9"/>
                <w:color w:val="auto"/>
              </w:rPr>
            </w:pPr>
          </w:p>
        </w:tc>
        <w:tc>
          <w:tcPr>
            <w:tcW w:w="2740" w:type="dxa"/>
            <w:vAlign w:val="bottom"/>
            <w:tcBorders>
              <w:bottom w:val="single" w:sz="8" w:color="2C2C2C"/>
            </w:tcBorders>
            <w:gridSpan w:val="6"/>
          </w:tcPr>
          <w:p>
            <w:pPr>
              <w:spacing w:after="0"/>
              <w:rPr>
                <w:sz w:val="9"/>
                <w:szCs w:val="9"/>
                <w:color w:val="auto"/>
              </w:rPr>
            </w:pPr>
          </w:p>
        </w:tc>
        <w:tc>
          <w:tcPr>
            <w:tcW w:w="200" w:type="dxa"/>
            <w:vAlign w:val="bottom"/>
            <w:tcBorders>
              <w:bottom w:val="single" w:sz="8" w:color="2C2C2C"/>
            </w:tcBorders>
            <w:gridSpan w:val="3"/>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5"/>
          </w:tcPr>
          <w:p>
            <w:pPr>
              <w:ind w:left="3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2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6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80" w:type="dxa"/>
            <w:vAlign w:val="bottom"/>
          </w:tcPr>
          <w:p>
            <w:pPr>
              <w:spacing w:after="0"/>
              <w:rPr>
                <w:sz w:val="12"/>
                <w:szCs w:val="12"/>
                <w:color w:val="auto"/>
              </w:rPr>
            </w:pPr>
          </w:p>
        </w:tc>
        <w:tc>
          <w:tcPr>
            <w:tcW w:w="1100" w:type="dxa"/>
            <w:vAlign w:val="bottom"/>
            <w:gridSpan w:val="3"/>
          </w:tcPr>
          <w:p>
            <w:pPr>
              <w:ind w:left="160"/>
              <w:spacing w:after="0"/>
              <w:rPr>
                <w:sz w:val="20"/>
                <w:szCs w:val="20"/>
                <w:color w:val="auto"/>
              </w:rPr>
            </w:pPr>
            <w:r>
              <w:rPr>
                <w:rFonts w:ascii="Arial" w:cs="Arial" w:eastAsia="Arial" w:hAnsi="Arial"/>
                <w:sz w:val="10"/>
                <w:szCs w:val="10"/>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320" w:type="dxa"/>
            <w:vAlign w:val="bottom"/>
          </w:tcPr>
          <w:p>
            <w:pPr>
              <w:spacing w:after="0"/>
              <w:rPr>
                <w:sz w:val="20"/>
                <w:szCs w:val="20"/>
                <w:color w:val="auto"/>
              </w:rPr>
            </w:pPr>
            <w:r>
              <w:rPr>
                <w:rFonts w:ascii="Arial" w:cs="Arial" w:eastAsia="Arial" w:hAnsi="Arial"/>
                <w:sz w:val="10"/>
                <w:szCs w:val="10"/>
                <w:b w:val="1"/>
                <w:bCs w:val="1"/>
                <w:color w:val="auto"/>
              </w:rPr>
              <w:t>3.</w:t>
            </w:r>
          </w:p>
        </w:tc>
        <w:tc>
          <w:tcPr>
            <w:tcW w:w="440" w:type="dxa"/>
            <w:vAlign w:val="bottom"/>
          </w:tcPr>
          <w:p>
            <w:pPr>
              <w:spacing w:after="0"/>
              <w:rPr>
                <w:sz w:val="12"/>
                <w:szCs w:val="12"/>
                <w:color w:val="auto"/>
              </w:rPr>
            </w:pPr>
          </w:p>
        </w:tc>
        <w:tc>
          <w:tcPr>
            <w:tcW w:w="1980" w:type="dxa"/>
            <w:vAlign w:val="bottom"/>
            <w:gridSpan w:val="4"/>
          </w:tcPr>
          <w:p>
            <w:pPr>
              <w:spacing w:after="0"/>
              <w:rPr>
                <w:sz w:val="20"/>
                <w:szCs w:val="20"/>
                <w:color w:val="auto"/>
              </w:rPr>
            </w:pPr>
            <w:r>
              <w:rPr>
                <w:rFonts w:ascii="Arial" w:cs="Arial" w:eastAsia="Arial" w:hAnsi="Arial"/>
                <w:sz w:val="10"/>
                <w:szCs w:val="10"/>
                <w:b w:val="1"/>
                <w:bCs w:val="1"/>
                <w:color w:val="auto"/>
              </w:rPr>
              <w:t>4. Securities Acquired (A) or</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5. Amount of</w:t>
            </w:r>
          </w:p>
        </w:tc>
        <w:tc>
          <w:tcPr>
            <w:tcW w:w="20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6. Ownership</w:t>
            </w:r>
          </w:p>
        </w:tc>
        <w:tc>
          <w:tcPr>
            <w:tcW w:w="880" w:type="dxa"/>
            <w:vAlign w:val="bottom"/>
            <w:gridSpan w:val="4"/>
          </w:tcPr>
          <w:p>
            <w:pPr>
              <w:ind w:left="8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gridSpan w:val="2"/>
          </w:tcPr>
          <w:p>
            <w:pPr>
              <w:ind w:left="160"/>
              <w:spacing w:after="0"/>
              <w:rPr>
                <w:sz w:val="20"/>
                <w:szCs w:val="20"/>
                <w:color w:val="auto"/>
              </w:rPr>
            </w:pPr>
            <w:r>
              <w:rPr>
                <w:rFonts w:ascii="Arial" w:cs="Arial" w:eastAsia="Arial" w:hAnsi="Arial"/>
                <w:sz w:val="10"/>
                <w:szCs w:val="10"/>
                <w:b w:val="1"/>
                <w:bCs w:val="1"/>
                <w:color w:val="auto"/>
              </w:rPr>
              <w:t>Date</w:t>
            </w:r>
          </w:p>
        </w:tc>
        <w:tc>
          <w:tcPr>
            <w:tcW w:w="400" w:type="dxa"/>
            <w:vAlign w:val="bottom"/>
          </w:tcPr>
          <w:p>
            <w:pPr>
              <w:spacing w:after="0"/>
              <w:rPr>
                <w:sz w:val="9"/>
                <w:szCs w:val="9"/>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Execution Date,</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Transaction</w:t>
            </w:r>
          </w:p>
        </w:tc>
        <w:tc>
          <w:tcPr>
            <w:tcW w:w="1980" w:type="dxa"/>
            <w:vAlign w:val="bottom"/>
            <w:gridSpan w:val="4"/>
          </w:tcPr>
          <w:p>
            <w:pPr>
              <w:spacing w:after="0"/>
              <w:rPr>
                <w:sz w:val="20"/>
                <w:szCs w:val="20"/>
                <w:color w:val="auto"/>
              </w:rPr>
            </w:pPr>
            <w:r>
              <w:rPr>
                <w:rFonts w:ascii="Arial" w:cs="Arial" w:eastAsia="Arial" w:hAnsi="Arial"/>
                <w:sz w:val="10"/>
                <w:szCs w:val="10"/>
                <w:b w:val="1"/>
                <w:bCs w:val="1"/>
                <w:color w:val="auto"/>
              </w:rPr>
              <w:t>Disposed Of (D) (Instr. 3, 4 and 5)</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Securities</w:t>
            </w:r>
          </w:p>
        </w:tc>
        <w:tc>
          <w:tcPr>
            <w:tcW w:w="200" w:type="dxa"/>
            <w:vAlign w:val="bottom"/>
          </w:tcPr>
          <w:p>
            <w:pPr>
              <w:spacing w:after="0"/>
              <w:rPr>
                <w:sz w:val="9"/>
                <w:szCs w:val="9"/>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Form: Direct (D)</w:t>
            </w:r>
          </w:p>
        </w:tc>
        <w:tc>
          <w:tcPr>
            <w:tcW w:w="880" w:type="dxa"/>
            <w:vAlign w:val="bottom"/>
            <w:gridSpan w:val="4"/>
          </w:tcPr>
          <w:p>
            <w:pPr>
              <w:ind w:left="80"/>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gridSpan w:val="3"/>
          </w:tcPr>
          <w:p>
            <w:pPr>
              <w:jc w:val="center"/>
              <w:ind w:left="16"/>
              <w:spacing w:after="0"/>
              <w:rPr>
                <w:sz w:val="20"/>
                <w:szCs w:val="20"/>
                <w:color w:val="auto"/>
              </w:rPr>
            </w:pPr>
            <w:r>
              <w:rPr>
                <w:rFonts w:ascii="Arial" w:cs="Arial" w:eastAsia="Arial" w:hAnsi="Arial"/>
                <w:sz w:val="10"/>
                <w:szCs w:val="10"/>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if any</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Code (Instr.</w:t>
            </w: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4"/>
          </w:tcPr>
          <w:p>
            <w:pPr>
              <w:spacing w:after="0"/>
              <w:rPr>
                <w:sz w:val="20"/>
                <w:szCs w:val="20"/>
                <w:color w:val="auto"/>
              </w:rPr>
            </w:pPr>
            <w:r>
              <w:rPr>
                <w:rFonts w:ascii="Arial" w:cs="Arial" w:eastAsia="Arial" w:hAnsi="Arial"/>
                <w:sz w:val="10"/>
                <w:szCs w:val="10"/>
                <w:b w:val="1"/>
                <w:bCs w:val="1"/>
                <w:color w:val="auto"/>
              </w:rPr>
              <w:t>Beneficially Owned</w:t>
            </w: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or Indirect (I)</w:t>
            </w:r>
          </w:p>
        </w:tc>
        <w:tc>
          <w:tcPr>
            <w:tcW w:w="880" w:type="dxa"/>
            <w:vAlign w:val="bottom"/>
            <w:gridSpan w:val="4"/>
          </w:tcPr>
          <w:p>
            <w:pPr>
              <w:ind w:left="8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(Month/Day/Year)</w:t>
            </w:r>
          </w:p>
        </w:tc>
        <w:tc>
          <w:tcPr>
            <w:tcW w:w="320" w:type="dxa"/>
            <w:vAlign w:val="bottom"/>
          </w:tcPr>
          <w:p>
            <w:pPr>
              <w:spacing w:after="0"/>
              <w:rPr>
                <w:sz w:val="20"/>
                <w:szCs w:val="20"/>
                <w:color w:val="auto"/>
              </w:rPr>
            </w:pPr>
            <w:r>
              <w:rPr>
                <w:rFonts w:ascii="Arial" w:cs="Arial" w:eastAsia="Arial" w:hAnsi="Arial"/>
                <w:sz w:val="10"/>
                <w:szCs w:val="10"/>
                <w:b w:val="1"/>
                <w:bCs w:val="1"/>
                <w:color w:val="auto"/>
              </w:rPr>
              <w:t>8)</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4"/>
          </w:tcPr>
          <w:p>
            <w:pPr>
              <w:spacing w:after="0"/>
              <w:rPr>
                <w:sz w:val="20"/>
                <w:szCs w:val="20"/>
                <w:color w:val="auto"/>
              </w:rPr>
            </w:pPr>
            <w:r>
              <w:rPr>
                <w:rFonts w:ascii="Arial" w:cs="Arial" w:eastAsia="Arial" w:hAnsi="Arial"/>
                <w:sz w:val="10"/>
                <w:szCs w:val="10"/>
                <w:b w:val="1"/>
                <w:bCs w:val="1"/>
                <w:color w:val="auto"/>
              </w:rPr>
              <w:t>Following Reported</w:t>
            </w: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(Instr. 4)</w:t>
            </w:r>
          </w:p>
        </w:tc>
        <w:tc>
          <w:tcPr>
            <w:tcW w:w="880" w:type="dxa"/>
            <w:vAlign w:val="bottom"/>
            <w:gridSpan w:val="4"/>
          </w:tcPr>
          <w:p>
            <w:pPr>
              <w:ind w:left="8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Transaction(s) (Instr.</w:t>
            </w:r>
          </w:p>
        </w:tc>
        <w:tc>
          <w:tcPr>
            <w:tcW w:w="500" w:type="dxa"/>
            <w:vAlign w:val="bottom"/>
          </w:tcPr>
          <w:p>
            <w:pPr>
              <w:spacing w:after="0"/>
              <w:rPr>
                <w:sz w:val="5"/>
                <w:szCs w:val="5"/>
                <w:color w:val="auto"/>
              </w:rPr>
            </w:pPr>
          </w:p>
        </w:tc>
        <w:tc>
          <w:tcPr>
            <w:tcW w:w="880" w:type="dxa"/>
            <w:vAlign w:val="bottom"/>
            <w:gridSpan w:val="4"/>
            <w:vMerge w:val="restart"/>
          </w:tcPr>
          <w:p>
            <w:pPr>
              <w:ind w:left="8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restart"/>
          </w:tcPr>
          <w:p>
            <w:pPr>
              <w:spacing w:after="0"/>
              <w:rPr>
                <w:sz w:val="20"/>
                <w:szCs w:val="20"/>
                <w:color w:val="auto"/>
              </w:rPr>
            </w:pPr>
            <w:r>
              <w:rPr>
                <w:rFonts w:ascii="Arial" w:cs="Arial" w:eastAsia="Arial" w:hAnsi="Arial"/>
                <w:sz w:val="10"/>
                <w:szCs w:val="10"/>
                <w:b w:val="1"/>
                <w:bCs w:val="1"/>
                <w:color w:val="auto"/>
              </w:rPr>
              <w:t>Code</w:t>
            </w:r>
          </w:p>
        </w:tc>
        <w:tc>
          <w:tcPr>
            <w:tcW w:w="440" w:type="dxa"/>
            <w:vAlign w:val="bottom"/>
            <w:vMerge w:val="restart"/>
          </w:tcPr>
          <w:p>
            <w:pPr>
              <w:jc w:val="center"/>
              <w:ind w:right="92"/>
              <w:spacing w:after="0"/>
              <w:rPr>
                <w:sz w:val="20"/>
                <w:szCs w:val="20"/>
                <w:color w:val="auto"/>
              </w:rPr>
            </w:pPr>
            <w:r>
              <w:rPr>
                <w:rFonts w:ascii="Arial" w:cs="Arial" w:eastAsia="Arial" w:hAnsi="Arial"/>
                <w:sz w:val="10"/>
                <w:szCs w:val="10"/>
                <w:b w:val="1"/>
                <w:bCs w:val="1"/>
                <w:color w:val="auto"/>
                <w:w w:val="89"/>
              </w:rPr>
              <w:t>V</w:t>
            </w:r>
          </w:p>
        </w:tc>
        <w:tc>
          <w:tcPr>
            <w:tcW w:w="700" w:type="dxa"/>
            <w:vAlign w:val="bottom"/>
            <w:vMerge w:val="restart"/>
          </w:tcPr>
          <w:p>
            <w:pPr>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ind w:left="140"/>
              <w:spacing w:after="0"/>
              <w:rPr>
                <w:sz w:val="20"/>
                <w:szCs w:val="20"/>
                <w:color w:val="auto"/>
              </w:rPr>
            </w:pPr>
            <w:r>
              <w:rPr>
                <w:rFonts w:ascii="Arial" w:cs="Arial" w:eastAsia="Arial" w:hAnsi="Arial"/>
                <w:sz w:val="10"/>
                <w:szCs w:val="10"/>
                <w:b w:val="1"/>
                <w:bCs w:val="1"/>
                <w:color w:val="auto"/>
              </w:rPr>
              <w:t>(A) or</w:t>
            </w:r>
          </w:p>
        </w:tc>
        <w:tc>
          <w:tcPr>
            <w:tcW w:w="7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3 and 4)</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(D)</w:t>
            </w: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03/03/2025</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81,761</w:t>
            </w:r>
          </w:p>
        </w:tc>
        <w:tc>
          <w:tcPr>
            <w:tcW w:w="54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587,599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03/03/2025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F</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36,536</w:t>
            </w:r>
            <w:r>
              <w:rPr>
                <w:rFonts w:ascii="Times New Roman" w:cs="Times New Roman" w:eastAsia="Times New Roman" w:hAnsi="Times New Roman"/>
                <w:sz w:val="19"/>
                <w:szCs w:val="19"/>
                <w:color w:val="008000"/>
                <w:w w:val="92"/>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551,063</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03/03/2025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7,669</w:t>
            </w:r>
            <w:r>
              <w:rPr>
                <w:rFonts w:ascii="Times New Roman" w:cs="Times New Roman" w:eastAsia="Times New Roman" w:hAnsi="Times New Roman"/>
                <w:sz w:val="19"/>
                <w:szCs w:val="19"/>
                <w:color w:val="008000"/>
                <w:w w:val="90"/>
                <w:vertAlign w:val="superscript"/>
              </w:rPr>
              <w:t>(2)</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558,732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03/03/2025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F</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3,336</w:t>
            </w:r>
            <w:r>
              <w:rPr>
                <w:rFonts w:ascii="Times New Roman" w:cs="Times New Roman" w:eastAsia="Times New Roman" w:hAnsi="Times New Roman"/>
                <w:sz w:val="19"/>
                <w:szCs w:val="19"/>
                <w:color w:val="008000"/>
                <w:w w:val="90"/>
                <w:vertAlign w:val="superscript"/>
              </w:rPr>
              <w:t>(3)</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555,396</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82,353</w:t>
            </w:r>
          </w:p>
        </w:tc>
        <w:tc>
          <w:tcPr>
            <w:tcW w:w="54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637,749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F</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35,816</w:t>
            </w:r>
            <w:r>
              <w:rPr>
                <w:rFonts w:ascii="Times New Roman" w:cs="Times New Roman" w:eastAsia="Times New Roman" w:hAnsi="Times New Roman"/>
                <w:sz w:val="19"/>
                <w:szCs w:val="19"/>
                <w:color w:val="008000"/>
                <w:w w:val="92"/>
                <w:vertAlign w:val="superscript"/>
              </w:rPr>
              <w:t>(4)</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601,933</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10,962</w:t>
            </w:r>
            <w:r>
              <w:rPr>
                <w:rFonts w:ascii="Times New Roman" w:cs="Times New Roman" w:eastAsia="Times New Roman" w:hAnsi="Times New Roman"/>
                <w:sz w:val="19"/>
                <w:szCs w:val="19"/>
                <w:color w:val="008000"/>
                <w:w w:val="92"/>
                <w:vertAlign w:val="superscript"/>
              </w:rPr>
              <w:t>(5)</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612,895</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F</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4,768</w:t>
            </w:r>
            <w:r>
              <w:rPr>
                <w:rFonts w:ascii="Times New Roman" w:cs="Times New Roman" w:eastAsia="Times New Roman" w:hAnsi="Times New Roman"/>
                <w:sz w:val="19"/>
                <w:szCs w:val="19"/>
                <w:color w:val="008000"/>
                <w:w w:val="90"/>
                <w:vertAlign w:val="superscript"/>
              </w:rPr>
              <w:t>(6)</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608,127</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18,845</w:t>
            </w:r>
          </w:p>
        </w:tc>
        <w:tc>
          <w:tcPr>
            <w:tcW w:w="54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626,972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line="276" w:lineRule="exact"/>
              <w:rPr>
                <w:sz w:val="20"/>
                <w:szCs w:val="20"/>
                <w:color w:val="auto"/>
              </w:rPr>
            </w:pPr>
            <w:r>
              <w:rPr>
                <w:rFonts w:ascii="Times New Roman" w:cs="Times New Roman" w:eastAsia="Times New Roman" w:hAnsi="Times New Roman"/>
                <w:sz w:val="29"/>
                <w:szCs w:val="29"/>
                <w:color w:val="0000FF"/>
                <w:w w:val="83"/>
                <w:vertAlign w:val="subscript"/>
              </w:rPr>
              <w:t>602</w:t>
            </w:r>
            <w:r>
              <w:rPr>
                <w:rFonts w:ascii="Times New Roman" w:cs="Times New Roman" w:eastAsia="Times New Roman" w:hAnsi="Times New Roman"/>
                <w:sz w:val="10"/>
                <w:szCs w:val="10"/>
                <w:color w:val="008000"/>
                <w:w w:val="83"/>
              </w:rPr>
              <w:t>(7)</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5"/>
              <w:spacing w:after="0"/>
              <w:rPr>
                <w:sz w:val="20"/>
                <w:szCs w:val="20"/>
                <w:color w:val="auto"/>
              </w:rPr>
            </w:pPr>
            <w:r>
              <w:rPr>
                <w:rFonts w:ascii="Times New Roman" w:cs="Times New Roman" w:eastAsia="Times New Roman" w:hAnsi="Times New Roman"/>
                <w:sz w:val="15"/>
                <w:szCs w:val="15"/>
                <w:color w:val="0000FF"/>
              </w:rPr>
              <w:t>627,574</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4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779,841</w:t>
            </w:r>
          </w:p>
        </w:tc>
        <w:tc>
          <w:tcPr>
            <w:tcW w:w="54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Pr>
          <w:p>
            <w:pPr>
              <w:jc w:val="center"/>
              <w:spacing w:after="0"/>
              <w:rPr>
                <w:sz w:val="20"/>
                <w:szCs w:val="20"/>
                <w:color w:val="auto"/>
              </w:rPr>
            </w:pPr>
            <w:r>
              <w:rPr>
                <w:rFonts w:ascii="Arial" w:cs="Arial" w:eastAsia="Arial" w:hAnsi="Arial"/>
                <w:sz w:val="15"/>
                <w:szCs w:val="15"/>
                <w:color w:val="auto"/>
                <w:w w:val="88"/>
              </w:rPr>
              <w:t>$</w:t>
            </w:r>
            <w:r>
              <w:rPr>
                <w:rFonts w:ascii="Times New Roman" w:cs="Times New Roman" w:eastAsia="Times New Roman" w:hAnsi="Times New Roman"/>
                <w:sz w:val="15"/>
                <w:szCs w:val="15"/>
                <w:color w:val="0000FF"/>
                <w:w w:val="88"/>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1,407,415</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5"/>
                <w:szCs w:val="15"/>
                <w:color w:val="0000FF"/>
                <w:w w:val="99"/>
              </w:rPr>
              <w:t>03/04/2025</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F</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339,153</w:t>
            </w:r>
            <w:r>
              <w:rPr>
                <w:rFonts w:ascii="Times New Roman" w:cs="Times New Roman" w:eastAsia="Times New Roman" w:hAnsi="Times New Roman"/>
                <w:sz w:val="19"/>
                <w:szCs w:val="19"/>
                <w:color w:val="008000"/>
                <w:w w:val="94"/>
                <w:vertAlign w:val="superscript"/>
              </w:rPr>
              <w:t>(8)</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1,068,262</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5"/>
                <w:szCs w:val="15"/>
                <w:color w:val="0000FF"/>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900" w:type="dxa"/>
            <w:vAlign w:val="bottom"/>
            <w:gridSpan w:val="13"/>
          </w:tcPr>
          <w:p>
            <w:pPr>
              <w:ind w:left="480"/>
              <w:spacing w:after="0"/>
              <w:rPr>
                <w:sz w:val="20"/>
                <w:szCs w:val="20"/>
                <w:color w:val="auto"/>
              </w:rPr>
            </w:pPr>
            <w:r>
              <w:rPr>
                <w:rFonts w:ascii="Arial" w:cs="Arial" w:eastAsia="Arial" w:hAnsi="Arial"/>
                <w:sz w:val="15"/>
                <w:szCs w:val="15"/>
                <w:b w:val="1"/>
                <w:bCs w:val="1"/>
                <w:color w:val="auto"/>
                <w:w w:val="99"/>
              </w:rPr>
              <w:t>Table II - Derivative Securities Acquired, Disposed of, or Beneficially Owned</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40" w:type="dxa"/>
            <w:vAlign w:val="bottom"/>
            <w:gridSpan w:val="11"/>
          </w:tcPr>
          <w:p>
            <w:pPr>
              <w:ind w:left="1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80" w:type="dxa"/>
            <w:vAlign w:val="bottom"/>
          </w:tcPr>
          <w:p>
            <w:pPr>
              <w:spacing w:after="0"/>
              <w:rPr>
                <w:sz w:val="12"/>
                <w:szCs w:val="12"/>
                <w:color w:val="auto"/>
              </w:rPr>
            </w:pPr>
          </w:p>
        </w:tc>
        <w:tc>
          <w:tcPr>
            <w:tcW w:w="1400" w:type="dxa"/>
            <w:vAlign w:val="bottom"/>
            <w:gridSpan w:val="3"/>
          </w:tcPr>
          <w:p>
            <w:pPr>
              <w:ind w:left="80"/>
              <w:spacing w:after="0"/>
              <w:rPr>
                <w:sz w:val="20"/>
                <w:szCs w:val="20"/>
                <w:color w:val="auto"/>
              </w:rPr>
            </w:pPr>
            <w:r>
              <w:rPr>
                <w:rFonts w:ascii="Arial" w:cs="Arial" w:eastAsia="Arial" w:hAnsi="Arial"/>
                <w:sz w:val="10"/>
                <w:szCs w:val="10"/>
                <w:b w:val="1"/>
                <w:bCs w:val="1"/>
                <w:color w:val="auto"/>
              </w:rPr>
              <w:t>5. Number of Derivative</w:t>
            </w:r>
          </w:p>
        </w:tc>
        <w:tc>
          <w:tcPr>
            <w:tcW w:w="1460" w:type="dxa"/>
            <w:vAlign w:val="bottom"/>
            <w:gridSpan w:val="3"/>
          </w:tcPr>
          <w:p>
            <w:pPr>
              <w:ind w:left="180"/>
              <w:spacing w:after="0"/>
              <w:rPr>
                <w:sz w:val="20"/>
                <w:szCs w:val="20"/>
                <w:color w:val="auto"/>
              </w:rPr>
            </w:pPr>
            <w:r>
              <w:rPr>
                <w:rFonts w:ascii="Arial" w:cs="Arial" w:eastAsia="Arial" w:hAnsi="Arial"/>
                <w:sz w:val="10"/>
                <w:szCs w:val="10"/>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0"/>
                <w:szCs w:val="10"/>
                <w:b w:val="1"/>
                <w:bCs w:val="1"/>
                <w:color w:val="auto"/>
              </w:rPr>
              <w:t>10.</w:t>
            </w:r>
          </w:p>
        </w:tc>
        <w:tc>
          <w:tcPr>
            <w:tcW w:w="220" w:type="dxa"/>
            <w:vAlign w:val="bottom"/>
          </w:tcPr>
          <w:p>
            <w:pPr>
              <w:spacing w:after="0"/>
              <w:rPr>
                <w:sz w:val="12"/>
                <w:szCs w:val="12"/>
                <w:color w:val="auto"/>
              </w:rPr>
            </w:pPr>
          </w:p>
        </w:tc>
        <w:tc>
          <w:tcPr>
            <w:tcW w:w="6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5"/>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Transaction</w:t>
            </w:r>
          </w:p>
        </w:tc>
        <w:tc>
          <w:tcPr>
            <w:tcW w:w="1400" w:type="dxa"/>
            <w:vAlign w:val="bottom"/>
            <w:gridSpan w:val="3"/>
          </w:tcPr>
          <w:p>
            <w:pPr>
              <w:ind w:left="80"/>
              <w:spacing w:after="0"/>
              <w:rPr>
                <w:sz w:val="20"/>
                <w:szCs w:val="20"/>
                <w:color w:val="auto"/>
              </w:rPr>
            </w:pPr>
            <w:r>
              <w:rPr>
                <w:rFonts w:ascii="Arial" w:cs="Arial" w:eastAsia="Arial" w:hAnsi="Arial"/>
                <w:sz w:val="10"/>
                <w:szCs w:val="10"/>
                <w:b w:val="1"/>
                <w:bCs w:val="1"/>
                <w:color w:val="auto"/>
              </w:rPr>
              <w:t>Securities Acquired (A) or</w:t>
            </w:r>
          </w:p>
        </w:tc>
        <w:tc>
          <w:tcPr>
            <w:tcW w:w="1460" w:type="dxa"/>
            <w:vAlign w:val="bottom"/>
            <w:gridSpan w:val="3"/>
          </w:tcPr>
          <w:p>
            <w:pPr>
              <w:ind w:left="180"/>
              <w:spacing w:after="0"/>
              <w:rPr>
                <w:sz w:val="20"/>
                <w:szCs w:val="20"/>
                <w:color w:val="auto"/>
              </w:rPr>
            </w:pPr>
            <w:r>
              <w:rPr>
                <w:rFonts w:ascii="Arial" w:cs="Arial" w:eastAsia="Arial" w:hAnsi="Arial"/>
                <w:sz w:val="10"/>
                <w:szCs w:val="10"/>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rPr>
              <w:t>Derivative</w:t>
            </w: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derivative</w:t>
            </w: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Ownership</w:t>
            </w:r>
          </w:p>
        </w:tc>
        <w:tc>
          <w:tcPr>
            <w:tcW w:w="6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5"/>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(Instr.</w:t>
            </w:r>
          </w:p>
        </w:tc>
        <w:tc>
          <w:tcPr>
            <w:tcW w:w="1400" w:type="dxa"/>
            <w:vAlign w:val="bottom"/>
            <w:gridSpan w:val="3"/>
          </w:tcPr>
          <w:p>
            <w:pPr>
              <w:ind w:left="80"/>
              <w:spacing w:after="0"/>
              <w:rPr>
                <w:sz w:val="20"/>
                <w:szCs w:val="20"/>
                <w:color w:val="auto"/>
              </w:rPr>
            </w:pPr>
            <w:r>
              <w:rPr>
                <w:rFonts w:ascii="Arial" w:cs="Arial" w:eastAsia="Arial" w:hAnsi="Arial"/>
                <w:sz w:val="10"/>
                <w:szCs w:val="10"/>
                <w:b w:val="1"/>
                <w:bCs w:val="1"/>
                <w:color w:val="auto"/>
              </w:rPr>
              <w:t>Disposed of (D) (Instr. 3, 4</w:t>
            </w:r>
          </w:p>
        </w:tc>
        <w:tc>
          <w:tcPr>
            <w:tcW w:w="1460" w:type="dxa"/>
            <w:vAlign w:val="bottom"/>
            <w:gridSpan w:val="3"/>
          </w:tcPr>
          <w:p>
            <w:pPr>
              <w:ind w:left="180"/>
              <w:spacing w:after="0"/>
              <w:rPr>
                <w:sz w:val="20"/>
                <w:szCs w:val="20"/>
                <w:color w:val="auto"/>
              </w:rPr>
            </w:pPr>
            <w:r>
              <w:rPr>
                <w:rFonts w:ascii="Arial" w:cs="Arial" w:eastAsia="Arial" w:hAnsi="Arial"/>
                <w:sz w:val="10"/>
                <w:szCs w:val="10"/>
                <w:b w:val="1"/>
                <w:bCs w:val="1"/>
                <w:color w:val="auto"/>
              </w:rPr>
              <w:t>(Month/Day/Year)</w:t>
            </w:r>
          </w:p>
        </w:tc>
        <w:tc>
          <w:tcPr>
            <w:tcW w:w="1360" w:type="dxa"/>
            <w:vAlign w:val="bottom"/>
            <w:gridSpan w:val="4"/>
          </w:tcPr>
          <w:p>
            <w:pPr>
              <w:ind w:left="60"/>
              <w:spacing w:after="0"/>
              <w:rPr>
                <w:sz w:val="20"/>
                <w:szCs w:val="20"/>
                <w:color w:val="auto"/>
              </w:rPr>
            </w:pPr>
            <w:r>
              <w:rPr>
                <w:rFonts w:ascii="Arial" w:cs="Arial" w:eastAsia="Arial" w:hAnsi="Arial"/>
                <w:sz w:val="10"/>
                <w:szCs w:val="10"/>
                <w:b w:val="1"/>
                <w:bCs w:val="1"/>
                <w:color w:val="auto"/>
              </w:rPr>
              <w:t>Derivative Security (Instr.</w:t>
            </w:r>
          </w:p>
        </w:tc>
        <w:tc>
          <w:tcPr>
            <w:tcW w:w="6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Security</w:t>
            </w: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Securities</w:t>
            </w:r>
          </w:p>
        </w:tc>
        <w:tc>
          <w:tcPr>
            <w:tcW w:w="500" w:type="dxa"/>
            <w:vAlign w:val="bottom"/>
          </w:tcPr>
          <w:p>
            <w:pPr>
              <w:ind w:left="120"/>
              <w:spacing w:after="0"/>
              <w:rPr>
                <w:sz w:val="20"/>
                <w:szCs w:val="20"/>
                <w:color w:val="auto"/>
              </w:rPr>
            </w:pPr>
            <w:r>
              <w:rPr>
                <w:rFonts w:ascii="Arial" w:cs="Arial" w:eastAsia="Arial" w:hAnsi="Arial"/>
                <w:sz w:val="10"/>
                <w:szCs w:val="10"/>
                <w:b w:val="1"/>
                <w:bCs w:val="1"/>
                <w:color w:val="auto"/>
              </w:rPr>
              <w:t>Form:</w:t>
            </w:r>
          </w:p>
        </w:tc>
        <w:tc>
          <w:tcPr>
            <w:tcW w:w="220" w:type="dxa"/>
            <w:vAlign w:val="bottom"/>
          </w:tcPr>
          <w:p>
            <w:pPr>
              <w:spacing w:after="0"/>
              <w:rPr>
                <w:sz w:val="9"/>
                <w:szCs w:val="9"/>
                <w:color w:val="auto"/>
              </w:rPr>
            </w:pPr>
          </w:p>
        </w:tc>
        <w:tc>
          <w:tcPr>
            <w:tcW w:w="6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280" w:type="dxa"/>
            <w:vAlign w:val="bottom"/>
          </w:tcPr>
          <w:p>
            <w:pPr>
              <w:spacing w:after="0"/>
              <w:rPr>
                <w:sz w:val="9"/>
                <w:szCs w:val="9"/>
                <w:color w:val="auto"/>
              </w:rPr>
            </w:pPr>
          </w:p>
        </w:tc>
        <w:tc>
          <w:tcPr>
            <w:tcW w:w="400" w:type="dxa"/>
            <w:vAlign w:val="bottom"/>
          </w:tcPr>
          <w:p>
            <w:pPr>
              <w:ind w:left="80"/>
              <w:spacing w:after="0"/>
              <w:rPr>
                <w:sz w:val="20"/>
                <w:szCs w:val="20"/>
                <w:color w:val="auto"/>
              </w:rPr>
            </w:pPr>
            <w:r>
              <w:rPr>
                <w:rFonts w:ascii="Arial" w:cs="Arial" w:eastAsia="Arial" w:hAnsi="Arial"/>
                <w:sz w:val="10"/>
                <w:szCs w:val="10"/>
                <w:b w:val="1"/>
                <w:bCs w:val="1"/>
                <w:color w:val="auto"/>
              </w:rPr>
              <w:t>and 5)</w:t>
            </w: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(Instr. 5)</w:t>
            </w: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Beneficially</w:t>
            </w: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Direct (D)</w:t>
            </w:r>
          </w:p>
        </w:tc>
        <w:tc>
          <w:tcPr>
            <w:tcW w:w="6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Owned</w:t>
            </w: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or Indirect</w:t>
            </w:r>
          </w:p>
        </w:tc>
        <w:tc>
          <w:tcPr>
            <w:tcW w:w="6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gridSpan w:val="2"/>
          </w:tcPr>
          <w:p>
            <w:pPr>
              <w:ind w:left="20"/>
              <w:spacing w:after="0" w:line="92" w:lineRule="exact"/>
              <w:rPr>
                <w:sz w:val="20"/>
                <w:szCs w:val="20"/>
                <w:color w:val="auto"/>
              </w:rPr>
            </w:pPr>
            <w:r>
              <w:rPr>
                <w:rFonts w:ascii="Arial" w:cs="Arial" w:eastAsia="Arial" w:hAnsi="Arial"/>
                <w:sz w:val="10"/>
                <w:szCs w:val="10"/>
                <w:b w:val="1"/>
                <w:bCs w:val="1"/>
                <w:color w:val="auto"/>
              </w:rPr>
              <w:t>Following</w:t>
            </w:r>
          </w:p>
        </w:tc>
        <w:tc>
          <w:tcPr>
            <w:tcW w:w="720" w:type="dxa"/>
            <w:vAlign w:val="bottom"/>
            <w:gridSpan w:val="2"/>
          </w:tcPr>
          <w:p>
            <w:pPr>
              <w:ind w:left="120"/>
              <w:spacing w:after="0" w:line="92" w:lineRule="exact"/>
              <w:rPr>
                <w:sz w:val="20"/>
                <w:szCs w:val="20"/>
                <w:color w:val="auto"/>
              </w:rPr>
            </w:pPr>
            <w:r>
              <w:rPr>
                <w:rFonts w:ascii="Arial" w:cs="Arial" w:eastAsia="Arial" w:hAnsi="Arial"/>
                <w:sz w:val="10"/>
                <w:szCs w:val="10"/>
                <w:b w:val="1"/>
                <w:bCs w:val="1"/>
                <w:color w:val="auto"/>
              </w:rPr>
              <w:t>(I) (Instr. 4)</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 or</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Reported</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Expiration</w:t>
            </w:r>
          </w:p>
        </w:tc>
        <w:tc>
          <w:tcPr>
            <w:tcW w:w="540" w:type="dxa"/>
            <w:vAlign w:val="bottom"/>
          </w:tcPr>
          <w:p>
            <w:pPr>
              <w:spacing w:after="0"/>
              <w:rPr>
                <w:sz w:val="9"/>
                <w:szCs w:val="9"/>
                <w:color w:val="auto"/>
              </w:rPr>
            </w:pP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Transaction(s)</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V</w:t>
            </w:r>
          </w:p>
        </w:tc>
        <w:tc>
          <w:tcPr>
            <w:tcW w:w="40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1000" w:type="dxa"/>
            <w:vAlign w:val="bottom"/>
            <w:gridSpan w:val="2"/>
          </w:tcPr>
          <w:p>
            <w:pPr>
              <w:ind w:left="340"/>
              <w:spacing w:after="0"/>
              <w:rPr>
                <w:sz w:val="20"/>
                <w:szCs w:val="20"/>
                <w:color w:val="auto"/>
              </w:rPr>
            </w:pPr>
            <w:r>
              <w:rPr>
                <w:rFonts w:ascii="Arial" w:cs="Arial" w:eastAsia="Arial" w:hAnsi="Arial"/>
                <w:sz w:val="10"/>
                <w:szCs w:val="10"/>
                <w:b w:val="1"/>
                <w:bCs w:val="1"/>
                <w:color w:val="auto"/>
              </w:rPr>
              <w:t>(D)</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Exercisable</w:t>
            </w:r>
          </w:p>
        </w:tc>
        <w:tc>
          <w:tcPr>
            <w:tcW w:w="700" w:type="dxa"/>
            <w:vAlign w:val="bottom"/>
          </w:tcPr>
          <w:p>
            <w:pPr>
              <w:ind w:left="120"/>
              <w:spacing w:after="0"/>
              <w:rPr>
                <w:sz w:val="20"/>
                <w:szCs w:val="20"/>
                <w:color w:val="auto"/>
              </w:rPr>
            </w:pPr>
            <w:r>
              <w:rPr>
                <w:rFonts w:ascii="Arial" w:cs="Arial" w:eastAsia="Arial" w:hAnsi="Arial"/>
                <w:sz w:val="10"/>
                <w:szCs w:val="10"/>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5"/>
                <w:szCs w:val="15"/>
                <w:color w:val="0000FF"/>
                <w:w w:val="96"/>
              </w:rPr>
              <w:t>81,761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restart"/>
          </w:tcPr>
          <w:p>
            <w:pPr>
              <w:jc w:val="right"/>
              <w:ind w:right="228"/>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03/03/2025</w:t>
            </w:r>
          </w:p>
        </w:tc>
        <w:tc>
          <w:tcPr>
            <w:tcW w:w="98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5"/>
                <w:szCs w:val="5"/>
                <w:color w:val="auto"/>
              </w:rPr>
            </w:pPr>
          </w:p>
        </w:tc>
        <w:tc>
          <w:tcPr>
            <w:tcW w:w="940" w:type="dxa"/>
            <w:vAlign w:val="bottom"/>
            <w:vMerge w:val="restart"/>
          </w:tcPr>
          <w:p>
            <w:pPr>
              <w:jc w:val="center"/>
              <w:ind w:left="405"/>
              <w:spacing w:after="0"/>
              <w:rPr>
                <w:sz w:val="20"/>
                <w:szCs w:val="20"/>
                <w:color w:val="auto"/>
              </w:rPr>
            </w:pPr>
            <w:r>
              <w:rPr>
                <w:rFonts w:ascii="Times New Roman" w:cs="Times New Roman" w:eastAsia="Times New Roman" w:hAnsi="Times New Roman"/>
                <w:sz w:val="11"/>
                <w:szCs w:val="11"/>
                <w:color w:val="0000FF"/>
              </w:rPr>
              <w:t>81,761</w:t>
            </w: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5"/>
                <w:szCs w:val="5"/>
                <w:color w:val="auto"/>
              </w:rPr>
            </w:pPr>
          </w:p>
        </w:tc>
        <w:tc>
          <w:tcPr>
            <w:tcW w:w="5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00FF"/>
              </w:rPr>
              <w:t>81,761</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2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720" w:type="dxa"/>
            <w:vAlign w:val="bottom"/>
            <w:gridSpan w:val="2"/>
            <w:vMerge w:val="restart"/>
          </w:tcPr>
          <w:p>
            <w:pPr>
              <w:ind w:left="60"/>
              <w:spacing w:after="0" w:line="207" w:lineRule="exact"/>
              <w:rPr>
                <w:sz w:val="20"/>
                <w:szCs w:val="20"/>
                <w:color w:val="auto"/>
              </w:rPr>
            </w:pPr>
            <w:r>
              <w:rPr>
                <w:rFonts w:ascii="Times New Roman" w:cs="Times New Roman" w:eastAsia="Times New Roman" w:hAnsi="Times New Roman"/>
                <w:sz w:val="11"/>
                <w:szCs w:val="11"/>
                <w:color w:val="0000FF"/>
              </w:rPr>
              <w:t>Units</w:t>
            </w:r>
            <w:r>
              <w:rPr>
                <w:rFonts w:ascii="Times New Roman" w:cs="Times New Roman" w:eastAsia="Times New Roman" w:hAnsi="Times New Roman"/>
                <w:sz w:val="19"/>
                <w:szCs w:val="19"/>
                <w:color w:val="008000"/>
                <w:vertAlign w:val="superscript"/>
              </w:rPr>
              <w:t>(9)</w:t>
            </w: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720" w:type="dxa"/>
            <w:vAlign w:val="bottom"/>
            <w:tcBorders>
              <w:bottom w:val="single" w:sz="8" w:color="2C2C2C"/>
            </w:tcBorders>
            <w:gridSpan w:val="2"/>
            <w:vMerge w:val="continue"/>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Dividend</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vMerge w:val="restart"/>
          </w:tcPr>
          <w:p>
            <w:pPr>
              <w:jc w:val="center"/>
              <w:ind w:left="25"/>
              <w:spacing w:after="0"/>
              <w:rPr>
                <w:sz w:val="20"/>
                <w:szCs w:val="20"/>
                <w:color w:val="auto"/>
              </w:rPr>
            </w:pPr>
            <w:r>
              <w:rPr>
                <w:rFonts w:ascii="Times New Roman" w:cs="Times New Roman" w:eastAsia="Times New Roman" w:hAnsi="Times New Roman"/>
                <w:sz w:val="11"/>
                <w:szCs w:val="11"/>
                <w:color w:val="0000FF"/>
                <w:w w:val="96"/>
              </w:rPr>
              <w:t>7,668.0912</w:t>
            </w:r>
            <w:r>
              <w:rPr>
                <w:rFonts w:ascii="Times New Roman" w:cs="Times New Roman" w:eastAsia="Times New Roman" w:hAnsi="Times New Roman"/>
                <w:sz w:val="19"/>
                <w:szCs w:val="19"/>
                <w:color w:val="008000"/>
                <w:w w:val="96"/>
                <w:vertAlign w:val="superscript"/>
              </w:rPr>
              <w:t>(11)</w:t>
            </w: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7,668.0912</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00FF"/>
                <w:w w:val="91"/>
              </w:rPr>
              <w:t>7,668</w:t>
            </w:r>
            <w:r>
              <w:rPr>
                <w:rFonts w:ascii="Times New Roman" w:cs="Times New Roman" w:eastAsia="Times New Roman" w:hAnsi="Times New Roman"/>
                <w:sz w:val="19"/>
                <w:szCs w:val="19"/>
                <w:color w:val="008000"/>
                <w:w w:val="91"/>
                <w:vertAlign w:val="superscript"/>
              </w:rPr>
              <w:t>(11)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Equivalent</w:t>
            </w:r>
          </w:p>
        </w:tc>
        <w:tc>
          <w:tcPr>
            <w:tcW w:w="680" w:type="dxa"/>
            <w:vAlign w:val="bottom"/>
            <w:vMerge w:val="restart"/>
          </w:tcPr>
          <w:p>
            <w:pPr>
              <w:jc w:val="right"/>
              <w:ind w:right="2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03/03/2025</w:t>
            </w:r>
          </w:p>
        </w:tc>
        <w:tc>
          <w:tcPr>
            <w:tcW w:w="980" w:type="dxa"/>
            <w:vAlign w:val="bottom"/>
          </w:tcPr>
          <w:p>
            <w:pPr>
              <w:spacing w:after="0"/>
              <w:rPr>
                <w:sz w:val="4"/>
                <w:szCs w:val="4"/>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40" w:type="dxa"/>
            <w:vAlign w:val="bottom"/>
            <w:gridSpan w:val="2"/>
            <w:vMerge w:val="continue"/>
          </w:tcPr>
          <w:p>
            <w:pPr>
              <w:spacing w:after="0"/>
              <w:rPr>
                <w:sz w:val="4"/>
                <w:szCs w:val="4"/>
                <w:color w:val="auto"/>
              </w:rPr>
            </w:pP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820" w:type="dxa"/>
            <w:vAlign w:val="bottom"/>
            <w:gridSpan w:val="3"/>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Units</w:t>
            </w: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5"/>
                <w:szCs w:val="15"/>
                <w:color w:val="0000FF"/>
                <w:w w:val="96"/>
              </w:rPr>
              <w:t>82,353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restart"/>
          </w:tcPr>
          <w:p>
            <w:pPr>
              <w:jc w:val="right"/>
              <w:ind w:right="228"/>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03/04/2025</w:t>
            </w:r>
          </w:p>
        </w:tc>
        <w:tc>
          <w:tcPr>
            <w:tcW w:w="98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5"/>
                <w:szCs w:val="5"/>
                <w:color w:val="auto"/>
              </w:rPr>
            </w:pPr>
          </w:p>
        </w:tc>
        <w:tc>
          <w:tcPr>
            <w:tcW w:w="940" w:type="dxa"/>
            <w:vAlign w:val="bottom"/>
            <w:vMerge w:val="restart"/>
          </w:tcPr>
          <w:p>
            <w:pPr>
              <w:jc w:val="center"/>
              <w:ind w:left="405"/>
              <w:spacing w:after="0"/>
              <w:rPr>
                <w:sz w:val="20"/>
                <w:szCs w:val="20"/>
                <w:color w:val="auto"/>
              </w:rPr>
            </w:pPr>
            <w:r>
              <w:rPr>
                <w:rFonts w:ascii="Times New Roman" w:cs="Times New Roman" w:eastAsia="Times New Roman" w:hAnsi="Times New Roman"/>
                <w:sz w:val="11"/>
                <w:szCs w:val="11"/>
                <w:color w:val="0000FF"/>
              </w:rPr>
              <w:t>82,353</w:t>
            </w: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5"/>
                <w:szCs w:val="5"/>
                <w:color w:val="auto"/>
              </w:rPr>
            </w:pPr>
          </w:p>
        </w:tc>
        <w:tc>
          <w:tcPr>
            <w:tcW w:w="5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2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720" w:type="dxa"/>
            <w:vAlign w:val="bottom"/>
            <w:gridSpan w:val="2"/>
            <w:vMerge w:val="restart"/>
          </w:tcPr>
          <w:p>
            <w:pPr>
              <w:ind w:left="60"/>
              <w:spacing w:after="0" w:line="207" w:lineRule="exact"/>
              <w:rPr>
                <w:sz w:val="20"/>
                <w:szCs w:val="20"/>
                <w:color w:val="auto"/>
              </w:rPr>
            </w:pPr>
            <w:r>
              <w:rPr>
                <w:rFonts w:ascii="Times New Roman" w:cs="Times New Roman" w:eastAsia="Times New Roman" w:hAnsi="Times New Roman"/>
                <w:sz w:val="11"/>
                <w:szCs w:val="11"/>
                <w:color w:val="0000FF"/>
              </w:rPr>
              <w:t>Units</w:t>
            </w:r>
            <w:r>
              <w:rPr>
                <w:rFonts w:ascii="Times New Roman" w:cs="Times New Roman" w:eastAsia="Times New Roman" w:hAnsi="Times New Roman"/>
                <w:sz w:val="19"/>
                <w:szCs w:val="19"/>
                <w:color w:val="008000"/>
                <w:vertAlign w:val="superscript"/>
              </w:rPr>
              <w:t>(9)</w:t>
            </w: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720" w:type="dxa"/>
            <w:vAlign w:val="bottom"/>
            <w:tcBorders>
              <w:bottom w:val="single" w:sz="8" w:color="2C2C2C"/>
            </w:tcBorders>
            <w:gridSpan w:val="2"/>
            <w:vMerge w:val="continue"/>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Dividend</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vMerge w:val="restart"/>
          </w:tcPr>
          <w:p>
            <w:pPr>
              <w:jc w:val="center"/>
              <w:ind w:left="25"/>
              <w:spacing w:after="0"/>
              <w:rPr>
                <w:sz w:val="20"/>
                <w:szCs w:val="20"/>
                <w:color w:val="auto"/>
              </w:rPr>
            </w:pPr>
            <w:r>
              <w:rPr>
                <w:rFonts w:ascii="Times New Roman" w:cs="Times New Roman" w:eastAsia="Times New Roman" w:hAnsi="Times New Roman"/>
                <w:sz w:val="11"/>
                <w:szCs w:val="11"/>
                <w:color w:val="0000FF"/>
                <w:w w:val="94"/>
              </w:rPr>
              <w:t>10,961.2736</w:t>
            </w:r>
            <w:r>
              <w:rPr>
                <w:rFonts w:ascii="Times New Roman" w:cs="Times New Roman" w:eastAsia="Times New Roman" w:hAnsi="Times New Roman"/>
                <w:sz w:val="19"/>
                <w:szCs w:val="19"/>
                <w:color w:val="008000"/>
                <w:w w:val="94"/>
                <w:vertAlign w:val="superscript"/>
              </w:rPr>
              <w:t>(11)</w:t>
            </w: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10,961.2736</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Equivalent</w:t>
            </w:r>
          </w:p>
        </w:tc>
        <w:tc>
          <w:tcPr>
            <w:tcW w:w="680" w:type="dxa"/>
            <w:vAlign w:val="bottom"/>
          </w:tcPr>
          <w:p>
            <w:pPr>
              <w:jc w:val="right"/>
              <w:ind w:right="228"/>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03/04/2025</w:t>
            </w:r>
          </w:p>
        </w:tc>
        <w:tc>
          <w:tcPr>
            <w:tcW w:w="980" w:type="dxa"/>
            <w:vAlign w:val="bottom"/>
          </w:tcPr>
          <w:p>
            <w:pPr>
              <w:spacing w:after="0"/>
              <w:rPr>
                <w:sz w:val="10"/>
                <w:szCs w:val="1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700" w:type="dxa"/>
            <w:vAlign w:val="bottom"/>
            <w:gridSpan w:val="2"/>
          </w:tcPr>
          <w:p>
            <w:pPr>
              <w:jc w:val="center"/>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0"/>
                <w:szCs w:val="10"/>
                <w:color w:val="auto"/>
              </w:rPr>
            </w:pPr>
          </w:p>
        </w:tc>
        <w:tc>
          <w:tcPr>
            <w:tcW w:w="540" w:type="dxa"/>
            <w:vAlign w:val="bottom"/>
          </w:tcPr>
          <w:p>
            <w:pPr>
              <w:jc w:val="center"/>
              <w:ind w:right="105"/>
              <w:spacing w:after="0"/>
              <w:rPr>
                <w:sz w:val="20"/>
                <w:szCs w:val="20"/>
                <w:color w:val="auto"/>
              </w:rPr>
            </w:pPr>
            <w:r>
              <w:rPr>
                <w:rFonts w:ascii="Times New Roman" w:cs="Times New Roman" w:eastAsia="Times New Roman" w:hAnsi="Times New Roman"/>
                <w:sz w:val="11"/>
                <w:szCs w:val="11"/>
                <w:color w:val="0000FF"/>
              </w:rPr>
              <w:t>0</w:t>
            </w:r>
          </w:p>
        </w:tc>
        <w:tc>
          <w:tcPr>
            <w:tcW w:w="500" w:type="dxa"/>
            <w:vAlign w:val="bottom"/>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Units</w:t>
            </w: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0000FF"/>
              </w:rPr>
              <w:t>Stock</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2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7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5"/>
                <w:szCs w:val="15"/>
                <w:color w:val="0000FF"/>
                <w:w w:val="96"/>
              </w:rPr>
              <w:t>18,845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restart"/>
          </w:tcPr>
          <w:p>
            <w:pPr>
              <w:jc w:val="right"/>
              <w:ind w:right="228"/>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03/04/2025</w:t>
            </w:r>
          </w:p>
        </w:tc>
        <w:tc>
          <w:tcPr>
            <w:tcW w:w="98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5"/>
                <w:szCs w:val="5"/>
                <w:color w:val="auto"/>
              </w:rPr>
            </w:pPr>
          </w:p>
        </w:tc>
        <w:tc>
          <w:tcPr>
            <w:tcW w:w="940" w:type="dxa"/>
            <w:vAlign w:val="bottom"/>
            <w:vMerge w:val="restart"/>
          </w:tcPr>
          <w:p>
            <w:pPr>
              <w:jc w:val="center"/>
              <w:ind w:left="405"/>
              <w:spacing w:after="0"/>
              <w:rPr>
                <w:sz w:val="20"/>
                <w:szCs w:val="20"/>
                <w:color w:val="auto"/>
              </w:rPr>
            </w:pPr>
            <w:r>
              <w:rPr>
                <w:rFonts w:ascii="Times New Roman" w:cs="Times New Roman" w:eastAsia="Times New Roman" w:hAnsi="Times New Roman"/>
                <w:sz w:val="11"/>
                <w:szCs w:val="11"/>
                <w:color w:val="0000FF"/>
              </w:rPr>
              <w:t>18,845</w:t>
            </w: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(16)</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5"/>
                <w:szCs w:val="5"/>
                <w:color w:val="auto"/>
              </w:rPr>
            </w:pPr>
          </w:p>
        </w:tc>
        <w:tc>
          <w:tcPr>
            <w:tcW w:w="5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2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720" w:type="dxa"/>
            <w:vAlign w:val="bottom"/>
            <w:gridSpan w:val="2"/>
            <w:vMerge w:val="restart"/>
          </w:tcPr>
          <w:p>
            <w:pPr>
              <w:ind w:left="60"/>
              <w:spacing w:after="0" w:line="207" w:lineRule="exact"/>
              <w:rPr>
                <w:sz w:val="20"/>
                <w:szCs w:val="20"/>
                <w:color w:val="auto"/>
              </w:rPr>
            </w:pPr>
            <w:r>
              <w:rPr>
                <w:rFonts w:ascii="Times New Roman" w:cs="Times New Roman" w:eastAsia="Times New Roman" w:hAnsi="Times New Roman"/>
                <w:sz w:val="11"/>
                <w:szCs w:val="11"/>
                <w:color w:val="0000FF"/>
              </w:rPr>
              <w:t>Units</w:t>
            </w:r>
            <w:r>
              <w:rPr>
                <w:rFonts w:ascii="Times New Roman" w:cs="Times New Roman" w:eastAsia="Times New Roman" w:hAnsi="Times New Roman"/>
                <w:sz w:val="19"/>
                <w:szCs w:val="19"/>
                <w:color w:val="008000"/>
                <w:vertAlign w:val="superscript"/>
              </w:rPr>
              <w:t>(15)</w:t>
            </w: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720" w:type="dxa"/>
            <w:vAlign w:val="bottom"/>
            <w:tcBorders>
              <w:bottom w:val="single" w:sz="8" w:color="2C2C2C"/>
            </w:tcBorders>
            <w:gridSpan w:val="2"/>
            <w:vMerge w:val="continue"/>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Dividend</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center"/>
              <w:ind w:left="345"/>
              <w:spacing w:after="0"/>
              <w:rPr>
                <w:sz w:val="20"/>
                <w:szCs w:val="20"/>
                <w:color w:val="auto"/>
              </w:rPr>
            </w:pPr>
            <w:r>
              <w:rPr>
                <w:rFonts w:ascii="Times New Roman" w:cs="Times New Roman" w:eastAsia="Times New Roman" w:hAnsi="Times New Roman"/>
                <w:sz w:val="11"/>
                <w:szCs w:val="11"/>
                <w:color w:val="0000FF"/>
                <w:w w:val="96"/>
              </w:rPr>
              <w:t>601.6204</w:t>
            </w:r>
            <w:r>
              <w:rPr>
                <w:rFonts w:ascii="Times New Roman" w:cs="Times New Roman" w:eastAsia="Times New Roman" w:hAnsi="Times New Roman"/>
                <w:sz w:val="19"/>
                <w:szCs w:val="19"/>
                <w:color w:val="008000"/>
                <w:w w:val="96"/>
                <w:vertAlign w:val="superscript"/>
              </w:rPr>
              <w:t>(11)</w:t>
            </w:r>
          </w:p>
        </w:tc>
        <w:tc>
          <w:tcPr>
            <w:tcW w:w="320" w:type="dxa"/>
            <w:vAlign w:val="bottom"/>
          </w:tcPr>
          <w:p>
            <w:pPr>
              <w:spacing w:after="0"/>
              <w:rPr>
                <w:sz w:val="14"/>
                <w:szCs w:val="14"/>
                <w:color w:val="auto"/>
              </w:rPr>
            </w:pP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5"/>
                <w:szCs w:val="15"/>
                <w:color w:val="0000FF"/>
                <w:w w:val="99"/>
              </w:rPr>
              <w:t>601.6204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Equivalent</w:t>
            </w:r>
          </w:p>
        </w:tc>
        <w:tc>
          <w:tcPr>
            <w:tcW w:w="680" w:type="dxa"/>
            <w:vAlign w:val="bottom"/>
            <w:vMerge w:val="restart"/>
          </w:tcPr>
          <w:p>
            <w:pPr>
              <w:jc w:val="right"/>
              <w:ind w:right="2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03/04/2025</w:t>
            </w:r>
          </w:p>
        </w:tc>
        <w:tc>
          <w:tcPr>
            <w:tcW w:w="980" w:type="dxa"/>
            <w:vAlign w:val="bottom"/>
          </w:tcPr>
          <w:p>
            <w:pPr>
              <w:spacing w:after="0"/>
              <w:rPr>
                <w:sz w:val="4"/>
                <w:szCs w:val="4"/>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4"/>
                <w:szCs w:val="4"/>
                <w:color w:val="auto"/>
              </w:rPr>
            </w:pPr>
          </w:p>
        </w:tc>
        <w:tc>
          <w:tcPr>
            <w:tcW w:w="5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Units</w:t>
            </w: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Performance</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80" w:type="dxa"/>
            <w:vAlign w:val="bottom"/>
            <w:vMerge w:val="restart"/>
          </w:tcPr>
          <w:p>
            <w:pPr>
              <w:jc w:val="right"/>
              <w:ind w:right="2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03/04/2025</w:t>
            </w:r>
          </w:p>
        </w:tc>
        <w:tc>
          <w:tcPr>
            <w:tcW w:w="98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A</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0000FF"/>
              </w:rPr>
              <w:t>779,841</w:t>
            </w:r>
            <w:r>
              <w:rPr>
                <w:rFonts w:ascii="Times New Roman" w:cs="Times New Roman" w:eastAsia="Times New Roman" w:hAnsi="Times New Roman"/>
                <w:sz w:val="19"/>
                <w:szCs w:val="19"/>
                <w:color w:val="008000"/>
                <w:vertAlign w:val="superscript"/>
              </w:rPr>
              <w:t>(18)</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(19)</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5"/>
                <w:szCs w:val="15"/>
                <w:color w:val="0000FF"/>
                <w:w w:val="98"/>
              </w:rPr>
              <w:t>779,841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0"/>
                <w:szCs w:val="10"/>
                <w:color w:val="auto"/>
              </w:rPr>
            </w:pPr>
          </w:p>
        </w:tc>
        <w:tc>
          <w:tcPr>
            <w:tcW w:w="5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1"/>
                <w:szCs w:val="11"/>
                <w:color w:val="0000FF"/>
              </w:rPr>
              <w:t>779,841</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720" w:type="dxa"/>
            <w:vAlign w:val="bottom"/>
            <w:tcBorders>
              <w:bottom w:val="single" w:sz="8" w:color="2C2C2C"/>
            </w:tcBorders>
            <w:gridSpan w:val="2"/>
          </w:tcPr>
          <w:p>
            <w:pPr>
              <w:ind w:left="60"/>
              <w:spacing w:after="0" w:line="207" w:lineRule="exact"/>
              <w:rPr>
                <w:sz w:val="20"/>
                <w:szCs w:val="20"/>
                <w:color w:val="auto"/>
              </w:rPr>
            </w:pPr>
            <w:r>
              <w:rPr>
                <w:rFonts w:ascii="Times New Roman" w:cs="Times New Roman" w:eastAsia="Times New Roman" w:hAnsi="Times New Roman"/>
                <w:sz w:val="22"/>
                <w:szCs w:val="22"/>
                <w:color w:val="0000FF"/>
                <w:vertAlign w:val="subscript"/>
              </w:rPr>
              <w:t>Units</w:t>
            </w:r>
            <w:r>
              <w:rPr>
                <w:rFonts w:ascii="Times New Roman" w:cs="Times New Roman" w:eastAsia="Times New Roman" w:hAnsi="Times New Roman"/>
                <w:sz w:val="10"/>
                <w:szCs w:val="10"/>
                <w:color w:val="008000"/>
              </w:rPr>
              <w:t>(9)(18)</w:t>
            </w:r>
          </w:p>
        </w:tc>
        <w:tc>
          <w:tcPr>
            <w:tcW w:w="6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Performance</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vMerge w:val="restart"/>
          </w:tcPr>
          <w:p>
            <w:pPr>
              <w:jc w:val="center"/>
              <w:ind w:right="72"/>
              <w:spacing w:after="0"/>
              <w:rPr>
                <w:sz w:val="20"/>
                <w:szCs w:val="20"/>
                <w:color w:val="auto"/>
              </w:rPr>
            </w:pPr>
            <w:r>
              <w:rPr>
                <w:rFonts w:ascii="Times New Roman" w:cs="Times New Roman" w:eastAsia="Times New Roman" w:hAnsi="Times New Roman"/>
                <w:sz w:val="10"/>
                <w:szCs w:val="10"/>
                <w:color w:val="008000"/>
                <w:w w:val="95"/>
              </w:rPr>
              <w:t>(19)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5"/>
                <w:szCs w:val="15"/>
                <w:color w:val="0000FF"/>
                <w:w w:val="98"/>
              </w:rPr>
              <w:t>779,841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80" w:type="dxa"/>
            <w:vAlign w:val="bottom"/>
            <w:vMerge w:val="restart"/>
          </w:tcPr>
          <w:p>
            <w:pPr>
              <w:jc w:val="right"/>
              <w:ind w:right="2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03/04/2025</w:t>
            </w:r>
          </w:p>
        </w:tc>
        <w:tc>
          <w:tcPr>
            <w:tcW w:w="980" w:type="dxa"/>
            <w:vAlign w:val="bottom"/>
          </w:tcPr>
          <w:p>
            <w:pPr>
              <w:spacing w:after="0"/>
              <w:rPr>
                <w:sz w:val="4"/>
                <w:szCs w:val="4"/>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4"/>
                <w:szCs w:val="4"/>
                <w:color w:val="auto"/>
              </w:rPr>
            </w:pPr>
          </w:p>
        </w:tc>
        <w:tc>
          <w:tcPr>
            <w:tcW w:w="940" w:type="dxa"/>
            <w:vAlign w:val="bottom"/>
            <w:vMerge w:val="restart"/>
          </w:tcPr>
          <w:p>
            <w:pPr>
              <w:jc w:val="center"/>
              <w:ind w:left="405"/>
              <w:spacing w:after="0"/>
              <w:rPr>
                <w:sz w:val="20"/>
                <w:szCs w:val="20"/>
                <w:color w:val="auto"/>
              </w:rPr>
            </w:pPr>
            <w:r>
              <w:rPr>
                <w:rFonts w:ascii="Times New Roman" w:cs="Times New Roman" w:eastAsia="Times New Roman" w:hAnsi="Times New Roman"/>
                <w:sz w:val="11"/>
                <w:szCs w:val="11"/>
                <w:color w:val="0000FF"/>
              </w:rPr>
              <w:t>779,841</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4"/>
                <w:szCs w:val="4"/>
                <w:color w:val="auto"/>
              </w:rPr>
            </w:pPr>
          </w:p>
        </w:tc>
        <w:tc>
          <w:tcPr>
            <w:tcW w:w="5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00FF"/>
              </w:rPr>
              <w:t>D</w:t>
            </w: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Stock Units</w:t>
            </w: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-3689350</wp:posOffset>
            </wp:positionV>
            <wp:extent cx="27305" cy="3695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369570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7" w:lineRule="exact"/>
        <w:rPr>
          <w:sz w:val="20"/>
          <w:szCs w:val="20"/>
          <w:color w:val="auto"/>
        </w:rPr>
      </w:pPr>
    </w:p>
    <w:p>
      <w:pPr>
        <w:ind w:left="140" w:hanging="114"/>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restricted stock units (RSUs) granted on March 3, 2023.</w:t>
      </w:r>
    </w:p>
    <w:p>
      <w:pPr>
        <w:spacing w:after="0" w:line="45"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Fractional shares have been rounded up in connection with the settlement described in footnote 12 pursuant to the terms of the RSU award agreement under the Viatris Inc. 2020 Stock Incentive Plan.</w:t>
      </w:r>
    </w:p>
    <w:p>
      <w:pPr>
        <w:spacing w:after="0" w:line="45" w:lineRule="exact"/>
        <w:rPr>
          <w:rFonts w:ascii="Times New Roman" w:cs="Times New Roman" w:eastAsia="Times New Roman" w:hAnsi="Times New Roman"/>
          <w:sz w:val="11"/>
          <w:szCs w:val="11"/>
          <w:color w:val="008000"/>
        </w:rPr>
      </w:pPr>
    </w:p>
    <w:p>
      <w:pPr>
        <w:ind w:left="20" w:right="180" w:firstLine="6"/>
        <w:spacing w:after="0" w:line="260" w:lineRule="auto"/>
        <w:tabs>
          <w:tab w:leader="none" w:pos="13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dividend equivalent units (DEUs) that accrued with respect to the RSUs previously granted on March 3, 2023.</w:t>
      </w:r>
    </w:p>
    <w:p>
      <w:pPr>
        <w:spacing w:after="0" w:line="161"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RSUs granted on March 4, 2022.</w:t>
      </w:r>
    </w:p>
    <w:p>
      <w:pPr>
        <w:spacing w:after="0" w:line="45"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Fractional shares have been rounded up in connection with the settlement described in footnote 14 pursuant to the terms of the RSU award agreement under the Viatris Inc. 2020 Stock Incentive Plan.</w:t>
      </w:r>
    </w:p>
    <w:p>
      <w:pPr>
        <w:sectPr>
          <w:pgSz w:w="11900" w:h="16852" w:orient="portrait"/>
          <w:cols w:equalWidth="0" w:num="1">
            <w:col w:w="11080"/>
          </w:cols>
          <w:pgMar w:left="460" w:top="208" w:right="359" w:bottom="0" w:gutter="0" w:footer="0" w:header="0"/>
          <w:type w:val="continuous"/>
        </w:sectPr>
      </w:pPr>
    </w:p>
    <w:bookmarkStart w:id="1" w:name="page2"/>
    <w:bookmarkEnd w:id="1"/>
    <w:p>
      <w:pPr>
        <w:ind w:left="120" w:hanging="114"/>
        <w:spacing w:after="0"/>
        <w:tabs>
          <w:tab w:leader="none" w:pos="12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DEUs that accrued with respect to the RSUs previously granted on March 4, 2022.</w:t>
      </w:r>
    </w:p>
    <w:p>
      <w:pPr>
        <w:spacing w:after="0" w:line="45" w:lineRule="exact"/>
        <w:rPr>
          <w:rFonts w:ascii="Times New Roman" w:cs="Times New Roman" w:eastAsia="Times New Roman" w:hAnsi="Times New Roman"/>
          <w:sz w:val="11"/>
          <w:szCs w:val="11"/>
          <w:color w:val="008000"/>
        </w:rPr>
      </w:pPr>
    </w:p>
    <w:p>
      <w:pPr>
        <w:ind w:left="120" w:hanging="114"/>
        <w:spacing w:after="0"/>
        <w:tabs>
          <w:tab w:leader="none" w:pos="12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Fractional shares have been rounded up in connection with the settlement described in footnote 17 pursuant to the terms of the RSU award agreement under the Viatris Inc. 2020 Stock Incentive Plan.</w:t>
      </w:r>
    </w:p>
    <w:p>
      <w:pPr>
        <w:spacing w:after="0" w:line="45" w:lineRule="exact"/>
        <w:rPr>
          <w:rFonts w:ascii="Times New Roman" w:cs="Times New Roman" w:eastAsia="Times New Roman" w:hAnsi="Times New Roman"/>
          <w:sz w:val="11"/>
          <w:szCs w:val="11"/>
          <w:color w:val="008000"/>
        </w:rPr>
      </w:pPr>
    </w:p>
    <w:p>
      <w:pPr>
        <w:ind w:left="120" w:hanging="114"/>
        <w:spacing w:after="0"/>
        <w:tabs>
          <w:tab w:leader="none" w:pos="12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the performance restricted stock units (PRSUs) granted on March 4, 2022.</w:t>
      </w:r>
    </w:p>
    <w:p>
      <w:pPr>
        <w:spacing w:after="0" w:line="45" w:lineRule="exact"/>
        <w:rPr>
          <w:rFonts w:ascii="Times New Roman" w:cs="Times New Roman" w:eastAsia="Times New Roman" w:hAnsi="Times New Roman"/>
          <w:sz w:val="11"/>
          <w:szCs w:val="11"/>
          <w:color w:val="008000"/>
        </w:rPr>
      </w:pPr>
    </w:p>
    <w:p>
      <w:pPr>
        <w:ind w:right="260" w:firstLine="6"/>
        <w:spacing w:after="0" w:line="281" w:lineRule="auto"/>
        <w:tabs>
          <w:tab w:leader="none" w:pos="115"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As previously disclosed on October 20, 2023, the reporting person informed Viatris Inc. (Viatris) of his intention to retire from his executive role with Viatris effective as of April 1, 2024 and agreed to remain a member of Viatris' Board of Directors. Represents award granted for executive service.</w:t>
      </w:r>
    </w:p>
    <w:p>
      <w:pPr>
        <w:spacing w:after="0" w:line="2"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81,762 of the RSUs granted on March 3, 2023 vested on March 3, 2024, 81,761 vested on March 3, 2025 and 81,761 will vest on March 3, 2026.</w:t>
      </w:r>
    </w:p>
    <w:p>
      <w:pPr>
        <w:spacing w:after="0" w:line="45"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DEUs that accrued with respect to the RSUs previously granted on March 3, 2023 and vest on the same schedule as the underlying RSUs.</w:t>
      </w:r>
    </w:p>
    <w:p>
      <w:pPr>
        <w:spacing w:after="0" w:line="45"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82,353 of the RSUs granted on March 4, 2022 vested on each of March 4, 2023, March 4, 2024 and March 4, 2025.</w:t>
      </w:r>
    </w:p>
    <w:p>
      <w:pPr>
        <w:spacing w:after="0" w:line="45"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DEUs that accrued with respect to the RSUs previously granted on March 4, 2022 and vest on the same schedule as the underlying RSUs.</w:t>
      </w:r>
    </w:p>
    <w:p>
      <w:pPr>
        <w:spacing w:after="0" w:line="45" w:lineRule="exact"/>
        <w:rPr>
          <w:rFonts w:ascii="Times New Roman" w:cs="Times New Roman" w:eastAsia="Times New Roman" w:hAnsi="Times New Roman"/>
          <w:sz w:val="11"/>
          <w:szCs w:val="11"/>
          <w:color w:val="008000"/>
        </w:rPr>
      </w:pPr>
    </w:p>
    <w:p>
      <w:pPr>
        <w:ind w:firstLine="6"/>
        <w:spacing w:after="0" w:line="267" w:lineRule="auto"/>
        <w:tabs>
          <w:tab w:leader="none" w:pos="172"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As previously disclosed on October 20, 2023, the reporting person informed Viatris of his intention to retire from his executive role with Viatris effective as of April 1, 2024 and agreed to remain a member of Viatris' Board of Directors. As a non-employee director, the reporting person is eligible to participate in Viatris' non-employee director compensation program. Represents RSUs granted for such service, consistent with the grants provided to Viatris' other non-employee directors.</w:t>
      </w:r>
    </w:p>
    <w:p>
      <w:pPr>
        <w:spacing w:after="0" w:line="143"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These RSUs vested in full on March 4, 2025.</w:t>
      </w:r>
    </w:p>
    <w:p>
      <w:pPr>
        <w:spacing w:after="0" w:line="45" w:lineRule="exact"/>
        <w:rPr>
          <w:rFonts w:ascii="Times New Roman" w:cs="Times New Roman" w:eastAsia="Times New Roman" w:hAnsi="Times New Roman"/>
          <w:sz w:val="11"/>
          <w:szCs w:val="11"/>
          <w:color w:val="008000"/>
        </w:rPr>
      </w:pPr>
    </w:p>
    <w:p>
      <w:pPr>
        <w:ind w:left="180" w:hanging="174"/>
        <w:spacing w:after="0"/>
        <w:tabs>
          <w:tab w:leader="none" w:pos="18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DEUs that accrued with respect to the RSUs previously granted on April 2, 2024 and vested on the same schedule as the underlying RSUs.</w:t>
      </w:r>
    </w:p>
    <w:p>
      <w:pPr>
        <w:spacing w:after="0" w:line="45" w:lineRule="exact"/>
        <w:rPr>
          <w:rFonts w:ascii="Times New Roman" w:cs="Times New Roman" w:eastAsia="Times New Roman" w:hAnsi="Times New Roman"/>
          <w:sz w:val="11"/>
          <w:szCs w:val="11"/>
          <w:color w:val="008000"/>
        </w:rPr>
      </w:pPr>
    </w:p>
    <w:p>
      <w:pPr>
        <w:ind w:right="20" w:firstLine="6"/>
        <w:spacing w:after="0" w:line="281" w:lineRule="auto"/>
        <w:tabs>
          <w:tab w:leader="none" w:pos="172"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Amount includes DEUs that accrued with respect to the PRSUs previously granted on March 4, 2022 and vest on the same schedule as the underlying PRSUs. Fractional shares with respect to such DEUs were rounded up pursuant to the terms of the PRSU award agreement under the Viatris Inc. 2020 Stock Incentive Plan.</w:t>
      </w:r>
    </w:p>
    <w:p>
      <w:pPr>
        <w:spacing w:after="0" w:line="2" w:lineRule="exact"/>
        <w:rPr>
          <w:rFonts w:ascii="Times New Roman" w:cs="Times New Roman" w:eastAsia="Times New Roman" w:hAnsi="Times New Roman"/>
          <w:sz w:val="11"/>
          <w:szCs w:val="11"/>
          <w:color w:val="008000"/>
        </w:rPr>
      </w:pPr>
    </w:p>
    <w:p>
      <w:pPr>
        <w:ind w:right="200" w:firstLine="6"/>
        <w:spacing w:after="0" w:line="261" w:lineRule="auto"/>
        <w:tabs>
          <w:tab w:leader="none" w:pos="172"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PRSU represents the right to receive one share of common stock of Viatris. The PRSUs were initially granted on March 4, 2022, subject to the attainment of previously established three-year performance goals and a vesting period. The PRSUs vested on March 4, 2025.</w:t>
      </w:r>
    </w:p>
    <w:p>
      <w:pPr>
        <w:ind w:left="6580"/>
        <w:spacing w:after="0" w:line="183"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28"/>
          <w:szCs w:val="28"/>
          <w:color w:val="0000FF"/>
          <w:vertAlign w:val="subscript"/>
        </w:rPr>
        <w:t>03/05/2025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-24130</wp:posOffset>
            </wp:positionV>
            <wp:extent cx="13436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-17145</wp:posOffset>
            </wp:positionV>
            <wp:extent cx="3105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0515" cy="698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-75565</wp:posOffset>
            </wp:positionV>
            <wp:extent cx="4318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1800" cy="6985"/>
                    </a:xfrm>
                    <a:prstGeom prst="rect">
                      <a:avLst/>
                    </a:prstGeom>
                    <a:noFill/>
                  </pic:spPr>
                </pic:pic>
              </a:graphicData>
            </a:graphic>
          </wp:anchor>
        </w:drawing>
      </w:r>
    </w:p>
    <w:p>
      <w:pPr>
        <w:spacing w:after="0" w:line="2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1"/>
          <w:szCs w:val="11"/>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6" w:lineRule="exact"/>
        <w:rPr>
          <w:sz w:val="20"/>
          <w:szCs w:val="20"/>
          <w:color w:val="auto"/>
        </w:rPr>
      </w:pPr>
    </w:p>
    <w:p>
      <w:pPr>
        <w:jc w:val="both"/>
        <w:ind w:right="4240" w:firstLine="6"/>
        <w:spacing w:after="0" w:line="325" w:lineRule="auto"/>
        <w:tabs>
          <w:tab w:leader="none" w:pos="121"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2025-03-05T18:12:04Z</dcterms:created>
  <dcterms:modified xsi:type="dcterms:W3CDTF">2025-03-05T18:12:04Z</dcterms:modified>
</cp:coreProperties>
</file>