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153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15366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KILTS JAMES M</w:t>
        </w:r>
      </w:hyperlink>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(Last)</w:t>
            </w:r>
          </w:p>
        </w:tc>
        <w:tc>
          <w:tcPr>
            <w:tcW w:w="1040" w:type="dxa"/>
            <w:vAlign w:val="bottom"/>
          </w:tcPr>
          <w:p>
            <w:pPr>
              <w:ind w:left="60"/>
              <w:spacing w:after="0"/>
              <w:rPr>
                <w:sz w:val="20"/>
                <w:szCs w:val="20"/>
                <w:color w:val="auto"/>
              </w:rPr>
            </w:pPr>
            <w:r>
              <w:rPr>
                <w:rFonts w:ascii="Arial" w:cs="Arial" w:eastAsia="Arial" w:hAnsi="Arial"/>
                <w:sz w:val="12"/>
                <w:szCs w:val="12"/>
                <w:color w:val="auto"/>
              </w:rPr>
              <w:t>(First)</w:t>
            </w:r>
          </w:p>
        </w:tc>
        <w:tc>
          <w:tcPr>
            <w:tcW w:w="1440" w:type="dxa"/>
            <w:vAlign w:val="bottom"/>
          </w:tcPr>
          <w:p>
            <w:pPr>
              <w:ind w:left="24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144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CANONSBURG</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w:t>
            </w:r>
          </w:p>
        </w:tc>
        <w:tc>
          <w:tcPr>
            <w:tcW w:w="14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15317</w:t>
            </w:r>
          </w:p>
        </w:tc>
      </w:tr>
      <w:tr>
        <w:trPr>
          <w:trHeight w:val="142"/>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(City)</w:t>
            </w:r>
          </w:p>
        </w:tc>
        <w:tc>
          <w:tcPr>
            <w:tcW w:w="1040" w:type="dxa"/>
            <w:vAlign w:val="bottom"/>
          </w:tcPr>
          <w:p>
            <w:pPr>
              <w:ind w:left="60"/>
              <w:spacing w:after="0"/>
              <w:rPr>
                <w:sz w:val="20"/>
                <w:szCs w:val="20"/>
                <w:color w:val="auto"/>
              </w:rPr>
            </w:pPr>
            <w:r>
              <w:rPr>
                <w:rFonts w:ascii="Arial" w:cs="Arial" w:eastAsia="Arial" w:hAnsi="Arial"/>
                <w:sz w:val="12"/>
                <w:szCs w:val="12"/>
                <w:color w:val="auto"/>
              </w:rPr>
              <w:t>(State)</w:t>
            </w:r>
          </w:p>
        </w:tc>
        <w:tc>
          <w:tcPr>
            <w:tcW w:w="1440" w:type="dxa"/>
            <w:vAlign w:val="bottom"/>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3"/>
        </w:trPr>
        <w:tc>
          <w:tcPr>
            <w:tcW w:w="60" w:type="dxa"/>
            <w:vAlign w:val="bottom"/>
          </w:tcPr>
          <w:p>
            <w:pPr>
              <w:spacing w:after="0"/>
              <w:rPr>
                <w:sz w:val="17"/>
                <w:szCs w:val="17"/>
                <w:color w:val="auto"/>
              </w:rPr>
            </w:pPr>
          </w:p>
        </w:tc>
        <w:tc>
          <w:tcPr>
            <w:tcW w:w="3780" w:type="dxa"/>
            <w:vAlign w:val="bottom"/>
            <w:gridSpan w:val="3"/>
          </w:tcPr>
          <w:p>
            <w:pPr>
              <w:spacing w:after="0" w:line="19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Viatris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720" w:type="dxa"/>
            <w:vAlign w:val="bottom"/>
            <w:tcBorders>
              <w:top w:val="single" w:sz="8" w:color="0000EE"/>
              <w:bottom w:val="single" w:sz="8" w:color="2C2C2C"/>
            </w:tcBorders>
          </w:tcPr>
          <w:p>
            <w:pPr>
              <w:spacing w:after="0"/>
              <w:rPr>
                <w:sz w:val="11"/>
                <w:szCs w:val="11"/>
                <w:color w:val="auto"/>
              </w:rPr>
            </w:pPr>
          </w:p>
        </w:tc>
        <w:tc>
          <w:tcPr>
            <w:tcW w:w="29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4" w:lineRule="exact"/>
              <w:rPr>
                <w:sz w:val="20"/>
                <w:szCs w:val="20"/>
                <w:color w:val="auto"/>
              </w:rPr>
            </w:pPr>
            <w:r>
              <w:rPr>
                <w:rFonts w:ascii="Arial" w:cs="Arial" w:eastAsia="Arial" w:hAnsi="Arial"/>
                <w:sz w:val="12"/>
                <w:szCs w:val="12"/>
                <w:color w:val="auto"/>
              </w:rPr>
              <w:t>10% Owner</w:t>
            </w:r>
          </w:p>
        </w:tc>
      </w:tr>
      <w:tr>
        <w:trPr>
          <w:trHeight w:val="18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09"/>
        </w:trPr>
        <w:tc>
          <w:tcPr>
            <w:tcW w:w="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03/03/2024</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2"/>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3" w:lineRule="exact"/>
        <w:rPr>
          <w:sz w:val="24"/>
          <w:szCs w:val="24"/>
          <w:color w:val="auto"/>
        </w:rPr>
      </w:pPr>
    </w:p>
    <w:p>
      <w:pPr>
        <w:ind w:left="320" w:right="380"/>
        <w:spacing w:after="0" w:line="27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17,970</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116,560</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right="4"/>
              <w:spacing w:after="0" w:line="296" w:lineRule="exact"/>
              <w:rPr>
                <w:sz w:val="20"/>
                <w:szCs w:val="20"/>
                <w:color w:val="auto"/>
              </w:rPr>
            </w:pPr>
            <w:r>
              <w:rPr>
                <w:rFonts w:ascii="Times New Roman" w:cs="Times New Roman" w:eastAsia="Times New Roman" w:hAnsi="Times New Roman"/>
                <w:sz w:val="32"/>
                <w:szCs w:val="32"/>
                <w:color w:val="0000FF"/>
                <w:vertAlign w:val="subscript"/>
              </w:rPr>
              <w:t>885</w:t>
            </w:r>
            <w:r>
              <w:rPr>
                <w:rFonts w:ascii="Times New Roman" w:cs="Times New Roman" w:eastAsia="Times New Roman" w:hAnsi="Times New Roman"/>
                <w:sz w:val="10"/>
                <w:szCs w:val="10"/>
                <w:color w:val="008000"/>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117,445</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2"/>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1"/>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4"/>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5"/>
                <w:szCs w:val="5"/>
                <w:color w:val="auto"/>
              </w:rPr>
            </w:pPr>
          </w:p>
        </w:tc>
        <w:tc>
          <w:tcPr>
            <w:tcW w:w="60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jc w:val="center"/>
              <w:ind w:left="28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884.8005</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10"/>
                <w:szCs w:val="10"/>
                <w:color w:val="auto"/>
              </w:rPr>
            </w:pPr>
          </w:p>
        </w:tc>
        <w:tc>
          <w:tcPr>
            <w:tcW w:w="60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884.8005</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8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18,204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4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34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vested in full on March 3, 2024.</w:t>
      </w:r>
    </w:p>
    <w:p>
      <w:pPr>
        <w:spacing w:after="0" w:line="47" w:lineRule="exact"/>
        <w:rPr>
          <w:rFonts w:ascii="Times New Roman" w:cs="Times New Roman" w:eastAsia="Times New Roman" w:hAnsi="Times New Roman"/>
          <w:sz w:val="12"/>
          <w:szCs w:val="12"/>
          <w:color w:val="008000"/>
        </w:rPr>
      </w:pPr>
    </w:p>
    <w:p>
      <w:pPr>
        <w:ind w:left="40" w:right="52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3, 2023 and vested on the same schedule as the underlying RSUs. Amount represents DEUs that accrued with respect to such RSUs in transactions exempt from Section 16 under Rule 16a-11.</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will vest on March 4, 2025.</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25094"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2024-03-05T19:29:33Z</dcterms:created>
  <dcterms:modified xsi:type="dcterms:W3CDTF">2024-03-05T19:29:33Z</dcterms:modified>
</cp:coreProperties>
</file>