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577215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534670</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420" w:right="280" w:hanging="394"/>
        <w:spacing w:after="0" w:line="235" w:lineRule="auto"/>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20" w:right="260" w:hanging="394"/>
        <w:spacing w:after="0" w:line="235" w:lineRule="auto"/>
        <w:tabs>
          <w:tab w:leader="none" w:pos="4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transition period from_____________to___________</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001-39695</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VIATRIS INC.</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180"/>
          </w:cols>
          <w:pgMar w:left="320" w:top="994" w:right="399" w:bottom="1440" w:gutter="0" w:footer="0" w:header="0"/>
        </w:sectPr>
      </w:pPr>
    </w:p>
    <w:p>
      <w:pPr>
        <w:spacing w:after="0" w:line="124"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31" w:lineRule="exact"/>
        <w:rPr>
          <w:sz w:val="24"/>
          <w:szCs w:val="24"/>
          <w:color w:val="auto"/>
        </w:rPr>
      </w:pPr>
    </w:p>
    <w:p>
      <w:pPr>
        <w:sectPr>
          <w:pgSz w:w="11900" w:h="16838" w:orient="portrait"/>
          <w:cols w:equalWidth="0" w:num="2">
            <w:col w:w="7360" w:space="720"/>
            <w:col w:w="3100"/>
          </w:cols>
          <w:pgMar w:left="320" w:top="994" w:right="399" w:bottom="1440" w:gutter="0" w:footer="0" w:header="0"/>
          <w:type w:val="continuous"/>
        </w:sectPr>
      </w:pPr>
    </w:p>
    <w:p>
      <w:pPr>
        <w:jc w:val="center"/>
        <w:ind w:right="1540"/>
        <w:spacing w:after="0"/>
        <w:rPr>
          <w:sz w:val="20"/>
          <w:szCs w:val="20"/>
          <w:color w:val="auto"/>
        </w:rPr>
      </w:pPr>
      <w:r>
        <w:rPr>
          <w:rFonts w:ascii="Arial" w:cs="Arial" w:eastAsia="Arial" w:hAnsi="Arial"/>
          <w:sz w:val="14"/>
          <w:szCs w:val="14"/>
          <w:i w:val="1"/>
          <w:iCs w:val="1"/>
          <w:color w:val="auto"/>
        </w:rPr>
        <w:t>(State or other jurisdiction</w:t>
      </w:r>
    </w:p>
    <w:p>
      <w:pPr>
        <w:jc w:val="center"/>
        <w:ind w:right="1540"/>
        <w:spacing w:after="0"/>
        <w:rPr>
          <w:sz w:val="20"/>
          <w:szCs w:val="20"/>
          <w:color w:val="auto"/>
        </w:rPr>
      </w:pPr>
      <w:r>
        <w:rPr>
          <w:rFonts w:ascii="Arial" w:cs="Arial" w:eastAsia="Arial" w:hAnsi="Arial"/>
          <w:sz w:val="13"/>
          <w:szCs w:val="13"/>
          <w:i w:val="1"/>
          <w:i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140"/>
        <w:spacing w:after="0"/>
        <w:rPr>
          <w:sz w:val="20"/>
          <w:szCs w:val="20"/>
          <w:color w:val="auto"/>
        </w:rPr>
      </w:pPr>
      <w:r>
        <w:rPr>
          <w:rFonts w:ascii="Arial" w:cs="Arial" w:eastAsia="Arial" w:hAnsi="Arial"/>
          <w:sz w:val="14"/>
          <w:szCs w:val="14"/>
          <w:i w:val="1"/>
          <w:iCs w:val="1"/>
          <w:color w:val="auto"/>
        </w:rPr>
        <w:t>(I.R.S. Employer</w:t>
      </w:r>
    </w:p>
    <w:p>
      <w:pPr>
        <w:jc w:val="center"/>
        <w:ind w:right="2140"/>
        <w:spacing w:after="0"/>
        <w:rPr>
          <w:sz w:val="20"/>
          <w:szCs w:val="20"/>
          <w:color w:val="auto"/>
        </w:rPr>
      </w:pPr>
      <w:r>
        <w:rPr>
          <w:rFonts w:ascii="Arial" w:cs="Arial" w:eastAsia="Arial" w:hAnsi="Arial"/>
          <w:sz w:val="13"/>
          <w:szCs w:val="13"/>
          <w:i w:val="1"/>
          <w:iCs w:val="1"/>
          <w:color w:val="auto"/>
        </w:rPr>
        <w:t>Identification No.)</w:t>
      </w:r>
    </w:p>
    <w:p>
      <w:pPr>
        <w:spacing w:after="0" w:line="122" w:lineRule="exact"/>
        <w:rPr>
          <w:sz w:val="24"/>
          <w:szCs w:val="24"/>
          <w:color w:val="auto"/>
        </w:rPr>
      </w:pPr>
    </w:p>
    <w:p>
      <w:pPr>
        <w:sectPr>
          <w:pgSz w:w="11900" w:h="16838" w:orient="portrait"/>
          <w:cols w:equalWidth="0" w:num="2">
            <w:col w:w="7260" w:space="720"/>
            <w:col w:w="3200"/>
          </w:cols>
          <w:pgMar w:left="320" w:top="994" w:right="39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1000 Mylan Boulevard, Canonsburg, Pennsylvania 15317</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(724) 514-1800</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80"/>
          </w:cols>
          <w:pgMar w:left="320" w:top="994" w:right="399" w:bottom="1440" w:gutter="0" w:footer="0" w:header="0"/>
          <w:type w:val="continuous"/>
        </w:sectPr>
      </w:pPr>
    </w:p>
    <w:p>
      <w:pPr>
        <w:spacing w:after="0" w:line="145" w:lineRule="exact"/>
        <w:rPr>
          <w:sz w:val="24"/>
          <w:szCs w:val="24"/>
          <w:color w:val="auto"/>
        </w:rPr>
      </w:pPr>
    </w:p>
    <w:p>
      <w:pPr>
        <w:ind w:left="10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54" w:lineRule="exact"/>
        <w:rPr>
          <w:sz w:val="24"/>
          <w:szCs w:val="24"/>
          <w:color w:val="auto"/>
        </w:rPr>
      </w:pPr>
    </w:p>
    <w:p>
      <w:pPr>
        <w:sectPr>
          <w:pgSz w:w="11900" w:h="16838" w:orient="portrait"/>
          <w:cols w:equalWidth="0" w:num="3">
            <w:col w:w="3980" w:space="720"/>
            <w:col w:w="2180" w:space="720"/>
            <w:col w:w="3580"/>
          </w:cols>
          <w:pgMar w:left="320" w:top="994" w:right="399" w:bottom="1440" w:gutter="0" w:footer="0" w:header="0"/>
          <w:type w:val="continuous"/>
        </w:sectPr>
      </w:pPr>
    </w:p>
    <w:p>
      <w:pPr>
        <w:ind w:left="40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VTRS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The NASDAQ Stock Market</w:t>
      </w:r>
    </w:p>
    <w:p>
      <w:pPr>
        <w:spacing w:after="0" w:line="200" w:lineRule="exact"/>
        <w:rPr>
          <w:sz w:val="24"/>
          <w:szCs w:val="24"/>
          <w:color w:val="auto"/>
        </w:rPr>
      </w:pPr>
    </w:p>
    <w:p>
      <w:pPr>
        <w:sectPr>
          <w:pgSz w:w="11900" w:h="16838" w:orient="portrait"/>
          <w:cols w:equalWidth="0" w:num="3">
            <w:col w:w="4420" w:space="720"/>
            <w:col w:w="2420" w:space="720"/>
            <w:col w:w="2900"/>
          </w:cols>
          <w:pgMar w:left="320" w:top="994" w:right="399" w:bottom="1440" w:gutter="0" w:footer="0" w:header="0"/>
          <w:type w:val="continuous"/>
        </w:sectPr>
      </w:pPr>
    </w:p>
    <w:p>
      <w:pPr>
        <w:spacing w:after="0" w:line="20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4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8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left="20" w:right="8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3" w:lineRule="exact"/>
        <w:rPr>
          <w:sz w:val="24"/>
          <w:szCs w:val="24"/>
          <w:color w:val="auto"/>
        </w:rPr>
      </w:pPr>
    </w:p>
    <w:p>
      <w:pPr>
        <w:ind w:left="460"/>
        <w:spacing w:after="0" w:line="207" w:lineRule="exact"/>
        <w:tabs>
          <w:tab w:leader="none" w:pos="878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ind w:left="700"/>
        <w:spacing w:after="0"/>
        <w:rPr>
          <w:sz w:val="20"/>
          <w:szCs w:val="20"/>
          <w:color w:val="auto"/>
        </w:rPr>
      </w:pPr>
      <w:r>
        <w:rPr>
          <w:rFonts w:ascii="Arial" w:cs="Arial" w:eastAsia="Arial" w:hAnsi="Arial"/>
          <w:sz w:val="17"/>
          <w:szCs w:val="17"/>
          <w:color w:val="auto"/>
        </w:rPr>
        <w:t>The number of shares of common stock outstanding, par value $0.01 per share, of the registrant as of August 4, 2021 was 1,209,290,460.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133350</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107950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80"/>
          </w:cols>
          <w:pgMar w:left="320" w:top="994" w:right="39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VIATRIS INC. AND SUBSIDIARIES</w:t>
      </w:r>
    </w:p>
    <w:p>
      <w:pPr>
        <w:spacing w:after="0" w:line="11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INDEX TO FORM 10-Q</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Page</w:t>
            </w:r>
          </w:p>
        </w:tc>
      </w:tr>
      <w:tr>
        <w:trPr>
          <w:trHeight w:val="215"/>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900" w:type="dxa"/>
            <w:vAlign w:val="bottom"/>
            <w:gridSpan w:val="9"/>
          </w:tcPr>
          <w:p>
            <w:pPr>
              <w:jc w:val="center"/>
              <w:ind w:right="1780"/>
              <w:spacing w:after="0"/>
              <w:rPr>
                <w:sz w:val="20"/>
                <w:szCs w:val="20"/>
                <w:color w:val="auto"/>
              </w:rPr>
            </w:pPr>
            <w:r>
              <w:rPr>
                <w:rFonts w:ascii="Arial" w:cs="Arial" w:eastAsia="Arial" w:hAnsi="Arial"/>
                <w:sz w:val="18"/>
                <w:szCs w:val="18"/>
                <w:b w:val="1"/>
                <w:bCs w:val="1"/>
                <w:color w:val="auto"/>
              </w:rPr>
              <w:t>PART I — FINANCIAL INFORMATION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60" w:type="dxa"/>
            <w:vAlign w:val="bottom"/>
            <w:gridSpan w:val="13"/>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60" w:type="dxa"/>
            <w:vAlign w:val="bottom"/>
            <w:gridSpan w:val="13"/>
          </w:tcPr>
          <w:p>
            <w:pPr>
              <w:spacing w:after="0" w:line="190"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Statements of Operations — Three and Six Months Ended June 30, 2021 and 2020</w:t>
              </w:r>
            </w:hyperlink>
          </w:p>
        </w:tc>
        <w:tc>
          <w:tcPr>
            <w:tcW w:w="980" w:type="dxa"/>
            <w:vAlign w:val="bottom"/>
            <w:gridSpan w:val="4"/>
          </w:tcPr>
          <w:p>
            <w:pPr>
              <w:jc w:val="right"/>
              <w:ind w:right="20"/>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520" w:type="dxa"/>
            <w:vAlign w:val="bottom"/>
            <w:gridSpan w:val="12"/>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Comprehensive Loss — Three and Six Months Ended June 30, 2021 and 2020</w:t>
              </w:r>
            </w:hyperlink>
          </w:p>
        </w:tc>
        <w:tc>
          <w:tcPr>
            <w:tcW w:w="140" w:type="dxa"/>
            <w:vAlign w:val="bottom"/>
          </w:tcPr>
          <w:p>
            <w:pPr>
              <w:spacing w:after="0"/>
              <w:rPr>
                <w:sz w:val="18"/>
                <w:szCs w:val="18"/>
                <w:color w:val="auto"/>
              </w:rPr>
            </w:pPr>
          </w:p>
        </w:tc>
        <w:tc>
          <w:tcPr>
            <w:tcW w:w="9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520" w:type="dxa"/>
            <w:vAlign w:val="bottom"/>
            <w:gridSpan w:val="1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Balance Sheets — June 30, 2021 and December 31, 2020</w:t>
              </w:r>
            </w:hyperlink>
          </w:p>
        </w:tc>
        <w:tc>
          <w:tcPr>
            <w:tcW w:w="140" w:type="dxa"/>
            <w:vAlign w:val="bottom"/>
          </w:tcPr>
          <w:p>
            <w:pPr>
              <w:spacing w:after="0"/>
              <w:rPr>
                <w:sz w:val="18"/>
                <w:szCs w:val="18"/>
                <w:color w:val="auto"/>
              </w:rPr>
            </w:pPr>
          </w:p>
        </w:tc>
        <w:tc>
          <w:tcPr>
            <w:tcW w:w="9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80" w:type="dxa"/>
            <w:vAlign w:val="bottom"/>
            <w:gridSpan w:val="10"/>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Condensed Consolidated Statements of Equity — Three and Six Months Ended June 30, 2021 and 2020</w:t>
              </w:r>
            </w:hyperlink>
          </w:p>
        </w:tc>
        <w:tc>
          <w:tcPr>
            <w:tcW w:w="1180" w:type="dxa"/>
            <w:vAlign w:val="bottom"/>
            <w:gridSpan w:val="3"/>
          </w:tcPr>
          <w:p>
            <w:pPr>
              <w:spacing w:after="0"/>
              <w:rPr>
                <w:sz w:val="18"/>
                <w:szCs w:val="18"/>
                <w:color w:val="auto"/>
              </w:rPr>
            </w:pPr>
          </w:p>
        </w:tc>
        <w:tc>
          <w:tcPr>
            <w:tcW w:w="9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80" w:type="dxa"/>
            <w:vAlign w:val="bottom"/>
            <w:gridSpan w:val="9"/>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Condensed Consolidated Statements of Cash Flows — Six Months Ended June 30, 2021 and 2020</w:t>
              </w:r>
            </w:hyperlink>
          </w:p>
        </w:tc>
        <w:tc>
          <w:tcPr>
            <w:tcW w:w="40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11</w:t>
              </w:r>
            </w:hyperlink>
          </w:p>
        </w:tc>
      </w:tr>
      <w:tr>
        <w:trPr>
          <w:trHeight w:val="480"/>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80" w:type="dxa"/>
            <w:vAlign w:val="bottom"/>
            <w:tcBorders>
              <w:top w:val="single" w:sz="8" w:color="0000FF"/>
            </w:tcBorders>
            <w:gridSpan w:val="9"/>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Notes to Condensed Consolidated Financial Statements</w:t>
              </w:r>
            </w:hyperlink>
          </w:p>
        </w:tc>
        <w:tc>
          <w:tcPr>
            <w:tcW w:w="158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12</w:t>
              </w:r>
            </w:hyperlink>
          </w:p>
        </w:tc>
        <w:tc>
          <w:tcPr>
            <w:tcW w:w="2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60" w:type="dxa"/>
            <w:vAlign w:val="bottom"/>
            <w:gridSpan w:val="13"/>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Management’s Discussion and Analysis of Financial Condition and Results of Operations</w:t>
              </w:r>
            </w:hyperlink>
          </w:p>
        </w:tc>
        <w:tc>
          <w:tcPr>
            <w:tcW w:w="960" w:type="dxa"/>
            <w:vAlign w:val="bottom"/>
            <w:gridSpan w:val="3"/>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53</w:t>
              </w:r>
            </w:hyperlink>
          </w:p>
        </w:tc>
        <w:tc>
          <w:tcPr>
            <w:tcW w:w="20" w:type="dxa"/>
            <w:vAlign w:val="bottom"/>
          </w:tcPr>
          <w:p>
            <w:pPr>
              <w:spacing w:after="0"/>
              <w:rPr>
                <w:sz w:val="24"/>
                <w:szCs w:val="24"/>
                <w:color w:val="auto"/>
              </w:rPr>
            </w:pPr>
          </w:p>
        </w:tc>
      </w:tr>
      <w:tr>
        <w:trPr>
          <w:trHeight w:val="479"/>
        </w:trPr>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8"/>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Quantitative and Qualitative Disclosures About Market Risk</w:t>
              </w:r>
            </w:hyperlink>
          </w:p>
        </w:tc>
        <w:tc>
          <w:tcPr>
            <w:tcW w:w="222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77">
              <w:r>
                <w:rPr>
                  <w:rFonts w:ascii="Arial" w:cs="Arial" w:eastAsia="Arial" w:hAnsi="Arial"/>
                  <w:sz w:val="18"/>
                  <w:szCs w:val="18"/>
                  <w:color w:val="0000FF"/>
                  <w:w w:val="79"/>
                </w:rPr>
                <w:t>78</w:t>
              </w:r>
            </w:hyperlink>
          </w:p>
        </w:tc>
        <w:tc>
          <w:tcPr>
            <w:tcW w:w="20" w:type="dxa"/>
            <w:vAlign w:val="bottom"/>
          </w:tcPr>
          <w:p>
            <w:pPr>
              <w:spacing w:after="0"/>
              <w:rPr>
                <w:sz w:val="24"/>
                <w:szCs w:val="24"/>
                <w:color w:val="auto"/>
              </w:rPr>
            </w:pPr>
          </w:p>
        </w:tc>
      </w:tr>
      <w:tr>
        <w:trPr>
          <w:trHeight w:val="479"/>
        </w:trPr>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FF"/>
            </w:tcBorders>
            <w:gridSpan w:val="6"/>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Controls and Procedures</w:t>
              </w:r>
            </w:hyperlink>
          </w:p>
        </w:tc>
        <w:tc>
          <w:tcPr>
            <w:tcW w:w="432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78">
              <w:r>
                <w:rPr>
                  <w:rFonts w:ascii="Arial" w:cs="Arial" w:eastAsia="Arial" w:hAnsi="Arial"/>
                  <w:sz w:val="18"/>
                  <w:szCs w:val="18"/>
                  <w:color w:val="0000FF"/>
                  <w:w w:val="79"/>
                </w:rPr>
                <w:t>78</w:t>
              </w:r>
            </w:hyperlink>
          </w:p>
        </w:tc>
        <w:tc>
          <w:tcPr>
            <w:tcW w:w="20" w:type="dxa"/>
            <w:vAlign w:val="bottom"/>
          </w:tcPr>
          <w:p>
            <w:pPr>
              <w:spacing w:after="0"/>
              <w:rPr>
                <w:sz w:val="24"/>
                <w:szCs w:val="24"/>
                <w:color w:val="auto"/>
              </w:rPr>
            </w:pPr>
          </w:p>
        </w:tc>
      </w:tr>
      <w:tr>
        <w:trPr>
          <w:trHeight w:val="519"/>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900" w:type="dxa"/>
            <w:vAlign w:val="bottom"/>
            <w:gridSpan w:val="9"/>
          </w:tcPr>
          <w:p>
            <w:pPr>
              <w:jc w:val="center"/>
              <w:ind w:right="1800"/>
              <w:spacing w:after="0"/>
              <w:rPr>
                <w:sz w:val="20"/>
                <w:szCs w:val="20"/>
                <w:color w:val="auto"/>
              </w:rPr>
            </w:pPr>
            <w:r>
              <w:rPr>
                <w:rFonts w:ascii="Arial" w:cs="Arial" w:eastAsia="Arial" w:hAnsi="Arial"/>
                <w:sz w:val="18"/>
                <w:szCs w:val="18"/>
                <w:b w:val="1"/>
                <w:bCs w:val="1"/>
                <w:color w:val="auto"/>
              </w:rPr>
              <w:t>PART II — OTHER INFORMATION</w:t>
            </w:r>
          </w:p>
        </w:tc>
        <w:tc>
          <w:tcPr>
            <w:tcW w:w="7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54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8660" w:type="dxa"/>
            <w:vAlign w:val="bottom"/>
            <w:gridSpan w:val="13"/>
          </w:tcPr>
          <w:p>
            <w:pPr>
              <w:spacing w:after="0" w:line="190" w:lineRule="exact"/>
              <w:rPr>
                <w:rFonts w:ascii="Arial" w:cs="Arial" w:eastAsia="Arial" w:hAnsi="Arial"/>
                <w:sz w:val="18"/>
                <w:szCs w:val="18"/>
                <w:color w:val="0000FF"/>
              </w:rPr>
            </w:pPr>
            <w:hyperlink w:anchor="page79">
              <w:r>
                <w:rPr>
                  <w:rFonts w:ascii="Arial" w:cs="Arial" w:eastAsia="Arial" w:hAnsi="Arial"/>
                  <w:sz w:val="18"/>
                  <w:szCs w:val="18"/>
                  <w:color w:val="0000FF"/>
                </w:rPr>
                <w:t>Legal Proceedings</w:t>
              </w:r>
            </w:hyperlink>
          </w:p>
        </w:tc>
        <w:tc>
          <w:tcPr>
            <w:tcW w:w="960" w:type="dxa"/>
            <w:vAlign w:val="bottom"/>
            <w:gridSpan w:val="3"/>
          </w:tcPr>
          <w:p>
            <w:pPr>
              <w:jc w:val="right"/>
              <w:spacing w:after="0" w:line="190" w:lineRule="exact"/>
              <w:rPr>
                <w:rFonts w:ascii="Arial" w:cs="Arial" w:eastAsia="Arial" w:hAnsi="Arial"/>
                <w:sz w:val="18"/>
                <w:szCs w:val="18"/>
                <w:color w:val="0000FF"/>
              </w:rPr>
            </w:pPr>
            <w:hyperlink w:anchor="page79">
              <w:r>
                <w:rPr>
                  <w:rFonts w:ascii="Arial" w:cs="Arial" w:eastAsia="Arial" w:hAnsi="Arial"/>
                  <w:sz w:val="18"/>
                  <w:szCs w:val="18"/>
                  <w:color w:val="0000FF"/>
                </w:rPr>
                <w:t>79</w:t>
              </w:r>
            </w:hyperlink>
          </w:p>
        </w:tc>
        <w:tc>
          <w:tcPr>
            <w:tcW w:w="20" w:type="dxa"/>
            <w:vAlign w:val="bottom"/>
          </w:tcPr>
          <w:p>
            <w:pPr>
              <w:spacing w:after="0"/>
              <w:rPr>
                <w:sz w:val="16"/>
                <w:szCs w:val="16"/>
                <w:color w:val="auto"/>
              </w:rPr>
            </w:pPr>
          </w:p>
        </w:tc>
      </w:tr>
      <w:tr>
        <w:trPr>
          <w:trHeight w:val="480"/>
        </w:trPr>
        <w:tc>
          <w:tcPr>
            <w:tcW w:w="15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79">
              <w:r>
                <w:rPr>
                  <w:rFonts w:ascii="Arial" w:cs="Arial" w:eastAsia="Arial" w:hAnsi="Arial"/>
                  <w:sz w:val="18"/>
                  <w:szCs w:val="18"/>
                  <w:color w:val="0000FF"/>
                  <w:w w:val="87"/>
                </w:rPr>
                <w:t>Risk Factors</w:t>
              </w:r>
            </w:hyperlink>
          </w:p>
        </w:tc>
        <w:tc>
          <w:tcPr>
            <w:tcW w:w="420" w:type="dxa"/>
            <w:vAlign w:val="bottom"/>
            <w:tcBorders>
              <w:top w:val="single" w:sz="8" w:color="0000FF"/>
            </w:tcBorders>
          </w:tcPr>
          <w:p>
            <w:pPr>
              <w:spacing w:after="0"/>
              <w:rPr>
                <w:sz w:val="24"/>
                <w:szCs w:val="24"/>
                <w:color w:val="auto"/>
              </w:rPr>
            </w:pPr>
          </w:p>
        </w:tc>
        <w:tc>
          <w:tcPr>
            <w:tcW w:w="734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79">
              <w:r>
                <w:rPr>
                  <w:rFonts w:ascii="Arial" w:cs="Arial" w:eastAsia="Arial" w:hAnsi="Arial"/>
                  <w:sz w:val="18"/>
                  <w:szCs w:val="18"/>
                  <w:color w:val="0000FF"/>
                  <w:w w:val="79"/>
                </w:rPr>
                <w:t>80</w:t>
              </w:r>
            </w:hyperlink>
          </w:p>
        </w:tc>
        <w:tc>
          <w:tcPr>
            <w:tcW w:w="20" w:type="dxa"/>
            <w:vAlign w:val="bottom"/>
          </w:tcPr>
          <w:p>
            <w:pPr>
              <w:spacing w:after="0"/>
              <w:rPr>
                <w:sz w:val="24"/>
                <w:szCs w:val="24"/>
                <w:color w:val="auto"/>
              </w:rPr>
            </w:pPr>
          </w:p>
        </w:tc>
      </w:tr>
      <w:tr>
        <w:trPr>
          <w:trHeight w:val="480"/>
        </w:trPr>
        <w:tc>
          <w:tcPr>
            <w:tcW w:w="15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tcPr>
          <w:p>
            <w:pPr>
              <w:spacing w:after="0"/>
              <w:rPr>
                <w:rFonts w:ascii="Arial" w:cs="Arial" w:eastAsia="Arial" w:hAnsi="Arial"/>
                <w:sz w:val="18"/>
                <w:szCs w:val="18"/>
                <w:color w:val="0000FF"/>
                <w:w w:val="91"/>
              </w:rPr>
            </w:pPr>
            <w:hyperlink w:anchor="page80">
              <w:r>
                <w:rPr>
                  <w:rFonts w:ascii="Arial" w:cs="Arial" w:eastAsia="Arial" w:hAnsi="Arial"/>
                  <w:sz w:val="18"/>
                  <w:szCs w:val="18"/>
                  <w:color w:val="0000FF"/>
                  <w:w w:val="91"/>
                </w:rPr>
                <w:t>Exhibits</w:t>
              </w:r>
            </w:hyperlink>
          </w:p>
        </w:tc>
        <w:tc>
          <w:tcPr>
            <w:tcW w:w="806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0">
              <w:r>
                <w:rPr>
                  <w:rFonts w:ascii="Arial" w:cs="Arial" w:eastAsia="Arial" w:hAnsi="Arial"/>
                  <w:sz w:val="18"/>
                  <w:szCs w:val="18"/>
                  <w:color w:val="0000FF"/>
                  <w:w w:val="79"/>
                </w:rPr>
                <w:t>81</w:t>
              </w:r>
            </w:hyperlink>
          </w:p>
        </w:tc>
        <w:tc>
          <w:tcPr>
            <w:tcW w:w="20" w:type="dxa"/>
            <w:vAlign w:val="bottom"/>
          </w:tcPr>
          <w:p>
            <w:pPr>
              <w:spacing w:after="0"/>
              <w:rPr>
                <w:sz w:val="24"/>
                <w:szCs w:val="24"/>
                <w:color w:val="auto"/>
              </w:rPr>
            </w:pPr>
          </w:p>
        </w:tc>
      </w:tr>
      <w:tr>
        <w:trPr>
          <w:trHeight w:val="479"/>
        </w:trPr>
        <w:tc>
          <w:tcPr>
            <w:tcW w:w="1540" w:type="dxa"/>
            <w:vAlign w:val="bottom"/>
            <w:gridSpan w:val="2"/>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FF"/>
              </w:rPr>
            </w:pPr>
            <w:hyperlink w:anchor="page81">
              <w:r>
                <w:rPr>
                  <w:rFonts w:ascii="Arial" w:cs="Arial" w:eastAsia="Arial" w:hAnsi="Arial"/>
                  <w:sz w:val="18"/>
                  <w:szCs w:val="18"/>
                  <w:color w:val="0000FF"/>
                </w:rPr>
                <w:t>82</w:t>
              </w:r>
            </w:hyperlink>
          </w:p>
        </w:tc>
        <w:tc>
          <w:tcPr>
            <w:tcW w:w="20" w:type="dxa"/>
            <w:vAlign w:val="bottom"/>
          </w:tcPr>
          <w:p>
            <w:pPr>
              <w:spacing w:after="0"/>
              <w:rPr>
                <w:sz w:val="24"/>
                <w:szCs w:val="24"/>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Defined Terms</w:t>
      </w:r>
    </w:p>
    <w:p>
      <w:pPr>
        <w:spacing w:after="0" w:line="243"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Unless the context requires otherwise, references to “Viatris,” “the Company,” “we,” “us” or “our” in this Form 10-Q (defined below) refer to Viatris Inc. and its subsidiaries. We also have used several other terms in this Form 10-Q, most of which are explained or defined below. Some amounts in this Form 10-Q may not add due to rounding.</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2003 LTIP</w:t>
            </w:r>
          </w:p>
        </w:tc>
        <w:tc>
          <w:tcPr>
            <w:tcW w:w="5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2003 Long-Term Incentive Plan</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2020 Form 10-K</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Viatris’ annual report on Form 10-K for the fiscal year ended December</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31, 2020,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The revolving credit facility available pursuant to the revolving credit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9"/>
              </w:rPr>
              <w:t>agreement, dated as of June 16, 2020, by and among Viatris, certain</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2020 Revolving Facility</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7"/>
              </w:rPr>
              <w:t>lenders and issuing banks from time to time party thereto and Bank of</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America, N.A., as administrative agent and repaid in full in July 2021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The $4.0 billion revolving facility dated as of July 1, 2021, by and among</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2021 Revolving Facility</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Viatris, certain lenders and issuing banks from time to time party thereto</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Bank of America, N.A., as administrative agent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Non-GAAP financial measure that the Company believes is appropriate to</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provide information to investors - EBITDA (defined below) is further</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Adjusted EBITDA</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89"/>
              </w:rPr>
              <w:t>adjusted for share-based compensation expense, litigation settlements,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other contingencies, net, restructuring and other special items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Abbreviated New Drug Application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AOCE</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Accumulated other comprehensive earnings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APIs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Active pharmaceutical ingredients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Standards Codification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Aspen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Aspen Global Incorporated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ASU</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Standards Update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Biogen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Biogen MA Inc. and Biogen International GmbH, collectively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Business Combination Agreement, dated as of July 29, 2019, as amended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Business Combination Agreement</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from time to time, among Viatris, Mylan, Pfizer and certain of their</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affiliates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Competition Appeals Tribunal</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CJEU</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European Court of Justice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Used to define the three equity method investments the Company has in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clean energy investments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limited liability companies that own refined coal production plants whose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activities qualify for income tax credits under Section 45 of the Code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CMA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Competition and Markets Authority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Code</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U.S. Internal Revenue Code of 1986,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Combination</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6"/>
              </w:rPr>
              <w:t>Refers to Mylan combining with Pfizer's Upjohn Business in a Reverse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Morris Trust transaction to form Viatris on November 16, 2020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The $1.65 billion unsecured commercial paper program entered into as of</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Commercial Paper Program</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November 16, 2020 by Viatris, as issuer, Mylan Inc., Utah Acquisition Sub</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Inc. and Mylan II B.V., as guarantors, and certain dealers from time to time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Commission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European Commission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COVID-19</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Novel coronavirus disease of 2019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DCGI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Drug Controller General of India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Developed Markets segment</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Viatris’ business segment that includes our operations primarily in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following markets: North America and Europe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Distribution</w:t>
            </w:r>
          </w:p>
        </w:tc>
        <w:tc>
          <w:tcPr>
            <w:tcW w:w="548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4"/>
              </w:rPr>
              <w:t>Pfizer's distribution to Pfizer stockholders all the issued and outstanding</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shares of Upjohn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DOJ</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Department of Justice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Non-GAAP financial measure that the Company believes is appropriate to</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provide information to investors - U.S. GAAP net earnings (loss) adjusted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EBITDA</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for net contribution attributable to equity method investments, income tax</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provision (benefit), interest expense and depreciation and amortization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EDPA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District Court for the Eastern District of Pennsylvania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Viatris’ business segment that includes, but is not limited to, our operations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Emerging Markets segment</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primarily in the following markets: Parts of Asia, the Middle East, South</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Central America, Africa, and Eastern Europe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European Union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Exchange Act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Securities Exchange Act of 1934,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FASB</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Financial Accounting Standards Board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Food and Drug Administration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Form 10-Q</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This quarterly report on Form 10-Q for the quarterly period ended June 30,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Greater China segment</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Viatris’ business segment that includes our operations primarily in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following markets: China, Taiwan and Hong Kong</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Gx</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Generic drugs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IPR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 Partes review</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IRS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Internal Revenue Service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Information technology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JANZ segment</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Viatris’ business segment that includes our operations primarily in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following markets: Japan, Australia and New Zealand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LIBOR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London Interbank Offered Rate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Lilly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Eli Lilly and Company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The maximum consolidated leverage ratio financial covenant requiring</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3"/>
              </w:rPr>
              <w:t>maintenance of a maximum ratio of consolidated total indebtedness as of</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end of any quarter to consolidated EBITDA for the trailing four</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maximum leverage ratio</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quarters as defined in the related credit agreements from time to time</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MDL</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Multidistrict litigation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MPI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Pharmaceutical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Mylan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N.V. and its subsidiaries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Mylan II, B.V.; a company incorporated under the laws of the Netherlands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Mylan II</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and an indirect wholly owned subsidiary of Viatris, in which legacy Mylan</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merged with and into</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The 4.200% Senior Notes due 2023, 4.550% Senior Notes due 2028,</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0"/>
              </w:rPr>
              <w:t>5.400% Senior Notes due 2043 and 5.200% Senior Notes due 2048 issued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by Mylan Inc., which are fully and unconditionally guaranteed on a senior</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Mylan Inc. Senior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unsecured basis by Mylan II B.V., Viatris Inc. and Utah Acquisition Sub</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NASDAQ</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NASDAQ Stock Market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drug application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NHS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National Health Services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Note Securitization Facility</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The note securitization facility entered into in July 2021 for borrowings up</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 $200 million and expiring in August 2022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Over-the-counter</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Pfizer</w:t>
            </w:r>
          </w:p>
        </w:tc>
        <w:tc>
          <w:tcPr>
            <w:tcW w:w="5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Pfizer Inc.</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Plan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Viatris Inc. 2020 Stock Incentive Plan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PMS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Pharmascience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PSUs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Performance awards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PTAB</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Patent Trial and Appeal Board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R&amp;D</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Receivables Facility</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The $400 million accounts receivable entered into in August 2020 and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expiring in April 2022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respiratory delivery platform</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Pfizer’s proprietary dry powder inhaler delivery platform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restricted stock awards</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89"/>
              </w:rPr>
              <w:t>The Company’s nonvested restricted stock and restricted stock unit awards,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including PSUs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RICO</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Racketeer Influenced and Corrupt Organizations Act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Sanofi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Sanofi-Aventis U.S., LLC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SARs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 Appreciation Rights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SDNY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District Court for the Southern District of New York</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Securities and Exchange Commission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Securities Act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Securities Act of 1933,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Senior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Utah Senior Notes and the Mylan Inc. Senior Notes, collectively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Separation</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Pfizer's transfer to Upjohn of substantially all the assets and liabilities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comprising the Upjohn Business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Separation and Distribution Agreement</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Separation and Distribution Agreement between Viatris and Pfizer, dated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 of July 29, 2019, as amended from time to time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SG&amp;A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Teva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Teva Pharmaceutical Industries Ltd.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TSA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Transition service agreements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U.K.</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 GAAP</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principles generally accepted in the U.S.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Upjohn</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Upjohn Inc., a wholly owned subsidiary of Pfizer prior to the Distribution,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that combined with Mylan and was renamed Viatris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Pfizer’s off-patent branded and generic established medicines business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Upjohn Business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that, in connection with the Combination, was separated from Pfizer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combined with Mylan to form Viatris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6"/>
              </w:rPr>
              <w:t>The $600 million delayed draw term loan credit agreement, dated as of</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USD Term Loan Agreement</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June 16, 2020 by and among Viatris, Mizuho Bank, Ltd. and MUFG Bank,</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Ltd., as administrative agent, and repaid in full in July 2021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The 3.150% Senior Notes due 2021, 3.950% Senior Notes due 2026 and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1"/>
              </w:rPr>
              <w:t>5.250% Senior Notes due 2046 issued by Utah Acquisition Sub, which are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Utah Senior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1"/>
              </w:rPr>
              <w:t>fully and unconditionally guaranteed on a senior unsecured basis by Mylan</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 Viatris Inc. and Mylan II B.V.</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Viatris</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Viatris Inc., formerly known as Upjohn Inc. prior to the completion of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Combination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The ¥40 billion term loan agreement dated as of July 1, 2021, by and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YEN Term Loan Agreement</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among Viatris, Mizuho Bank, Ltd. and MUFG Bank, Ltd., as</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administrative agent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6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2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4,561.7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2,695.9</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8,961.8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5,284.1</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revenues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4,577.8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5,350.4</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3,418.6</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1,931.8</w:t>
            </w: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1,324.8</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Litigation settlements and other contingencies,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(Loss) earnings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earnings before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earnings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earnings per share attributable to Viatris Inc. shareholders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earnings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Other comprehensive earnings (loss), before tax:</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175"/>
        </w:trPr>
        <w:tc>
          <w:tcPr>
            <w:tcW w:w="6100" w:type="dxa"/>
            <w:vAlign w:val="bottom"/>
          </w:tcPr>
          <w:p>
            <w:pPr>
              <w:ind w:left="220"/>
              <w:spacing w:after="0" w:line="176" w:lineRule="exact"/>
              <w:rPr>
                <w:sz w:val="20"/>
                <w:szCs w:val="20"/>
                <w:color w:val="auto"/>
              </w:rPr>
            </w:pPr>
            <w:r>
              <w:rPr>
                <w:rFonts w:ascii="Arial" w:cs="Arial" w:eastAsia="Arial" w:hAnsi="Arial"/>
                <w:sz w:val="18"/>
                <w:szCs w:val="18"/>
                <w:color w:val="auto"/>
                <w:w w:val="95"/>
              </w:rPr>
              <w:t>Change in unrecognized gain and prior service cost related to defined benefit</w:t>
            </w: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plans</w:t>
            </w: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Net unrecognized gain (loss) on derivatives in cash flow hedging relationships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176"/>
        </w:trPr>
        <w:tc>
          <w:tcPr>
            <w:tcW w:w="6100" w:type="dxa"/>
            <w:vAlign w:val="bottom"/>
          </w:tcPr>
          <w:p>
            <w:pPr>
              <w:ind w:left="220"/>
              <w:spacing w:after="0" w:line="176" w:lineRule="exact"/>
              <w:rPr>
                <w:sz w:val="20"/>
                <w:szCs w:val="20"/>
                <w:color w:val="auto"/>
              </w:rPr>
            </w:pPr>
            <w:r>
              <w:rPr>
                <w:rFonts w:ascii="Arial" w:cs="Arial" w:eastAsia="Arial" w:hAnsi="Arial"/>
                <w:sz w:val="18"/>
                <w:szCs w:val="18"/>
                <w:color w:val="auto"/>
              </w:rPr>
              <w:t>Net unrecognized (loss) gain on derivatives in net investment hedging</w:t>
            </w: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relationships</w:t>
            </w: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(loss) on marketable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6100" w:type="dxa"/>
            <w:vAlign w:val="bottom"/>
          </w:tcPr>
          <w:p>
            <w:pPr>
              <w:ind w:left="480"/>
              <w:spacing w:after="0"/>
              <w:rPr>
                <w:sz w:val="20"/>
                <w:szCs w:val="20"/>
                <w:color w:val="auto"/>
              </w:rPr>
            </w:pPr>
            <w:r>
              <w:rPr>
                <w:rFonts w:ascii="Arial" w:cs="Arial" w:eastAsia="Arial" w:hAnsi="Arial"/>
                <w:sz w:val="18"/>
                <w:szCs w:val="18"/>
                <w:color w:val="auto"/>
              </w:rPr>
              <w:t>Other comprehensive earnings (loss), before tax</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 (benefit) provision</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comprehensive earnings (loss), net of tax</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earnings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 except share and per share amounts)</w:t>
      </w:r>
    </w:p>
    <w:p>
      <w:pPr>
        <w:spacing w:after="0" w:line="111" w:lineRule="exact"/>
        <w:rPr>
          <w:sz w:val="20"/>
          <w:szCs w:val="20"/>
          <w:color w:val="auto"/>
        </w:rPr>
      </w:pPr>
    </w:p>
    <w:p>
      <w:pPr>
        <w:jc w:val="right"/>
        <w:ind w:right="180"/>
        <w:spacing w:after="0"/>
        <w:tabs>
          <w:tab w:leader="none" w:pos="82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ind w:left="9180"/>
        <w:spacing w:after="0"/>
        <w:tabs>
          <w:tab w:leader="none" w:pos="104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ectPr>
          <w:pgSz w:w="11900" w:h="16838" w:orient="portrait"/>
          <w:cols w:equalWidth="0" w:num="1">
            <w:col w:w="11220"/>
          </w:cols>
          <w:pgMar w:left="320" w:top="118" w:right="359" w:bottom="1440" w:gutter="0" w:footer="0" w:header="0"/>
        </w:sect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Accounts receivable, net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Inventories</w:t>
      </w:r>
    </w:p>
    <w:p>
      <w:pPr>
        <w:spacing w:after="0" w:line="23" w:lineRule="exact"/>
        <w:rPr>
          <w:sz w:val="20"/>
          <w:szCs w:val="20"/>
          <w:color w:val="auto"/>
        </w:rPr>
      </w:pPr>
    </w:p>
    <w:p>
      <w:pPr>
        <w:ind w:left="680" w:right="380" w:hanging="201"/>
        <w:spacing w:after="0" w:line="273" w:lineRule="auto"/>
        <w:rPr>
          <w:sz w:val="20"/>
          <w:szCs w:val="20"/>
          <w:color w:val="auto"/>
        </w:rPr>
      </w:pPr>
      <w:r>
        <w:rPr>
          <w:rFonts w:ascii="Arial" w:cs="Arial" w:eastAsia="Arial" w:hAnsi="Arial"/>
          <w:sz w:val="18"/>
          <w:szCs w:val="18"/>
          <w:color w:val="auto"/>
        </w:rPr>
        <w:t>Prepaid expenses and other current assets Total current assets</w:t>
      </w:r>
    </w:p>
    <w:p>
      <w:pPr>
        <w:spacing w:after="0" w:line="2" w:lineRule="exact"/>
        <w:rPr>
          <w:sz w:val="20"/>
          <w:szCs w:val="20"/>
          <w:color w:val="auto"/>
        </w:rPr>
      </w:pPr>
    </w:p>
    <w:p>
      <w:pPr>
        <w:ind w:left="240" w:right="1120"/>
        <w:spacing w:after="0" w:line="266" w:lineRule="auto"/>
        <w:rPr>
          <w:sz w:val="20"/>
          <w:szCs w:val="20"/>
          <w:color w:val="auto"/>
        </w:rPr>
      </w:pPr>
      <w:r>
        <w:rPr>
          <w:rFonts w:ascii="Arial" w:cs="Arial" w:eastAsia="Arial" w:hAnsi="Arial"/>
          <w:sz w:val="18"/>
          <w:szCs w:val="18"/>
          <w:color w:val="auto"/>
        </w:rPr>
        <w:t>Property, plant and equipment, net Intangible assets, net Goodwill</w:t>
      </w:r>
    </w:p>
    <w:p>
      <w:pPr>
        <w:ind w:left="240" w:right="640"/>
        <w:spacing w:after="0" w:line="284" w:lineRule="auto"/>
        <w:rPr>
          <w:sz w:val="20"/>
          <w:szCs w:val="20"/>
          <w:color w:val="auto"/>
        </w:rPr>
      </w:pPr>
      <w:r>
        <w:rPr>
          <w:rFonts w:ascii="Arial" w:cs="Arial" w:eastAsia="Arial" w:hAnsi="Arial"/>
          <w:sz w:val="18"/>
          <w:szCs w:val="18"/>
          <w:color w:val="auto"/>
        </w:rPr>
        <w:t>Deferred income tax benefit - noncurrent Other assets</w:t>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161290</wp:posOffset>
            </wp:positionV>
            <wp:extent cx="711517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-129540</wp:posOffset>
            </wp:positionV>
            <wp:extent cx="711517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4220" w:type="dxa"/>
        <w:tblCellMar>
          <w:top w:w="0" w:type="dxa"/>
          <w:left w:w="0" w:type="dxa"/>
          <w:bottom w:w="0" w:type="dxa"/>
          <w:right w:w="0" w:type="dxa"/>
        </w:tblCellMar>
      </w:tblPr>
      <w:tr>
        <w:trPr>
          <w:trHeight w:val="223"/>
        </w:trPr>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673.9</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844.4</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4,478.7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4,843.8</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5,471.9</w:t>
            </w:r>
          </w:p>
        </w:tc>
      </w:tr>
      <w:tr>
        <w:trPr>
          <w:trHeight w:val="231"/>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1,707.4</w:t>
            </w:r>
          </w:p>
        </w:tc>
      </w:tr>
      <w:tr>
        <w:trPr>
          <w:trHeight w:val="222"/>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11,749.8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12,867.5</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3,459.9</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27,863.7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29,683.2</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11,990.4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12,347.0</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2,147.9</w:t>
            </w:r>
          </w:p>
        </w:tc>
      </w:tr>
      <w:tr>
        <w:trPr>
          <w:trHeight w:val="231"/>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1,047.5</w:t>
            </w:r>
          </w:p>
        </w:tc>
      </w:tr>
      <w:tr>
        <w:trPr>
          <w:trHeight w:val="223"/>
        </w:trPr>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57,984.1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61,553.0</w:t>
            </w: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-1508125</wp:posOffset>
            </wp:positionV>
            <wp:extent cx="711517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-1216660</wp:posOffset>
            </wp:positionV>
            <wp:extent cx="711517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-916305</wp:posOffset>
            </wp:positionV>
            <wp:extent cx="711517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-624840</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-334010</wp:posOffset>
            </wp:positionV>
            <wp:extent cx="711517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-16510</wp:posOffset>
            </wp:positionV>
            <wp:extent cx="711517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EQUITY</w:t>
      </w:r>
    </w:p>
    <w:p>
      <w:pPr>
        <w:spacing w:after="0" w:line="42" w:lineRule="exact"/>
        <w:rPr>
          <w:sz w:val="20"/>
          <w:szCs w:val="20"/>
          <w:color w:val="auto"/>
        </w:rPr>
      </w:pPr>
    </w:p>
    <w:p>
      <w:pPr>
        <w:sectPr>
          <w:pgSz w:w="11900" w:h="16838" w:orient="portrait"/>
          <w:cols w:equalWidth="0" w:num="2">
            <w:col w:w="3780" w:space="720"/>
            <w:col w:w="6720"/>
          </w:cols>
          <w:pgMar w:left="320" w:top="118" w:right="359" w:bottom="1440" w:gutter="0" w:footer="0" w:header="0"/>
          <w:type w:val="continuous"/>
        </w:sectPr>
      </w:pPr>
    </w:p>
    <w:tbl>
      <w:tblPr>
        <w:tblLayout w:type="fixed"/>
        <w:tblInd w:w="20" w:type="dxa"/>
        <w:tblCellMar>
          <w:top w:w="0" w:type="dxa"/>
          <w:left w:w="0" w:type="dxa"/>
          <w:bottom w:w="0" w:type="dxa"/>
          <w:right w:w="0" w:type="dxa"/>
        </w:tblCellMar>
      </w:tblPr>
      <w:tr>
        <w:trPr>
          <w:trHeight w:val="212"/>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8"/>
        </w:trPr>
        <w:tc>
          <w:tcPr>
            <w:tcW w:w="8700" w:type="dxa"/>
            <w:vAlign w:val="bottom"/>
          </w:tcPr>
          <w:p>
            <w:pPr>
              <w:ind w:left="2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1,904.2</w:t>
            </w:r>
          </w:p>
        </w:tc>
      </w:tr>
      <w:tr>
        <w:trPr>
          <w:trHeight w:val="229"/>
        </w:trPr>
        <w:tc>
          <w:tcPr>
            <w:tcW w:w="8700" w:type="dxa"/>
            <w:vAlign w:val="bottom"/>
          </w:tcPr>
          <w:p>
            <w:pPr>
              <w:ind w:left="460"/>
              <w:spacing w:after="0"/>
              <w:rPr>
                <w:sz w:val="20"/>
                <w:szCs w:val="20"/>
                <w:color w:val="auto"/>
              </w:rPr>
            </w:pPr>
            <w:r>
              <w:rPr>
                <w:rFonts w:ascii="Arial" w:cs="Arial" w:eastAsia="Arial" w:hAnsi="Arial"/>
                <w:sz w:val="18"/>
                <w:szCs w:val="18"/>
                <w:color w:val="auto"/>
              </w:rPr>
              <w:t>Short-term borrowings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1,100.9</w:t>
            </w:r>
          </w:p>
        </w:tc>
      </w:tr>
      <w:tr>
        <w:trPr>
          <w:trHeight w:val="230"/>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r>
      <w:tr>
        <w:trPr>
          <w:trHeight w:val="228"/>
        </w:trPr>
        <w:tc>
          <w:tcPr>
            <w:tcW w:w="8700" w:type="dxa"/>
            <w:vAlign w:val="bottom"/>
          </w:tcPr>
          <w:p>
            <w:pPr>
              <w:ind w:left="460"/>
              <w:spacing w:after="0"/>
              <w:rPr>
                <w:sz w:val="20"/>
                <w:szCs w:val="20"/>
                <w:color w:val="auto"/>
              </w:rPr>
            </w:pPr>
            <w:r>
              <w:rPr>
                <w:rFonts w:ascii="Arial" w:cs="Arial" w:eastAsia="Arial" w:hAnsi="Arial"/>
                <w:sz w:val="18"/>
                <w:szCs w:val="18"/>
                <w:color w:val="auto"/>
              </w:rPr>
              <w:t>Current portion of long-term debt and other long-term obligations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2,308.5</w:t>
            </w:r>
          </w:p>
        </w:tc>
      </w:tr>
      <w:tr>
        <w:trPr>
          <w:trHeight w:val="231"/>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4,211.5</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4,960.7</w:t>
            </w:r>
          </w:p>
        </w:tc>
      </w:tr>
      <w:tr>
        <w:trPr>
          <w:trHeight w:val="222"/>
        </w:trPr>
        <w:tc>
          <w:tcPr>
            <w:tcW w:w="870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10,132.6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10,562.9</w:t>
            </w:r>
          </w:p>
        </w:tc>
      </w:tr>
      <w:tr>
        <w:trPr>
          <w:trHeight w:val="231"/>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20,917.0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22,429.2</w:t>
            </w:r>
          </w:p>
        </w:tc>
      </w:tr>
      <w:tr>
        <w:trPr>
          <w:trHeight w:val="228"/>
        </w:trPr>
        <w:tc>
          <w:tcPr>
            <w:tcW w:w="8700" w:type="dxa"/>
            <w:vAlign w:val="bottom"/>
          </w:tcPr>
          <w:p>
            <w:pPr>
              <w:ind w:left="220"/>
              <w:spacing w:after="0"/>
              <w:rPr>
                <w:sz w:val="20"/>
                <w:szCs w:val="20"/>
                <w:color w:val="auto"/>
              </w:rPr>
            </w:pPr>
            <w:r>
              <w:rPr>
                <w:rFonts w:ascii="Arial" w:cs="Arial" w:eastAsia="Arial" w:hAnsi="Arial"/>
                <w:sz w:val="18"/>
                <w:szCs w:val="18"/>
                <w:color w:val="auto"/>
              </w:rPr>
              <w:t>Deferred income tax liability</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3,123.7</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obligations</w:t>
            </w:r>
          </w:p>
        </w:tc>
        <w:tc>
          <w:tcPr>
            <w:tcW w:w="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2,241.9</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2,483.1</w:t>
            </w:r>
          </w:p>
        </w:tc>
      </w:tr>
      <w:tr>
        <w:trPr>
          <w:trHeight w:val="222"/>
        </w:trPr>
        <w:tc>
          <w:tcPr>
            <w:tcW w:w="8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36,777.2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38,598.9</w:t>
            </w:r>
          </w:p>
        </w:tc>
      </w:tr>
      <w:tr>
        <w:trPr>
          <w:trHeight w:val="21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Viatris Inc. shareholders’ equity</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 par value $0.01 per share as of June 30, 2021 and December 31, 2020:</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8700" w:type="dxa"/>
            <w:vAlign w:val="bottom"/>
          </w:tcPr>
          <w:p>
            <w:pPr>
              <w:ind w:left="340"/>
              <w:spacing w:after="0"/>
              <w:rPr>
                <w:sz w:val="20"/>
                <w:szCs w:val="20"/>
                <w:color w:val="auto"/>
              </w:rPr>
            </w:pPr>
            <w:r>
              <w:rPr>
                <w:rFonts w:ascii="Arial" w:cs="Arial" w:eastAsia="Arial" w:hAnsi="Arial"/>
                <w:sz w:val="18"/>
                <w:szCs w:val="18"/>
                <w:color w:val="auto"/>
              </w:rPr>
              <w:t>Shares authorized: 3,000,000,000 as of June 30, 2021 and December 31, 2020</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1,209,212,338 and 1,206,895,644 as of June 30, 2021 and December 31, 2020</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8"/>
        </w:trPr>
        <w:tc>
          <w:tcPr>
            <w:tcW w:w="8700" w:type="dxa"/>
            <w:vAlign w:val="bottom"/>
          </w:tcPr>
          <w:p>
            <w:pPr>
              <w:ind w:left="4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18,489.9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18,438.8</w:t>
            </w:r>
          </w:p>
        </w:tc>
      </w:tr>
      <w:tr>
        <w:trPr>
          <w:trHeight w:val="231"/>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5,361.2</w:t>
            </w:r>
          </w:p>
        </w:tc>
      </w:tr>
      <w:tr>
        <w:trPr>
          <w:trHeight w:val="228"/>
        </w:trPr>
        <w:tc>
          <w:tcPr>
            <w:tcW w:w="8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(858.0)</w:t>
            </w:r>
          </w:p>
        </w:tc>
      </w:tr>
      <w:tr>
        <w:trPr>
          <w:trHeight w:val="223"/>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22,954.1</w:t>
            </w:r>
          </w:p>
        </w:tc>
      </w:tr>
      <w:tr>
        <w:trPr>
          <w:trHeight w:val="237"/>
        </w:trPr>
        <w:tc>
          <w:tcPr>
            <w:tcW w:w="8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5"/>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61,553.0</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 except share amounts)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820" w:type="dxa"/>
            <w:vAlign w:val="bottom"/>
            <w:gridSpan w:val="4"/>
            <w:vMerge w:val="restart"/>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04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0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rPr>
              <w:t>Paid-In</w:t>
            </w:r>
          </w:p>
        </w:tc>
        <w:tc>
          <w:tcPr>
            <w:tcW w:w="840" w:type="dxa"/>
            <w:vAlign w:val="bottom"/>
            <w:gridSpan w:val="2"/>
          </w:tcPr>
          <w:p>
            <w:pPr>
              <w:ind w:left="100"/>
              <w:spacing w:after="0" w:line="102" w:lineRule="exact"/>
              <w:rPr>
                <w:sz w:val="20"/>
                <w:szCs w:val="20"/>
                <w:color w:val="auto"/>
              </w:rPr>
            </w:pPr>
            <w:r>
              <w:rPr>
                <w:rFonts w:ascii="Arial" w:cs="Arial" w:eastAsia="Arial" w:hAnsi="Arial"/>
                <w:sz w:val="11"/>
                <w:szCs w:val="11"/>
                <w:b w:val="1"/>
                <w:bCs w:val="1"/>
                <w:color w:val="auto"/>
              </w:rPr>
              <w:t>Retained</w:t>
            </w:r>
          </w:p>
        </w:tc>
        <w:tc>
          <w:tcPr>
            <w:tcW w:w="15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80" w:type="dxa"/>
            <w:vAlign w:val="bottom"/>
            <w:gridSpan w:val="3"/>
          </w:tcPr>
          <w:p>
            <w:pPr>
              <w:jc w:val="center"/>
              <w:ind w:right="80"/>
              <w:spacing w:after="0" w:line="102" w:lineRule="exact"/>
              <w:rPr>
                <w:sz w:val="20"/>
                <w:szCs w:val="20"/>
                <w:color w:val="auto"/>
              </w:rPr>
            </w:pPr>
            <w:r>
              <w:rPr>
                <w:rFonts w:ascii="Arial" w:cs="Arial" w:eastAsia="Arial" w:hAnsi="Arial"/>
                <w:sz w:val="11"/>
                <w:szCs w:val="11"/>
                <w:b w:val="1"/>
                <w:bCs w:val="1"/>
                <w:color w:val="auto"/>
              </w:rPr>
              <w:t>Comprehensive</w:t>
            </w:r>
          </w:p>
        </w:tc>
        <w:tc>
          <w:tcPr>
            <w:tcW w:w="8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6"/>
        </w:trPr>
        <w:tc>
          <w:tcPr>
            <w:tcW w:w="404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1,208,530,970</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$18,464.6</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$ 4,323.6</w:t>
            </w:r>
          </w:p>
        </w:tc>
        <w:tc>
          <w:tcPr>
            <w:tcW w:w="80" w:type="dxa"/>
            <w:vAlign w:val="bottom"/>
          </w:tcPr>
          <w:p>
            <w:pPr>
              <w:spacing w:after="0"/>
              <w:rPr>
                <w:sz w:val="19"/>
                <w:szCs w:val="19"/>
                <w:color w:val="auto"/>
              </w:rPr>
            </w:pP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2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(1,385.6)</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$21,414.7</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8"/>
                <w:szCs w:val="18"/>
                <w:color w:val="auto"/>
              </w:rPr>
              <w:t>Other comprehensive earnings, net of tax</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180.6</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Issuance of restricted stock and stock options</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681,368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 net</w:t>
            </w: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40" w:type="dxa"/>
            <w:vAlign w:val="bottom"/>
          </w:tcPr>
          <w:p>
            <w:pPr>
              <w:ind w:left="220"/>
              <w:spacing w:after="0" w:line="176" w:lineRule="exact"/>
              <w:rPr>
                <w:sz w:val="20"/>
                <w:szCs w:val="20"/>
                <w:color w:val="auto"/>
              </w:rPr>
            </w:pPr>
            <w:r>
              <w:rPr>
                <w:rFonts w:ascii="Arial" w:cs="Arial" w:eastAsia="Arial" w:hAnsi="Arial"/>
                <w:sz w:val="18"/>
                <w:szCs w:val="18"/>
                <w:color w:val="auto"/>
                <w:w w:val="94"/>
              </w:rPr>
              <w:t>Taxes related to the net share settlement of equity</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5"/>
                <w:szCs w:val="15"/>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Arial" w:cs="Arial" w:eastAsia="Arial" w:hAnsi="Arial"/>
                <w:sz w:val="18"/>
                <w:szCs w:val="18"/>
                <w:color w:val="auto"/>
              </w:rPr>
              <w:t>awards</w:t>
            </w:r>
          </w:p>
        </w:tc>
        <w:tc>
          <w:tcPr>
            <w:tcW w:w="1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Arial" w:cs="Arial" w:eastAsia="Arial" w:hAnsi="Arial"/>
                <w:sz w:val="16"/>
                <w:szCs w:val="16"/>
                <w:color w:val="auto"/>
              </w:rPr>
              <w:t>Cash dividends declared, $0.11 per common share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1,209,212,338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18,489.9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$ 3,909.9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$21,206.9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820" w:type="dxa"/>
            <w:vAlign w:val="bottom"/>
            <w:gridSpan w:val="4"/>
            <w:vMerge w:val="restart"/>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04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0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rPr>
              <w:t>Paid-In</w:t>
            </w:r>
          </w:p>
        </w:tc>
        <w:tc>
          <w:tcPr>
            <w:tcW w:w="840" w:type="dxa"/>
            <w:vAlign w:val="bottom"/>
            <w:gridSpan w:val="2"/>
          </w:tcPr>
          <w:p>
            <w:pPr>
              <w:ind w:left="100"/>
              <w:spacing w:after="0" w:line="102" w:lineRule="exact"/>
              <w:rPr>
                <w:sz w:val="20"/>
                <w:szCs w:val="20"/>
                <w:color w:val="auto"/>
              </w:rPr>
            </w:pPr>
            <w:r>
              <w:rPr>
                <w:rFonts w:ascii="Arial" w:cs="Arial" w:eastAsia="Arial" w:hAnsi="Arial"/>
                <w:sz w:val="11"/>
                <w:szCs w:val="11"/>
                <w:b w:val="1"/>
                <w:bCs w:val="1"/>
                <w:color w:val="auto"/>
              </w:rPr>
              <w:t>Retained</w:t>
            </w:r>
          </w:p>
        </w:tc>
        <w:tc>
          <w:tcPr>
            <w:tcW w:w="15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80" w:type="dxa"/>
            <w:vAlign w:val="bottom"/>
            <w:gridSpan w:val="3"/>
          </w:tcPr>
          <w:p>
            <w:pPr>
              <w:jc w:val="center"/>
              <w:ind w:right="80"/>
              <w:spacing w:after="0" w:line="102" w:lineRule="exact"/>
              <w:rPr>
                <w:sz w:val="20"/>
                <w:szCs w:val="20"/>
                <w:color w:val="auto"/>
              </w:rPr>
            </w:pPr>
            <w:r>
              <w:rPr>
                <w:rFonts w:ascii="Arial" w:cs="Arial" w:eastAsia="Arial" w:hAnsi="Arial"/>
                <w:sz w:val="11"/>
                <w:szCs w:val="11"/>
                <w:b w:val="1"/>
                <w:bCs w:val="1"/>
                <w:color w:val="auto"/>
              </w:rPr>
              <w:t>Comprehensive</w:t>
            </w:r>
          </w:p>
        </w:tc>
        <w:tc>
          <w:tcPr>
            <w:tcW w:w="8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6"/>
        </w:trPr>
        <w:tc>
          <w:tcPr>
            <w:tcW w:w="404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1,206,895,644</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$18,438.8</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$ 5,361.2</w:t>
            </w:r>
          </w:p>
        </w:tc>
        <w:tc>
          <w:tcPr>
            <w:tcW w:w="80" w:type="dxa"/>
            <w:vAlign w:val="bottom"/>
          </w:tcPr>
          <w:p>
            <w:pPr>
              <w:spacing w:after="0"/>
              <w:rPr>
                <w:sz w:val="19"/>
                <w:szCs w:val="19"/>
                <w:color w:val="auto"/>
              </w:rPr>
            </w:pP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2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(858.0)</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$22,954.1</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(1,316.8)</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8"/>
                <w:szCs w:val="18"/>
                <w:color w:val="auto"/>
              </w:rPr>
              <w:t>Other comprehensive loss, net of tax</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(347.0)</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(347.0)</w:t>
            </w:r>
          </w:p>
        </w:tc>
        <w:tc>
          <w:tcPr>
            <w:tcW w:w="0" w:type="dxa"/>
            <w:vAlign w:val="bottom"/>
          </w:tcPr>
          <w:p>
            <w:pPr>
              <w:spacing w:after="0"/>
              <w:rPr>
                <w:sz w:val="1"/>
                <w:szCs w:val="1"/>
                <w:color w:val="auto"/>
              </w:rPr>
            </w:pPr>
          </w:p>
        </w:tc>
      </w:tr>
      <w:tr>
        <w:trPr>
          <w:trHeight w:val="176"/>
        </w:trPr>
        <w:tc>
          <w:tcPr>
            <w:tcW w:w="40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Issuance of restricted stock and stock options</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2,316,694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 net</w:t>
            </w: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40" w:type="dxa"/>
            <w:vAlign w:val="bottom"/>
          </w:tcPr>
          <w:p>
            <w:pPr>
              <w:ind w:left="220"/>
              <w:spacing w:after="0" w:line="176" w:lineRule="exact"/>
              <w:rPr>
                <w:sz w:val="20"/>
                <w:szCs w:val="20"/>
                <w:color w:val="auto"/>
              </w:rPr>
            </w:pPr>
            <w:r>
              <w:rPr>
                <w:rFonts w:ascii="Arial" w:cs="Arial" w:eastAsia="Arial" w:hAnsi="Arial"/>
                <w:sz w:val="18"/>
                <w:szCs w:val="18"/>
                <w:color w:val="auto"/>
                <w:w w:val="94"/>
              </w:rPr>
              <w:t>Taxes related to the net share settlement of equity</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5"/>
                <w:szCs w:val="15"/>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Arial" w:cs="Arial" w:eastAsia="Arial" w:hAnsi="Arial"/>
                <w:sz w:val="18"/>
                <w:szCs w:val="18"/>
                <w:color w:val="auto"/>
              </w:rPr>
              <w:t>awards</w:t>
            </w:r>
          </w:p>
        </w:tc>
        <w:tc>
          <w:tcPr>
            <w:tcW w:w="1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Arial" w:cs="Arial" w:eastAsia="Arial" w:hAnsi="Arial"/>
                <w:sz w:val="16"/>
                <w:szCs w:val="16"/>
                <w:color w:val="auto"/>
              </w:rPr>
              <w:t>Cash dividends declared, $0.11 per common share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1,209,212,338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18,489.9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$ 3,909.9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$21,206.9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4080" w:type="dxa"/>
            <w:vAlign w:val="bottom"/>
            <w:gridSpan w:val="2"/>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1"/>
        </w:trPr>
        <w:tc>
          <w:tcPr>
            <w:tcW w:w="1080" w:type="dxa"/>
            <w:vAlign w:val="bottom"/>
            <w:tcBorders>
              <w:top w:val="single" w:sz="8" w:color="0000FF"/>
            </w:tcBorders>
          </w:tcPr>
          <w:p>
            <w:pPr>
              <w:spacing w:after="0"/>
              <w:rPr>
                <w:sz w:val="24"/>
                <w:szCs w:val="24"/>
                <w:color w:val="auto"/>
              </w:rPr>
            </w:pPr>
          </w:p>
        </w:tc>
        <w:tc>
          <w:tcPr>
            <w:tcW w:w="3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860" w:type="dxa"/>
            <w:vAlign w:val="bottom"/>
            <w:gridSpan w:val="5"/>
          </w:tcPr>
          <w:p>
            <w:pPr>
              <w:ind w:left="300"/>
              <w:spacing w:after="0" w:line="189" w:lineRule="exact"/>
              <w:rPr>
                <w:sz w:val="20"/>
                <w:szCs w:val="20"/>
                <w:color w:val="auto"/>
              </w:rPr>
            </w:pPr>
            <w:r>
              <w:rPr>
                <w:rFonts w:ascii="Arial" w:cs="Arial" w:eastAsia="Arial" w:hAnsi="Arial"/>
                <w:sz w:val="14"/>
                <w:szCs w:val="14"/>
                <w:b w:val="1"/>
                <w:bCs w:val="1"/>
                <w:color w:val="auto"/>
              </w:rPr>
              <w:t xml:space="preserve">Ordinary Shares </w:t>
            </w:r>
            <w:r>
              <w:rPr>
                <w:rFonts w:ascii="Arial" w:cs="Arial" w:eastAsia="Arial" w:hAnsi="Arial"/>
                <w:sz w:val="18"/>
                <w:szCs w:val="18"/>
                <w:b w:val="1"/>
                <w:bCs w:val="1"/>
                <w:color w:val="auto"/>
                <w:vertAlign w:val="superscript"/>
              </w:rPr>
              <w:t>(1)</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4"/>
          </w:tcPr>
          <w:p>
            <w:pPr>
              <w:ind w:left="340"/>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tcPr>
          <w:p>
            <w:pPr>
              <w:jc w:val="center"/>
              <w:ind w:right="80"/>
              <w:spacing w:after="0" w:line="54" w:lineRule="exact"/>
              <w:rPr>
                <w:sz w:val="20"/>
                <w:szCs w:val="20"/>
                <w:color w:val="auto"/>
              </w:rPr>
            </w:pPr>
            <w:r>
              <w:rPr>
                <w:rFonts w:ascii="Arial" w:cs="Arial" w:eastAsia="Arial" w:hAnsi="Arial"/>
                <w:sz w:val="6"/>
                <w:szCs w:val="6"/>
                <w:b w:val="1"/>
                <w:bCs w:val="1"/>
                <w:color w:val="auto"/>
              </w:rPr>
              <w:t>Paid-In</w:t>
            </w:r>
          </w:p>
        </w:tc>
        <w:tc>
          <w:tcPr>
            <w:tcW w:w="860" w:type="dxa"/>
            <w:vAlign w:val="bottom"/>
            <w:gridSpan w:val="2"/>
          </w:tcPr>
          <w:p>
            <w:pPr>
              <w:ind w:left="120"/>
              <w:spacing w:after="0" w:line="54" w:lineRule="exact"/>
              <w:rPr>
                <w:sz w:val="20"/>
                <w:szCs w:val="20"/>
                <w:color w:val="auto"/>
              </w:rPr>
            </w:pPr>
            <w:r>
              <w:rPr>
                <w:rFonts w:ascii="Arial" w:cs="Arial" w:eastAsia="Arial" w:hAnsi="Arial"/>
                <w:sz w:val="6"/>
                <w:szCs w:val="6"/>
                <w:b w:val="1"/>
                <w:bCs w:val="1"/>
                <w:color w:val="auto"/>
              </w:rPr>
              <w:t>Retained</w:t>
            </w: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3"/>
          </w:tcPr>
          <w:p>
            <w:pPr>
              <w:jc w:val="center"/>
              <w:ind w:right="60"/>
              <w:spacing w:after="0" w:line="54" w:lineRule="exact"/>
              <w:rPr>
                <w:sz w:val="20"/>
                <w:szCs w:val="20"/>
                <w:color w:val="auto"/>
              </w:rPr>
            </w:pPr>
            <w:r>
              <w:rPr>
                <w:rFonts w:ascii="Arial" w:cs="Arial" w:eastAsia="Arial" w:hAnsi="Arial"/>
                <w:sz w:val="6"/>
                <w:szCs w:val="6"/>
                <w:b w:val="1"/>
                <w:bCs w:val="1"/>
                <w:color w:val="auto"/>
              </w:rPr>
              <w:t>Comprehensive</w:t>
            </w:r>
          </w:p>
        </w:tc>
        <w:tc>
          <w:tcPr>
            <w:tcW w:w="820" w:type="dxa"/>
            <w:vAlign w:val="bottom"/>
          </w:tcPr>
          <w:p>
            <w:pPr>
              <w:jc w:val="center"/>
              <w:spacing w:after="0" w:line="54"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6"/>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Balance at March 31, 2020</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541,542,294</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$ 8,657.9</w:t>
            </w: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$ 6,051.9</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24,598,074</w:t>
            </w:r>
          </w:p>
        </w:tc>
        <w:tc>
          <w:tcPr>
            <w:tcW w:w="8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$(999.7)</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2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(2,453.5)</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$11,262.7</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Other comprehensive earnings, net of tax</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428.6</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175"/>
        </w:trPr>
        <w:tc>
          <w:tcPr>
            <w:tcW w:w="40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Issuance of restricted stock and stock options</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exercised, net</w:t>
            </w: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Balance at June 30, 2020</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541,545,308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$ 8,673.2</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$ 6,091.5</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24,598,074</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(999.7)</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(2,024.9)</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$11,746.2</w:t>
            </w: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10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860" w:type="dxa"/>
            <w:vAlign w:val="bottom"/>
            <w:gridSpan w:val="5"/>
          </w:tcPr>
          <w:p>
            <w:pPr>
              <w:ind w:left="300"/>
              <w:spacing w:after="0" w:line="189" w:lineRule="exact"/>
              <w:rPr>
                <w:sz w:val="20"/>
                <w:szCs w:val="20"/>
                <w:color w:val="auto"/>
              </w:rPr>
            </w:pPr>
            <w:r>
              <w:rPr>
                <w:rFonts w:ascii="Arial" w:cs="Arial" w:eastAsia="Arial" w:hAnsi="Arial"/>
                <w:sz w:val="14"/>
                <w:szCs w:val="14"/>
                <w:b w:val="1"/>
                <w:bCs w:val="1"/>
                <w:color w:val="auto"/>
              </w:rPr>
              <w:t xml:space="preserve">Ordinary Shares </w:t>
            </w:r>
            <w:r>
              <w:rPr>
                <w:rFonts w:ascii="Arial" w:cs="Arial" w:eastAsia="Arial" w:hAnsi="Arial"/>
                <w:sz w:val="18"/>
                <w:szCs w:val="18"/>
                <w:b w:val="1"/>
                <w:bCs w:val="1"/>
                <w:color w:val="auto"/>
                <w:vertAlign w:val="superscript"/>
              </w:rPr>
              <w:t>(1)</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4"/>
          </w:tcPr>
          <w:p>
            <w:pPr>
              <w:ind w:left="340"/>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tcPr>
          <w:p>
            <w:pPr>
              <w:jc w:val="center"/>
              <w:ind w:right="80"/>
              <w:spacing w:after="0" w:line="54" w:lineRule="exact"/>
              <w:rPr>
                <w:sz w:val="20"/>
                <w:szCs w:val="20"/>
                <w:color w:val="auto"/>
              </w:rPr>
            </w:pPr>
            <w:r>
              <w:rPr>
                <w:rFonts w:ascii="Arial" w:cs="Arial" w:eastAsia="Arial" w:hAnsi="Arial"/>
                <w:sz w:val="6"/>
                <w:szCs w:val="6"/>
                <w:b w:val="1"/>
                <w:bCs w:val="1"/>
                <w:color w:val="auto"/>
              </w:rPr>
              <w:t>Paid-In</w:t>
            </w:r>
          </w:p>
        </w:tc>
        <w:tc>
          <w:tcPr>
            <w:tcW w:w="860" w:type="dxa"/>
            <w:vAlign w:val="bottom"/>
            <w:gridSpan w:val="2"/>
          </w:tcPr>
          <w:p>
            <w:pPr>
              <w:ind w:left="120"/>
              <w:spacing w:after="0" w:line="54" w:lineRule="exact"/>
              <w:rPr>
                <w:sz w:val="20"/>
                <w:szCs w:val="20"/>
                <w:color w:val="auto"/>
              </w:rPr>
            </w:pPr>
            <w:r>
              <w:rPr>
                <w:rFonts w:ascii="Arial" w:cs="Arial" w:eastAsia="Arial" w:hAnsi="Arial"/>
                <w:sz w:val="6"/>
                <w:szCs w:val="6"/>
                <w:b w:val="1"/>
                <w:bCs w:val="1"/>
                <w:color w:val="auto"/>
              </w:rPr>
              <w:t>Retained</w:t>
            </w: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3"/>
          </w:tcPr>
          <w:p>
            <w:pPr>
              <w:jc w:val="center"/>
              <w:ind w:right="60"/>
              <w:spacing w:after="0" w:line="54" w:lineRule="exact"/>
              <w:rPr>
                <w:sz w:val="20"/>
                <w:szCs w:val="20"/>
                <w:color w:val="auto"/>
              </w:rPr>
            </w:pPr>
            <w:r>
              <w:rPr>
                <w:rFonts w:ascii="Arial" w:cs="Arial" w:eastAsia="Arial" w:hAnsi="Arial"/>
                <w:sz w:val="6"/>
                <w:szCs w:val="6"/>
                <w:b w:val="1"/>
                <w:bCs w:val="1"/>
                <w:color w:val="auto"/>
              </w:rPr>
              <w:t>Comprehensive</w:t>
            </w:r>
          </w:p>
        </w:tc>
        <w:tc>
          <w:tcPr>
            <w:tcW w:w="820" w:type="dxa"/>
            <w:vAlign w:val="bottom"/>
          </w:tcPr>
          <w:p>
            <w:pPr>
              <w:jc w:val="center"/>
              <w:spacing w:after="0" w:line="54"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6"/>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2019</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540,746,871</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$ 8,643.5</w:t>
            </w: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$ 6,031.1</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24,598,074</w:t>
            </w:r>
          </w:p>
        </w:tc>
        <w:tc>
          <w:tcPr>
            <w:tcW w:w="8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$(999.7)</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2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(1,797.2)</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$11,883.8</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9"/>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Other comprehensive loss, net of tax</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(227.7)</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176"/>
        </w:trPr>
        <w:tc>
          <w:tcPr>
            <w:tcW w:w="40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Issuance of restricted stock and stock options</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798,437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exercised, net</w:t>
            </w: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8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5"/>
              </w:rPr>
              <w:t>Taxes related to the net share settlement of equity</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awards</w:t>
            </w: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0"/>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541,545,308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$ 8,673.2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$ 6,091.5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24,598,074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(999.7)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$11,746.2</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w:t>
      </w:r>
    </w:p>
    <w:p>
      <w:pPr>
        <w:spacing w:after="0" w:line="37"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5"/>
          <w:szCs w:val="15"/>
          <w:color w:val="auto"/>
          <w:vertAlign w:val="superscript"/>
        </w:rPr>
      </w:pPr>
      <w:r>
        <w:rPr>
          <w:rFonts w:ascii="Arial" w:cs="Arial" w:eastAsia="Arial" w:hAnsi="Arial"/>
          <w:sz w:val="12"/>
          <w:szCs w:val="12"/>
          <w:color w:val="auto"/>
        </w:rPr>
        <w:t>Ordinary Shares prior to November 16, 2020.</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w:t>
      </w:r>
    </w:p>
    <w:p>
      <w:pPr>
        <w:spacing w:after="0" w:line="121"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Six Months Ended</w:t>
      </w:r>
    </w:p>
    <w:p>
      <w:pPr>
        <w:spacing w:after="0" w:line="28"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23495</wp:posOffset>
            </wp:positionV>
            <wp:extent cx="15944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21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Net (loss) earnings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(1,316.8)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(loss) earnings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7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830.7</w:t>
            </w:r>
          </w:p>
        </w:tc>
      </w:tr>
      <w:tr>
        <w:trPr>
          <w:trHeight w:val="229"/>
        </w:trPr>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Share-based compensation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30"/>
        </w:trPr>
        <w:tc>
          <w:tcPr>
            <w:tcW w:w="8700" w:type="dxa"/>
            <w:vAlign w:val="bottom"/>
          </w:tcPr>
          <w:p>
            <w:pPr>
              <w:ind w:left="480"/>
              <w:spacing w:after="0"/>
              <w:rPr>
                <w:sz w:val="20"/>
                <w:szCs w:val="20"/>
                <w:color w:val="auto"/>
              </w:rPr>
            </w:pPr>
            <w:r>
              <w:rPr>
                <w:rFonts w:ascii="Arial" w:cs="Arial" w:eastAsia="Arial" w:hAnsi="Arial"/>
                <w:sz w:val="18"/>
                <w:szCs w:val="18"/>
                <w:color w:val="auto"/>
              </w:rPr>
              <w:t>Deferred income tax expense (benefit)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(119.7)</w:t>
            </w:r>
          </w:p>
        </w:tc>
      </w:tr>
      <w:tr>
        <w:trPr>
          <w:trHeight w:val="229"/>
        </w:trPr>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from equity method investments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30"/>
        </w:trPr>
        <w:tc>
          <w:tcPr>
            <w:tcW w:w="8700" w:type="dxa"/>
            <w:vAlign w:val="bottom"/>
          </w:tcPr>
          <w:p>
            <w:pPr>
              <w:ind w:left="480"/>
              <w:spacing w:after="0"/>
              <w:rPr>
                <w:sz w:val="20"/>
                <w:szCs w:val="20"/>
                <w:color w:val="auto"/>
              </w:rPr>
            </w:pPr>
            <w:r>
              <w:rPr>
                <w:rFonts w:ascii="Arial" w:cs="Arial" w:eastAsia="Arial" w:hAnsi="Arial"/>
                <w:sz w:val="18"/>
                <w:szCs w:val="18"/>
                <w:color w:val="auto"/>
              </w:rPr>
              <w:t>Other non-cash items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229"/>
        </w:trPr>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Litigation settlements and other contingencies,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29"/>
        </w:trPr>
        <w:tc>
          <w:tcPr>
            <w:tcW w:w="8700" w:type="dxa"/>
            <w:vAlign w:val="bottom"/>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29"/>
        </w:trPr>
        <w:tc>
          <w:tcPr>
            <w:tcW w:w="8700" w:type="dxa"/>
            <w:vAlign w:val="bottom"/>
          </w:tcPr>
          <w:p>
            <w:pPr>
              <w:ind w:left="6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(275.8)</w:t>
            </w:r>
          </w:p>
        </w:tc>
      </w:tr>
      <w:tr>
        <w:trPr>
          <w:trHeight w:val="229"/>
        </w:trPr>
        <w:tc>
          <w:tcPr>
            <w:tcW w:w="8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r>
      <w:tr>
        <w:trPr>
          <w:trHeight w:val="230"/>
        </w:trPr>
        <w:tc>
          <w:tcPr>
            <w:tcW w:w="8700" w:type="dxa"/>
            <w:vAlign w:val="bottom"/>
          </w:tcPr>
          <w:p>
            <w:pPr>
              <w:ind w:left="68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29"/>
        </w:trPr>
        <w:tc>
          <w:tcPr>
            <w:tcW w:w="8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operating assets and liabilities,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23"/>
        </w:trPr>
        <w:tc>
          <w:tcPr>
            <w:tcW w:w="87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670.6</w:t>
            </w:r>
          </w:p>
        </w:tc>
      </w:tr>
      <w:tr>
        <w:trPr>
          <w:trHeight w:val="20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Cash received from acquisitions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Purchase of marketable securities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(90.2)</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sale of marketable securities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Payments for product rights and other,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assets and subsidiaries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sale of property, plant and equipment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r>
      <w:tr>
        <w:trPr>
          <w:trHeight w:val="210"/>
        </w:trPr>
        <w:tc>
          <w:tcPr>
            <w:tcW w:w="87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Payments of long-term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(589.0)</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short-term borrowings,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Cash dividends paid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 paid related to net share settlement of equity awards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Non-contingent payments for product rights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 payments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Payments of financing fees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items,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(609.1)</w:t>
            </w:r>
          </w:p>
        </w:tc>
      </w:tr>
      <w:tr>
        <w:trPr>
          <w:trHeight w:val="22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on cash of changes in exchange rates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 beginning of period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w:t>
            </w: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The accompanying unaudited condensed consolidated financial statements (“interim financial statements”) of Viatris Inc. and subsidiaries were prepared in accordance with U.S. GAAP and the rules and regulations of the SEC for reporting on Form 10-Q; therefore, as permitted under these rules, certain footnotes and other financial information included in audited financial statements were condensed or omitted. The interim financial statements contain all adjustments (consisting of only normal recurring adjustments) necessary to present fairly the interim results of operations, comprehensive earnings, financial position, equity and cash flows for the periods presented.</w:t>
      </w:r>
    </w:p>
    <w:p>
      <w:pPr>
        <w:spacing w:after="0" w:line="17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These interim financial statements should be read in conjunction with the consolidated financial statements and notes thereto in Viatris’ 2020 Form 10-K. The December 31, 2020 condensed consolidated balance sheet was derived from audited financial statements. In accordance with </w:t>
      </w:r>
      <w:r>
        <w:rPr>
          <w:rFonts w:ascii="Arial" w:cs="Arial" w:eastAsia="Arial" w:hAnsi="Arial"/>
          <w:sz w:val="18"/>
          <w:szCs w:val="18"/>
          <w:i w:val="1"/>
          <w:iCs w:val="1"/>
          <w:color w:val="auto"/>
        </w:rPr>
        <w:t>ASC 805,</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Combinations</w:t>
      </w:r>
      <w:r>
        <w:rPr>
          <w:rFonts w:ascii="Arial" w:cs="Arial" w:eastAsia="Arial" w:hAnsi="Arial"/>
          <w:sz w:val="18"/>
          <w:szCs w:val="18"/>
          <w:color w:val="auto"/>
        </w:rPr>
        <w:t>, Mylan is considered the accounting acquirer of the Upjohn Business and all historical financial information of the Company prior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November 16, 2020 represents Mylan’s historical results and the Company’s thereafter. Refer to Note 4 </w:t>
      </w:r>
      <w:r>
        <w:rPr>
          <w:rFonts w:ascii="Arial" w:cs="Arial" w:eastAsia="Arial" w:hAnsi="Arial"/>
          <w:sz w:val="18"/>
          <w:szCs w:val="18"/>
          <w:i w:val="1"/>
          <w:iCs w:val="1"/>
          <w:color w:val="auto"/>
        </w:rPr>
        <w:t>Acquisitions and Other Transactions</w:t>
      </w:r>
      <w:r>
        <w:rPr>
          <w:rFonts w:ascii="Arial" w:cs="Arial" w:eastAsia="Arial" w:hAnsi="Arial"/>
          <w:sz w:val="18"/>
          <w:szCs w:val="18"/>
          <w:color w:val="auto"/>
        </w:rPr>
        <w:t xml:space="preserve"> for additional information.</w:t>
      </w:r>
    </w:p>
    <w:p>
      <w:pPr>
        <w:spacing w:after="0" w:line="188"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 interim results of operations and comprehensive earnings (loss) for the three and six months ended June 30, 2021, and cash flows for the six months ended June 30, 2021, are not necessarily indicative of the results to be expected for the full fiscal year or any other future period.</w:t>
      </w:r>
    </w:p>
    <w:p>
      <w:pPr>
        <w:spacing w:after="0" w:line="14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Accounts Receivable</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 xml:space="preserve">The Company recognizes revenue in accordance with </w:t>
      </w:r>
      <w:r>
        <w:rPr>
          <w:rFonts w:ascii="Arial" w:cs="Arial" w:eastAsia="Arial" w:hAnsi="Arial"/>
          <w:sz w:val="17"/>
          <w:szCs w:val="17"/>
          <w:i w:val="1"/>
          <w:iCs w:val="1"/>
          <w:color w:val="auto"/>
        </w:rPr>
        <w:t>ASC 606, Revenue from Contracts with Customers</w:t>
      </w:r>
      <w:r>
        <w:rPr>
          <w:rFonts w:ascii="Arial" w:cs="Arial" w:eastAsia="Arial" w:hAnsi="Arial"/>
          <w:sz w:val="17"/>
          <w:szCs w:val="17"/>
          <w:color w:val="auto"/>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condensed consolidated financial statements as reductions in determining net sales and as a contra asset in accounts receivable, net (if settled via credit) and other current liabilities (if paid in cash).</w:t>
      </w:r>
    </w:p>
    <w:p>
      <w:pPr>
        <w:spacing w:after="0" w:line="17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spacing w:after="0" w:line="18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 in the condensed consolidated statements of operations.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net sales by product category for each of our reportable segments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 respectively:</w:t>
      </w:r>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center"/>
              <w:ind w:left="476"/>
              <w:spacing w:after="0"/>
              <w:rPr>
                <w:sz w:val="20"/>
                <w:szCs w:val="20"/>
                <w:color w:val="auto"/>
              </w:rPr>
            </w:pPr>
            <w:r>
              <w:rPr>
                <w:rFonts w:ascii="Arial" w:cs="Arial" w:eastAsia="Arial" w:hAnsi="Arial"/>
                <w:sz w:val="14"/>
                <w:szCs w:val="14"/>
                <w:b w:val="1"/>
                <w:bCs w:val="1"/>
                <w:color w:val="auto"/>
                <w:w w:val="93"/>
              </w:rPr>
              <w:t>Three Months Ended June 30, 2021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Product Category</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Developed Markets</w:t>
            </w: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Greater China</w:t>
            </w: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JANZ</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Emerging Markets</w:t>
            </w: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24"/>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2,701.7</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Complex Gx and Biosimilars</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332.8</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1,527.2</w:t>
            </w: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4,561.7</w:t>
            </w:r>
          </w:p>
        </w:tc>
      </w:tr>
      <w:tr>
        <w:trPr>
          <w:trHeight w:val="20"/>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8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4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3"/>
          </w:tcPr>
          <w:p>
            <w:pPr>
              <w:jc w:val="center"/>
              <w:ind w:right="228"/>
              <w:spacing w:after="0"/>
              <w:rPr>
                <w:sz w:val="20"/>
                <w:szCs w:val="20"/>
                <w:color w:val="auto"/>
              </w:rPr>
            </w:pPr>
            <w:r>
              <w:rPr>
                <w:rFonts w:ascii="Arial" w:cs="Arial" w:eastAsia="Arial" w:hAnsi="Arial"/>
                <w:sz w:val="14"/>
                <w:szCs w:val="14"/>
                <w:b w:val="1"/>
                <w:bCs w:val="1"/>
                <w:color w:val="auto"/>
                <w:w w:val="92"/>
              </w:rPr>
              <w:t>Six Months Ended June 30, 2021</w:t>
            </w:r>
          </w:p>
        </w:tc>
        <w:tc>
          <w:tcPr>
            <w:tcW w:w="1160" w:type="dxa"/>
            <w:vAlign w:val="bottom"/>
            <w:tcBorders>
              <w:bottom w:val="single" w:sz="8" w:color="auto"/>
            </w:tcBorders>
          </w:tcPr>
          <w:p>
            <w:pPr>
              <w:spacing w:after="0"/>
              <w:rPr>
                <w:sz w:val="16"/>
                <w:szCs w:val="16"/>
                <w:color w:val="auto"/>
              </w:rPr>
            </w:pPr>
          </w:p>
        </w:tc>
      </w:tr>
      <w:tr>
        <w:trPr>
          <w:trHeight w:val="186"/>
        </w:trPr>
        <w:tc>
          <w:tcPr>
            <w:tcW w:w="4180" w:type="dxa"/>
            <w:vAlign w:val="bottom"/>
          </w:tcPr>
          <w:p>
            <w:pPr>
              <w:spacing w:after="0"/>
              <w:rPr>
                <w:sz w:val="20"/>
                <w:szCs w:val="20"/>
                <w:color w:val="auto"/>
              </w:rPr>
            </w:pPr>
            <w:r>
              <w:rPr>
                <w:rFonts w:ascii="Arial" w:cs="Arial" w:eastAsia="Arial" w:hAnsi="Arial"/>
                <w:sz w:val="14"/>
                <w:szCs w:val="14"/>
                <w:b w:val="1"/>
                <w:bCs w:val="1"/>
                <w:i w:val="1"/>
                <w:iCs w:val="1"/>
                <w:color w:val="auto"/>
              </w:rPr>
              <w:t>Product Category</w:t>
            </w:r>
          </w:p>
        </w:tc>
        <w:tc>
          <w:tcPr>
            <w:tcW w:w="1440" w:type="dxa"/>
            <w:vAlign w:val="bottom"/>
          </w:tcPr>
          <w:p>
            <w:pPr>
              <w:ind w:left="60"/>
              <w:spacing w:after="0"/>
              <w:rPr>
                <w:sz w:val="20"/>
                <w:szCs w:val="20"/>
                <w:color w:val="auto"/>
              </w:rPr>
            </w:pPr>
            <w:r>
              <w:rPr>
                <w:rFonts w:ascii="Arial" w:cs="Arial" w:eastAsia="Arial" w:hAnsi="Arial"/>
                <w:sz w:val="14"/>
                <w:szCs w:val="14"/>
                <w:b w:val="1"/>
                <w:bCs w:val="1"/>
                <w:color w:val="auto"/>
              </w:rPr>
              <w:t>Developed Markets</w:t>
            </w:r>
          </w:p>
        </w:tc>
        <w:tc>
          <w:tcPr>
            <w:tcW w:w="1460" w:type="dxa"/>
            <w:vAlign w:val="bottom"/>
          </w:tcPr>
          <w:p>
            <w:pPr>
              <w:ind w:left="180"/>
              <w:spacing w:after="0"/>
              <w:rPr>
                <w:sz w:val="20"/>
                <w:szCs w:val="20"/>
                <w:color w:val="auto"/>
              </w:rPr>
            </w:pPr>
            <w:r>
              <w:rPr>
                <w:rFonts w:ascii="Arial" w:cs="Arial" w:eastAsia="Arial" w:hAnsi="Arial"/>
                <w:sz w:val="14"/>
                <w:szCs w:val="14"/>
                <w:b w:val="1"/>
                <w:bCs w:val="1"/>
                <w:color w:val="auto"/>
              </w:rPr>
              <w:t>Greater China</w:t>
            </w:r>
          </w:p>
        </w:tc>
        <w:tc>
          <w:tcPr>
            <w:tcW w:w="1100" w:type="dxa"/>
            <w:vAlign w:val="bottom"/>
          </w:tcPr>
          <w:p>
            <w:pPr>
              <w:jc w:val="center"/>
              <w:ind w:left="8"/>
              <w:spacing w:after="0"/>
              <w:rPr>
                <w:sz w:val="20"/>
                <w:szCs w:val="20"/>
                <w:color w:val="auto"/>
              </w:rPr>
            </w:pPr>
            <w:r>
              <w:rPr>
                <w:rFonts w:ascii="Arial" w:cs="Arial" w:eastAsia="Arial" w:hAnsi="Arial"/>
                <w:sz w:val="14"/>
                <w:szCs w:val="14"/>
                <w:b w:val="1"/>
                <w:bCs w:val="1"/>
                <w:color w:val="auto"/>
              </w:rPr>
              <w:t>JANZ</w:t>
            </w:r>
          </w:p>
        </w:tc>
        <w:tc>
          <w:tcPr>
            <w:tcW w:w="1820" w:type="dxa"/>
            <w:vAlign w:val="bottom"/>
          </w:tcPr>
          <w:p>
            <w:pPr>
              <w:ind w:left="320"/>
              <w:spacing w:after="0"/>
              <w:rPr>
                <w:sz w:val="20"/>
                <w:szCs w:val="20"/>
                <w:color w:val="auto"/>
              </w:rPr>
            </w:pPr>
            <w:r>
              <w:rPr>
                <w:rFonts w:ascii="Arial" w:cs="Arial" w:eastAsia="Arial" w:hAnsi="Arial"/>
                <w:sz w:val="14"/>
                <w:szCs w:val="14"/>
                <w:b w:val="1"/>
                <w:bCs w:val="1"/>
                <w:color w:val="auto"/>
              </w:rPr>
              <w:t>Emerging Markets</w:t>
            </w:r>
          </w:p>
        </w:tc>
        <w:tc>
          <w:tcPr>
            <w:tcW w:w="1160" w:type="dxa"/>
            <w:vAlign w:val="bottom"/>
          </w:tcPr>
          <w:p>
            <w:pPr>
              <w:ind w:left="340"/>
              <w:spacing w:after="0"/>
              <w:rPr>
                <w:sz w:val="20"/>
                <w:szCs w:val="20"/>
                <w:color w:val="auto"/>
              </w:rPr>
            </w:pPr>
            <w:r>
              <w:rPr>
                <w:rFonts w:ascii="Arial" w:cs="Arial" w:eastAsia="Arial" w:hAnsi="Arial"/>
                <w:sz w:val="14"/>
                <w:szCs w:val="14"/>
                <w:b w:val="1"/>
                <w:bCs w:val="1"/>
                <w:color w:val="auto"/>
              </w:rPr>
              <w:t>Total</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420" w:type="dxa"/>
            <w:vAlign w:val="bottom"/>
            <w:tcBorders>
              <w:top w:val="single" w:sz="8" w:color="auto"/>
            </w:tcBorders>
            <w:gridSpan w:val="2"/>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2,827.8</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gridSpan w:val="2"/>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5,426.3</w:t>
            </w:r>
          </w:p>
        </w:tc>
        <w:tc>
          <w:tcPr>
            <w:tcW w:w="40" w:type="dxa"/>
            <w:vAlign w:val="bottom"/>
          </w:tcPr>
          <w:p>
            <w:pPr>
              <w:spacing w:after="0"/>
              <w:rPr>
                <w:sz w:val="19"/>
                <w:szCs w:val="19"/>
                <w:color w:val="auto"/>
              </w:rPr>
            </w:pPr>
          </w:p>
        </w:tc>
      </w:tr>
      <w:tr>
        <w:trPr>
          <w:trHeight w:val="229"/>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Complex Gx and Biosimilars</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661.7</w:t>
            </w:r>
          </w:p>
        </w:tc>
        <w:tc>
          <w:tcPr>
            <w:tcW w:w="40" w:type="dxa"/>
            <w:vAlign w:val="bottom"/>
          </w:tcPr>
          <w:p>
            <w:pPr>
              <w:spacing w:after="0"/>
              <w:rPr>
                <w:sz w:val="19"/>
                <w:szCs w:val="19"/>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2,873.8</w:t>
            </w:r>
          </w:p>
        </w:tc>
        <w:tc>
          <w:tcPr>
            <w:tcW w:w="40" w:type="dxa"/>
            <w:vAlign w:val="bottom"/>
          </w:tcPr>
          <w:p>
            <w:pPr>
              <w:spacing w:after="0"/>
              <w:rPr>
                <w:sz w:val="19"/>
                <w:szCs w:val="19"/>
                <w:color w:val="auto"/>
              </w:rPr>
            </w:pPr>
          </w:p>
        </w:tc>
      </w:tr>
      <w:tr>
        <w:trPr>
          <w:trHeight w:val="223"/>
        </w:trPr>
        <w:tc>
          <w:tcPr>
            <w:tcW w:w="42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8,961.8</w:t>
            </w:r>
          </w:p>
        </w:tc>
        <w:tc>
          <w:tcPr>
            <w:tcW w:w="4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48"/>
        </w:trPr>
        <w:tc>
          <w:tcPr>
            <w:tcW w:w="42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0"/>
          </w:tcPr>
          <w:p>
            <w:pPr>
              <w:jc w:val="center"/>
              <w:ind w:left="555"/>
              <w:spacing w:after="0"/>
              <w:rPr>
                <w:sz w:val="20"/>
                <w:szCs w:val="20"/>
                <w:color w:val="auto"/>
              </w:rPr>
            </w:pPr>
            <w:r>
              <w:rPr>
                <w:rFonts w:ascii="Arial" w:cs="Arial" w:eastAsia="Arial" w:hAnsi="Arial"/>
                <w:sz w:val="14"/>
                <w:szCs w:val="14"/>
                <w:b w:val="1"/>
                <w:bCs w:val="1"/>
                <w:color w:val="auto"/>
                <w:w w:val="93"/>
              </w:rPr>
              <w:t>Three Months Ended June 30, 2020</w:t>
            </w: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8"/>
        </w:trPr>
        <w:tc>
          <w:tcPr>
            <w:tcW w:w="42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Product Category</w:t>
            </w:r>
          </w:p>
        </w:tc>
        <w:tc>
          <w:tcPr>
            <w:tcW w:w="40" w:type="dxa"/>
            <w:vAlign w:val="bottom"/>
          </w:tcPr>
          <w:p>
            <w:pPr>
              <w:spacing w:after="0"/>
              <w:rPr>
                <w:sz w:val="16"/>
                <w:szCs w:val="16"/>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rPr>
              <w:t>Developed Markets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Greater China</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JANZ</w:t>
            </w:r>
          </w:p>
        </w:tc>
        <w:tc>
          <w:tcPr>
            <w:tcW w:w="40" w:type="dxa"/>
            <w:vAlign w:val="bottom"/>
          </w:tcPr>
          <w:p>
            <w:pPr>
              <w:spacing w:after="0"/>
              <w:rPr>
                <w:sz w:val="16"/>
                <w:szCs w:val="16"/>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Emerging Markets</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6"/>
                <w:szCs w:val="16"/>
                <w:color w:val="auto"/>
              </w:rPr>
            </w:pPr>
          </w:p>
        </w:tc>
      </w:tr>
      <w:tr>
        <w:trPr>
          <w:trHeight w:val="224"/>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420" w:type="dxa"/>
            <w:vAlign w:val="bottom"/>
            <w:tcBorders>
              <w:top w:val="single" w:sz="8" w:color="auto"/>
            </w:tcBorders>
            <w:gridSpan w:val="2"/>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gridSpan w:val="2"/>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1,073.0</w:t>
            </w:r>
          </w:p>
        </w:tc>
        <w:tc>
          <w:tcPr>
            <w:tcW w:w="40" w:type="dxa"/>
            <w:vAlign w:val="bottom"/>
          </w:tcPr>
          <w:p>
            <w:pPr>
              <w:spacing w:after="0"/>
              <w:rPr>
                <w:sz w:val="19"/>
                <w:szCs w:val="19"/>
                <w:color w:val="auto"/>
              </w:rPr>
            </w:pPr>
          </w:p>
        </w:tc>
      </w:tr>
      <w:tr>
        <w:trPr>
          <w:trHeight w:val="229"/>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Complex Gx and Biosimilars</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351.1</w:t>
            </w:r>
          </w:p>
        </w:tc>
        <w:tc>
          <w:tcPr>
            <w:tcW w:w="40" w:type="dxa"/>
            <w:vAlign w:val="bottom"/>
          </w:tcPr>
          <w:p>
            <w:pPr>
              <w:spacing w:after="0"/>
              <w:rPr>
                <w:sz w:val="19"/>
                <w:szCs w:val="19"/>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1,271.8</w:t>
            </w:r>
          </w:p>
        </w:tc>
        <w:tc>
          <w:tcPr>
            <w:tcW w:w="40" w:type="dxa"/>
            <w:vAlign w:val="bottom"/>
          </w:tcPr>
          <w:p>
            <w:pPr>
              <w:spacing w:after="0"/>
              <w:rPr>
                <w:sz w:val="19"/>
                <w:szCs w:val="19"/>
                <w:color w:val="auto"/>
              </w:rPr>
            </w:pPr>
          </w:p>
        </w:tc>
      </w:tr>
      <w:tr>
        <w:trPr>
          <w:trHeight w:val="223"/>
        </w:trPr>
        <w:tc>
          <w:tcPr>
            <w:tcW w:w="42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2,695.9</w:t>
            </w:r>
          </w:p>
        </w:tc>
        <w:tc>
          <w:tcPr>
            <w:tcW w:w="4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4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0"/>
          </w:tcPr>
          <w:p>
            <w:pPr>
              <w:jc w:val="center"/>
              <w:ind w:left="615"/>
              <w:spacing w:after="0"/>
              <w:rPr>
                <w:sz w:val="20"/>
                <w:szCs w:val="20"/>
                <w:color w:val="auto"/>
              </w:rPr>
            </w:pPr>
            <w:r>
              <w:rPr>
                <w:rFonts w:ascii="Arial" w:cs="Arial" w:eastAsia="Arial" w:hAnsi="Arial"/>
                <w:sz w:val="14"/>
                <w:szCs w:val="14"/>
                <w:b w:val="1"/>
                <w:bCs w:val="1"/>
                <w:color w:val="auto"/>
                <w:w w:val="92"/>
              </w:rPr>
              <w:t>Six Months Ended June 30, 2020</w:t>
            </w: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4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Product Category</w:t>
            </w:r>
          </w:p>
        </w:tc>
        <w:tc>
          <w:tcPr>
            <w:tcW w:w="40" w:type="dxa"/>
            <w:vAlign w:val="bottom"/>
          </w:tcPr>
          <w:p>
            <w:pPr>
              <w:spacing w:after="0"/>
              <w:rPr>
                <w:sz w:val="16"/>
                <w:szCs w:val="16"/>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Developed Markets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Greater China</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JANZ</w:t>
            </w:r>
          </w:p>
        </w:tc>
        <w:tc>
          <w:tcPr>
            <w:tcW w:w="40" w:type="dxa"/>
            <w:vAlign w:val="bottom"/>
          </w:tcPr>
          <w:p>
            <w:pPr>
              <w:spacing w:after="0"/>
              <w:rPr>
                <w:sz w:val="16"/>
                <w:szCs w:val="16"/>
                <w:color w:val="auto"/>
              </w:rPr>
            </w:pPr>
          </w:p>
        </w:tc>
        <w:tc>
          <w:tcPr>
            <w:tcW w:w="1380" w:type="dxa"/>
            <w:vAlign w:val="bottom"/>
            <w:gridSpan w:val="4"/>
          </w:tcPr>
          <w:p>
            <w:pPr>
              <w:ind w:left="80"/>
              <w:spacing w:after="0"/>
              <w:rPr>
                <w:sz w:val="20"/>
                <w:szCs w:val="20"/>
                <w:color w:val="auto"/>
              </w:rPr>
            </w:pPr>
            <w:r>
              <w:rPr>
                <w:rFonts w:ascii="Arial" w:cs="Arial" w:eastAsia="Arial" w:hAnsi="Arial"/>
                <w:sz w:val="14"/>
                <w:szCs w:val="14"/>
                <w:b w:val="1"/>
                <w:bCs w:val="1"/>
                <w:color w:val="auto"/>
              </w:rPr>
              <w:t>Emerging Markets</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6"/>
                <w:szCs w:val="16"/>
                <w:color w:val="auto"/>
              </w:rPr>
            </w:pPr>
          </w:p>
        </w:tc>
      </w:tr>
      <w:tr>
        <w:trPr>
          <w:trHeight w:val="224"/>
        </w:trPr>
        <w:tc>
          <w:tcPr>
            <w:tcW w:w="40" w:type="dxa"/>
            <w:vAlign w:val="bottom"/>
          </w:tcPr>
          <w:p>
            <w:pPr>
              <w:spacing w:after="0"/>
              <w:rPr>
                <w:sz w:val="19"/>
                <w:szCs w:val="19"/>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1,747.0</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2,134.5</w:t>
            </w:r>
          </w:p>
        </w:tc>
        <w:tc>
          <w:tcPr>
            <w:tcW w:w="40" w:type="dxa"/>
            <w:vAlign w:val="bottom"/>
            <w:tcBorders>
              <w:top w:val="single" w:sz="8" w:color="auto"/>
            </w:tcBorders>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Complex Gx and Biosimilars</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604.4</w:t>
            </w: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2,545.2</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3,969.1</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523.4</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753.8</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5,284.1</w:t>
            </w:r>
          </w:p>
        </w:tc>
        <w:tc>
          <w:tcPr>
            <w:tcW w:w="4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net sales on a consolidated basis for select key products for the three and six months ended June 30, 2021:</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2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Three months ended June</w:t>
            </w: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86"/>
        </w:trPr>
        <w:tc>
          <w:tcPr>
            <w:tcW w:w="768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30, 2021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2"/>
        </w:trPr>
        <w:tc>
          <w:tcPr>
            <w:tcW w:w="7680" w:type="dxa"/>
            <w:vAlign w:val="bottom"/>
          </w:tcPr>
          <w:p>
            <w:pPr>
              <w:ind w:left="120"/>
              <w:spacing w:after="0"/>
              <w:rPr>
                <w:sz w:val="20"/>
                <w:szCs w:val="20"/>
                <w:color w:val="auto"/>
              </w:rPr>
            </w:pPr>
            <w:r>
              <w:rPr>
                <w:rFonts w:ascii="Arial" w:cs="Arial" w:eastAsia="Arial" w:hAnsi="Arial"/>
                <w:sz w:val="18"/>
                <w:szCs w:val="18"/>
                <w:b w:val="1"/>
                <w:bCs w:val="1"/>
                <w:color w:val="auto"/>
              </w:rPr>
              <w:t>Select Key Global Products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Lipitor ®</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w:t>
            </w:r>
          </w:p>
        </w:tc>
        <w:tc>
          <w:tcPr>
            <w:tcW w:w="0" w:type="dxa"/>
            <w:vAlign w:val="bottom"/>
          </w:tcPr>
          <w:p>
            <w:pPr>
              <w:spacing w:after="0"/>
              <w:rPr>
                <w:sz w:val="1"/>
                <w:szCs w:val="1"/>
                <w:color w:val="auto"/>
              </w:rPr>
            </w:pPr>
          </w:p>
        </w:tc>
      </w:tr>
      <w:tr>
        <w:trPr>
          <w:trHeight w:val="229"/>
        </w:trPr>
        <w:tc>
          <w:tcPr>
            <w:tcW w:w="7680" w:type="dxa"/>
            <w:vAlign w:val="bottom"/>
          </w:tcPr>
          <w:p>
            <w:pPr>
              <w:ind w:left="120"/>
              <w:spacing w:after="0"/>
              <w:rPr>
                <w:sz w:val="20"/>
                <w:szCs w:val="20"/>
                <w:color w:val="auto"/>
              </w:rPr>
            </w:pPr>
            <w:r>
              <w:rPr>
                <w:rFonts w:ascii="Arial" w:cs="Arial" w:eastAsia="Arial" w:hAnsi="Arial"/>
                <w:sz w:val="18"/>
                <w:szCs w:val="18"/>
                <w:color w:val="auto"/>
              </w:rPr>
              <w:t>Norvasc ®</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Lyrica ®</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0" w:type="dxa"/>
            <w:vAlign w:val="bottom"/>
          </w:tcPr>
          <w:p>
            <w:pPr>
              <w:spacing w:after="0"/>
              <w:rPr>
                <w:sz w:val="1"/>
                <w:szCs w:val="1"/>
                <w:color w:val="auto"/>
              </w:rPr>
            </w:pPr>
          </w:p>
        </w:tc>
      </w:tr>
      <w:tr>
        <w:trPr>
          <w:trHeight w:val="230"/>
        </w:trPr>
        <w:tc>
          <w:tcPr>
            <w:tcW w:w="7680" w:type="dxa"/>
            <w:vAlign w:val="bottom"/>
          </w:tcPr>
          <w:p>
            <w:pPr>
              <w:ind w:left="120"/>
              <w:spacing w:after="0"/>
              <w:rPr>
                <w:sz w:val="20"/>
                <w:szCs w:val="20"/>
                <w:color w:val="auto"/>
              </w:rPr>
            </w:pPr>
            <w:r>
              <w:rPr>
                <w:rFonts w:ascii="Arial" w:cs="Arial" w:eastAsia="Arial" w:hAnsi="Arial"/>
                <w:sz w:val="18"/>
                <w:szCs w:val="18"/>
                <w:color w:val="auto"/>
              </w:rPr>
              <w:t>Viagra ®</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EpiPen® Auto-Injectors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29"/>
        </w:trPr>
        <w:tc>
          <w:tcPr>
            <w:tcW w:w="7680" w:type="dxa"/>
            <w:vAlign w:val="bottom"/>
          </w:tcPr>
          <w:p>
            <w:pPr>
              <w:ind w:left="120"/>
              <w:spacing w:after="0"/>
              <w:rPr>
                <w:sz w:val="20"/>
                <w:szCs w:val="20"/>
                <w:color w:val="auto"/>
              </w:rPr>
            </w:pPr>
            <w:r>
              <w:rPr>
                <w:rFonts w:ascii="Arial" w:cs="Arial" w:eastAsia="Arial" w:hAnsi="Arial"/>
                <w:sz w:val="18"/>
                <w:szCs w:val="18"/>
                <w:color w:val="auto"/>
              </w:rPr>
              <w:t>Effexor ®</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Celebrex ®</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30"/>
        </w:trPr>
        <w:tc>
          <w:tcPr>
            <w:tcW w:w="7680" w:type="dxa"/>
            <w:vAlign w:val="bottom"/>
          </w:tcPr>
          <w:p>
            <w:pPr>
              <w:ind w:left="120"/>
              <w:spacing w:after="0"/>
              <w:rPr>
                <w:sz w:val="20"/>
                <w:szCs w:val="20"/>
                <w:color w:val="auto"/>
              </w:rPr>
            </w:pPr>
            <w:r>
              <w:rPr>
                <w:rFonts w:ascii="Arial" w:cs="Arial" w:eastAsia="Arial" w:hAnsi="Arial"/>
                <w:sz w:val="18"/>
                <w:szCs w:val="18"/>
                <w:color w:val="auto"/>
              </w:rPr>
              <w:t>Creon ®</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Zoloft ®</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29"/>
        </w:trPr>
        <w:tc>
          <w:tcPr>
            <w:tcW w:w="7680" w:type="dxa"/>
            <w:vAlign w:val="bottom"/>
          </w:tcPr>
          <w:p>
            <w:pPr>
              <w:ind w:left="120"/>
              <w:spacing w:after="0"/>
              <w:rPr>
                <w:sz w:val="20"/>
                <w:szCs w:val="20"/>
                <w:color w:val="auto"/>
              </w:rPr>
            </w:pPr>
            <w:r>
              <w:rPr>
                <w:rFonts w:ascii="Arial" w:cs="Arial" w:eastAsia="Arial" w:hAnsi="Arial"/>
                <w:sz w:val="18"/>
                <w:szCs w:val="18"/>
                <w:color w:val="auto"/>
              </w:rPr>
              <w:t>Xalabrands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120"/>
              <w:spacing w:after="0"/>
              <w:rPr>
                <w:sz w:val="20"/>
                <w:szCs w:val="20"/>
                <w:color w:val="auto"/>
              </w:rPr>
            </w:pPr>
            <w:r>
              <w:rPr>
                <w:rFonts w:ascii="Arial" w:cs="Arial" w:eastAsia="Arial" w:hAnsi="Arial"/>
                <w:sz w:val="18"/>
                <w:szCs w:val="18"/>
                <w:b w:val="1"/>
                <w:bCs w:val="1"/>
                <w:color w:val="auto"/>
              </w:rPr>
              <w:t>Select Key Segment Products</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Dymista ®</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30"/>
        </w:trPr>
        <w:tc>
          <w:tcPr>
            <w:tcW w:w="7680" w:type="dxa"/>
            <w:vAlign w:val="bottom"/>
          </w:tcPr>
          <w:p>
            <w:pPr>
              <w:ind w:left="120"/>
              <w:spacing w:after="0"/>
              <w:rPr>
                <w:sz w:val="20"/>
                <w:szCs w:val="20"/>
                <w:color w:val="auto"/>
              </w:rPr>
            </w:pPr>
            <w:r>
              <w:rPr>
                <w:rFonts w:ascii="Arial" w:cs="Arial" w:eastAsia="Arial" w:hAnsi="Arial"/>
                <w:sz w:val="18"/>
                <w:szCs w:val="18"/>
                <w:color w:val="auto"/>
              </w:rPr>
              <w:t>Amitiza ®</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Xanax ®</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30"/>
        </w:trPr>
        <w:tc>
          <w:tcPr>
            <w:tcW w:w="7680" w:type="dxa"/>
            <w:vAlign w:val="bottom"/>
          </w:tcPr>
          <w:p>
            <w:pPr>
              <w:ind w:left="120"/>
              <w:spacing w:after="0"/>
              <w:rPr>
                <w:sz w:val="20"/>
                <w:szCs w:val="20"/>
                <w:color w:val="auto"/>
              </w:rPr>
            </w:pPr>
            <w:r>
              <w:rPr>
                <w:rFonts w:ascii="Arial" w:cs="Arial" w:eastAsia="Arial" w:hAnsi="Arial"/>
                <w:sz w:val="18"/>
                <w:szCs w:val="18"/>
                <w:color w:val="auto"/>
              </w:rPr>
              <w:t>Yupelri ®</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The Company does not disclose net sales for any products considered competitively sensitive.</w:t>
      </w:r>
    </w:p>
    <w:p>
      <w:pPr>
        <w:spacing w:after="0" w:line="42"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Products disclosed may change in future periods, including as a result of seasonality, competition or new product introductions.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Consideration and Accounts Receivable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presents a reconciliation of gross sales to net sales by each significant category of variable consideration during the three and six months ended June 30, 2021 and 2020, respectively: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8"/>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8,881.6</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Gross to net adjustments: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Chargebacks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(1,649.9)</w:t>
            </w: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Rebates, promotional programs and other sales allowances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(1,666.0)</w:t>
            </w: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Returns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r>
      <w:tr>
        <w:trPr>
          <w:trHeight w:val="229"/>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Governmental rebate programs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r>
      <w:tr>
        <w:trPr>
          <w:trHeight w:val="223"/>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gross to net adjustments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(3,597.5)</w:t>
            </w:r>
          </w:p>
        </w:tc>
      </w:tr>
      <w:tr>
        <w:trPr>
          <w:trHeight w:val="223"/>
        </w:trPr>
        <w:tc>
          <w:tcPr>
            <w:tcW w:w="6100" w:type="dxa"/>
            <w:vAlign w:val="bottom"/>
          </w:tcPr>
          <w:p>
            <w:pPr>
              <w:ind w:left="1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5,284.1</w:t>
            </w:r>
          </w:p>
        </w:tc>
      </w:tr>
      <w:tr>
        <w:trPr>
          <w:trHeight w:val="21"/>
        </w:trPr>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No significant revisions were made to the methodology used in determining these provisions or the nature of the provisions during the three and six months ended June 30, 2021. Such allowances were comprised of the following at June 30, 2021 and December 31, 2020, respectively:</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1,802.9</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1,211.8</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3,014.7</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was comprised of the following at June 30, 2021 and December 31, 2020, respectively:</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6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3,891.3</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952.5</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Accounts receivable,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4,843.8</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$112.9 million and $153.0 million of accounts receivable as of June 30, 2021 and December 31, 2020, respectively, under these factoring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jc w:val="both"/>
        <w:ind w:left="340" w:right="8080" w:hanging="332"/>
        <w:spacing w:after="0" w:line="566" w:lineRule="auto"/>
        <w:tabs>
          <w:tab w:leader="none" w:pos="34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Recent Accounting Pronouncements </w:t>
      </w:r>
      <w:r>
        <w:rPr>
          <w:rFonts w:ascii="Arial" w:cs="Arial" w:eastAsia="Arial" w:hAnsi="Arial"/>
          <w:sz w:val="16"/>
          <w:szCs w:val="16"/>
          <w:i w:val="1"/>
          <w:iCs w:val="1"/>
          <w:color w:val="auto"/>
        </w:rPr>
        <w:t>Adoption of New Accounting Standards</w:t>
      </w:r>
    </w:p>
    <w:p>
      <w:pPr>
        <w:ind w:right="100" w:firstLine="648"/>
        <w:spacing w:after="0" w:line="290" w:lineRule="auto"/>
        <w:rPr>
          <w:sz w:val="20"/>
          <w:szCs w:val="20"/>
          <w:color w:val="auto"/>
        </w:rPr>
      </w:pPr>
      <w:r>
        <w:rPr>
          <w:rFonts w:ascii="Arial" w:cs="Arial" w:eastAsia="Arial" w:hAnsi="Arial"/>
          <w:sz w:val="16"/>
          <w:szCs w:val="16"/>
          <w:color w:val="auto"/>
        </w:rPr>
        <w:t xml:space="preserve">In January 2020, the FASB issued Accounting Standards Update 2020-01, </w:t>
      </w:r>
      <w:r>
        <w:rPr>
          <w:rFonts w:ascii="Arial" w:cs="Arial" w:eastAsia="Arial" w:hAnsi="Arial"/>
          <w:sz w:val="16"/>
          <w:szCs w:val="16"/>
          <w:i w:val="1"/>
          <w:iCs w:val="1"/>
          <w:color w:val="auto"/>
        </w:rPr>
        <w:t>Clarifying the Interactions Between Topic 321, Topic 323, and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815 </w:t>
      </w:r>
      <w:r>
        <w:rPr>
          <w:rFonts w:ascii="Arial" w:cs="Arial" w:eastAsia="Arial" w:hAnsi="Arial"/>
          <w:sz w:val="16"/>
          <w:szCs w:val="16"/>
          <w:color w:val="auto"/>
        </w:rPr>
        <w:t>(“ASU 2020-01”)</w:t>
      </w:r>
      <w:r>
        <w:rPr>
          <w:rFonts w:ascii="Arial" w:cs="Arial" w:eastAsia="Arial" w:hAnsi="Arial"/>
          <w:sz w:val="16"/>
          <w:szCs w:val="16"/>
          <w:i w:val="1"/>
          <w:iCs w:val="1"/>
          <w:color w:val="auto"/>
        </w:rPr>
        <w:t xml:space="preserve">, </w:t>
      </w:r>
      <w:r>
        <w:rPr>
          <w:rFonts w:ascii="Arial" w:cs="Arial" w:eastAsia="Arial" w:hAnsi="Arial"/>
          <w:sz w:val="16"/>
          <w:szCs w:val="16"/>
          <w:color w:val="auto"/>
        </w:rPr>
        <w:t>which clarifies that an entity should consider observable transactions that require it to either apply or discontinue the equity method</w:t>
      </w:r>
      <w:r>
        <w:rPr>
          <w:rFonts w:ascii="Arial" w:cs="Arial" w:eastAsia="Arial" w:hAnsi="Arial"/>
          <w:sz w:val="16"/>
          <w:szCs w:val="16"/>
          <w:i w:val="1"/>
          <w:iCs w:val="1"/>
          <w:color w:val="auto"/>
        </w:rPr>
        <w:t xml:space="preserve"> </w:t>
      </w:r>
      <w:r>
        <w:rPr>
          <w:rFonts w:ascii="Arial" w:cs="Arial" w:eastAsia="Arial" w:hAnsi="Arial"/>
          <w:sz w:val="16"/>
          <w:szCs w:val="16"/>
          <w:color w:val="auto"/>
        </w:rPr>
        <w:t>of accounting for the purposes of applying the measurement alternative in accordance with Topic 321 immediately before applying or upon discontinuing the equity method. In addition, ASU 2020-01 states that for the purpose of applying paragraph 815-10-15-141(a) an entity should not consider whether, upon the settlement of the forward contract or exercise of the purchased option, individually or with existing investments, the underlying securities would be accounted for under the equity method in Topic 323 or the fair value option in accordance with the financial instruments guidance in Topic 825. ASU 2020-01 was effective for fiscal years, and interim periods within those fiscal years, beginning after December 15, 2020. The adoption of this guidance did not have a material impact on the Company’s condensed consolidated financial statements and disclosures.</w:t>
      </w:r>
    </w:p>
    <w:p>
      <w:pPr>
        <w:spacing w:after="0" w:line="16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 xml:space="preserve">In December 2019, the FASB issued Accounting Standards Update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which is intended to simplify the accounting for income taxes by eliminating certain exceptions and simplifying certain requirements under Topic 740. ASU 2019-12 was effective for fiscal years, and interim periods within those fiscal years, beginning after December 15, 2020. ASU 2019-12 includes an update to previous guidance in situations in which an entity incurs a loss on a year-to-date basis that exceeds the anticipated loss for the year. In these situations, previous guidance stipulated that the income tax benefit was limited to the income tax that would exist on the basis of the year-to-date loss. This represented an exception to the guidance in ASC 740-270, and the provisions of ASU 2019-12 include the elimination of this exception which applied to the financial results of the three and six months ended June 30, 2021. The Company has applied the provisions of ASU 2019-12 on a prospective basis beginning January 1, 2021. The adoption of this guidance did not have a material impact on the Company’s condensed consolidated financial statements and disclosures.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Standard Issued Not Yet Adopted</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recently issued accounting standard has not been adopted. Refer to Viatris’ 2020 Form 10-K for additional information and its potential impacts.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9740" w:type="dxa"/>
            <w:vAlign w:val="bottom"/>
            <w:tcBorders>
              <w:top w:val="single" w:sz="8" w:color="auto"/>
              <w:left w:val="single" w:sz="8" w:color="auto"/>
              <w:bottom w:val="single" w:sz="8" w:color="auto"/>
              <w:right w:val="single" w:sz="8" w:color="auto"/>
            </w:tcBorders>
          </w:tcPr>
          <w:p>
            <w:pPr>
              <w:ind w:left="3740"/>
              <w:spacing w:after="0"/>
              <w:rPr>
                <w:sz w:val="20"/>
                <w:szCs w:val="20"/>
                <w:color w:val="auto"/>
              </w:rPr>
            </w:pPr>
            <w:r>
              <w:rPr>
                <w:rFonts w:ascii="Arial" w:cs="Arial" w:eastAsia="Arial" w:hAnsi="Arial"/>
                <w:sz w:val="18"/>
                <w:szCs w:val="18"/>
                <w:b w:val="1"/>
                <w:bCs w:val="1"/>
                <w:color w:val="auto"/>
              </w:rPr>
              <w:t>Accounting Standard Update</w:t>
            </w:r>
          </w:p>
        </w:tc>
        <w:tc>
          <w:tcPr>
            <w:tcW w:w="1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Effective Date</w:t>
            </w:r>
          </w:p>
        </w:tc>
      </w:tr>
      <w:tr>
        <w:trPr>
          <w:trHeight w:val="223"/>
        </w:trPr>
        <w:tc>
          <w:tcPr>
            <w:tcW w:w="9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 xml:space="preserve">ASU 2020-04: </w:t>
            </w:r>
            <w:r>
              <w:rPr>
                <w:rFonts w:ascii="Arial" w:cs="Arial" w:eastAsia="Arial" w:hAnsi="Arial"/>
                <w:sz w:val="18"/>
                <w:szCs w:val="18"/>
                <w:i w:val="1"/>
                <w:iCs w:val="1"/>
                <w:color w:val="auto"/>
                <w:w w:val="96"/>
              </w:rPr>
              <w:t>Reference Rate Reform (Topic 848) Facilitation of the Effects of Reference Rate Reform on Financial Reporting</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January 1, 2023</w:t>
            </w:r>
          </w:p>
        </w:tc>
      </w:tr>
    </w:tbl>
    <w:p>
      <w:pPr>
        <w:spacing w:after="0" w:line="292" w:lineRule="exact"/>
        <w:rPr>
          <w:sz w:val="20"/>
          <w:szCs w:val="20"/>
          <w:color w:val="auto"/>
        </w:rPr>
      </w:pPr>
    </w:p>
    <w:p>
      <w:pPr>
        <w:ind w:left="340" w:right="7800" w:hanging="332"/>
        <w:spacing w:after="0" w:line="603" w:lineRule="auto"/>
        <w:tabs>
          <w:tab w:leader="none" w:pos="34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and Other Transactions </w:t>
      </w:r>
      <w:r>
        <w:rPr>
          <w:rFonts w:ascii="Arial" w:cs="Arial" w:eastAsia="Arial" w:hAnsi="Arial"/>
          <w:sz w:val="15"/>
          <w:szCs w:val="15"/>
          <w:b w:val="1"/>
          <w:bCs w:val="1"/>
          <w:i w:val="1"/>
          <w:iCs w:val="1"/>
          <w:color w:val="auto"/>
        </w:rPr>
        <w:t>Upjohn Business Combination Agreement</w:t>
      </w:r>
    </w:p>
    <w:p>
      <w:pPr>
        <w:spacing w:after="0" w:line="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July 29, 2019, Mylan, Pfizer, Upjohn Inc., a wholly-owned subsidiary of Pfizer, and certain other affiliated entities entered into a Business Combination Agreement pursuant to which Mylan would combine with the Upjohn Business in a Reverse Morris Trust transaction. The Upjohn Business was a global, primarily off-patent branded and generic established medicines business, which includes 20 primarily off-patent solid oral dose legacy brands, such as Lyrica, Lipitor, Celebrex and Viagra. The Combination was completed on November 16, 2020.</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Prior to the Combination and pursuant to a Separation and Distribution Agreement, Pfizer had, among other things, transferred to Viatris substantially all of the assets and liabilities comprising the Upjohn Business (the Separation) and, thereafter, Pfizer had distributed to Pfizer stockholders all of the issued and outstanding shares of Viatris (the Distribution). When the Distribution and Combination were complete, Pfizer stockholders as of the record date of the Distribution owned 57% of the outstanding shares of Viatris common stock and Mylan shareholders as of immediately before the Combination owned 43% of the outstanding shares of Viatris common stock, in each case on a fully diluted basis. Viatris also made a cash payment to Pfizer equal to $12 billion, which was funded with the proceeds of debt incurred by Upjohn prior to the Combination.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9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The transaction involved multiple legal entity restructuring transactions and a reverse merger acquisition with Viatris representing the legal acquirer and Mylan representing the accounting acquirer of the Upjohn Business. In accordance with </w:t>
      </w:r>
      <w:r>
        <w:rPr>
          <w:rFonts w:ascii="Arial" w:cs="Arial" w:eastAsia="Arial" w:hAnsi="Arial"/>
          <w:sz w:val="18"/>
          <w:szCs w:val="18"/>
          <w:i w:val="1"/>
          <w:iCs w:val="1"/>
          <w:color w:val="auto"/>
        </w:rPr>
        <w:t>ASC 805, Business Combinations</w:t>
      </w:r>
      <w:r>
        <w:rPr>
          <w:rFonts w:ascii="Arial" w:cs="Arial" w:eastAsia="Arial" w:hAnsi="Arial"/>
          <w:sz w:val="18"/>
          <w:szCs w:val="18"/>
          <w:color w:val="auto"/>
        </w:rPr>
        <w:t>, Mylan is considered the accounting acquirer of the Upjohn Business and Viatris applied purchase accounting to the acquired assets and assumed liabilities of the Upjohn Business as of November 16, 2020. The debt incurred by Upjohn prior to the Combination was a liability assumed in purchase accounting. The fair value of the debt as of November 16, 2020 was $13.08 billion.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purchase price consists of the issuance of approximately 689.9 million Viatris shares of common stock at a fair value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$10.73 billion based on the closing price of Mylan’s ordinary shares on November 13, 2020, as reported by the NASDAQ. In accordance with U.S. GAAP,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used the acquisition method of accounting to account for this transaction. Under the acquisition method of accounting, the assets acquired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liabilities assumed in the transaction have been recorded at their respective estimated fair values at the acquisition date. Acquisition related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$602.9 million were incurred during the twelve months ended December 31, 2020, and approximately $108.2 million were incurred during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six months ended June 30, 2021. Acquisition related costs were recorded primarily in SG&amp;A in the consolidated statements of operations for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periods.</w:t>
      </w:r>
    </w:p>
    <w:p>
      <w:pPr>
        <w:spacing w:after="0" w:line="21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During the six months ended June 30, 2021, adjustments were made to the preliminary purchase price recorded at November 16, 2020. These adjustments are reflected in the values presented below. The preliminary allocation of the $10.73 billion purchase price to the assets acquired and liabilities assumed under the Combination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Preliminary Purchase Price</w:t>
            </w:r>
          </w:p>
        </w:tc>
        <w:tc>
          <w:tcPr>
            <w:tcW w:w="140" w:type="dxa"/>
            <w:vAlign w:val="bottom"/>
          </w:tcPr>
          <w:p>
            <w:pPr>
              <w:spacing w:after="0"/>
              <w:rPr>
                <w:sz w:val="14"/>
                <w:szCs w:val="14"/>
                <w:color w:val="auto"/>
              </w:rPr>
            </w:pPr>
          </w:p>
        </w:tc>
        <w:tc>
          <w:tcPr>
            <w:tcW w:w="1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Measurement Period and</w:t>
            </w: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Preliminary Purchase Price</w:t>
            </w:r>
          </w:p>
        </w:tc>
        <w:tc>
          <w:tcPr>
            <w:tcW w:w="0" w:type="dxa"/>
            <w:vAlign w:val="bottom"/>
          </w:tcPr>
          <w:p>
            <w:pPr>
              <w:spacing w:after="0"/>
              <w:rPr>
                <w:sz w:val="1"/>
                <w:szCs w:val="1"/>
                <w:color w:val="auto"/>
              </w:rPr>
            </w:pPr>
          </w:p>
        </w:tc>
      </w:tr>
      <w:tr>
        <w:trPr>
          <w:trHeight w:val="135"/>
        </w:trPr>
        <w:tc>
          <w:tcPr>
            <w:tcW w:w="55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9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Allocation as of December</w:t>
            </w:r>
          </w:p>
        </w:tc>
        <w:tc>
          <w:tcPr>
            <w:tcW w:w="14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jc w:val="right"/>
              <w:ind w:right="52"/>
              <w:spacing w:after="0" w:line="135" w:lineRule="exact"/>
              <w:rPr>
                <w:sz w:val="20"/>
                <w:szCs w:val="20"/>
                <w:color w:val="auto"/>
              </w:rPr>
            </w:pPr>
            <w:r>
              <w:rPr>
                <w:rFonts w:ascii="Arial" w:cs="Arial" w:eastAsia="Arial" w:hAnsi="Arial"/>
                <w:sz w:val="14"/>
                <w:szCs w:val="14"/>
                <w:b w:val="1"/>
                <w:bCs w:val="1"/>
                <w:color w:val="auto"/>
                <w:w w:val="90"/>
              </w:rPr>
              <w:t>Allocation as of June 30,</w:t>
            </w:r>
          </w:p>
        </w:tc>
        <w:tc>
          <w:tcPr>
            <w:tcW w:w="0" w:type="dxa"/>
            <w:vAlign w:val="bottom"/>
          </w:tcPr>
          <w:p>
            <w:pPr>
              <w:spacing w:after="0"/>
              <w:rPr>
                <w:sz w:val="1"/>
                <w:szCs w:val="1"/>
                <w:color w:val="auto"/>
              </w:rPr>
            </w:pPr>
          </w:p>
        </w:tc>
      </w:tr>
      <w:tr>
        <w:trPr>
          <w:trHeight w:val="189"/>
        </w:trPr>
        <w:tc>
          <w:tcPr>
            <w:tcW w:w="5580" w:type="dxa"/>
            <w:vAlign w:val="bottom"/>
            <w:vMerge w:val="continue"/>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31, 2020</w:t>
            </w:r>
          </w:p>
        </w:tc>
        <w:tc>
          <w:tcPr>
            <w:tcW w:w="800" w:type="dxa"/>
            <w:vAlign w:val="bottom"/>
            <w:gridSpan w:val="2"/>
          </w:tcPr>
          <w:p>
            <w:pPr>
              <w:ind w:left="20"/>
              <w:spacing w:after="0"/>
              <w:rPr>
                <w:sz w:val="20"/>
                <w:szCs w:val="20"/>
                <w:color w:val="auto"/>
              </w:rPr>
            </w:pPr>
            <w:r>
              <w:rPr>
                <w:rFonts w:ascii="Arial" w:cs="Arial" w:eastAsia="Arial" w:hAnsi="Arial"/>
                <w:sz w:val="9"/>
                <w:szCs w:val="9"/>
                <w:b w:val="1"/>
                <w:bCs w:val="1"/>
                <w:color w:val="auto"/>
              </w:rPr>
              <w:t>(a)</w:t>
            </w:r>
          </w:p>
        </w:tc>
        <w:tc>
          <w:tcPr>
            <w:tcW w:w="140" w:type="dxa"/>
            <w:vAlign w:val="bottom"/>
          </w:tcPr>
          <w:p>
            <w:pPr>
              <w:spacing w:after="0"/>
              <w:rPr>
                <w:sz w:val="16"/>
                <w:szCs w:val="16"/>
                <w:color w:val="auto"/>
              </w:rPr>
            </w:pPr>
          </w:p>
        </w:tc>
        <w:tc>
          <w:tcPr>
            <w:tcW w:w="186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92"/>
              </w:rPr>
              <w:t xml:space="preserve">Other Adjustments </w:t>
            </w:r>
            <w:r>
              <w:rPr>
                <w:rFonts w:ascii="Arial" w:cs="Arial" w:eastAsia="Arial" w:hAnsi="Arial"/>
                <w:sz w:val="18"/>
                <w:szCs w:val="18"/>
                <w:b w:val="1"/>
                <w:bCs w:val="1"/>
                <w:color w:val="auto"/>
                <w:w w:val="92"/>
                <w:vertAlign w:val="superscript"/>
              </w:rPr>
              <w:t>(b)</w:t>
            </w:r>
          </w:p>
        </w:tc>
        <w:tc>
          <w:tcPr>
            <w:tcW w:w="120" w:type="dxa"/>
            <w:vAlign w:val="bottom"/>
          </w:tcPr>
          <w:p>
            <w:pPr>
              <w:spacing w:after="0"/>
              <w:rPr>
                <w:sz w:val="16"/>
                <w:szCs w:val="16"/>
                <w:color w:val="auto"/>
              </w:rPr>
            </w:pPr>
          </w:p>
        </w:tc>
        <w:tc>
          <w:tcPr>
            <w:tcW w:w="1640" w:type="dxa"/>
            <w:vAlign w:val="bottom"/>
          </w:tcPr>
          <w:p>
            <w:pPr>
              <w:jc w:val="right"/>
              <w:ind w:right="232"/>
              <w:spacing w:after="0"/>
              <w:rPr>
                <w:sz w:val="20"/>
                <w:szCs w:val="20"/>
                <w:color w:val="auto"/>
              </w:rPr>
            </w:pPr>
            <w:r>
              <w:rPr>
                <w:rFonts w:ascii="Arial" w:cs="Arial" w:eastAsia="Arial" w:hAnsi="Arial"/>
                <w:sz w:val="14"/>
                <w:szCs w:val="14"/>
                <w:b w:val="1"/>
                <w:bCs w:val="1"/>
                <w:color w:val="auto"/>
              </w:rPr>
              <w:t>2021 (as adjusted)</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(excluding inventories and net of cash acquired)</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2,831.3</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2,554.7</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1,394.1</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Identified intangible assets</w:t>
            </w: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8"/>
              </w:rPr>
              <w:t>18,040.0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18,040.0</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1,972.8</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Deferred income tax benefit</w:t>
            </w: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1,725.9</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0" w:type="dxa"/>
            <w:vAlign w:val="bottom"/>
          </w:tcPr>
          <w:p>
            <w:pPr>
              <w:spacing w:after="0"/>
              <w:rPr>
                <w:sz w:val="1"/>
                <w:szCs w:val="1"/>
                <w:color w:val="auto"/>
              </w:rPr>
            </w:pPr>
          </w:p>
        </w:tc>
      </w:tr>
      <w:tr>
        <w:trPr>
          <w:trHeight w:val="223"/>
        </w:trPr>
        <w:tc>
          <w:tcPr>
            <w:tcW w:w="5580" w:type="dxa"/>
            <w:vAlign w:val="bottom"/>
          </w:tcPr>
          <w:p>
            <w:pPr>
              <w:ind w:left="240"/>
              <w:spacing w:after="0"/>
              <w:rPr>
                <w:sz w:val="20"/>
                <w:szCs w:val="20"/>
                <w:color w:val="auto"/>
              </w:rPr>
            </w:pPr>
            <w:r>
              <w:rPr>
                <w:rFonts w:ascii="Arial" w:cs="Arial" w:eastAsia="Arial" w:hAnsi="Arial"/>
                <w:sz w:val="18"/>
                <w:szCs w:val="18"/>
                <w:color w:val="auto"/>
              </w:rPr>
              <w:t>Total assets acquired</w:t>
            </w:r>
          </w:p>
        </w:tc>
        <w:tc>
          <w:tcPr>
            <w:tcW w:w="110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29,246.4</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29,310.9</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2,824.6</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8"/>
              </w:rPr>
              <w:t>13,076.2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13,076.2</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1,656.9</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1,441.6</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assets acquired (net of $415.8 of cash acquired)</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10,311.6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As previously reported in Viatris’ 2020 Form 10-K.</w:t>
      </w:r>
    </w:p>
    <w:p>
      <w:pPr>
        <w:spacing w:after="0" w:line="55" w:lineRule="exact"/>
        <w:rPr>
          <w:rFonts w:ascii="Arial" w:cs="Arial" w:eastAsia="Arial" w:hAnsi="Arial"/>
          <w:sz w:val="23"/>
          <w:szCs w:val="23"/>
          <w:color w:val="auto"/>
          <w:vertAlign w:val="superscript"/>
        </w:rPr>
      </w:pPr>
    </w:p>
    <w:p>
      <w:pPr>
        <w:jc w:val="both"/>
        <w:ind w:left="660" w:hanging="328"/>
        <w:spacing w:after="0" w:line="233" w:lineRule="auto"/>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 measurement period adjustments are primarily for 1) certain working capital adjustments and an increase in litigation reserves to reflect facts and circumstances that existed as of the date of the Combination and 2) the tax implications of these and other adjustments. These adjustments did not have a significant impact on the Company’s previously reported consolidated financial statements and accordingly, the Company has not retrospectively adjusted those consolidated financial statements.</w:t>
      </w:r>
    </w:p>
    <w:p>
      <w:pPr>
        <w:spacing w:after="0" w:line="204"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preliminary fair value estimates for the assets acquired and liabilities assumed were based upon preliminary calculations, valuations and assumptions that are subject to change as the Company obtains additional information during the measurement period (up to one year from the acquisition date). The primary areas subject to change relate to the finalization of the working capital components and income taxes.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2020, the Company recorded a step-up in the fair value of inventory of approximately $1.43 billion. During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three and six months ended June 30, 2021, the Company recorded amortization of the inventory step-up of approximately $477.3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$953.7 million, respectively, which is included in cost of sales in the condensed consolidated statements of operations. In addition,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a step-up in the fair value of property, plant and equipment of approximately $390.0 million was recognized. The related depreciation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 being expensed over a service life of five years for machinery and equipment and between 10 and 20 years for buildings.</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identified intangible assets of $18.04 billion are comprised of product rights and are being amortized over a weighted average useful life of 15 years. Significant assumptions utilized in the valuation of identified intangible assets were based on company specific information and projections which are not observable in the market and are thus considered Level 3 measurements as defined by U.S. GAAP. The goodwill of $1.97 billion arising from the Combination consisted largely of the value of the employee workforce and products to be sold in new markets leveraging the combined entity. In addition, an allocation of the goodwill was assigned to the respective segments. None of the goodwill recognized in this transaction is expected to be deductible for income tax purposes.</w:t>
      </w:r>
    </w:p>
    <w:p>
      <w:pPr>
        <w:spacing w:after="0" w:line="192"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The Company recorded a fair value adjustment of approximately $759.4 million related to the long-term debt assumed as part of the acquisition. The fair value of long-term debt as of the Combination date was determined by broker or dealer quotations, which is classified as Level 2 in the fair value hierarchy. The total fair value adjustment is being amortized as a reduction to interest expense over the maturity dates of the related debt instruments.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Financial Results</w:t>
      </w:r>
    </w:p>
    <w:p>
      <w:pPr>
        <w:spacing w:after="0" w:line="225" w:lineRule="exact"/>
        <w:rPr>
          <w:sz w:val="20"/>
          <w:szCs w:val="20"/>
          <w:color w:val="auto"/>
        </w:rPr>
      </w:pPr>
    </w:p>
    <w:p>
      <w:pPr>
        <w:ind w:right="320" w:firstLine="648"/>
        <w:spacing w:after="0" w:line="288" w:lineRule="auto"/>
        <w:rPr>
          <w:sz w:val="20"/>
          <w:szCs w:val="20"/>
          <w:color w:val="auto"/>
        </w:rPr>
      </w:pPr>
      <w:r>
        <w:rPr>
          <w:rFonts w:ascii="Arial" w:cs="Arial" w:eastAsia="Arial" w:hAnsi="Arial"/>
          <w:sz w:val="16"/>
          <w:szCs w:val="16"/>
          <w:color w:val="auto"/>
        </w:rPr>
        <w:t>The following table presents supplemental unaudited pro forma information for the Combination, as if it had occurred on January 1, 2019. The unaudited pro forma results reflect certain adjustments related to past operating performance and acquisition accounting adjustments, such as increased depreciation and amortization expense based on the fair value of assets acquired, the impact of transaction costs and the related income tax effects. The unaudited pro forma results do not include any anticipated synergies which may be achievable, or have been achieved, subsequent to the closing of the Combination. Accordingly, the unaudited pro forma results are not necessarily indicative of the results that actually would have occurred had the acquisitions been completed on the stated date above, nor are they indicative of the future operating results of Viatris and its subsidiaries.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220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93"/>
              </w:rPr>
              <w:t>Three Months Ended</w:t>
            </w:r>
          </w:p>
        </w:tc>
        <w:tc>
          <w:tcPr>
            <w:tcW w:w="780" w:type="dxa"/>
            <w:vAlign w:val="bottom"/>
          </w:tcPr>
          <w:p>
            <w:pPr>
              <w:spacing w:after="0"/>
              <w:rPr>
                <w:sz w:val="16"/>
                <w:szCs w:val="16"/>
                <w:color w:val="auto"/>
              </w:rPr>
            </w:pPr>
          </w:p>
        </w:tc>
        <w:tc>
          <w:tcPr>
            <w:tcW w:w="132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5"/>
        </w:trPr>
        <w:tc>
          <w:tcPr>
            <w:tcW w:w="6940" w:type="dxa"/>
            <w:vAlign w:val="bottom"/>
          </w:tcPr>
          <w:p>
            <w:pPr>
              <w:ind w:left="680"/>
              <w:spacing w:after="0"/>
              <w:rPr>
                <w:sz w:val="20"/>
                <w:szCs w:val="20"/>
                <w:color w:val="auto"/>
              </w:rPr>
            </w:pPr>
            <w:r>
              <w:rPr>
                <w:rFonts w:ascii="Arial" w:cs="Arial" w:eastAsia="Arial" w:hAnsi="Arial"/>
                <w:sz w:val="14"/>
                <w:szCs w:val="14"/>
                <w:b w:val="1"/>
                <w:bCs w:val="1"/>
                <w:i w:val="1"/>
                <w:iCs w:val="1"/>
                <w:color w:val="auto"/>
              </w:rPr>
              <w:t>(Unaudited, in millions, except per share amounts)</w:t>
            </w:r>
          </w:p>
        </w:tc>
        <w:tc>
          <w:tcPr>
            <w:tcW w:w="86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June 30, 2020</w:t>
            </w:r>
          </w:p>
        </w:tc>
        <w:tc>
          <w:tcPr>
            <w:tcW w:w="780" w:type="dxa"/>
            <w:vAlign w:val="bottom"/>
          </w:tcPr>
          <w:p>
            <w:pPr>
              <w:spacing w:after="0"/>
              <w:rPr>
                <w:sz w:val="16"/>
                <w:szCs w:val="16"/>
                <w:color w:val="auto"/>
              </w:rPr>
            </w:pPr>
          </w:p>
        </w:tc>
        <w:tc>
          <w:tcPr>
            <w:tcW w:w="1320" w:type="dxa"/>
            <w:vAlign w:val="bottom"/>
          </w:tcPr>
          <w:p>
            <w:pPr>
              <w:jc w:val="right"/>
              <w:ind w:right="235"/>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54"/>
        </w:trPr>
        <w:tc>
          <w:tcPr>
            <w:tcW w:w="694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revenues</w:t>
            </w:r>
          </w:p>
        </w:tc>
        <w:tc>
          <w:tcPr>
            <w:tcW w:w="8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8,994.8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40" w:type="dxa"/>
            <w:vAlign w:val="bottom"/>
          </w:tcPr>
          <w:p>
            <w:pPr>
              <w:ind w:left="680"/>
              <w:spacing w:after="0" w:line="203" w:lineRule="exact"/>
              <w:rPr>
                <w:sz w:val="20"/>
                <w:szCs w:val="20"/>
                <w:color w:val="auto"/>
              </w:rPr>
            </w:pPr>
            <w:r>
              <w:rPr>
                <w:rFonts w:ascii="Arial" w:cs="Arial" w:eastAsia="Arial" w:hAnsi="Arial"/>
                <w:sz w:val="18"/>
                <w:szCs w:val="18"/>
                <w:color w:val="auto"/>
              </w:rPr>
              <w:t>Net earnings</w:t>
            </w:r>
          </w:p>
        </w:tc>
        <w:tc>
          <w:tcPr>
            <w:tcW w:w="860" w:type="dxa"/>
            <w:vAlign w:val="bottom"/>
            <w:tcBorders>
              <w:bottom w:val="single" w:sz="8" w:color="auto"/>
            </w:tcBorders>
          </w:tcPr>
          <w:p>
            <w:pPr>
              <w:jc w:val="right"/>
              <w:ind w:right="34"/>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681.1</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1,223.7</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680"/>
              <w:spacing w:after="0" w:line="196" w:lineRule="exact"/>
              <w:rPr>
                <w:sz w:val="20"/>
                <w:szCs w:val="20"/>
                <w:color w:val="auto"/>
              </w:rPr>
            </w:pPr>
            <w:r>
              <w:rPr>
                <w:rFonts w:ascii="Arial" w:cs="Arial" w:eastAsia="Arial" w:hAnsi="Arial"/>
                <w:sz w:val="18"/>
                <w:szCs w:val="18"/>
                <w:color w:val="auto"/>
              </w:rPr>
              <w:t>Earnings per share:</w:t>
            </w:r>
          </w:p>
        </w:tc>
        <w:tc>
          <w:tcPr>
            <w:tcW w:w="8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900"/>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8"/>
                <w:szCs w:val="18"/>
                <w:color w:val="auto"/>
              </w:rPr>
              <w:t>Weighted average shares outstanding:</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4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9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tcPr>
          <w:p>
            <w:pPr>
              <w:ind w:left="900"/>
              <w:spacing w:after="0" w:line="203" w:lineRule="exact"/>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1,207.1</w:t>
            </w:r>
          </w:p>
        </w:tc>
        <w:tc>
          <w:tcPr>
            <w:tcW w:w="1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1,207.0</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Incentive Plan</w:t>
      </w:r>
    </w:p>
    <w:p>
      <w:pPr>
        <w:spacing w:after="0" w:line="229" w:lineRule="exact"/>
        <w:rPr>
          <w:sz w:val="20"/>
          <w:szCs w:val="20"/>
          <w:color w:val="auto"/>
        </w:rPr>
      </w:pPr>
    </w:p>
    <w:p>
      <w:pPr>
        <w:ind w:right="340" w:firstLine="648"/>
        <w:spacing w:after="0" w:line="271" w:lineRule="auto"/>
        <w:rPr>
          <w:sz w:val="20"/>
          <w:szCs w:val="20"/>
          <w:color w:val="auto"/>
        </w:rPr>
      </w:pPr>
      <w:r>
        <w:rPr>
          <w:rFonts w:ascii="Arial" w:cs="Arial" w:eastAsia="Arial" w:hAnsi="Arial"/>
          <w:sz w:val="17"/>
          <w:szCs w:val="17"/>
          <w:color w:val="auto"/>
        </w:rPr>
        <w:t>Prior to the Distribution, Viatris adopted and Pfizer, in the capacity as Viatris’ sole stockholder at such time approved the Plan which became effective as of the Distribution. In connection with the Combination, as of November 16, 2020, the Company assumed the Mylan N.V. Amended and Restated 2003 Long-Term Incentive Plan, which had previously been approved by Mylan shareholders. The Plan and 2003 LTIP include (i) 72,500,000 shares of common stock authorized for grant pursuant to the Plan, which may include dividend payments payable in common stock on unvested shares granted under awards, (ii) 6,757,640 shares of common stock to be issued pursuant to the exercise of outstanding stock options granted to participants under the 2003 LTIP and assumed by Viatris in connection with the Combination and (iii) 13,535,627 shares of common stock subject to outstanding equity-based awards, other than stock options, assumed by Viatris in connection with the Combination, or that otherwise remain available for issuance under the 2003 LTIP.</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Under the Plan and 2003 LTIP,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and SAR (together, “stock awards”) activity under the Plan and 2003 LTIP:</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Under Stock</w:t>
            </w:r>
          </w:p>
        </w:tc>
        <w:tc>
          <w:tcPr>
            <w:tcW w:w="120" w:type="dxa"/>
            <w:vAlign w:val="bottom"/>
          </w:tcPr>
          <w:p>
            <w:pPr>
              <w:spacing w:after="0"/>
              <w:rPr>
                <w:sz w:val="11"/>
                <w:szCs w:val="11"/>
                <w:color w:val="auto"/>
              </w:rPr>
            </w:pPr>
          </w:p>
        </w:tc>
        <w:tc>
          <w:tcPr>
            <w:tcW w:w="13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Exercise Price per</w:t>
            </w:r>
          </w:p>
        </w:tc>
        <w:tc>
          <w:tcPr>
            <w:tcW w:w="0" w:type="dxa"/>
            <w:vAlign w:val="bottom"/>
          </w:tcPr>
          <w:p>
            <w:pPr>
              <w:spacing w:after="0"/>
              <w:rPr>
                <w:sz w:val="1"/>
                <w:szCs w:val="1"/>
                <w:color w:val="auto"/>
              </w:rPr>
            </w:pPr>
          </w:p>
        </w:tc>
      </w:tr>
      <w:tr>
        <w:trPr>
          <w:trHeight w:val="188"/>
        </w:trPr>
        <w:tc>
          <w:tcPr>
            <w:tcW w:w="85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6,711,731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(938,524)</w:t>
            </w:r>
          </w:p>
        </w:tc>
        <w:tc>
          <w:tcPr>
            <w:tcW w:w="400" w:type="dxa"/>
            <w:vAlign w:val="bottom"/>
            <w:tcBorders>
              <w:bottom w:val="single" w:sz="8" w:color="CCEEFF"/>
            </w:tcBorders>
            <w:gridSpan w:val="2"/>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5,773,207</w:t>
            </w:r>
          </w:p>
        </w:tc>
        <w:tc>
          <w:tcPr>
            <w:tcW w:w="40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expected to vest at June 30, 2021</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2"/>
            <w:vMerge w:val="restart"/>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line="20" w:lineRule="exact"/>
              <w:rPr>
                <w:sz w:val="1"/>
                <w:szCs w:val="1"/>
                <w:color w:val="auto"/>
              </w:rPr>
            </w:pPr>
          </w:p>
        </w:tc>
      </w:tr>
      <w:tr>
        <w:trPr>
          <w:trHeight w:val="203"/>
        </w:trPr>
        <w:tc>
          <w:tcPr>
            <w:tcW w:w="8520" w:type="dxa"/>
            <w:vAlign w:val="bottom"/>
            <w:vMerge w:val="continue"/>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5,668,426</w:t>
            </w:r>
          </w:p>
        </w:tc>
        <w:tc>
          <w:tcPr>
            <w:tcW w:w="40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June 30, 2021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5,053,633</w:t>
            </w:r>
          </w:p>
        </w:tc>
        <w:tc>
          <w:tcPr>
            <w:tcW w:w="4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of June 30, 2021, stock awards outstanding, stock awards vested and expected to vest and stock awards exercisable had average remaining contractual terms of 5.1 years, 5.1 years and 4.7 years, respectively. Also, at June 30, 2021, stock awards outstanding, stock awards vested and expected to vest and stock awards exercisable had no aggregate intrinsic value.</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summary of the status of the Company’s restricted stock awards as of June 30, 2021 and the changes during the six months ended June 30, 2021 are presented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88"/>
        </w:trPr>
        <w:tc>
          <w:tcPr>
            <w:tcW w:w="85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Awards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12,073,790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30"/>
        </w:trPr>
        <w:tc>
          <w:tcPr>
            <w:tcW w:w="85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9,731,270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Released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(2,824,976)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(890,764)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2021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18,089,320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As of June 30, 2021, the Company had $201.9 million of total unrecognized compensation expense, net of estimated forfeitures, related to all of its stock-based awards, which we expect to recognize over the remaining weighted average vesting period of 2.0 years. The total intrinsic value of stock awards exercised and restricted stock units released during the six months ended June 30, 2021 and 2020 was $71.9 million and $19.1 million, respectively.</w:t>
      </w:r>
    </w:p>
    <w:p>
      <w:pPr>
        <w:spacing w:after="0" w:line="145" w:lineRule="exact"/>
        <w:rPr>
          <w:sz w:val="20"/>
          <w:szCs w:val="20"/>
          <w:color w:val="auto"/>
        </w:rPr>
      </w:pPr>
    </w:p>
    <w:p>
      <w:pPr>
        <w:ind w:left="340" w:right="7540" w:hanging="332"/>
        <w:spacing w:after="0" w:line="503" w:lineRule="auto"/>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Pensions and Other Postretirement Benefits </w:t>
      </w:r>
      <w:r>
        <w:rPr>
          <w:rFonts w:ascii="Arial" w:cs="Arial" w:eastAsia="Arial" w:hAnsi="Arial"/>
          <w:sz w:val="18"/>
          <w:szCs w:val="18"/>
          <w:i w:val="1"/>
          <w:iCs w:val="1"/>
          <w:color w:val="auto"/>
        </w:rPr>
        <w:t>Defined Benefit Plans</w:t>
      </w:r>
    </w:p>
    <w:p>
      <w:pPr>
        <w:ind w:right="40" w:firstLine="648"/>
        <w:spacing w:after="0" w:line="263" w:lineRule="auto"/>
        <w:rPr>
          <w:sz w:val="20"/>
          <w:szCs w:val="20"/>
          <w:color w:val="auto"/>
        </w:rPr>
      </w:pPr>
      <w:r>
        <w:rPr>
          <w:rFonts w:ascii="Arial" w:cs="Arial" w:eastAsia="Arial" w:hAnsi="Arial"/>
          <w:sz w:val="18"/>
          <w:szCs w:val="18"/>
          <w:color w:val="auto"/>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spacing w:after="0" w:line="18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In connection with the Combination, the Company assumed certain post retirement defined benefit pension plans sponsored by Upjohn. The most significant plans include those in Puerto Rico, Ireland and Japan. Upjohn is also the sponsor of one postretirement medical plan in Puerto Rico. As part of the acquisition accounting, the Company has recorded the fair value of these plans using assumptions and accounting policies consistent with those historically utilized by Mylan. Upon completion of the Combination, the excess of projected benefit obligation over the plan assets was recognized as a liability and any existing unrecognized actuarial gains or losses and unrecognized service costs or benefits were eliminated in purchase accounting.</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Periodic Benefit Cost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net periodic benefit cost for the three and six months ended June 30, 2021 and 2020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2"/>
              </w:rPr>
              <w:t>Pension and Other Postretirement Benefits</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79"/>
        </w:trPr>
        <w:tc>
          <w:tcPr>
            <w:tcW w:w="6100" w:type="dxa"/>
            <w:vAlign w:val="bottom"/>
          </w:tcPr>
          <w:p>
            <w:pPr>
              <w:spacing w:after="0"/>
              <w:rPr>
                <w:sz w:val="15"/>
                <w:szCs w:val="15"/>
                <w:color w:val="auto"/>
              </w:rPr>
            </w:pPr>
          </w:p>
        </w:tc>
        <w:tc>
          <w:tcPr>
            <w:tcW w:w="210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8"/>
        </w:trPr>
        <w:tc>
          <w:tcPr>
            <w:tcW w:w="6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24"/>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780" w:type="dxa"/>
            <w:vAlign w:val="bottom"/>
            <w:tcBorders>
              <w:top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10.9</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Amortization of prior service costs</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losses</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Settlement gain</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 cost</w:t>
            </w:r>
          </w:p>
        </w:tc>
        <w:tc>
          <w:tcPr>
            <w:tcW w:w="78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second quarter of 2021, the Company recognized a settlement gain as a result of cash payments from lump sum elections related to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Puerto Rico pension plans.</w:t>
      </w:r>
    </w:p>
    <w:p>
      <w:pPr>
        <w:spacing w:after="0" w:line="21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Company expects to make total benefit payments of approximately $118.9 million from pension and other postretirement benefit plans in 2021. The Company anticipates making contributions to pension and other postretirement benefit plans of approximately $70.1 million in 2021 due to the second quarter remeasurement of the impacted plans.</w:t>
      </w:r>
    </w:p>
    <w:p>
      <w:pPr>
        <w:spacing w:after="0" w:line="18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Balance Sheet Components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Selected balance sheet components consist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320" w:type="dxa"/>
            <w:vAlign w:val="bottom"/>
          </w:tcPr>
          <w:p>
            <w:pPr>
              <w:jc w:val="center"/>
              <w:ind w:left="3108"/>
              <w:spacing w:after="0"/>
              <w:rPr>
                <w:sz w:val="20"/>
                <w:szCs w:val="20"/>
                <w:color w:val="auto"/>
              </w:rPr>
            </w:pPr>
            <w:r>
              <w:rPr>
                <w:rFonts w:ascii="Arial" w:cs="Arial" w:eastAsia="Arial" w:hAnsi="Arial"/>
                <w:sz w:val="14"/>
                <w:szCs w:val="14"/>
                <w:b w:val="1"/>
                <w:bCs w:val="1"/>
                <w:color w:val="auto"/>
                <w:w w:val="89"/>
              </w:rPr>
              <w:t>June 30,</w:t>
            </w:r>
          </w:p>
        </w:tc>
        <w:tc>
          <w:tcPr>
            <w:tcW w:w="140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December 31,</w:t>
            </w:r>
          </w:p>
        </w:tc>
        <w:tc>
          <w:tcPr>
            <w:tcW w:w="106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0"/>
              </w:rPr>
              <w:t>June 30, 2020</w:t>
            </w:r>
          </w:p>
        </w:tc>
        <w:tc>
          <w:tcPr>
            <w:tcW w:w="0" w:type="dxa"/>
            <w:vAlign w:val="bottom"/>
          </w:tcPr>
          <w:p>
            <w:pPr>
              <w:spacing w:after="0"/>
              <w:rPr>
                <w:sz w:val="1"/>
                <w:szCs w:val="1"/>
                <w:color w:val="auto"/>
              </w:rPr>
            </w:pPr>
          </w:p>
        </w:tc>
      </w:tr>
      <w:tr>
        <w:trPr>
          <w:trHeight w:val="186"/>
        </w:trPr>
        <w:tc>
          <w:tcPr>
            <w:tcW w:w="4260" w:type="dxa"/>
            <w:vAlign w:val="bottom"/>
            <w:vMerge w:val="continue"/>
          </w:tcPr>
          <w:p>
            <w:pPr>
              <w:spacing w:after="0"/>
              <w:rPr>
                <w:sz w:val="16"/>
                <w:szCs w:val="16"/>
                <w:color w:val="auto"/>
              </w:rPr>
            </w:pPr>
          </w:p>
        </w:tc>
        <w:tc>
          <w:tcPr>
            <w:tcW w:w="4320" w:type="dxa"/>
            <w:vAlign w:val="bottom"/>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400" w:type="dxa"/>
            <w:vAlign w:val="bottom"/>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current and non-current assets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Cash, cash equivalents and restricted cash</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4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4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1,148.6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220"/>
              <w:spacing w:after="0"/>
              <w:rPr>
                <w:sz w:val="20"/>
                <w:szCs w:val="20"/>
                <w:color w:val="auto"/>
              </w:rPr>
            </w:pPr>
            <w:r>
              <w:rPr>
                <w:rFonts w:ascii="Arial" w:cs="Arial" w:eastAsia="Arial" w:hAnsi="Arial"/>
                <w:sz w:val="18"/>
                <w:szCs w:val="18"/>
                <w:b w:val="1"/>
                <w:bCs w:val="1"/>
                <w:color w:val="auto"/>
              </w:rPr>
              <w:t>Inventories</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Available-for-sale fixed income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financial instruments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b w:val="1"/>
                <w:bCs w:val="1"/>
                <w:color w:val="auto"/>
              </w:rPr>
              <w:t>Prepaid expenses and other current assets</w:t>
            </w: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640"/>
              <w:spacing w:after="0"/>
              <w:rPr>
                <w:sz w:val="20"/>
                <w:szCs w:val="20"/>
                <w:color w:val="auto"/>
              </w:rPr>
            </w:pPr>
            <w:r>
              <w:rPr>
                <w:rFonts w:ascii="Arial" w:cs="Arial" w:eastAsia="Arial" w:hAnsi="Arial"/>
                <w:sz w:val="18"/>
                <w:szCs w:val="18"/>
                <w:color w:val="auto"/>
                <w:w w:val="98"/>
              </w:rPr>
              <w:t>Prepaid expenses consist primarily of prepaid rent, insurance and other individually insignificant items.</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1,954.8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Land and improvements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property, plant and equipment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Property, plant and equipment, net</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3,459.9</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assets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1"/>
                <w:szCs w:val="2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 clean energy investments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20"/>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1,047.5</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Accounts payable</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payables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Accounts payable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 allowances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1,211.8</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Legal and professional accruals, including litigation accruals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employee benefit liabilities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 clean energy investments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Fair value of financial instruments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1,973.2</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Other current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4,960.7</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Other long-term obligations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22"/>
                <w:szCs w:val="22"/>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related items, including contingencies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Restructuring</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505.8</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Other long-term obligations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2,483.1</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Summarized financial information, in the aggregate, for the Company’s three equity method, clean energy investments on a 100% basis for the three and six months ended June 30, 2021 and 2020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210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8"/>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90.0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Gross loss</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non-operating expense</w:t>
            </w: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61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780" w:type="dxa"/>
            <w:vAlign w:val="bottom"/>
            <w:tcBorders>
              <w:bottom w:val="single" w:sz="8" w:color="auto"/>
            </w:tcBorders>
          </w:tcPr>
          <w:p>
            <w:pPr>
              <w:jc w:val="right"/>
              <w:ind w:right="5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6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Company’s net losses from its equity method investments include amortization expense related to the excess of the cost basis of the Company’s investment over the underlying assets of each individual investee. For the three months ended June 30, 2021 and 2020, the Company recognized net losses from equity method investments of $16.7 million and $17.2 million, respectively. For the six months ended June 30, 2021 and 2020, the Company recognized net losses from equity method investments of $34.6 million and $34.5 million, respectively, which were recognized as a component of other expense, net in the condensed consolidated statements of operations. The Company recognizes the income tax credits and benefits from the clean energy investments as part of its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(Loss) Earnings per Share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Basic (loss) earnings per share is computed by dividing net (loss) earnings by the weighted average number of shares outstanding during the period. Diluted (loss) earnings per share is computed by dividing net (loss) earnings by the weighted average number of shares outstanding during the period increased by the number of additional shares that would have been outstanding related to potentially dilutive securities or instruments, if the impact is dilutive.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and diluted (loss) earnings per share attributable to Viatris Inc. are calculated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w:t>
            </w:r>
          </w:p>
        </w:tc>
      </w:tr>
      <w:tr>
        <w:trPr>
          <w:trHeight w:val="194"/>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8"/>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11"/>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(loss) earnings attributable to Viatris Inc. common shareholders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Net (loss) earnings attributable to Viatris Inc.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6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Shares (denominator):</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8"/>
        </w:trPr>
        <w:tc>
          <w:tcPr>
            <w:tcW w:w="6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9"/>
              </w:rPr>
              <w:t>Basic (loss) earnings per share attributable to Viatris Inc.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8"/>
              </w:rPr>
              <w:t>Diluted (loss) earnings attributable to Viatris Inc. common shareholders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Net (loss) earnings attributable to Viatris Inc.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6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Shares (denominator):</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516.7</w:t>
            </w: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awards and warrants</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6100" w:type="dxa"/>
            <w:vAlign w:val="bottom"/>
          </w:tcPr>
          <w:p>
            <w:pPr>
              <w:ind w:left="340"/>
              <w:spacing w:after="0"/>
              <w:rPr>
                <w:sz w:val="20"/>
                <w:szCs w:val="20"/>
                <w:color w:val="auto"/>
              </w:rPr>
            </w:pPr>
            <w:r>
              <w:rPr>
                <w:rFonts w:ascii="Arial" w:cs="Arial" w:eastAsia="Arial" w:hAnsi="Arial"/>
                <w:sz w:val="18"/>
                <w:szCs w:val="18"/>
                <w:color w:val="auto"/>
              </w:rPr>
              <w:t>Total dilutive shares outstanding</w:t>
            </w: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517.1</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8"/>
        </w:trPr>
        <w:tc>
          <w:tcPr>
            <w:tcW w:w="6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7"/>
              </w:rPr>
              <w:t>Diluted (loss) earnings per share attributable to Viatris Inc.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Additional stock awards and restricted stock awards were outstanding during the three and six months ended June 30, 2021 and 2020, but were not included in the computation of diluted earnings per share for each respective period because the effect would be anti-dilutive. Excluded shares at June 30, 2021 include certain share-based compensation awards whose performance conditions had not been fully met. Such excluded shares and anti-dilutive awards represented 10.0 million shares and 10.5 million shares for the three and six months ended June 30, 2021, respectively, and 11.1 million shares and 10.4 million shares for the three and six months ended 2020, respectively.</w:t>
      </w:r>
    </w:p>
    <w:p>
      <w:pPr>
        <w:spacing w:after="0" w:line="17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May 7, 2021, the Company’s Board of Directors declared an inaugural quarterly cash dividend of $0.11 per share on the Company’s issued and outstanding common stock. The first quarterly cash dividend was paid on June 16, 2021 to shareholders of record as of the close of business on May 24, 2021. On August 6, 2021, the Company’s Board of Directors declared its second quarterly cash dividend of $0.11 per share on the Company’s issued and outstanding common stock, which will be payable on September 16, 2021 to shareholders of record as of the close of business on August 24, 2021.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six months ended June 30, 2021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Developed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Greater China</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JANZ</w:t>
            </w:r>
          </w:p>
        </w:tc>
        <w:tc>
          <w:tcPr>
            <w:tcW w:w="13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Emerging Markets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Markets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32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9,569.5</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738.3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864.0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252"/>
              <w:spacing w:after="0"/>
              <w:rPr>
                <w:sz w:val="20"/>
                <w:szCs w:val="20"/>
                <w:color w:val="auto"/>
              </w:rPr>
            </w:pPr>
            <w:r>
              <w:rPr>
                <w:rFonts w:ascii="Arial" w:cs="Arial" w:eastAsia="Arial" w:hAnsi="Arial"/>
                <w:sz w:val="18"/>
                <w:szCs w:val="18"/>
                <w:color w:val="auto"/>
                <w:w w:val="89"/>
              </w:rPr>
              <w:t>1,560.2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12,732.0</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impairment losses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9,184.5</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left="252"/>
              <w:spacing w:after="0"/>
              <w:rPr>
                <w:sz w:val="20"/>
                <w:szCs w:val="20"/>
                <w:color w:val="auto"/>
              </w:rPr>
            </w:pPr>
            <w:r>
              <w:rPr>
                <w:rFonts w:ascii="Arial" w:cs="Arial" w:eastAsia="Arial" w:hAnsi="Arial"/>
                <w:sz w:val="18"/>
                <w:szCs w:val="18"/>
                <w:color w:val="auto"/>
                <w:w w:val="89"/>
              </w:rPr>
              <w:t>1,560.2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12,347.0</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Measurement period adjustments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center"/>
              <w:ind w:left="252"/>
              <w:spacing w:after="0"/>
              <w:rPr>
                <w:sz w:val="20"/>
                <w:szCs w:val="20"/>
                <w:color w:val="auto"/>
              </w:rPr>
            </w:pPr>
            <w:r>
              <w:rPr>
                <w:rFonts w:ascii="Arial" w:cs="Arial" w:eastAsia="Arial" w:hAnsi="Arial"/>
                <w:sz w:val="18"/>
                <w:szCs w:val="18"/>
                <w:color w:val="auto"/>
                <w:w w:val="89"/>
              </w:rPr>
              <w:t>1,584.7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11,990.4</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Balance at June 30, 2021: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9,273.3</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w w:val="89"/>
              </w:rPr>
              <w:t>1,584.7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12,375.4</w:t>
            </w: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8"/>
                <w:szCs w:val="18"/>
                <w:color w:val="auto"/>
              </w:rPr>
              <w:t>Accumulated impairment losses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center"/>
              <w:ind w:left="252"/>
              <w:spacing w:after="0"/>
              <w:rPr>
                <w:sz w:val="20"/>
                <w:szCs w:val="20"/>
                <w:color w:val="auto"/>
              </w:rPr>
            </w:pPr>
            <w:r>
              <w:rPr>
                <w:rFonts w:ascii="Arial" w:cs="Arial" w:eastAsia="Arial" w:hAnsi="Arial"/>
                <w:sz w:val="18"/>
                <w:szCs w:val="18"/>
                <w:color w:val="auto"/>
                <w:w w:val="89"/>
              </w:rPr>
              <w:t>1,584.7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11,990.4</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580" w:type="dxa"/>
            <w:vAlign w:val="bottom"/>
            <w:gridSpan w:val="11"/>
          </w:tcPr>
          <w:p>
            <w:pPr>
              <w:ind w:left="660"/>
              <w:spacing w:after="0"/>
              <w:rPr>
                <w:sz w:val="20"/>
                <w:szCs w:val="20"/>
                <w:color w:val="auto"/>
              </w:rPr>
            </w:pPr>
            <w:r>
              <w:rPr>
                <w:rFonts w:ascii="Arial" w:cs="Arial" w:eastAsia="Arial" w:hAnsi="Arial"/>
                <w:sz w:val="18"/>
                <w:szCs w:val="18"/>
                <w:color w:val="auto"/>
                <w:w w:val="90"/>
              </w:rPr>
              <w:t>Intangible assets consist of the following components at June 30, 2021 and December 31, 2020:</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Weighted Average</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Original Cost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88"/>
        </w:trPr>
        <w:tc>
          <w:tcPr>
            <w:tcW w:w="4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Life (Years)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Product rights, licenses and other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39,761.5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252"/>
              <w:spacing w:after="0"/>
              <w:rPr>
                <w:sz w:val="20"/>
                <w:szCs w:val="20"/>
                <w:color w:val="auto"/>
              </w:rPr>
            </w:pPr>
            <w:r>
              <w:rPr>
                <w:rFonts w:ascii="Arial" w:cs="Arial" w:eastAsia="Arial" w:hAnsi="Arial"/>
                <w:sz w:val="18"/>
                <w:szCs w:val="18"/>
                <w:color w:val="auto"/>
                <w:w w:val="88"/>
              </w:rPr>
              <w:t>11,977.6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27,783.9</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39,841.3</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center"/>
              <w:ind w:left="252"/>
              <w:spacing w:after="0"/>
              <w:rPr>
                <w:sz w:val="20"/>
                <w:szCs w:val="20"/>
                <w:color w:val="auto"/>
              </w:rPr>
            </w:pPr>
            <w:r>
              <w:rPr>
                <w:rFonts w:ascii="Arial" w:cs="Arial" w:eastAsia="Arial" w:hAnsi="Arial"/>
                <w:sz w:val="18"/>
                <w:szCs w:val="18"/>
                <w:color w:val="auto"/>
                <w:w w:val="88"/>
              </w:rPr>
              <w:t>11,977.6</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27,863.7</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December 31, 2020</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Product rights, licenses and other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40,404.1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232"/>
              <w:spacing w:after="0"/>
              <w:rPr>
                <w:sz w:val="20"/>
                <w:szCs w:val="20"/>
                <w:color w:val="auto"/>
              </w:rPr>
            </w:pPr>
            <w:r>
              <w:rPr>
                <w:rFonts w:ascii="Arial" w:cs="Arial" w:eastAsia="Arial" w:hAnsi="Arial"/>
                <w:sz w:val="18"/>
                <w:szCs w:val="18"/>
                <w:color w:val="auto"/>
                <w:w w:val="91"/>
              </w:rPr>
              <w:t>10,801.6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29,602.5</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40,484.8</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center"/>
              <w:ind w:left="232"/>
              <w:spacing w:after="0"/>
              <w:rPr>
                <w:sz w:val="20"/>
                <w:szCs w:val="20"/>
                <w:color w:val="auto"/>
              </w:rPr>
            </w:pPr>
            <w:r>
              <w:rPr>
                <w:rFonts w:ascii="Arial" w:cs="Arial" w:eastAsia="Arial" w:hAnsi="Arial"/>
                <w:sz w:val="18"/>
                <w:szCs w:val="18"/>
                <w:color w:val="auto"/>
                <w:w w:val="91"/>
              </w:rPr>
              <w:t>10,801.6</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29,683.2</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83"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amortizable intangible assets. Other intangible assets consists principally of customer lists and contractual rights.</w:t>
      </w:r>
    </w:p>
    <w:p>
      <w:pPr>
        <w:spacing w:after="0" w:line="20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The Company has performed its annual goodwill impairment test as of April 1, 2021 on a quantitative basis for its five reporting units, North America, Europe, Emerging Markets, JANZ, and Greater China. See Note 14, </w:t>
      </w:r>
      <w:r>
        <w:rPr>
          <w:rFonts w:ascii="Arial" w:cs="Arial" w:eastAsia="Arial" w:hAnsi="Arial"/>
          <w:sz w:val="16"/>
          <w:szCs w:val="16"/>
          <w:i w:val="1"/>
          <w:iCs w:val="1"/>
          <w:color w:val="auto"/>
        </w:rPr>
        <w:t>Segment Information</w:t>
      </w:r>
      <w:r>
        <w:rPr>
          <w:rFonts w:ascii="Arial" w:cs="Arial" w:eastAsia="Arial" w:hAnsi="Arial"/>
          <w:sz w:val="16"/>
          <w:szCs w:val="16"/>
          <w:color w:val="auto"/>
        </w:rPr>
        <w:t>, for further discussion. Additionally, the net assets acquired as part of the Combination were included in the respective reporting units and in the annual impairment test for the first time. In estimating each reporting unit’s fair value, the Company performed an extensive valuation analysis, utilizing both income and market-based approaches.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April 1, 2021, the allocation of the Company’s total goodwill was as follows: North America $3.66 billion, Europe $5.15 billion, Emerging Markets $1.58 billion, JANZ $0.82 billion and Greater China $0.70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April 1, 2021, the Company determined that the fair value of the North America, Emerging Markets and Greater China reporting units was substantially in excess of the respective unit’s carrying value.</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For the Europe reporting unit, the estimated fair value exceeded its carrying value by approximately $0.91 billion or 5.8% for the annual goodwill impairment test. As it relates to the income approach for the Europe reporting unit at April 1, 2021, the Company forecasted cash flows for the next 10 years. During the forecast period, the revenue compound annual growth rate was approximately 3.0%. A terminal year value was calculated with a 0.9% revenue growth rate applied. The discount rate utilized was 10.5% and the estimated tax rate was 19.0%. Under the market-based approach, we utilized an estimated range of market multiples of 7.5 to 8.5 times EBITDA plus a control premium of 15.0%. If all other assumptions are held constant, a reduction in the terminal value growth rate by 2.9% or an increase in discount rate by 1.5% would result in an impairment charge for the Europe reporting unit.</w:t>
      </w:r>
    </w:p>
    <w:p>
      <w:pPr>
        <w:spacing w:after="0" w:line="16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For the JANZ reporting unit, the estimated fair value exceeded its carrying value by approximately $0.23 billion or 7.0% for the annual goodwill impairment test. As it relates to the income approach for the JANZ reporting unit at April 1, 2021, the Company forecasted cash flows for the next 10 years. During the forecast period, the revenue compound annual growth rate was approximately negative 1.5%. A terminal year value was calculated with a 0.7% revenue growth rate applied. The discount rate utilized was 8.5% and the estimated tax rate was 30.5%. Under the market-based approach, we utilized an estimated market multiple of 6.0 times EBITDA plus a control premium of 15.0%. If all other assumptions are held constant, a reduction in the terminal value growth rate by 4.2% or an increase in discount rate by 2.0% would result in an impairment charge for the JANZ reporting unit.</w:t>
      </w:r>
    </w:p>
    <w:p>
      <w:pPr>
        <w:spacing w:after="0" w:line="164"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pacing w:after="0" w:line="12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Amortization expense, which is classified primarily within cost of sales in the condensed consolidated statements of operations for the three and six months ended June 30, 2021 and 2020 totaled: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8"/>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Intangible asset impairment charges</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8"/>
              </w:rPr>
              <w:t>Total intangible asset amortization expense (including impairment charges)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On April 30, 2021, the Company completed an agreement to divest a group of OTC products in the U.S. As a result of this transaction, the Company recognized an intangible asset impairment charge of approximately $83.4 million during the six months ended June 30, 2021.</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 amortization expense over the remainder of 2021 and for the years ended December 31, 2022 through 2025 is estimated to be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50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2022</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2,616</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2024</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2,350</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 and Risk Management</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is exposed to certain financial risks relating to its ongoing business operations. The primary financial risks that are managed by using derivative instruments are foreign currency risk and interest rate risk.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Risk Management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on the condensed consolidated balance sheets. Any gains or losses on the foreign exchange forward contracts are recognized in earnings in the period incurred in the condensed consolidated statements of operations.</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Company has also entered into forward contracts to hedge forecasted foreign currency denominated sales from certain international subsidiaries and a portion of forecasted intercompany inventory sales denominated in Euro, Japanese Yen and Chinese Renminbi for up to eighteen months. These contracts are designated as cash flow hedges to manage foreign currency transaction risk and are measured at fair value and reported as current assets or current liabilities on the condensed consolidated balance sheets. Any changes in the fair value of designated cash flow hedges are deferred in AOCE and are reclassified into earnings when the hedged item impacts earnings.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w:t>
      </w:r>
    </w:p>
    <w:p>
      <w:pPr>
        <w:spacing w:after="0" w:line="184"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Company has designated certain Euro borrowings as a hedge of its investment in certain Euro-functional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borrowings not designated as net investment hedges through certain Euro denominated financial assets and forward currency swaps.</w:t>
      </w:r>
    </w:p>
    <w:p>
      <w:pPr>
        <w:spacing w:after="0" w:line="17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summarizes the principal amounts of the Company’s outstanding Euro borrowings and the notional amounts of the Euro borrowings designated as net investment hedges: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2"/>
              </w:rPr>
              <w:t>Notional Amount Designated as a Net</w:t>
            </w:r>
          </w:p>
        </w:tc>
        <w:tc>
          <w:tcPr>
            <w:tcW w:w="0" w:type="dxa"/>
            <w:vAlign w:val="bottom"/>
          </w:tcPr>
          <w:p>
            <w:pPr>
              <w:spacing w:after="0"/>
              <w:rPr>
                <w:sz w:val="1"/>
                <w:szCs w:val="1"/>
                <w:color w:val="auto"/>
              </w:rPr>
            </w:pPr>
          </w:p>
        </w:tc>
      </w:tr>
      <w:tr>
        <w:trPr>
          <w:trHeight w:val="180"/>
        </w:trPr>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Investment Hedge</w:t>
            </w:r>
          </w:p>
        </w:tc>
        <w:tc>
          <w:tcPr>
            <w:tcW w:w="0" w:type="dxa"/>
            <w:vAlign w:val="bottom"/>
          </w:tcPr>
          <w:p>
            <w:pPr>
              <w:spacing w:after="0"/>
              <w:rPr>
                <w:sz w:val="1"/>
                <w:szCs w:val="1"/>
                <w:color w:val="auto"/>
              </w:rPr>
            </w:pPr>
          </w:p>
        </w:tc>
      </w:tr>
      <w:tr>
        <w:trPr>
          <w:trHeight w:val="144"/>
        </w:trPr>
        <w:tc>
          <w:tcPr>
            <w:tcW w:w="71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Principal Amount</w:t>
            </w:r>
          </w:p>
        </w:tc>
        <w:tc>
          <w:tcPr>
            <w:tcW w:w="140" w:type="dxa"/>
            <w:vAlign w:val="bottom"/>
          </w:tcPr>
          <w:p>
            <w:pPr>
              <w:spacing w:after="0"/>
              <w:rPr>
                <w:sz w:val="12"/>
                <w:szCs w:val="12"/>
                <w:color w:val="auto"/>
              </w:rPr>
            </w:pPr>
          </w:p>
        </w:tc>
        <w:tc>
          <w:tcPr>
            <w:tcW w:w="1240" w:type="dxa"/>
            <w:vAlign w:val="bottom"/>
            <w:gridSpan w:val="2"/>
          </w:tcPr>
          <w:p>
            <w:pPr>
              <w:ind w:left="240"/>
              <w:spacing w:after="0" w:line="145"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1100" w:type="dxa"/>
            <w:vAlign w:val="bottom"/>
          </w:tcPr>
          <w:p>
            <w:pPr>
              <w:jc w:val="right"/>
              <w:ind w:right="133"/>
              <w:spacing w:after="0" w:line="145"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716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2.250% Euro Senior Notes due 2024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3.125% Euro Senior Notes due 2028</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2.125% Euro Senior Notes due 2025</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0.816% Euro Senior Notes due 2022</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29"/>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1.023% Euro Senior Notes due 2024</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1.362% Euro Senior Notes due 2027</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1.908% Euro Senior Notes due 2032</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48"/>
        </w:trPr>
        <w:tc>
          <w:tcPr>
            <w:tcW w:w="71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5,955.6</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condensed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Risk Management</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condensed consolidated balance sheets. Accordingly, there are no offsetting amounts that net assets against liabilities.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summarizes the classification and fair values of derivative instruments in our condensed consolidated balance sheets: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20" w:type="dxa"/>
            <w:vAlign w:val="bottom"/>
          </w:tcPr>
          <w:p>
            <w:pPr>
              <w:spacing w:after="0"/>
              <w:rPr>
                <w:sz w:val="17"/>
                <w:szCs w:val="17"/>
                <w:color w:val="auto"/>
              </w:rPr>
            </w:pPr>
          </w:p>
        </w:tc>
        <w:tc>
          <w:tcPr>
            <w:tcW w:w="2620" w:type="dxa"/>
            <w:vAlign w:val="bottom"/>
            <w:tcBorders>
              <w:top w:val="single" w:sz="8" w:color="auto"/>
              <w:bottom w:val="single" w:sz="8" w:color="auto"/>
            </w:tcBorders>
            <w:gridSpan w:val="3"/>
          </w:tcPr>
          <w:p>
            <w:pPr>
              <w:jc w:val="right"/>
              <w:ind w:right="153"/>
              <w:spacing w:after="0"/>
              <w:rPr>
                <w:sz w:val="20"/>
                <w:szCs w:val="20"/>
                <w:color w:val="auto"/>
              </w:rPr>
            </w:pPr>
            <w:r>
              <w:rPr>
                <w:rFonts w:ascii="Arial" w:cs="Arial" w:eastAsia="Arial" w:hAnsi="Arial"/>
                <w:sz w:val="14"/>
                <w:szCs w:val="14"/>
                <w:b w:val="1"/>
                <w:bCs w:val="1"/>
                <w:color w:val="auto"/>
              </w:rPr>
              <w:t>Asset Derivatives</w:t>
            </w:r>
          </w:p>
        </w:tc>
        <w:tc>
          <w:tcPr>
            <w:tcW w:w="3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Liability Derivatives</w:t>
            </w:r>
          </w:p>
        </w:tc>
        <w:tc>
          <w:tcPr>
            <w:tcW w:w="3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6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7"/>
              </w:rPr>
              <w:t>Balance Sheet Location</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30, 2021</w:t>
            </w:r>
          </w:p>
        </w:tc>
        <w:tc>
          <w:tcPr>
            <w:tcW w:w="10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1320" w:type="dxa"/>
            <w:vAlign w:val="bottom"/>
          </w:tcPr>
          <w:p>
            <w:pPr>
              <w:ind w:left="220"/>
              <w:spacing w:after="0"/>
              <w:rPr>
                <w:sz w:val="20"/>
                <w:szCs w:val="20"/>
                <w:color w:val="auto"/>
              </w:rPr>
            </w:pPr>
            <w:r>
              <w:rPr>
                <w:rFonts w:ascii="Arial" w:cs="Arial" w:eastAsia="Arial" w:hAnsi="Arial"/>
                <w:sz w:val="14"/>
                <w:szCs w:val="14"/>
                <w:b w:val="1"/>
                <w:bCs w:val="1"/>
                <w:color w:val="auto"/>
              </w:rPr>
              <w:t>Balance Sheet</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30, 2021</w:t>
            </w:r>
          </w:p>
        </w:tc>
        <w:tc>
          <w:tcPr>
            <w:tcW w:w="10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4120" w:type="dxa"/>
            <w:vAlign w:val="bottom"/>
            <w:tcBorders>
              <w:bottom w:val="single" w:sz="8" w:color="CCEEFF"/>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5"/>
              </w:rPr>
              <w:t>Fair Value</w:t>
            </w: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2020 Fair Value</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Location</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8"/>
              </w:rPr>
              <w:t>Fair Value</w:t>
            </w: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2020 Fair Value</w:t>
            </w:r>
          </w:p>
        </w:tc>
        <w:tc>
          <w:tcPr>
            <w:tcW w:w="0" w:type="dxa"/>
            <w:vAlign w:val="bottom"/>
          </w:tcPr>
          <w:p>
            <w:pPr>
              <w:spacing w:after="0"/>
              <w:rPr>
                <w:sz w:val="1"/>
                <w:szCs w:val="1"/>
                <w:color w:val="auto"/>
              </w:rPr>
            </w:pPr>
          </w:p>
        </w:tc>
      </w:tr>
      <w:tr>
        <w:trPr>
          <w:trHeight w:val="211"/>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20" w:type="dxa"/>
            <w:vAlign w:val="bottom"/>
            <w:vMerge w:val="restart"/>
          </w:tcPr>
          <w:p>
            <w:pPr>
              <w:ind w:left="240"/>
              <w:spacing w:after="0"/>
              <w:rPr>
                <w:sz w:val="20"/>
                <w:szCs w:val="20"/>
                <w:color w:val="auto"/>
              </w:rPr>
            </w:pPr>
            <w:r>
              <w:rPr>
                <w:rFonts w:ascii="Arial" w:cs="Arial" w:eastAsia="Arial" w:hAnsi="Arial"/>
                <w:sz w:val="18"/>
                <w:szCs w:val="18"/>
                <w:color w:val="auto"/>
              </w:rPr>
              <w:t>Foreign currency forward contracts</w:t>
            </w:r>
          </w:p>
        </w:tc>
        <w:tc>
          <w:tcPr>
            <w:tcW w:w="1660" w:type="dxa"/>
            <w:vAlign w:val="bottom"/>
          </w:tcPr>
          <w:p>
            <w:pPr>
              <w:ind w:left="20"/>
              <w:spacing w:after="0" w:line="176" w:lineRule="exact"/>
              <w:rPr>
                <w:sz w:val="20"/>
                <w:szCs w:val="20"/>
                <w:color w:val="auto"/>
              </w:rPr>
            </w:pPr>
            <w:r>
              <w:rPr>
                <w:rFonts w:ascii="Arial" w:cs="Arial" w:eastAsia="Arial" w:hAnsi="Arial"/>
                <w:sz w:val="18"/>
                <w:szCs w:val="18"/>
                <w:color w:val="auto"/>
              </w:rPr>
              <w:t>Prepaid expenses &amp;</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42.9</w:t>
            </w: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5"/>
                <w:szCs w:val="15"/>
                <w:color w:val="auto"/>
              </w:rPr>
            </w:pPr>
          </w:p>
        </w:tc>
        <w:tc>
          <w:tcPr>
            <w:tcW w:w="1320" w:type="dxa"/>
            <w:vAlign w:val="bottom"/>
          </w:tcPr>
          <w:p>
            <w:pPr>
              <w:ind w:left="20"/>
              <w:spacing w:after="0" w:line="176" w:lineRule="exact"/>
              <w:rPr>
                <w:sz w:val="20"/>
                <w:szCs w:val="20"/>
                <w:color w:val="auto"/>
              </w:rPr>
            </w:pPr>
            <w:r>
              <w:rPr>
                <w:rFonts w:ascii="Arial" w:cs="Arial" w:eastAsia="Arial" w:hAnsi="Arial"/>
                <w:sz w:val="18"/>
                <w:szCs w:val="18"/>
                <w:color w:val="auto"/>
              </w:rPr>
              <w:t>Other current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vMerge w:val="continue"/>
          </w:tcPr>
          <w:p>
            <w:pPr>
              <w:spacing w:after="0"/>
              <w:rPr>
                <w:sz w:val="19"/>
                <w:szCs w:val="19"/>
                <w:color w:val="auto"/>
              </w:rPr>
            </w:pPr>
          </w:p>
        </w:tc>
        <w:tc>
          <w:tcPr>
            <w:tcW w:w="1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derivatives designated as hedges</w:t>
            </w:r>
          </w:p>
        </w:tc>
        <w:tc>
          <w:tcPr>
            <w:tcW w:w="1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2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Foreign currency forward contracts</w:t>
            </w:r>
          </w:p>
        </w:tc>
        <w:tc>
          <w:tcPr>
            <w:tcW w:w="1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Prepaid expenses &amp;</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3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current</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3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30"/>
        </w:trPr>
        <w:tc>
          <w:tcPr>
            <w:tcW w:w="4120" w:type="dxa"/>
            <w:vAlign w:val="bottom"/>
            <w:vMerge w:val="continue"/>
            <w:shd w:val="clear" w:color="auto" w:fill="CCEEFF"/>
          </w:tcPr>
          <w:p>
            <w:pPr>
              <w:spacing w:after="0"/>
              <w:rPr>
                <w:sz w:val="19"/>
                <w:szCs w:val="19"/>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derivatives not designated as hedges</w:t>
            </w:r>
          </w:p>
        </w:tc>
        <w:tc>
          <w:tcPr>
            <w:tcW w:w="1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derivatives</w:t>
            </w:r>
          </w:p>
        </w:tc>
        <w:tc>
          <w:tcPr>
            <w:tcW w:w="1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information about the gains/(losses) incurred to hedge or offset operational foreign exchange or interest rate risk:</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Amount of Gains/(Losses)</w:t>
            </w: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Amount of Gains/(Losses)</w:t>
            </w: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Amount of Gains/(Losses)</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720" w:type="dxa"/>
            <w:vAlign w:val="bottom"/>
            <w:gridSpan w:val="4"/>
            <w:vMerge w:val="continue"/>
          </w:tcPr>
          <w:p>
            <w:pPr>
              <w:spacing w:after="0"/>
              <w:rPr>
                <w:sz w:val="11"/>
                <w:szCs w:val="11"/>
                <w:color w:val="auto"/>
              </w:rPr>
            </w:pPr>
          </w:p>
        </w:tc>
        <w:tc>
          <w:tcPr>
            <w:tcW w:w="172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5"/>
              </w:rPr>
              <w:t>Recognized in AOCE (Net</w:t>
            </w:r>
          </w:p>
        </w:tc>
        <w:tc>
          <w:tcPr>
            <w:tcW w:w="120" w:type="dxa"/>
            <w:vAlign w:val="bottom"/>
          </w:tcPr>
          <w:p>
            <w:pPr>
              <w:spacing w:after="0"/>
              <w:rPr>
                <w:sz w:val="11"/>
                <w:szCs w:val="11"/>
                <w:color w:val="auto"/>
              </w:rPr>
            </w:pPr>
          </w:p>
        </w:tc>
        <w:tc>
          <w:tcPr>
            <w:tcW w:w="1620" w:type="dxa"/>
            <w:vAlign w:val="bottom"/>
            <w:gridSpan w:val="3"/>
          </w:tcPr>
          <w:p>
            <w:pPr>
              <w:jc w:val="center"/>
              <w:ind w:right="13"/>
              <w:spacing w:after="0" w:line="135" w:lineRule="exact"/>
              <w:rPr>
                <w:sz w:val="20"/>
                <w:szCs w:val="20"/>
                <w:color w:val="auto"/>
              </w:rPr>
            </w:pPr>
            <w:r>
              <w:rPr>
                <w:rFonts w:ascii="Arial" w:cs="Arial" w:eastAsia="Arial" w:hAnsi="Arial"/>
                <w:sz w:val="14"/>
                <w:szCs w:val="14"/>
                <w:b w:val="1"/>
                <w:bCs w:val="1"/>
                <w:color w:val="auto"/>
                <w:w w:val="94"/>
              </w:rPr>
              <w:t>Reclassified from AOCE</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b w:val="1"/>
                <w:bCs w:val="1"/>
                <w:color w:val="auto"/>
                <w:w w:val="90"/>
              </w:rPr>
              <w:t>Recognized in Earnings</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53"/>
              <w:spacing w:after="0"/>
              <w:rPr>
                <w:sz w:val="20"/>
                <w:szCs w:val="20"/>
                <w:color w:val="auto"/>
              </w:rPr>
            </w:pPr>
            <w:r>
              <w:rPr>
                <w:rFonts w:ascii="Arial" w:cs="Arial" w:eastAsia="Arial" w:hAnsi="Arial"/>
                <w:sz w:val="14"/>
                <w:szCs w:val="14"/>
                <w:b w:val="1"/>
                <w:bCs w:val="1"/>
                <w:color w:val="auto"/>
                <w:w w:val="92"/>
              </w:rPr>
              <w:t>of Tax) on Derivatives</w:t>
            </w: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13"/>
              <w:spacing w:after="0"/>
              <w:rPr>
                <w:sz w:val="20"/>
                <w:szCs w:val="20"/>
                <w:color w:val="auto"/>
              </w:rPr>
            </w:pPr>
            <w:r>
              <w:rPr>
                <w:rFonts w:ascii="Arial" w:cs="Arial" w:eastAsia="Arial" w:hAnsi="Arial"/>
                <w:sz w:val="14"/>
                <w:szCs w:val="14"/>
                <w:b w:val="1"/>
                <w:bCs w:val="1"/>
                <w:color w:val="auto"/>
                <w:w w:val="93"/>
              </w:rPr>
              <w:t>into Earnings</w:t>
            </w:r>
          </w:p>
        </w:tc>
        <w:tc>
          <w:tcPr>
            <w:tcW w:w="0" w:type="dxa"/>
            <w:vAlign w:val="bottom"/>
          </w:tcPr>
          <w:p>
            <w:pPr>
              <w:spacing w:after="0"/>
              <w:rPr>
                <w:sz w:val="1"/>
                <w:szCs w:val="1"/>
                <w:color w:val="auto"/>
              </w:rPr>
            </w:pPr>
          </w:p>
        </w:tc>
      </w:tr>
      <w:tr>
        <w:trPr>
          <w:trHeight w:val="130"/>
        </w:trPr>
        <w:tc>
          <w:tcPr>
            <w:tcW w:w="4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720" w:type="dxa"/>
            <w:vAlign w:val="bottom"/>
            <w:gridSpan w:val="4"/>
          </w:tcPr>
          <w:p>
            <w:pPr>
              <w:jc w:val="right"/>
              <w:spacing w:after="0" w:line="130" w:lineRule="exact"/>
              <w:rPr>
                <w:sz w:val="20"/>
                <w:szCs w:val="20"/>
                <w:color w:val="auto"/>
              </w:rPr>
            </w:pPr>
            <w:r>
              <w:rPr>
                <w:rFonts w:ascii="Arial" w:cs="Arial" w:eastAsia="Arial" w:hAnsi="Arial"/>
                <w:sz w:val="14"/>
                <w:szCs w:val="14"/>
                <w:b w:val="1"/>
                <w:bCs w:val="1"/>
                <w:color w:val="auto"/>
                <w:w w:val="94"/>
              </w:rPr>
              <w:t>Three months ended June</w:t>
            </w:r>
          </w:p>
        </w:tc>
        <w:tc>
          <w:tcPr>
            <w:tcW w:w="1720" w:type="dxa"/>
            <w:vAlign w:val="bottom"/>
            <w:gridSpan w:val="4"/>
          </w:tcPr>
          <w:p>
            <w:pPr>
              <w:jc w:val="center"/>
              <w:spacing w:after="0" w:line="130" w:lineRule="exact"/>
              <w:rPr>
                <w:sz w:val="20"/>
                <w:szCs w:val="20"/>
                <w:color w:val="auto"/>
              </w:rPr>
            </w:pPr>
            <w:r>
              <w:rPr>
                <w:rFonts w:ascii="Arial" w:cs="Arial" w:eastAsia="Arial" w:hAnsi="Arial"/>
                <w:sz w:val="14"/>
                <w:szCs w:val="14"/>
                <w:b w:val="1"/>
                <w:bCs w:val="1"/>
                <w:color w:val="auto"/>
                <w:w w:val="90"/>
              </w:rPr>
              <w:t>Three months ended June</w:t>
            </w:r>
          </w:p>
        </w:tc>
        <w:tc>
          <w:tcPr>
            <w:tcW w:w="1740" w:type="dxa"/>
            <w:vAlign w:val="bottom"/>
            <w:gridSpan w:val="4"/>
          </w:tcPr>
          <w:p>
            <w:pPr>
              <w:jc w:val="center"/>
              <w:spacing w:after="0" w:line="130" w:lineRule="exact"/>
              <w:rPr>
                <w:sz w:val="20"/>
                <w:szCs w:val="20"/>
                <w:color w:val="auto"/>
              </w:rPr>
            </w:pPr>
            <w:r>
              <w:rPr>
                <w:rFonts w:ascii="Arial" w:cs="Arial" w:eastAsia="Arial" w:hAnsi="Arial"/>
                <w:sz w:val="14"/>
                <w:szCs w:val="14"/>
                <w:b w:val="1"/>
                <w:bCs w:val="1"/>
                <w:color w:val="auto"/>
                <w:w w:val="91"/>
              </w:rPr>
              <w:t>Three months ended June</w:t>
            </w:r>
          </w:p>
        </w:tc>
        <w:tc>
          <w:tcPr>
            <w:tcW w:w="0" w:type="dxa"/>
            <w:vAlign w:val="bottom"/>
          </w:tcPr>
          <w:p>
            <w:pPr>
              <w:spacing w:after="0"/>
              <w:rPr>
                <w:sz w:val="1"/>
                <w:szCs w:val="1"/>
                <w:color w:val="auto"/>
              </w:rPr>
            </w:pPr>
          </w:p>
        </w:tc>
      </w:tr>
      <w:tr>
        <w:trPr>
          <w:trHeight w:val="180"/>
        </w:trPr>
        <w:tc>
          <w:tcPr>
            <w:tcW w:w="40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30,</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left="437"/>
              <w:spacing w:after="0"/>
              <w:rPr>
                <w:sz w:val="20"/>
                <w:szCs w:val="20"/>
                <w:color w:val="auto"/>
              </w:rPr>
            </w:pPr>
            <w:r>
              <w:rPr>
                <w:rFonts w:ascii="Arial" w:cs="Arial" w:eastAsia="Arial" w:hAnsi="Arial"/>
                <w:sz w:val="14"/>
                <w:szCs w:val="14"/>
                <w:b w:val="1"/>
                <w:bCs w:val="1"/>
                <w:color w:val="auto"/>
                <w:w w:val="92"/>
              </w:rPr>
              <w:t>30,</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left="458"/>
              <w:spacing w:after="0"/>
              <w:rPr>
                <w:sz w:val="20"/>
                <w:szCs w:val="20"/>
                <w:color w:val="auto"/>
              </w:rPr>
            </w:pPr>
            <w:r>
              <w:rPr>
                <w:rFonts w:ascii="Arial" w:cs="Arial" w:eastAsia="Arial" w:hAnsi="Arial"/>
                <w:sz w:val="14"/>
                <w:szCs w:val="14"/>
                <w:b w:val="1"/>
                <w:bCs w:val="1"/>
                <w:color w:val="auto"/>
                <w:w w:val="92"/>
              </w:rPr>
              <w:t>30,</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60" w:type="dxa"/>
            <w:vAlign w:val="bottom"/>
            <w:tcBorders>
              <w:bottom w:val="single" w:sz="8" w:color="CCEEFF"/>
            </w:tcBorders>
          </w:tcPr>
          <w:p>
            <w:pPr>
              <w:ind w:left="32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b w:val="1"/>
                <w:bCs w:val="1"/>
                <w:color w:val="auto"/>
                <w:w w:val="94"/>
              </w:rPr>
              <w:t>Derivative Financial Instruments in Cash Flow Hedging</w:t>
            </w: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Relationships </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Foreign currency forward contracts</w:t>
            </w:r>
          </w:p>
        </w:tc>
        <w:tc>
          <w:tcPr>
            <w:tcW w:w="206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Net sales </w:t>
            </w:r>
            <w:r>
              <w:rPr>
                <w:rFonts w:ascii="Arial" w:cs="Arial" w:eastAsia="Arial" w:hAnsi="Arial"/>
                <w:sz w:val="23"/>
                <w:szCs w:val="23"/>
                <w:color w:val="auto"/>
                <w:vertAlign w:val="superscript"/>
              </w:rPr>
              <w:t>(4)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swaps</w:t>
            </w:r>
          </w:p>
        </w:tc>
        <w:tc>
          <w:tcPr>
            <w:tcW w:w="206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62"/>
        </w:trPr>
        <w:tc>
          <w:tcPr>
            <w:tcW w:w="40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Derivative Financial Instruments in Net Investment</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Hedging Relationships: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Foreign currency borrowings and forward contracts</w:t>
            </w:r>
          </w:p>
        </w:tc>
        <w:tc>
          <w:tcPr>
            <w:tcW w:w="2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0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Derivative Financial Instruments Not Designated as</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option and forward contracts</w:t>
            </w:r>
          </w:p>
        </w:tc>
        <w:tc>
          <w:tcPr>
            <w:tcW w:w="2060" w:type="dxa"/>
            <w:vAlign w:val="bottom"/>
            <w:shd w:val="clear" w:color="auto" w:fill="CCEEFF"/>
          </w:tcPr>
          <w:p>
            <w:pPr>
              <w:ind w:left="40"/>
              <w:spacing w:after="0" w:line="232" w:lineRule="exact"/>
              <w:rPr>
                <w:sz w:val="20"/>
                <w:szCs w:val="20"/>
                <w:color w:val="auto"/>
              </w:rPr>
            </w:pPr>
            <w:r>
              <w:rPr>
                <w:rFonts w:ascii="Arial" w:cs="Arial" w:eastAsia="Arial" w:hAnsi="Arial"/>
                <w:sz w:val="18"/>
                <w:szCs w:val="18"/>
                <w:color w:val="auto"/>
              </w:rPr>
              <w:t xml:space="preserve">Other expense, net </w:t>
            </w:r>
            <w:r>
              <w:rPr>
                <w:rFonts w:ascii="Arial" w:cs="Arial" w:eastAsia="Arial" w:hAnsi="Arial"/>
                <w:sz w:val="23"/>
                <w:szCs w:val="23"/>
                <w:color w:val="auto"/>
                <w:vertAlign w:val="superscript"/>
              </w:rPr>
              <w:t>(3)</w:t>
            </w: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20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Amount of Gains/(Losses)</w:t>
            </w: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Amount of Gains/(Losses)</w:t>
            </w: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Amount of Gains/(Losses)</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172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5"/>
              </w:rPr>
              <w:t>Recognized in AOCE (Net</w:t>
            </w:r>
          </w:p>
        </w:tc>
        <w:tc>
          <w:tcPr>
            <w:tcW w:w="120" w:type="dxa"/>
            <w:vAlign w:val="bottom"/>
          </w:tcPr>
          <w:p>
            <w:pPr>
              <w:spacing w:after="0"/>
              <w:rPr>
                <w:sz w:val="11"/>
                <w:szCs w:val="11"/>
                <w:color w:val="auto"/>
              </w:rPr>
            </w:pPr>
          </w:p>
        </w:tc>
        <w:tc>
          <w:tcPr>
            <w:tcW w:w="1620" w:type="dxa"/>
            <w:vAlign w:val="bottom"/>
            <w:gridSpan w:val="2"/>
          </w:tcPr>
          <w:p>
            <w:pPr>
              <w:jc w:val="center"/>
              <w:ind w:right="12"/>
              <w:spacing w:after="0" w:line="135" w:lineRule="exact"/>
              <w:rPr>
                <w:sz w:val="20"/>
                <w:szCs w:val="20"/>
                <w:color w:val="auto"/>
              </w:rPr>
            </w:pPr>
            <w:r>
              <w:rPr>
                <w:rFonts w:ascii="Arial" w:cs="Arial" w:eastAsia="Arial" w:hAnsi="Arial"/>
                <w:sz w:val="14"/>
                <w:szCs w:val="14"/>
                <w:b w:val="1"/>
                <w:bCs w:val="1"/>
                <w:color w:val="auto"/>
                <w:w w:val="94"/>
              </w:rPr>
              <w:t>Reclassified from AOCE</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4"/>
                <w:szCs w:val="14"/>
                <w:b w:val="1"/>
                <w:bCs w:val="1"/>
                <w:color w:val="auto"/>
                <w:w w:val="90"/>
              </w:rPr>
              <w:t>Recognized in Earnings</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4"/>
                <w:szCs w:val="14"/>
                <w:b w:val="1"/>
                <w:bCs w:val="1"/>
                <w:color w:val="auto"/>
                <w:w w:val="92"/>
              </w:rPr>
              <w:t>of Tax) on Derivatives</w:t>
            </w: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12"/>
              <w:spacing w:after="0"/>
              <w:rPr>
                <w:sz w:val="20"/>
                <w:szCs w:val="20"/>
                <w:color w:val="auto"/>
              </w:rPr>
            </w:pPr>
            <w:r>
              <w:rPr>
                <w:rFonts w:ascii="Arial" w:cs="Arial" w:eastAsia="Arial" w:hAnsi="Arial"/>
                <w:sz w:val="14"/>
                <w:szCs w:val="14"/>
                <w:b w:val="1"/>
                <w:bCs w:val="1"/>
                <w:color w:val="auto"/>
                <w:w w:val="93"/>
              </w:rPr>
              <w:t>into Earnings</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Six months ended June 30,</w:t>
            </w: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Six months ended June 30,</w:t>
            </w: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60" w:type="dxa"/>
            <w:vAlign w:val="bottom"/>
            <w:tcBorders>
              <w:bottom w:val="single" w:sz="8" w:color="CCEEFF"/>
            </w:tcBorders>
          </w:tcPr>
          <w:p>
            <w:pPr>
              <w:ind w:left="32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b w:val="1"/>
                <w:bCs w:val="1"/>
                <w:color w:val="auto"/>
                <w:w w:val="99"/>
              </w:rPr>
              <w:t>Derivative Financial Instruments in Fair Value Hedge</w:t>
            </w: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Relationships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Interest rate swaps</w:t>
            </w:r>
          </w:p>
        </w:tc>
        <w:tc>
          <w:tcPr>
            <w:tcW w:w="206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 $</w:t>
            </w:r>
          </w:p>
        </w:tc>
        <w:tc>
          <w:tcPr>
            <w:tcW w:w="660" w:type="dxa"/>
            <w:vAlign w:val="bottom"/>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 $</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 $</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2023 Senior Notes (3.125% coupon)</w:t>
            </w:r>
          </w:p>
        </w:tc>
        <w:tc>
          <w:tcPr>
            <w:tcW w:w="206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000" w:type="dxa"/>
            <w:vAlign w:val="bottom"/>
          </w:tcPr>
          <w:p>
            <w:pPr>
              <w:ind w:left="20"/>
              <w:spacing w:after="0" w:line="162" w:lineRule="exact"/>
              <w:rPr>
                <w:sz w:val="20"/>
                <w:szCs w:val="20"/>
                <w:color w:val="auto"/>
              </w:rPr>
            </w:pPr>
            <w:r>
              <w:rPr>
                <w:rFonts w:ascii="Arial" w:cs="Arial" w:eastAsia="Arial" w:hAnsi="Arial"/>
                <w:sz w:val="16"/>
                <w:szCs w:val="16"/>
                <w:b w:val="1"/>
                <w:bCs w:val="1"/>
                <w:color w:val="auto"/>
                <w:w w:val="94"/>
              </w:rPr>
              <w:t>Derivative Financial Instruments in Cash Flow Hedging</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 xml:space="preserve">Relationships </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forward contracts</w:t>
            </w:r>
          </w:p>
        </w:tc>
        <w:tc>
          <w:tcPr>
            <w:tcW w:w="206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Net sales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16.9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9.7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Interest rate swaps</w:t>
            </w:r>
          </w:p>
        </w:tc>
        <w:tc>
          <w:tcPr>
            <w:tcW w:w="206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(4)</w:t>
            </w:r>
          </w:p>
        </w:tc>
        <w:tc>
          <w:tcPr>
            <w:tcW w:w="120" w:type="dxa"/>
            <w:vAlign w:val="bottom"/>
          </w:tcPr>
          <w:p>
            <w:pPr>
              <w:spacing w:after="0"/>
              <w:rPr>
                <w:sz w:val="19"/>
                <w:szCs w:val="19"/>
                <w:color w:val="auto"/>
              </w:rPr>
            </w:pPr>
          </w:p>
        </w:tc>
        <w:tc>
          <w:tcPr>
            <w:tcW w:w="9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(1.7)</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(2.1)</w:t>
            </w: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62"/>
        </w:trPr>
        <w:tc>
          <w:tcPr>
            <w:tcW w:w="40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Derivative Financial Instruments in Net Investment</w:t>
            </w: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Hedging Relationships: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w w:val="92"/>
              </w:rPr>
              <w:t>Foreign currency borrowings and forward contracts</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ind w:right="174"/>
              <w:spacing w:after="0"/>
              <w:rPr>
                <w:sz w:val="20"/>
                <w:szCs w:val="20"/>
                <w:color w:val="auto"/>
              </w:rPr>
            </w:pPr>
            <w:r>
              <w:rPr>
                <w:rFonts w:ascii="Arial" w:cs="Arial" w:eastAsia="Arial" w:hAnsi="Arial"/>
                <w:sz w:val="18"/>
                <w:szCs w:val="18"/>
                <w:color w:val="auto"/>
              </w:rPr>
              <w:t>199.0</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0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Derivative Financial Instruments Not Designated as</w:t>
            </w: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option and forward contracts</w:t>
            </w:r>
          </w:p>
        </w:tc>
        <w:tc>
          <w:tcPr>
            <w:tcW w:w="2060" w:type="dxa"/>
            <w:vAlign w:val="bottom"/>
            <w:tcBorders>
              <w:bottom w:val="single" w:sz="8" w:color="CCEEFF"/>
            </w:tcBorders>
          </w:tcPr>
          <w:p>
            <w:pPr>
              <w:ind w:left="40"/>
              <w:spacing w:after="0" w:line="230" w:lineRule="exact"/>
              <w:rPr>
                <w:sz w:val="20"/>
                <w:szCs w:val="20"/>
                <w:color w:val="auto"/>
              </w:rPr>
            </w:pPr>
            <w:r>
              <w:rPr>
                <w:rFonts w:ascii="Arial" w:cs="Arial" w:eastAsia="Arial" w:hAnsi="Arial"/>
                <w:sz w:val="18"/>
                <w:szCs w:val="18"/>
                <w:color w:val="auto"/>
              </w:rPr>
              <w:t xml:space="preserve">Other expense, net </w:t>
            </w:r>
            <w:r>
              <w:rPr>
                <w:rFonts w:ascii="Arial" w:cs="Arial" w:eastAsia="Arial" w:hAnsi="Arial"/>
                <w:sz w:val="23"/>
                <w:szCs w:val="23"/>
                <w:color w:val="auto"/>
                <w:vertAlign w:val="superscript"/>
              </w:rPr>
              <w:t>(3)</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20.7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20.7 $</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214.2 $</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7.6 $</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4" w:lineRule="exact"/>
        <w:rPr>
          <w:sz w:val="20"/>
          <w:szCs w:val="20"/>
          <w:color w:val="auto"/>
        </w:rPr>
      </w:pPr>
    </w:p>
    <w:p>
      <w:pPr>
        <w:ind w:left="660" w:right="20" w:hanging="328"/>
        <w:spacing w:after="0" w:line="232"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 the first quarter of 2020, the Company terminated interest rate swaps designated as a fair value hedge resulting in net proceeds of approximately $45 million. The amount included in the above tables represents the fair value adjustment recognized at the date the interest rate swaps were settled.</w:t>
      </w:r>
    </w:p>
    <w:p>
      <w:pPr>
        <w:spacing w:after="0" w:line="68" w:lineRule="exact"/>
        <w:rPr>
          <w:rFonts w:ascii="Arial" w:cs="Arial" w:eastAsia="Arial" w:hAnsi="Arial"/>
          <w:sz w:val="23"/>
          <w:szCs w:val="23"/>
          <w:color w:val="auto"/>
          <w:vertAlign w:val="superscript"/>
        </w:rPr>
      </w:pPr>
    </w:p>
    <w:p>
      <w:pPr>
        <w:ind w:left="660" w:right="120" w:hanging="328"/>
        <w:spacing w:after="0" w:line="227"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At June 30, 2021, the Company expects that approximately $5.0 million of pre-tax net gains on cash flow hedges will be reclassified from AOCE into earnings during the next twelve months.</w:t>
      </w:r>
    </w:p>
    <w:p>
      <w:pPr>
        <w:spacing w:after="0" w:line="46"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the location of the gain/(loss) recognized in earnings on derivatives.</w:t>
      </w:r>
    </w:p>
    <w:p>
      <w:pPr>
        <w:spacing w:after="0" w:line="68" w:lineRule="exact"/>
        <w:rPr>
          <w:rFonts w:ascii="Arial" w:cs="Arial" w:eastAsia="Arial" w:hAnsi="Arial"/>
          <w:sz w:val="23"/>
          <w:szCs w:val="23"/>
          <w:color w:val="auto"/>
          <w:vertAlign w:val="superscript"/>
        </w:rPr>
      </w:pPr>
    </w:p>
    <w:p>
      <w:pPr>
        <w:ind w:left="640" w:hanging="308"/>
        <w:spacing w:after="0" w:line="219" w:lineRule="auto"/>
        <w:tabs>
          <w:tab w:leader="none" w:pos="64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the location of the gain/(loss) reclassified from AOCE into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spacing w:after="0" w:line="79" w:lineRule="exact"/>
        <w:rPr>
          <w:sz w:val="20"/>
          <w:szCs w:val="20"/>
          <w:color w:val="auto"/>
        </w:rPr>
      </w:pPr>
    </w:p>
    <w:p>
      <w:pPr>
        <w:ind w:left="980" w:right="320" w:hanging="324"/>
        <w:spacing w:after="0" w:line="277" w:lineRule="auto"/>
        <w:tabs>
          <w:tab w:leader="none" w:pos="97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(unadjusted) in active markets that are accessible at the measurement date for identical assets or liabilities.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hierarchy gives the highest priority to Level 1 inputs.</w:t>
      </w:r>
    </w:p>
    <w:p>
      <w:pPr>
        <w:spacing w:after="0" w:line="62" w:lineRule="exact"/>
        <w:rPr>
          <w:rFonts w:ascii="Arial" w:cs="Arial" w:eastAsia="Arial" w:hAnsi="Arial"/>
          <w:sz w:val="18"/>
          <w:szCs w:val="18"/>
          <w:i w:val="1"/>
          <w:iCs w:val="1"/>
          <w:color w:val="auto"/>
        </w:rPr>
      </w:pPr>
    </w:p>
    <w:p>
      <w:pPr>
        <w:ind w:left="980" w:hanging="324"/>
        <w:spacing w:after="0"/>
        <w:tabs>
          <w:tab w:leader="none" w:pos="9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market-based inputs other than quoted prices in active markets for identical assets or liabilities.</w:t>
      </w:r>
    </w:p>
    <w:p>
      <w:pPr>
        <w:spacing w:after="0" w:line="117" w:lineRule="exact"/>
        <w:rPr>
          <w:rFonts w:ascii="Arial" w:cs="Arial" w:eastAsia="Arial" w:hAnsi="Arial"/>
          <w:sz w:val="18"/>
          <w:szCs w:val="18"/>
          <w:i w:val="1"/>
          <w:iCs w:val="1"/>
          <w:color w:val="auto"/>
        </w:rPr>
      </w:pPr>
    </w:p>
    <w:p>
      <w:pPr>
        <w:ind w:left="980" w:right="140" w:hanging="324"/>
        <w:spacing w:after="0" w:line="277" w:lineRule="auto"/>
        <w:tabs>
          <w:tab w:leader="none" w:pos="97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are used when little or no market data is available. The fair value hierarchy gives the lowest priority to Level 3</w:t>
      </w:r>
      <w:r>
        <w:rPr>
          <w:rFonts w:ascii="Arial" w:cs="Arial" w:eastAsia="Arial" w:hAnsi="Arial"/>
          <w:sz w:val="18"/>
          <w:szCs w:val="18"/>
          <w:i w:val="1"/>
          <w:iCs w:val="1"/>
          <w:color w:val="auto"/>
        </w:rPr>
        <w:t xml:space="preserve"> </w:t>
      </w:r>
      <w:r>
        <w:rPr>
          <w:rFonts w:ascii="Arial" w:cs="Arial" w:eastAsia="Arial" w:hAnsi="Arial"/>
          <w:sz w:val="18"/>
          <w:szCs w:val="18"/>
          <w:color w:val="auto"/>
        </w:rPr>
        <w:t>inputs.</w:t>
      </w:r>
    </w:p>
    <w:p>
      <w:pPr>
        <w:spacing w:after="0" w:line="170"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carried at fair value are classified in the tables below in one of the three categories described above: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June 30, 2021</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6"/>
          </w:tcPr>
          <w:p>
            <w:pPr>
              <w:jc w:val="center"/>
              <w:ind w:right="10"/>
              <w:spacing w:after="0"/>
              <w:rPr>
                <w:sz w:val="20"/>
                <w:szCs w:val="20"/>
                <w:color w:val="auto"/>
              </w:rPr>
            </w:pPr>
            <w:r>
              <w:rPr>
                <w:rFonts w:ascii="Arial" w:cs="Arial" w:eastAsia="Arial" w:hAnsi="Arial"/>
                <w:sz w:val="14"/>
                <w:szCs w:val="14"/>
                <w:b w:val="1"/>
                <w:bCs w:val="1"/>
                <w:color w:val="auto"/>
                <w:w w:val="93"/>
              </w:rPr>
              <w:t>December 31, 2020</w:t>
            </w:r>
          </w:p>
        </w:tc>
        <w:tc>
          <w:tcPr>
            <w:tcW w:w="740" w:type="dxa"/>
            <w:vAlign w:val="bottom"/>
            <w:tcBorders>
              <w:bottom w:val="single" w:sz="8" w:color="auto"/>
            </w:tcBorders>
          </w:tcPr>
          <w:p>
            <w:pPr>
              <w:spacing w:after="0"/>
              <w:rPr>
                <w:sz w:val="16"/>
                <w:szCs w:val="16"/>
                <w:color w:val="auto"/>
              </w:rPr>
            </w:pPr>
          </w:p>
        </w:tc>
      </w:tr>
      <w:tr>
        <w:trPr>
          <w:trHeight w:val="188"/>
        </w:trPr>
        <w:tc>
          <w:tcPr>
            <w:tcW w:w="5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6"/>
                <w:szCs w:val="16"/>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Level 2</w:t>
            </w:r>
          </w:p>
        </w:tc>
        <w:tc>
          <w:tcPr>
            <w:tcW w:w="160" w:type="dxa"/>
            <w:vAlign w:val="bottom"/>
          </w:tcPr>
          <w:p>
            <w:pPr>
              <w:spacing w:after="0"/>
              <w:rPr>
                <w:sz w:val="16"/>
                <w:szCs w:val="16"/>
                <w:color w:val="auto"/>
              </w:rPr>
            </w:pPr>
          </w:p>
        </w:tc>
        <w:tc>
          <w:tcPr>
            <w:tcW w:w="740" w:type="dxa"/>
            <w:vAlign w:val="bottom"/>
          </w:tcPr>
          <w:p>
            <w:pPr>
              <w:jc w:val="right"/>
              <w:ind w:right="151"/>
              <w:spacing w:after="0"/>
              <w:rPr>
                <w:sz w:val="20"/>
                <w:szCs w:val="20"/>
                <w:color w:val="auto"/>
              </w:rPr>
            </w:pPr>
            <w:r>
              <w:rPr>
                <w:rFonts w:ascii="Arial" w:cs="Arial" w:eastAsia="Arial" w:hAnsi="Arial"/>
                <w:sz w:val="14"/>
                <w:szCs w:val="14"/>
                <w:b w:val="1"/>
                <w:bCs w:val="1"/>
                <w:color w:val="auto"/>
              </w:rPr>
              <w:t>Level 3</w:t>
            </w:r>
          </w:p>
        </w:tc>
      </w:tr>
      <w:tr>
        <w:trPr>
          <w:trHeight w:val="211"/>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Financial Assets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cash equivalents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320" w:type="dxa"/>
            <w:vAlign w:val="bottom"/>
          </w:tcPr>
          <w:p>
            <w:pPr>
              <w:ind w:left="220"/>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Exchange traded funds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48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320" w:type="dxa"/>
            <w:vAlign w:val="bottom"/>
          </w:tcPr>
          <w:p>
            <w:pPr>
              <w:ind w:left="220"/>
              <w:spacing w:after="0"/>
              <w:rPr>
                <w:sz w:val="20"/>
                <w:szCs w:val="20"/>
                <w:color w:val="auto"/>
              </w:rPr>
            </w:pPr>
            <w:r>
              <w:rPr>
                <w:rFonts w:ascii="Arial" w:cs="Arial" w:eastAsia="Arial" w:hAnsi="Arial"/>
                <w:sz w:val="18"/>
                <w:szCs w:val="18"/>
                <w:color w:val="auto"/>
              </w:rPr>
              <w:t>Available-for-sale fixed income investments: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9"/>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480"/>
              <w:spacing w:after="0"/>
              <w:rPr>
                <w:sz w:val="20"/>
                <w:szCs w:val="20"/>
                <w:color w:val="auto"/>
              </w:rPr>
            </w:pPr>
            <w:r>
              <w:rPr>
                <w:rFonts w:ascii="Arial" w:cs="Arial" w:eastAsia="Arial" w:hAnsi="Arial"/>
                <w:sz w:val="18"/>
                <w:szCs w:val="18"/>
                <w:color w:val="auto"/>
              </w:rPr>
              <w:t>U.S. Treasuries</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Agency mortgage-backed securities</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480"/>
              <w:spacing w:after="0"/>
              <w:rPr>
                <w:sz w:val="20"/>
                <w:szCs w:val="20"/>
                <w:color w:val="auto"/>
              </w:rPr>
            </w:pPr>
            <w:r>
              <w:rPr>
                <w:rFonts w:ascii="Arial" w:cs="Arial" w:eastAsia="Arial" w:hAnsi="Arial"/>
                <w:sz w:val="18"/>
                <w:szCs w:val="18"/>
                <w:color w:val="auto"/>
              </w:rPr>
              <w:t>Asset backed securities</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available-for-sale fixed income investments</w:t>
            </w: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derivative assets</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assets at recurring fair value measurement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7"/>
        </w:trPr>
        <w:tc>
          <w:tcPr>
            <w:tcW w:w="5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Foreign exchange derivative liabilities</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liabilities at recurring fair value measurement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223.6</w:t>
            </w: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For financial assets and liabilities that utilize Level 2 inputs, the Company utilizes both direct and indirect observable price quotes, including the LIBOR yield curve, foreign exchange forward prices and bank price quotes. Below is a summary of valuation techniques for Level 1 and Level 2 financial assets and liabilities:</w:t>
      </w:r>
    </w:p>
    <w:p>
      <w:pPr>
        <w:spacing w:after="0" w:line="76"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valued at observable net asset value prices.</w:t>
      </w:r>
    </w:p>
    <w:p>
      <w:pPr>
        <w:spacing w:after="0" w:line="117" w:lineRule="exact"/>
        <w:rPr>
          <w:rFonts w:ascii="Arial" w:cs="Arial" w:eastAsia="Arial" w:hAnsi="Arial"/>
          <w:sz w:val="18"/>
          <w:szCs w:val="18"/>
          <w:color w:val="auto"/>
        </w:rPr>
      </w:pPr>
    </w:p>
    <w:p>
      <w:pPr>
        <w:ind w:left="980" w:right="120" w:hanging="324"/>
        <w:spacing w:after="0" w:line="263"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Equity securities, exchange traded funds </w:t>
      </w:r>
      <w:r>
        <w:rPr>
          <w:rFonts w:ascii="Arial" w:cs="Arial" w:eastAsia="Arial" w:hAnsi="Arial"/>
          <w:sz w:val="18"/>
          <w:szCs w:val="18"/>
          <w:color w:val="auto"/>
        </w:rPr>
        <w:t>— valued at the active quoted market prices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at the reporting date. Unrealized gains and losses attributable to changes in fair value are included in other expense, net, in the condensed consolidated statements of operations.</w:t>
      </w:r>
    </w:p>
    <w:p>
      <w:pPr>
        <w:spacing w:after="0" w:line="75" w:lineRule="exact"/>
        <w:rPr>
          <w:rFonts w:ascii="Arial" w:cs="Arial" w:eastAsia="Arial" w:hAnsi="Arial"/>
          <w:sz w:val="18"/>
          <w:szCs w:val="18"/>
          <w:color w:val="auto"/>
        </w:rPr>
      </w:pPr>
    </w:p>
    <w:p>
      <w:pPr>
        <w:ind w:left="980" w:hanging="324"/>
        <w:spacing w:after="0" w:line="342" w:lineRule="auto"/>
        <w:tabs>
          <w:tab w:leader="none" w:pos="97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Equity securities, marketable securities </w:t>
      </w:r>
      <w:r>
        <w:rPr>
          <w:rFonts w:ascii="Arial" w:cs="Arial" w:eastAsia="Arial" w:hAnsi="Arial"/>
          <w:sz w:val="16"/>
          <w:szCs w:val="16"/>
          <w:color w:val="auto"/>
        </w:rPr>
        <w:t>— valued using quoted stock prices from public exchanges at the reporting date. Unrealized gains and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attributable to changes in fair value are included in other expense, net, in the condensed consolidated statements of operations.</w:t>
      </w:r>
    </w:p>
    <w:p>
      <w:pPr>
        <w:spacing w:after="0" w:line="15" w:lineRule="exact"/>
        <w:rPr>
          <w:rFonts w:ascii="Arial" w:cs="Arial" w:eastAsia="Arial" w:hAnsi="Arial"/>
          <w:sz w:val="16"/>
          <w:szCs w:val="16"/>
          <w:color w:val="auto"/>
        </w:rPr>
      </w:pPr>
    </w:p>
    <w:p>
      <w:pPr>
        <w:ind w:left="980" w:right="380" w:hanging="324"/>
        <w:spacing w:after="0" w:line="263" w:lineRule="auto"/>
        <w:tabs>
          <w:tab w:leader="none" w:pos="97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Available-for-sale fixed income investments </w:t>
      </w:r>
      <w:r>
        <w:rPr>
          <w:rFonts w:ascii="Arial" w:cs="Arial" w:eastAsia="Arial" w:hAnsi="Arial"/>
          <w:sz w:val="18"/>
          <w:szCs w:val="18"/>
          <w:color w:val="auto"/>
        </w:rPr>
        <w:t>— valued at the quoted market prices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at the reporting date. Unrealized gains and losses attributable to changes in fair value, net of income taxes, are included in accumulated other comprehensive loss as a component of shareholders’ equity.</w:t>
      </w:r>
    </w:p>
    <w:p>
      <w:pPr>
        <w:spacing w:after="0" w:line="75" w:lineRule="exact"/>
        <w:rPr>
          <w:rFonts w:ascii="Arial" w:cs="Arial" w:eastAsia="Arial" w:hAnsi="Arial"/>
          <w:sz w:val="18"/>
          <w:szCs w:val="18"/>
          <w:i w:val="1"/>
          <w:iCs w:val="1"/>
          <w:color w:val="auto"/>
        </w:rPr>
      </w:pPr>
    </w:p>
    <w:p>
      <w:pPr>
        <w:ind w:left="98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derivative assets and liabilities </w:t>
      </w:r>
      <w:r>
        <w:rPr>
          <w:rFonts w:ascii="Arial" w:cs="Arial" w:eastAsia="Arial" w:hAnsi="Arial"/>
          <w:sz w:val="18"/>
          <w:szCs w:val="18"/>
          <w:color w:val="auto"/>
        </w:rPr>
        <w:t>— valued using quoted forward foreign exchange prices and spot rates at the reporting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Counterparties to these contracts are highly rated financial institutions.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fair value measurement of contingent consideration is determined using Level 3 inputs. The Company’s contingent consideration represents a component of the total purchase consideration for Pfizer’s respiratory delivery platform and certain other acquisitions. The measurement is calculated using unobservable inputs based on the Company’s own assumptions primarily related to the probability and timing of future development and commercial milestones and future profit sharing payments which are discounted using a market rate of return. At June 30, 2021 and December 31, 2020, discount rates ranging from 2.1% to 10.5% were utilized in the valuations. Significant changes in unobservable inputs could result in material changes to the contingent consideration liability.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rollforward of the activity in the Company’s fair value of contingent consideration from December 31, 2020 to June 30, 2021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Current Portion </w:t>
            </w:r>
            <w:r>
              <w:rPr>
                <w:rFonts w:ascii="Arial" w:cs="Arial" w:eastAsia="Arial" w:hAnsi="Arial"/>
                <w:sz w:val="18"/>
                <w:szCs w:val="18"/>
                <w:b w:val="1"/>
                <w:bCs w:val="1"/>
                <w:color w:val="auto"/>
                <w:vertAlign w:val="superscript"/>
              </w:rPr>
              <w:t>(1)</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Long-Term</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Total Contingent</w:t>
            </w:r>
          </w:p>
        </w:tc>
        <w:tc>
          <w:tcPr>
            <w:tcW w:w="0" w:type="dxa"/>
            <w:vAlign w:val="bottom"/>
          </w:tcPr>
          <w:p>
            <w:pPr>
              <w:spacing w:after="0"/>
              <w:rPr>
                <w:sz w:val="1"/>
                <w:szCs w:val="1"/>
                <w:color w:val="auto"/>
              </w:rPr>
            </w:pPr>
          </w:p>
        </w:tc>
      </w:tr>
      <w:tr>
        <w:trPr>
          <w:trHeight w:val="189"/>
        </w:trPr>
        <w:tc>
          <w:tcPr>
            <w:tcW w:w="7380" w:type="dxa"/>
            <w:vAlign w:val="bottom"/>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80"/>
              <w:spacing w:after="0" w:line="189" w:lineRule="exact"/>
              <w:rPr>
                <w:sz w:val="20"/>
                <w:szCs w:val="20"/>
                <w:color w:val="auto"/>
              </w:rPr>
            </w:pPr>
            <w:r>
              <w:rPr>
                <w:rFonts w:ascii="Arial" w:cs="Arial" w:eastAsia="Arial" w:hAnsi="Arial"/>
                <w:sz w:val="14"/>
                <w:szCs w:val="14"/>
                <w:b w:val="1"/>
                <w:bCs w:val="1"/>
                <w:color w:val="auto"/>
                <w:w w:val="91"/>
              </w:rPr>
              <w:t xml:space="preserve">Portion </w:t>
            </w:r>
            <w:r>
              <w:rPr>
                <w:rFonts w:ascii="Arial" w:cs="Arial" w:eastAsia="Arial" w:hAnsi="Arial"/>
                <w:sz w:val="18"/>
                <w:szCs w:val="18"/>
                <w:b w:val="1"/>
                <w:bCs w:val="1"/>
                <w:color w:val="auto"/>
                <w:w w:val="91"/>
                <w:vertAlign w:val="superscript"/>
              </w:rPr>
              <w:t>(2)</w:t>
            </w:r>
          </w:p>
        </w:tc>
        <w:tc>
          <w:tcPr>
            <w:tcW w:w="140" w:type="dxa"/>
            <w:vAlign w:val="bottom"/>
          </w:tcPr>
          <w:p>
            <w:pPr>
              <w:spacing w:after="0"/>
              <w:rPr>
                <w:sz w:val="16"/>
                <w:szCs w:val="16"/>
                <w:color w:val="auto"/>
              </w:rPr>
            </w:pPr>
          </w:p>
        </w:tc>
        <w:tc>
          <w:tcPr>
            <w:tcW w:w="106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30"/>
        </w:trPr>
        <w:tc>
          <w:tcPr>
            <w:tcW w:w="7380" w:type="dxa"/>
            <w:vAlign w:val="bottom"/>
          </w:tcPr>
          <w:p>
            <w:pPr>
              <w:ind w:left="220"/>
              <w:spacing w:after="0"/>
              <w:rPr>
                <w:sz w:val="20"/>
                <w:szCs w:val="20"/>
                <w:color w:val="auto"/>
              </w:rPr>
            </w:pPr>
            <w:r>
              <w:rPr>
                <w:rFonts w:ascii="Arial" w:cs="Arial" w:eastAsia="Arial" w:hAnsi="Arial"/>
                <w:sz w:val="18"/>
                <w:szCs w:val="18"/>
                <w:color w:val="auto"/>
              </w:rPr>
              <w:t>Payments</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Reclassifications</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80" w:type="dxa"/>
            <w:vAlign w:val="bottom"/>
          </w:tcPr>
          <w:p>
            <w:pPr>
              <w:ind w:left="220"/>
              <w:spacing w:after="0"/>
              <w:rPr>
                <w:sz w:val="20"/>
                <w:szCs w:val="20"/>
                <w:color w:val="auto"/>
              </w:rPr>
            </w:pPr>
            <w:r>
              <w:rPr>
                <w:rFonts w:ascii="Arial" w:cs="Arial" w:eastAsia="Arial" w:hAnsi="Arial"/>
                <w:sz w:val="18"/>
                <w:szCs w:val="18"/>
                <w:color w:val="auto"/>
              </w:rPr>
              <w:t>Accretion</w:t>
            </w: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Fair value loss </w:t>
            </w:r>
            <w:r>
              <w:rPr>
                <w:rFonts w:ascii="Arial" w:cs="Arial" w:eastAsia="Arial" w:hAnsi="Arial"/>
                <w:sz w:val="23"/>
                <w:szCs w:val="23"/>
                <w:color w:val="auto"/>
                <w:vertAlign w:val="superscript"/>
              </w:rPr>
              <w:t>(3)</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9"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Included in other current liabilities in the condensed consolidated balance sheets.</w:t>
      </w:r>
    </w:p>
    <w:p>
      <w:pPr>
        <w:spacing w:after="0" w:line="55"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Included in other long-term obligations in the condensed consolidated balance sheets.</w:t>
      </w:r>
    </w:p>
    <w:p>
      <w:pPr>
        <w:spacing w:after="0" w:line="56"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Included in litigation settlements and other contingencies, net in the condensed consolidated statements of operations.</w:t>
      </w:r>
    </w:p>
    <w:p>
      <w:pPr>
        <w:spacing w:after="0" w:line="20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Although the Company has not elected the fair value option for other financial assets and liabilities, any future transacted financial asset or liability will be evaluated for the fair value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Short-Term Borrowings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had $1.30 billion and $1.10 billion of short-term borrowings as of June 30, 2021 and December 31, 2020, respectively.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 notes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Receivables Facility</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 Securitization Facility</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87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Short-term borrowings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1,100.9</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additional information, see Note 10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Viatris’ 2020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long-term debt is as follows:</w:t>
      </w:r>
    </w:p>
    <w:p>
      <w:pPr>
        <w:spacing w:after="0" w:line="11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520" w:type="dxa"/>
            <w:vAlign w:val="bottom"/>
          </w:tcPr>
          <w:p>
            <w:pPr>
              <w:ind w:left="3280"/>
              <w:spacing w:after="0"/>
              <w:rPr>
                <w:sz w:val="20"/>
                <w:szCs w:val="20"/>
                <w:color w:val="auto"/>
              </w:rPr>
            </w:pPr>
            <w:r>
              <w:rPr>
                <w:rFonts w:ascii="Arial" w:cs="Arial" w:eastAsia="Arial" w:hAnsi="Arial"/>
                <w:sz w:val="14"/>
                <w:szCs w:val="14"/>
                <w:b w:val="1"/>
                <w:bCs w:val="1"/>
                <w:color w:val="auto"/>
              </w:rPr>
              <w:t>Interest Rate as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160" w:type="dxa"/>
            <w:vAlign w:val="bottom"/>
          </w:tcPr>
          <w:p>
            <w:pPr>
              <w:jc w:val="center"/>
              <w:ind w:left="24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100" w:type="dxa"/>
            <w:vAlign w:val="bottom"/>
            <w:vMerge w:val="continue"/>
          </w:tcPr>
          <w:p>
            <w:pPr>
              <w:spacing w:after="0"/>
              <w:rPr>
                <w:sz w:val="16"/>
                <w:szCs w:val="16"/>
                <w:color w:val="auto"/>
              </w:rPr>
            </w:pPr>
          </w:p>
        </w:tc>
        <w:tc>
          <w:tcPr>
            <w:tcW w:w="4520" w:type="dxa"/>
            <w:vAlign w:val="bottom"/>
          </w:tcPr>
          <w:p>
            <w:pPr>
              <w:ind w:left="3280"/>
              <w:spacing w:after="0"/>
              <w:rPr>
                <w:sz w:val="20"/>
                <w:szCs w:val="20"/>
                <w:color w:val="auto"/>
              </w:rPr>
            </w:pPr>
            <w:r>
              <w:rPr>
                <w:rFonts w:ascii="Arial" w:cs="Arial" w:eastAsia="Arial" w:hAnsi="Arial"/>
                <w:sz w:val="14"/>
                <w:szCs w:val="14"/>
                <w:b w:val="1"/>
                <w:bCs w:val="1"/>
                <w:color w:val="auto"/>
              </w:rPr>
              <w:t>of June 30, 2021</w:t>
            </w:r>
          </w:p>
        </w:tc>
        <w:tc>
          <w:tcPr>
            <w:tcW w:w="1080" w:type="dxa"/>
            <w:vAlign w:val="bottom"/>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8"/>
          <w:szCs w:val="18"/>
          <w:b w:val="1"/>
          <w:bCs w:val="1"/>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09803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5"/>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2021</w:t>
            </w:r>
          </w:p>
        </w:tc>
        <w:tc>
          <w:tcPr>
            <w:tcW w:w="4800" w:type="dxa"/>
            <w:vAlign w:val="bottom"/>
          </w:tcPr>
          <w:p>
            <w:pPr>
              <w:ind w:left="20"/>
              <w:spacing w:after="0" w:line="255"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(a) **</w:t>
            </w:r>
          </w:p>
        </w:tc>
        <w:tc>
          <w:tcPr>
            <w:tcW w:w="3260" w:type="dxa"/>
            <w:vAlign w:val="bottom"/>
          </w:tcPr>
          <w:p>
            <w:pPr>
              <w:jc w:val="right"/>
              <w:ind w:right="50"/>
              <w:spacing w:after="0"/>
              <w:rPr>
                <w:sz w:val="20"/>
                <w:szCs w:val="20"/>
                <w:color w:val="auto"/>
              </w:rPr>
            </w:pPr>
            <w:r>
              <w:rPr>
                <w:rFonts w:ascii="Arial" w:cs="Arial" w:eastAsia="Arial" w:hAnsi="Arial"/>
                <w:sz w:val="18"/>
                <w:szCs w:val="18"/>
                <w:color w:val="auto"/>
              </w:rPr>
              <w:t>3.150 %</w:t>
            </w:r>
          </w:p>
        </w:tc>
        <w:tc>
          <w:tcPr>
            <w:tcW w:w="34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2,249.7</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2022</w:t>
            </w:r>
          </w:p>
        </w:tc>
        <w:tc>
          <w:tcPr>
            <w:tcW w:w="4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0.816 %</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2022</w:t>
            </w:r>
          </w:p>
        </w:tc>
        <w:tc>
          <w:tcPr>
            <w:tcW w:w="48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260" w:type="dxa"/>
            <w:vAlign w:val="bottom"/>
          </w:tcPr>
          <w:p>
            <w:pPr>
              <w:jc w:val="right"/>
              <w:ind w:right="50"/>
              <w:spacing w:after="0"/>
              <w:rPr>
                <w:sz w:val="20"/>
                <w:szCs w:val="20"/>
                <w:color w:val="auto"/>
              </w:rPr>
            </w:pPr>
            <w:r>
              <w:rPr>
                <w:rFonts w:ascii="Arial" w:cs="Arial" w:eastAsia="Arial" w:hAnsi="Arial"/>
                <w:sz w:val="18"/>
                <w:szCs w:val="18"/>
                <w:color w:val="auto"/>
              </w:rPr>
              <w:t>1.125 %</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USD Term Loan</w:t>
            </w:r>
          </w:p>
        </w:tc>
        <w:tc>
          <w:tcPr>
            <w:tcW w:w="3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3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financing fees</w:t>
            </w:r>
          </w:p>
        </w:tc>
        <w:tc>
          <w:tcPr>
            <w:tcW w:w="3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420" w:type="dxa"/>
            <w:vAlign w:val="bottom"/>
            <w:gridSpan w:val="2"/>
          </w:tcPr>
          <w:p>
            <w:pPr>
              <w:ind w:left="480"/>
              <w:spacing w:after="0"/>
              <w:rPr>
                <w:sz w:val="20"/>
                <w:szCs w:val="20"/>
                <w:color w:val="auto"/>
              </w:rPr>
            </w:pPr>
            <w:r>
              <w:rPr>
                <w:rFonts w:ascii="Arial" w:cs="Arial" w:eastAsia="Arial" w:hAnsi="Arial"/>
                <w:sz w:val="18"/>
                <w:szCs w:val="18"/>
                <w:color w:val="auto"/>
              </w:rPr>
              <w:t>Current portion of long-term debt</w:t>
            </w:r>
          </w:p>
        </w:tc>
        <w:tc>
          <w:tcPr>
            <w:tcW w:w="3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2,256.3</w:t>
            </w: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ind w:left="20"/>
        <w:spacing w:after="0"/>
        <w:rPr>
          <w:sz w:val="20"/>
          <w:szCs w:val="20"/>
          <w:color w:val="auto"/>
        </w:rPr>
      </w:pPr>
      <w:r>
        <w:rPr>
          <w:rFonts w:ascii="Arial" w:cs="Arial" w:eastAsia="Arial" w:hAnsi="Arial"/>
          <w:sz w:val="18"/>
          <w:szCs w:val="18"/>
          <w:b w:val="1"/>
          <w:bCs w:val="1"/>
          <w:color w:val="auto"/>
        </w:rPr>
        <w:t>Non-current portion of long-term debt:</w:t>
      </w:r>
    </w:p>
    <w:tbl>
      <w:tblPr>
        <w:tblLayout w:type="fixed"/>
        <w:tblInd w:w="0" w:type="dxa"/>
        <w:tblCellMar>
          <w:top w:w="0" w:type="dxa"/>
          <w:left w:w="0" w:type="dxa"/>
          <w:bottom w:w="0" w:type="dxa"/>
          <w:right w:w="0" w:type="dxa"/>
        </w:tblCellMar>
      </w:tblPr>
      <w:tr>
        <w:trPr>
          <w:trHeight w:val="252"/>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2022</w:t>
            </w:r>
          </w:p>
        </w:tc>
        <w:tc>
          <w:tcPr>
            <w:tcW w:w="4480" w:type="dxa"/>
            <w:vAlign w:val="bottom"/>
            <w:shd w:val="clear" w:color="auto" w:fill="CCEEFF"/>
          </w:tcPr>
          <w:p>
            <w:pPr>
              <w:ind w:left="20"/>
              <w:spacing w:after="0" w:line="252"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0.816 %</w:t>
            </w:r>
          </w:p>
        </w:tc>
        <w:tc>
          <w:tcPr>
            <w:tcW w:w="3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w:t>
            </w: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2022</w:t>
            </w:r>
          </w:p>
        </w:tc>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1.125 %</w:t>
            </w:r>
          </w:p>
        </w:tc>
        <w:tc>
          <w:tcPr>
            <w:tcW w:w="3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1,008.8</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2023</w:t>
            </w:r>
          </w:p>
        </w:tc>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(b) *</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3.125 %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w:t>
            </w: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2023</w:t>
            </w:r>
          </w:p>
        </w:tc>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4.200 %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499.3</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2024</w:t>
            </w:r>
          </w:p>
        </w:tc>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2.250 %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1,219.9</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2024</w:t>
            </w:r>
          </w:p>
        </w:tc>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1.023 %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944.6</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2025</w:t>
            </w:r>
          </w:p>
        </w:tc>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2.125 %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w:t>
            </w: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2025</w:t>
            </w:r>
          </w:p>
        </w:tc>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1.650 %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767.1</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2026</w:t>
            </w:r>
          </w:p>
        </w:tc>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3.950 %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2,239.7</w:t>
            </w: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2027</w:t>
            </w:r>
          </w:p>
        </w:tc>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1.362 %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1,097.4</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2027</w:t>
            </w:r>
          </w:p>
        </w:tc>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2028</w:t>
            </w:r>
          </w:p>
        </w:tc>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3.125 %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909.7</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2028</w:t>
            </w:r>
          </w:p>
        </w:tc>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4.550 %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2030</w:t>
            </w:r>
          </w:p>
        </w:tc>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2.700 %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1,528.0</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2032</w:t>
            </w:r>
          </w:p>
        </w:tc>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1.908 %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1,672.6</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2040</w:t>
            </w:r>
          </w:p>
        </w:tc>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3.850 %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1,663.3</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2043</w:t>
            </w:r>
          </w:p>
        </w:tc>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2046</w:t>
            </w:r>
          </w:p>
        </w:tc>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5.250 %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999.9</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2048</w:t>
            </w:r>
          </w:p>
        </w:tc>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2050</w:t>
            </w:r>
          </w:p>
        </w:tc>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4.000 %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2,209.3</w:t>
            </w:r>
          </w:p>
        </w:tc>
      </w:tr>
      <w:tr>
        <w:trPr>
          <w:trHeight w:val="230"/>
        </w:trPr>
        <w:tc>
          <w:tcPr>
            <w:tcW w:w="5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USD Term Loan</w:t>
            </w:r>
          </w:p>
        </w:tc>
        <w:tc>
          <w:tcPr>
            <w:tcW w:w="3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2020</w:t>
            </w:r>
          </w:p>
        </w:tc>
        <w:tc>
          <w:tcPr>
            <w:tcW w:w="4480" w:type="dxa"/>
            <w:vAlign w:val="bottom"/>
          </w:tcPr>
          <w:p>
            <w:pPr>
              <w:ind w:left="20"/>
              <w:spacing w:after="0"/>
              <w:rPr>
                <w:sz w:val="20"/>
                <w:szCs w:val="20"/>
                <w:color w:val="auto"/>
              </w:rPr>
            </w:pPr>
            <w:r>
              <w:rPr>
                <w:rFonts w:ascii="Arial" w:cs="Arial" w:eastAsia="Arial" w:hAnsi="Arial"/>
                <w:sz w:val="18"/>
                <w:szCs w:val="18"/>
                <w:color w:val="auto"/>
              </w:rPr>
              <w:t>Revolving Facility</w:t>
            </w:r>
          </w:p>
        </w:tc>
        <w:tc>
          <w:tcPr>
            <w:tcW w:w="3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51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Deferred financing fees</w:t>
            </w:r>
          </w:p>
        </w:tc>
        <w:tc>
          <w:tcPr>
            <w:tcW w:w="3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r>
      <w:tr>
        <w:trPr>
          <w:trHeight w:val="248"/>
        </w:trPr>
        <w:tc>
          <w:tcPr>
            <w:tcW w:w="51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Long-term debt</w:t>
            </w:r>
          </w:p>
        </w:tc>
        <w:tc>
          <w:tcPr>
            <w:tcW w:w="3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22,429.2</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The 2021 Senior Notes were repaid at maturity in the second quarter of 2021.</w:t>
      </w:r>
    </w:p>
    <w:p>
      <w:pPr>
        <w:spacing w:after="0" w:line="55" w:lineRule="exact"/>
        <w:rPr>
          <w:rFonts w:ascii="Arial" w:cs="Arial" w:eastAsia="Arial" w:hAnsi="Arial"/>
          <w:sz w:val="23"/>
          <w:szCs w:val="23"/>
          <w:color w:val="auto"/>
          <w:vertAlign w:val="superscript"/>
        </w:rPr>
      </w:pPr>
    </w:p>
    <w:p>
      <w:pPr>
        <w:ind w:left="660" w:hanging="328"/>
        <w:spacing w:after="0" w:line="219" w:lineRule="auto"/>
        <w:tabs>
          <w:tab w:leader="none" w:pos="65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In the first quarter of 2020, the Company terminated interest rate swaps designated as a fair value hedge resulting in net proceeds of approximately $45 million. The fair value adjustment is being amortized to interest expense over the remaining term of the notes.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3" w:lineRule="exact"/>
        <w:rPr>
          <w:sz w:val="20"/>
          <w:szCs w:val="20"/>
          <w:color w:val="auto"/>
        </w:rPr>
      </w:pPr>
    </w:p>
    <w:p>
      <w:pPr>
        <w:ind w:left="500" w:hanging="168"/>
        <w:spacing w:after="0"/>
        <w:tabs>
          <w:tab w:leader="none" w:pos="50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Mylan Inc.</w:t>
      </w:r>
    </w:p>
    <w:p>
      <w:pPr>
        <w:spacing w:after="0" w:line="6" w:lineRule="exact"/>
        <w:rPr>
          <w:sz w:val="20"/>
          <w:szCs w:val="20"/>
          <w:color w:val="auto"/>
        </w:rPr>
      </w:pPr>
    </w:p>
    <w:p>
      <w:pPr>
        <w:ind w:left="560" w:hanging="228"/>
        <w:spacing w:after="0"/>
        <w:tabs>
          <w:tab w:leader="none" w:pos="56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Instrument was originally issued by Mylan N.V. now held by Utah Acquisition Sub Inc.</w:t>
      </w:r>
    </w:p>
    <w:p>
      <w:pPr>
        <w:spacing w:after="0" w:line="55" w:lineRule="exact"/>
        <w:rPr>
          <w:rFonts w:ascii="Arial" w:cs="Arial" w:eastAsia="Arial" w:hAnsi="Arial"/>
          <w:sz w:val="23"/>
          <w:szCs w:val="23"/>
          <w:color w:val="auto"/>
          <w:vertAlign w:val="superscript"/>
        </w:rPr>
      </w:pPr>
    </w:p>
    <w:p>
      <w:pPr>
        <w:ind w:left="660" w:hanging="328"/>
        <w:spacing w:after="0" w:line="194" w:lineRule="auto"/>
        <w:tabs>
          <w:tab w:leader="none" w:pos="66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Viatris Inc.</w:t>
      </w:r>
    </w:p>
    <w:p>
      <w:pPr>
        <w:spacing w:after="0" w:line="56" w:lineRule="exact"/>
        <w:rPr>
          <w:rFonts w:ascii="Arial" w:cs="Arial" w:eastAsia="Arial" w:hAnsi="Arial"/>
          <w:sz w:val="23"/>
          <w:szCs w:val="23"/>
          <w:color w:val="auto"/>
          <w:vertAlign w:val="superscript"/>
        </w:rPr>
      </w:pPr>
    </w:p>
    <w:p>
      <w:pPr>
        <w:ind w:left="720" w:hanging="388"/>
        <w:spacing w:after="0" w:line="194" w:lineRule="auto"/>
        <w:tabs>
          <w:tab w:leader="none" w:pos="7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Upjohn Finance B.V.</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additional information, see Note 10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Viatris’ 2020 Form 10-K.</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USD Term Loan, 2020 Revolving Facility, YEN Term Loan and 2021 Revolving Facility</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June 2020, Viatris entered into (i) a $600 million term loan agreement (the “USD Term Loan”) and (ii) a $4.0 billion revolving facility (the “2020 Revolving Facility”) with various syndicates of banks. The USD Term Loan was fully repaid in July 2021.</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USD Term Loan and the 2020 Revolving Facility contained a maximum consolidated leverage ratio financial covenant requiring maintenance of a maximum ratio of consolidated total indebtedness as of the end of any quarter to consolidated EBITDA for the trailing four quarters as defined in the related credit agreements. The maximum leverage ratio is 4.25 to 1.00 for the first four full fiscal quarters following the close of the Combination and 3.75 to 1.00 thereafter, except in circumstances as defined in the related credit agreements.</w:t>
      </w:r>
    </w:p>
    <w:p>
      <w:pPr>
        <w:spacing w:after="0" w:line="187"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The USD Term Loan and the 2020 Revolving Facility contained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7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July 2021, Viatris entered into (i) a ¥40 billion term loan credit agreement (the “YEN Term Loan”) and (ii) a $4.0 billion revolving credit agreement (the “2021 Revolving Facility”) with various syndicates of banks. The 2021 Revolving Facility amended and restated the 2020 Revolving Facility and proceeds from the 2021 Revolving Facility were used to repay outstanding obligations under the 2020 Revolving Facility. Proceeds from the YEN Term Loan and 2021 Revolving Facility were also used to repay the USD Term Loan in full and the USD Term Loan was terminated. The 2021 Revolving Facility and the YEN Term Loan have substantially identical terms to the 2020 Revolving Facility and USD Term Loan, respectively with the following exceptions: 1) the maturity of both the YEN Term Loan and the 2021 Revolving Facility is July 2026, 2) the pricing was adjusted to reflect current market prices (which were generally more favorable) and 3) the maximum leverage ratio as of the end of any quarter was set at 4.25 to 1.00 for each quarter ending after June 30, 2021 through and including June 30, 2022, 4.0 to 1.00 for each quarter ending after June 30, 2022 through and including December 31, 2022 and 3.75 to 1.00 thereafter, except in circumstances as defined in the related credit agreement. The Company expects to designate the YEN Term Loan as a hedge of its investment in certain Yen-functional currency subsidiaries in order to manage foreign currency translation risk.</w:t>
      </w:r>
    </w:p>
    <w:p>
      <w:pPr>
        <w:spacing w:after="0" w:line="16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YEN Term Loan and the 2021 Revolving Facility contain customary affirmative covenants for facilities of this type, including among others, those set forth above with respect to the USD Term Loan and the 2020 Revolving Facility.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At June 30, 2021 and December 31, 2020, the aggregate fair value of the Company’s outstanding notes was approximately $22.53 billion and $25.90 billion, respectively. The fair values of the outstanding notes were valued at quoted market prices from broker or dealer quotations and were classified as Level 2 in the fair value hierarchy.</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Mandatory minimum repayments remaining on the notional amount of outstanding long-term debt at June 30, 2021 were as follows for each of the periods ending December 31: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29"/>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00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2,489</w:t>
            </w:r>
          </w:p>
        </w:tc>
      </w:tr>
      <w:tr>
        <w:trPr>
          <w:trHeight w:val="229"/>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r>
      <w:tr>
        <w:trPr>
          <w:trHeight w:val="229"/>
        </w:trPr>
        <w:tc>
          <w:tcPr>
            <w:tcW w:w="1000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2,075</w:t>
            </w:r>
          </w:p>
        </w:tc>
      </w:tr>
      <w:tr>
        <w:trPr>
          <w:trHeight w:val="230"/>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r>
      <w:tr>
        <w:trPr>
          <w:trHeight w:val="229"/>
        </w:trPr>
        <w:tc>
          <w:tcPr>
            <w:tcW w:w="10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14,330</w:t>
            </w:r>
          </w:p>
        </w:tc>
      </w:tr>
      <w:tr>
        <w:trPr>
          <w:trHeight w:val="248"/>
        </w:trPr>
        <w:tc>
          <w:tcPr>
            <w:tcW w:w="10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22,387</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Accumulated other comprehensive loss, as reflected on the condensed consolidated balance sheets, is comprised of the following:</w:t>
      </w:r>
    </w:p>
    <w:p>
      <w:pPr>
        <w:sectPr>
          <w:pgSz w:w="11900" w:h="16838" w:orient="portrait"/>
          <w:cols w:equalWidth="0" w:num="1">
            <w:col w:w="11220"/>
          </w:cols>
          <w:pgMar w:left="320" w:top="118" w:right="359" w:bottom="1440" w:gutter="0" w:footer="0" w:header="0"/>
        </w:sectPr>
      </w:pPr>
    </w:p>
    <w:p>
      <w:pPr>
        <w:spacing w:after="0" w:line="180"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 millions)</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unrealized gain on marketable securities,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257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3" w:lineRule="exact"/>
        <w:rPr>
          <w:sz w:val="20"/>
          <w:szCs w:val="20"/>
          <w:color w:val="auto"/>
        </w:rPr>
      </w:pPr>
    </w:p>
    <w:p>
      <w:pPr>
        <w:ind w:left="220" w:right="140" w:firstLine="648"/>
        <w:spacing w:after="0" w:line="234" w:lineRule="auto"/>
        <w:rPr>
          <w:sz w:val="20"/>
          <w:szCs w:val="20"/>
          <w:color w:val="auto"/>
        </w:rPr>
      </w:pPr>
      <w:r>
        <w:rPr>
          <w:rFonts w:ascii="Arial" w:cs="Arial" w:eastAsia="Arial" w:hAnsi="Arial"/>
          <w:sz w:val="18"/>
          <w:szCs w:val="18"/>
          <w:color w:val="auto"/>
        </w:rPr>
        <w:t>Net unrecognized gain (loss) and prior service cost related to defined benefit plans, net of tax</w:t>
      </w:r>
    </w:p>
    <w:p>
      <w:pPr>
        <w:spacing w:after="0" w:line="1" w:lineRule="exact"/>
        <w:rPr>
          <w:sz w:val="20"/>
          <w:szCs w:val="20"/>
          <w:color w:val="auto"/>
        </w:rPr>
      </w:pPr>
    </w:p>
    <w:p>
      <w:pPr>
        <w:ind w:left="880" w:right="80"/>
        <w:spacing w:after="0" w:line="274" w:lineRule="auto"/>
        <w:rPr>
          <w:sz w:val="20"/>
          <w:szCs w:val="20"/>
          <w:color w:val="auto"/>
        </w:rPr>
      </w:pPr>
      <w:r>
        <w:rPr>
          <w:rFonts w:ascii="Arial" w:cs="Arial" w:eastAsia="Arial" w:hAnsi="Arial"/>
          <w:sz w:val="16"/>
          <w:szCs w:val="16"/>
          <w:color w:val="auto"/>
        </w:rPr>
        <w:t>Net unrecognized loss on derivatives in cash flow hedging relationships, net of tax Net unrecognized loss on derivatives in net investment hedging relationships, net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15175" cy="257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tax</w:t>
      </w:r>
    </w:p>
    <w:p>
      <w:pPr>
        <w:spacing w:after="0" w:line="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June 30,</w:t>
      </w:r>
    </w:p>
    <w:p>
      <w:pPr>
        <w:ind w:left="240"/>
        <w:spacing w:after="0"/>
        <w:rPr>
          <w:sz w:val="20"/>
          <w:szCs w:val="20"/>
          <w:color w:val="auto"/>
        </w:rPr>
      </w:pPr>
      <w:r>
        <w:rPr>
          <w:rFonts w:ascii="Arial" w:cs="Arial" w:eastAsia="Arial" w:hAnsi="Arial"/>
          <w:sz w:val="14"/>
          <w:szCs w:val="14"/>
          <w:b w:val="1"/>
          <w:bCs w:val="1"/>
          <w:color w:val="auto"/>
        </w:rPr>
        <w:t>2021</w:t>
      </w:r>
    </w:p>
    <w:p>
      <w:pPr>
        <w:spacing w:after="0" w:line="250" w:lineRule="exact"/>
        <w:rPr>
          <w:sz w:val="20"/>
          <w:szCs w:val="20"/>
          <w:color w:val="auto"/>
        </w:rPr>
      </w:pPr>
    </w:p>
    <w:p>
      <w:pPr>
        <w:ind w:left="1140" w:hanging="1139"/>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0.4</w:t>
      </w:r>
    </w:p>
    <w:p>
      <w:pPr>
        <w:spacing w:after="0" w:line="10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43.6</w:t>
      </w:r>
    </w:p>
    <w:p>
      <w:pPr>
        <w:spacing w:after="0" w:line="117"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6"/>
          <w:szCs w:val="16"/>
          <w:color w:val="auto"/>
        </w:rPr>
        <w:t>(6.2)</w:t>
      </w:r>
    </w:p>
    <w:p>
      <w:pPr>
        <w:spacing w:after="0" w:line="127" w:lineRule="exact"/>
        <w:rPr>
          <w:sz w:val="20"/>
          <w:szCs w:val="20"/>
          <w:color w:val="auto"/>
        </w:rPr>
      </w:pPr>
    </w:p>
    <w:p>
      <w:pPr>
        <w:jc w:val="right"/>
        <w:ind w:right="81"/>
        <w:spacing w:after="0"/>
        <w:rPr>
          <w:sz w:val="20"/>
          <w:szCs w:val="20"/>
          <w:color w:val="auto"/>
        </w:rPr>
      </w:pPr>
      <w:r>
        <w:rPr>
          <w:rFonts w:ascii="Arial" w:cs="Arial" w:eastAsia="Arial" w:hAnsi="Arial"/>
          <w:sz w:val="18"/>
          <w:szCs w:val="18"/>
          <w:color w:val="auto"/>
        </w:rPr>
        <w:t>(220.8)</w:t>
      </w:r>
    </w:p>
    <w:p>
      <w:pPr>
        <w:spacing w:after="0" w:line="117" w:lineRule="exact"/>
        <w:rPr>
          <w:sz w:val="20"/>
          <w:szCs w:val="20"/>
          <w:color w:val="auto"/>
        </w:rPr>
      </w:pPr>
    </w:p>
    <w:p>
      <w:pPr>
        <w:jc w:val="right"/>
        <w:ind w:right="81"/>
        <w:spacing w:after="0"/>
        <w:rPr>
          <w:sz w:val="20"/>
          <w:szCs w:val="20"/>
          <w:color w:val="auto"/>
        </w:rPr>
      </w:pPr>
      <w:r>
        <w:rPr>
          <w:rFonts w:ascii="Arial" w:cs="Arial" w:eastAsia="Arial" w:hAnsi="Arial"/>
          <w:sz w:val="18"/>
          <w:szCs w:val="18"/>
          <w:color w:val="auto"/>
        </w:rPr>
        <w:t>(1,022.0)</w:t>
      </w:r>
    </w:p>
    <w:p>
      <w:pPr>
        <w:spacing w:after="0" w:line="36" w:lineRule="exact"/>
        <w:rPr>
          <w:sz w:val="20"/>
          <w:szCs w:val="20"/>
          <w:color w:val="auto"/>
        </w:rPr>
      </w:pPr>
    </w:p>
    <w:p>
      <w:pPr>
        <w:ind w:left="740" w:hanging="739"/>
        <w:spacing w:after="0"/>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55245</wp:posOffset>
            </wp:positionV>
            <wp:extent cx="13284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219"/>
        <w:spacing w:after="0"/>
        <w:rPr>
          <w:sz w:val="20"/>
          <w:szCs w:val="20"/>
          <w:color w:val="auto"/>
        </w:rPr>
      </w:pPr>
      <w:r>
        <w:rPr>
          <w:rFonts w:ascii="Arial" w:cs="Arial" w:eastAsia="Arial" w:hAnsi="Arial"/>
          <w:sz w:val="14"/>
          <w:szCs w:val="14"/>
          <w:b w:val="1"/>
          <w:bCs w:val="1"/>
          <w:color w:val="auto"/>
        </w:rPr>
        <w:t>December 31,</w:t>
      </w:r>
    </w:p>
    <w:p>
      <w:pPr>
        <w:ind w:left="179"/>
        <w:spacing w:after="0"/>
        <w:rPr>
          <w:sz w:val="20"/>
          <w:szCs w:val="20"/>
          <w:color w:val="auto"/>
        </w:rPr>
      </w:pPr>
      <w:r>
        <w:rPr>
          <w:rFonts w:ascii="Arial" w:cs="Arial" w:eastAsia="Arial" w:hAnsi="Arial"/>
          <w:sz w:val="14"/>
          <w:szCs w:val="14"/>
          <w:b w:val="1"/>
          <w:bCs w:val="1"/>
          <w:color w:val="auto"/>
        </w:rPr>
        <w:t>2020</w:t>
      </w:r>
    </w:p>
    <w:p>
      <w:pPr>
        <w:spacing w:after="0" w:line="250" w:lineRule="exact"/>
        <w:rPr>
          <w:sz w:val="20"/>
          <w:szCs w:val="20"/>
          <w:color w:val="auto"/>
        </w:rPr>
      </w:pPr>
    </w:p>
    <w:p>
      <w:pPr>
        <w:ind w:left="999" w:hanging="999"/>
        <w:spacing w:after="0"/>
        <w:tabs>
          <w:tab w:leader="none" w:pos="999" w:val="left"/>
        </w:tabs>
        <w:numPr>
          <w:ilvl w:val="0"/>
          <w:numId w:val="27"/>
        </w:numPr>
        <w:rPr>
          <w:rFonts w:ascii="Arial" w:cs="Arial" w:eastAsia="Arial" w:hAnsi="Arial"/>
          <w:sz w:val="18"/>
          <w:szCs w:val="18"/>
          <w:color w:val="auto"/>
        </w:rPr>
      </w:pPr>
      <w:r>
        <w:rPr>
          <w:rFonts w:ascii="Arial" w:cs="Arial" w:eastAsia="Arial" w:hAnsi="Arial"/>
          <w:sz w:val="18"/>
          <w:szCs w:val="18"/>
          <w:color w:val="auto"/>
        </w:rPr>
        <w:t>1.2</w:t>
      </w:r>
    </w:p>
    <w:p>
      <w:pPr>
        <w:spacing w:after="0" w:line="103" w:lineRule="exact"/>
        <w:rPr>
          <w:rFonts w:ascii="Arial" w:cs="Arial" w:eastAsia="Arial" w:hAnsi="Arial"/>
          <w:sz w:val="18"/>
          <w:szCs w:val="18"/>
          <w:color w:val="auto"/>
        </w:rPr>
      </w:pPr>
    </w:p>
    <w:p>
      <w:pPr>
        <w:ind w:left="839"/>
        <w:spacing w:after="0"/>
        <w:rPr>
          <w:rFonts w:ascii="Arial" w:cs="Arial" w:eastAsia="Arial" w:hAnsi="Arial"/>
          <w:sz w:val="18"/>
          <w:szCs w:val="18"/>
          <w:color w:val="auto"/>
        </w:rPr>
      </w:pPr>
      <w:r>
        <w:rPr>
          <w:rFonts w:ascii="Arial" w:cs="Arial" w:eastAsia="Arial" w:hAnsi="Arial"/>
          <w:sz w:val="16"/>
          <w:szCs w:val="16"/>
          <w:color w:val="auto"/>
        </w:rPr>
        <w:t>(26.1)</w:t>
      </w:r>
    </w:p>
    <w:p>
      <w:pPr>
        <w:spacing w:after="0" w:line="140" w:lineRule="exact"/>
        <w:rPr>
          <w:rFonts w:ascii="Arial" w:cs="Arial" w:eastAsia="Arial" w:hAnsi="Arial"/>
          <w:sz w:val="18"/>
          <w:szCs w:val="18"/>
          <w:color w:val="auto"/>
        </w:rPr>
      </w:pPr>
    </w:p>
    <w:p>
      <w:pPr>
        <w:ind w:left="839"/>
        <w:spacing w:after="0"/>
        <w:rPr>
          <w:rFonts w:ascii="Arial" w:cs="Arial" w:eastAsia="Arial" w:hAnsi="Arial"/>
          <w:sz w:val="18"/>
          <w:szCs w:val="18"/>
          <w:color w:val="auto"/>
        </w:rPr>
      </w:pPr>
      <w:r>
        <w:rPr>
          <w:rFonts w:ascii="Arial" w:cs="Arial" w:eastAsia="Arial" w:hAnsi="Arial"/>
          <w:sz w:val="16"/>
          <w:szCs w:val="16"/>
          <w:color w:val="auto"/>
        </w:rPr>
        <w:t>(18.0)</w:t>
      </w:r>
    </w:p>
    <w:p>
      <w:pPr>
        <w:spacing w:after="0" w:line="127" w:lineRule="exact"/>
        <w:rPr>
          <w:sz w:val="20"/>
          <w:szCs w:val="20"/>
          <w:color w:val="auto"/>
        </w:rPr>
      </w:pPr>
    </w:p>
    <w:p>
      <w:pPr>
        <w:ind w:left="739"/>
        <w:spacing w:after="0"/>
        <w:rPr>
          <w:sz w:val="20"/>
          <w:szCs w:val="20"/>
          <w:color w:val="auto"/>
        </w:rPr>
      </w:pPr>
      <w:r>
        <w:rPr>
          <w:rFonts w:ascii="Arial" w:cs="Arial" w:eastAsia="Arial" w:hAnsi="Arial"/>
          <w:sz w:val="16"/>
          <w:szCs w:val="16"/>
          <w:color w:val="auto"/>
        </w:rPr>
        <w:t>(353.6)</w:t>
      </w:r>
    </w:p>
    <w:p>
      <w:pPr>
        <w:spacing w:after="0" w:line="140" w:lineRule="exact"/>
        <w:rPr>
          <w:sz w:val="20"/>
          <w:szCs w:val="20"/>
          <w:color w:val="auto"/>
        </w:rPr>
      </w:pPr>
    </w:p>
    <w:p>
      <w:pPr>
        <w:ind w:left="739"/>
        <w:spacing w:after="0"/>
        <w:rPr>
          <w:sz w:val="20"/>
          <w:szCs w:val="20"/>
          <w:color w:val="auto"/>
        </w:rPr>
      </w:pPr>
      <w:r>
        <w:rPr>
          <w:rFonts w:ascii="Arial" w:cs="Arial" w:eastAsia="Arial" w:hAnsi="Arial"/>
          <w:sz w:val="16"/>
          <w:szCs w:val="16"/>
          <w:color w:val="auto"/>
        </w:rPr>
        <w:t>(461.5)</w:t>
      </w:r>
    </w:p>
    <w:p>
      <w:pPr>
        <w:spacing w:after="0" w:line="59" w:lineRule="exact"/>
        <w:rPr>
          <w:sz w:val="20"/>
          <w:szCs w:val="20"/>
          <w:color w:val="auto"/>
        </w:rPr>
      </w:pPr>
    </w:p>
    <w:p>
      <w:pPr>
        <w:ind w:left="739" w:hanging="739"/>
        <w:spacing w:after="0"/>
        <w:tabs>
          <w:tab w:leader="none" w:pos="739" w:val="left"/>
        </w:tabs>
        <w:numPr>
          <w:ilvl w:val="0"/>
          <w:numId w:val="28"/>
        </w:numPr>
        <w:rPr>
          <w:rFonts w:ascii="Arial" w:cs="Arial" w:eastAsia="Arial" w:hAnsi="Arial"/>
          <w:sz w:val="16"/>
          <w:szCs w:val="16"/>
          <w:color w:val="auto"/>
        </w:rPr>
      </w:pPr>
      <w:r>
        <w:rPr>
          <w:rFonts w:ascii="Arial" w:cs="Arial" w:eastAsia="Arial" w:hAnsi="Arial"/>
          <w:sz w:val="16"/>
          <w:szCs w:val="16"/>
          <w:color w:val="auto"/>
        </w:rPr>
        <w:t>(858.0)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55245</wp:posOffset>
            </wp:positionV>
            <wp:extent cx="12433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000" w:space="720"/>
            <w:col w:w="1481" w:space="720"/>
            <w:col w:w="1299"/>
          </w:cols>
          <w:pgMar w:left="320" w:top="118" w:right="359" w:bottom="1440" w:gutter="0" w:footer="0" w:header="0"/>
          <w:type w:val="continuous"/>
        </w:sectPr>
      </w:pP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Components of accumulated other comprehensive loss, before tax, consist of the following, for the three and six months ended June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Three Months Ended June 30, 2021</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2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Gains and</w:t>
            </w:r>
          </w:p>
        </w:tc>
        <w:tc>
          <w:tcPr>
            <w:tcW w:w="12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Gains and</w:t>
            </w:r>
          </w:p>
        </w:tc>
        <w:tc>
          <w:tcPr>
            <w:tcW w:w="140" w:type="dxa"/>
            <w:vAlign w:val="bottom"/>
          </w:tcPr>
          <w:p>
            <w:pPr>
              <w:spacing w:after="0"/>
              <w:rPr>
                <w:sz w:val="24"/>
                <w:szCs w:val="24"/>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Foreign Currency</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2740" w:type="dxa"/>
            <w:vAlign w:val="bottom"/>
            <w:gridSpan w:val="7"/>
            <w:vMerge w:val="restart"/>
          </w:tcPr>
          <w:p>
            <w:pPr>
              <w:jc w:val="center"/>
              <w:ind w:right="100"/>
              <w:spacing w:after="0"/>
              <w:rPr>
                <w:sz w:val="20"/>
                <w:szCs w:val="20"/>
                <w:color w:val="auto"/>
              </w:rPr>
            </w:pPr>
            <w:r>
              <w:rPr>
                <w:rFonts w:ascii="Arial" w:cs="Arial" w:eastAsia="Arial" w:hAnsi="Arial"/>
                <w:sz w:val="14"/>
                <w:szCs w:val="14"/>
                <w:b w:val="1"/>
                <w:bCs w:val="1"/>
                <w:color w:val="auto"/>
                <w:w w:val="90"/>
              </w:rPr>
              <w:t>Gains and Losses on Derivatives in Cash</w:t>
            </w:r>
          </w:p>
        </w:tc>
        <w:tc>
          <w:tcPr>
            <w:tcW w:w="10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Losses on Net</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Losses on</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2740" w:type="dxa"/>
            <w:vAlign w:val="bottom"/>
            <w:gridSpan w:val="7"/>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Pension</w:t>
            </w:r>
          </w:p>
        </w:tc>
        <w:tc>
          <w:tcPr>
            <w:tcW w:w="18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1"/>
                <w:szCs w:val="11"/>
                <w:color w:val="auto"/>
              </w:rPr>
            </w:pPr>
          </w:p>
        </w:tc>
        <w:tc>
          <w:tcPr>
            <w:tcW w:w="9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27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Flow Hedging Relationships</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Hedges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4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3"/>
              </w:rPr>
              <w:t>Foreign</w:t>
            </w:r>
          </w:p>
        </w:tc>
        <w:tc>
          <w:tcPr>
            <w:tcW w:w="1020" w:type="dxa"/>
            <w:vAlign w:val="bottom"/>
            <w:tcBorders>
              <w:top w:val="single" w:sz="8" w:color="auto"/>
            </w:tcBorders>
            <w:gridSpan w:val="3"/>
            <w:vMerge w:val="restart"/>
          </w:tcPr>
          <w:p>
            <w:pPr>
              <w:jc w:val="center"/>
              <w:ind w:right="210"/>
              <w:spacing w:after="0"/>
              <w:rPr>
                <w:sz w:val="20"/>
                <w:szCs w:val="20"/>
                <w:color w:val="auto"/>
              </w:rPr>
            </w:pPr>
            <w:r>
              <w:rPr>
                <w:rFonts w:ascii="Arial" w:cs="Arial" w:eastAsia="Arial" w:hAnsi="Arial"/>
                <w:sz w:val="14"/>
                <w:szCs w:val="14"/>
                <w:b w:val="1"/>
                <w:bCs w:val="1"/>
                <w:color w:val="auto"/>
                <w:w w:val="94"/>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Currency</w:t>
            </w:r>
          </w:p>
        </w:tc>
        <w:tc>
          <w:tcPr>
            <w:tcW w:w="102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Forward</w:t>
            </w:r>
          </w:p>
        </w:tc>
        <w:tc>
          <w:tcPr>
            <w:tcW w:w="1020" w:type="dxa"/>
            <w:vAlign w:val="bottom"/>
            <w:gridSpan w:val="3"/>
          </w:tcPr>
          <w:p>
            <w:pPr>
              <w:jc w:val="center"/>
              <w:ind w:right="210"/>
              <w:spacing w:after="0" w:line="135" w:lineRule="exact"/>
              <w:rPr>
                <w:sz w:val="20"/>
                <w:szCs w:val="20"/>
                <w:color w:val="auto"/>
              </w:rPr>
            </w:pPr>
            <w:r>
              <w:rPr>
                <w:rFonts w:ascii="Arial" w:cs="Arial" w:eastAsia="Arial" w:hAnsi="Arial"/>
                <w:sz w:val="14"/>
                <w:szCs w:val="14"/>
                <w:b w:val="1"/>
                <w:bCs w:val="1"/>
                <w:color w:val="auto"/>
                <w:w w:val="92"/>
              </w:rPr>
              <w:t>Rate</w:t>
            </w: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40" w:type="dxa"/>
            <w:vAlign w:val="bottom"/>
            <w:vMerge w:val="continue"/>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Contracts</w:t>
            </w:r>
          </w:p>
        </w:tc>
        <w:tc>
          <w:tcPr>
            <w:tcW w:w="102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0"/>
              </w:rPr>
              <w:t>Swaps</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Balance at March 31, 2021, net of tax</w:t>
            </w: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(1,385.6)</w:t>
            </w:r>
          </w:p>
        </w:tc>
        <w:tc>
          <w:tcPr>
            <w:tcW w:w="0" w:type="dxa"/>
            <w:vAlign w:val="bottom"/>
          </w:tcPr>
          <w:p>
            <w:pPr>
              <w:spacing w:after="0"/>
              <w:rPr>
                <w:sz w:val="1"/>
                <w:szCs w:val="1"/>
                <w:color w:val="auto"/>
              </w:rPr>
            </w:pPr>
          </w:p>
        </w:tc>
      </w:tr>
      <w:tr>
        <w:trPr>
          <w:trHeight w:val="155"/>
        </w:trPr>
        <w:tc>
          <w:tcPr>
            <w:tcW w:w="2840" w:type="dxa"/>
            <w:vAlign w:val="bottom"/>
          </w:tcPr>
          <w:p>
            <w:pPr>
              <w:ind w:left="220"/>
              <w:spacing w:after="0" w:line="156" w:lineRule="exact"/>
              <w:rPr>
                <w:sz w:val="20"/>
                <w:szCs w:val="20"/>
                <w:color w:val="auto"/>
              </w:rPr>
            </w:pPr>
            <w:r>
              <w:rPr>
                <w:rFonts w:ascii="Arial" w:cs="Arial" w:eastAsia="Arial" w:hAnsi="Arial"/>
                <w:sz w:val="18"/>
                <w:szCs w:val="18"/>
                <w:color w:val="auto"/>
              </w:rPr>
              <w:t>Other comprehensive earnings</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220"/>
              <w:spacing w:after="0" w:line="176" w:lineRule="exact"/>
              <w:rPr>
                <w:sz w:val="20"/>
                <w:szCs w:val="20"/>
                <w:color w:val="auto"/>
              </w:rPr>
            </w:pPr>
            <w:r>
              <w:rPr>
                <w:rFonts w:ascii="Arial" w:cs="Arial" w:eastAsia="Arial" w:hAnsi="Arial"/>
                <w:sz w:val="18"/>
                <w:szCs w:val="18"/>
                <w:color w:val="auto"/>
              </w:rPr>
              <w:t>(loss) before reclassifications,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29"/>
        </w:trPr>
        <w:tc>
          <w:tcPr>
            <w:tcW w:w="2840" w:type="dxa"/>
            <w:vAlign w:val="bottom"/>
          </w:tcPr>
          <w:p>
            <w:pPr>
              <w:ind w:left="220"/>
              <w:spacing w:after="0"/>
              <w:rPr>
                <w:sz w:val="20"/>
                <w:szCs w:val="20"/>
                <w:color w:val="auto"/>
              </w:rPr>
            </w:pPr>
            <w:r>
              <w:rPr>
                <w:rFonts w:ascii="Arial" w:cs="Arial" w:eastAsia="Arial" w:hAnsi="Arial"/>
                <w:sz w:val="18"/>
                <w:szCs w:val="18"/>
                <w:color w:val="auto"/>
              </w:rPr>
              <w:t>before tax</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Amounts reclassified from</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accumulated other comprehensive</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(loss), before tax:</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480"/>
              <w:spacing w:after="0" w:line="176" w:lineRule="exact"/>
              <w:rPr>
                <w:sz w:val="20"/>
                <w:szCs w:val="20"/>
                <w:color w:val="auto"/>
              </w:rPr>
            </w:pPr>
            <w:r>
              <w:rPr>
                <w:rFonts w:ascii="Arial" w:cs="Arial" w:eastAsia="Arial" w:hAnsi="Arial"/>
                <w:sz w:val="18"/>
                <w:szCs w:val="18"/>
                <w:color w:val="auto"/>
              </w:rPr>
              <w:t>Gain on foreign exchange</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480"/>
              <w:spacing w:after="0" w:line="176" w:lineRule="exact"/>
              <w:rPr>
                <w:sz w:val="20"/>
                <w:szCs w:val="20"/>
                <w:color w:val="auto"/>
              </w:rPr>
            </w:pPr>
            <w:r>
              <w:rPr>
                <w:rFonts w:ascii="Arial" w:cs="Arial" w:eastAsia="Arial" w:hAnsi="Arial"/>
                <w:sz w:val="18"/>
                <w:szCs w:val="18"/>
                <w:color w:val="auto"/>
                <w:w w:val="97"/>
              </w:rPr>
              <w:t>forward contracts classified as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480"/>
              <w:spacing w:after="0" w:line="176" w:lineRule="exact"/>
              <w:rPr>
                <w:sz w:val="20"/>
                <w:szCs w:val="20"/>
                <w:color w:val="auto"/>
              </w:rPr>
            </w:pPr>
            <w:r>
              <w:rPr>
                <w:rFonts w:ascii="Arial" w:cs="Arial" w:eastAsia="Arial" w:hAnsi="Arial"/>
                <w:sz w:val="18"/>
                <w:szCs w:val="18"/>
                <w:color w:val="auto"/>
                <w:w w:val="99"/>
              </w:rPr>
              <w:t>cash flow hedges, included in</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2840" w:type="dxa"/>
            <w:vAlign w:val="bottom"/>
          </w:tcPr>
          <w:p>
            <w:pPr>
              <w:ind w:left="480"/>
              <w:spacing w:after="0"/>
              <w:rPr>
                <w:sz w:val="20"/>
                <w:szCs w:val="20"/>
                <w:color w:val="auto"/>
              </w:rPr>
            </w:pPr>
            <w:r>
              <w:rPr>
                <w:rFonts w:ascii="Arial" w:cs="Arial" w:eastAsia="Arial" w:hAnsi="Arial"/>
                <w:sz w:val="18"/>
                <w:szCs w:val="18"/>
                <w:color w:val="auto"/>
              </w:rPr>
              <w:t>net sales</w:t>
            </w: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Loss on interest rate swaps</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4"/>
              </w:rPr>
              <w:t>classified as cash flow hedges,</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included in interest expense</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480"/>
              <w:spacing w:after="0" w:line="176" w:lineRule="exact"/>
              <w:rPr>
                <w:sz w:val="20"/>
                <w:szCs w:val="20"/>
                <w:color w:val="auto"/>
              </w:rPr>
            </w:pPr>
            <w:r>
              <w:rPr>
                <w:rFonts w:ascii="Arial" w:cs="Arial" w:eastAsia="Arial" w:hAnsi="Arial"/>
                <w:sz w:val="18"/>
                <w:szCs w:val="18"/>
                <w:color w:val="auto"/>
              </w:rPr>
              <w:t>Amortization of prior service</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2840" w:type="dxa"/>
            <w:vAlign w:val="bottom"/>
          </w:tcPr>
          <w:p>
            <w:pPr>
              <w:ind w:left="480"/>
              <w:spacing w:after="0"/>
              <w:rPr>
                <w:sz w:val="20"/>
                <w:szCs w:val="20"/>
                <w:color w:val="auto"/>
              </w:rPr>
            </w:pPr>
            <w:r>
              <w:rPr>
                <w:rFonts w:ascii="Arial" w:cs="Arial" w:eastAsia="Arial" w:hAnsi="Arial"/>
                <w:sz w:val="18"/>
                <w:szCs w:val="18"/>
                <w:color w:val="auto"/>
              </w:rPr>
              <w:t>costs included in SG&amp;A</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Amortization of actuarial gain</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40" w:type="dxa"/>
            <w:vAlign w:val="bottom"/>
          </w:tcPr>
          <w:p>
            <w:pPr>
              <w:ind w:left="220"/>
              <w:spacing w:after="0" w:line="156" w:lineRule="exact"/>
              <w:rPr>
                <w:sz w:val="20"/>
                <w:szCs w:val="20"/>
                <w:color w:val="auto"/>
              </w:rPr>
            </w:pPr>
            <w:r>
              <w:rPr>
                <w:rFonts w:ascii="Arial" w:cs="Arial" w:eastAsia="Arial" w:hAnsi="Arial"/>
                <w:sz w:val="18"/>
                <w:szCs w:val="18"/>
                <w:color w:val="auto"/>
                <w:w w:val="94"/>
              </w:rPr>
              <w:t>Net other comprehensive earnings</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30"/>
        </w:trPr>
        <w:tc>
          <w:tcPr>
            <w:tcW w:w="2840" w:type="dxa"/>
            <w:vAlign w:val="bottom"/>
          </w:tcPr>
          <w:p>
            <w:pPr>
              <w:ind w:left="220"/>
              <w:spacing w:after="0"/>
              <w:rPr>
                <w:sz w:val="20"/>
                <w:szCs w:val="20"/>
                <w:color w:val="auto"/>
              </w:rPr>
            </w:pPr>
            <w:r>
              <w:rPr>
                <w:rFonts w:ascii="Arial" w:cs="Arial" w:eastAsia="Arial" w:hAnsi="Arial"/>
                <w:sz w:val="18"/>
                <w:szCs w:val="18"/>
                <w:color w:val="auto"/>
              </w:rPr>
              <w:t>(loss), before tax</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8"/>
                <w:szCs w:val="18"/>
                <w:color w:val="auto"/>
                <w:w w:val="97"/>
              </w:rPr>
              <w:t>Balance at June 30, 2021, net of tax</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Three Months Ended June 30, 2020</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2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Gains and</w:t>
            </w:r>
          </w:p>
        </w:tc>
        <w:tc>
          <w:tcPr>
            <w:tcW w:w="12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Gains and</w:t>
            </w:r>
          </w:p>
        </w:tc>
        <w:tc>
          <w:tcPr>
            <w:tcW w:w="140" w:type="dxa"/>
            <w:vAlign w:val="bottom"/>
          </w:tcPr>
          <w:p>
            <w:pPr>
              <w:spacing w:after="0"/>
              <w:rPr>
                <w:sz w:val="24"/>
                <w:szCs w:val="24"/>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Foreign Currency</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2740" w:type="dxa"/>
            <w:vAlign w:val="bottom"/>
            <w:gridSpan w:val="7"/>
            <w:vMerge w:val="restart"/>
          </w:tcPr>
          <w:p>
            <w:pPr>
              <w:jc w:val="center"/>
              <w:ind w:right="100"/>
              <w:spacing w:after="0"/>
              <w:rPr>
                <w:sz w:val="20"/>
                <w:szCs w:val="20"/>
                <w:color w:val="auto"/>
              </w:rPr>
            </w:pPr>
            <w:r>
              <w:rPr>
                <w:rFonts w:ascii="Arial" w:cs="Arial" w:eastAsia="Arial" w:hAnsi="Arial"/>
                <w:sz w:val="14"/>
                <w:szCs w:val="14"/>
                <w:b w:val="1"/>
                <w:bCs w:val="1"/>
                <w:color w:val="auto"/>
                <w:w w:val="90"/>
              </w:rPr>
              <w:t>Gains and Losses on Derivatives in Cash</w:t>
            </w:r>
          </w:p>
        </w:tc>
        <w:tc>
          <w:tcPr>
            <w:tcW w:w="10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Losses on Net</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Losses on</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2740" w:type="dxa"/>
            <w:vAlign w:val="bottom"/>
            <w:gridSpan w:val="7"/>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Pension</w:t>
            </w:r>
          </w:p>
        </w:tc>
        <w:tc>
          <w:tcPr>
            <w:tcW w:w="18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1"/>
                <w:szCs w:val="11"/>
                <w:color w:val="auto"/>
              </w:rPr>
            </w:pPr>
          </w:p>
        </w:tc>
        <w:tc>
          <w:tcPr>
            <w:tcW w:w="9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27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Flow Hedging Relationships</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Hedges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4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3"/>
              </w:rPr>
              <w:t>Foreign</w:t>
            </w:r>
          </w:p>
        </w:tc>
        <w:tc>
          <w:tcPr>
            <w:tcW w:w="1020" w:type="dxa"/>
            <w:vAlign w:val="bottom"/>
            <w:tcBorders>
              <w:top w:val="single" w:sz="8" w:color="auto"/>
            </w:tcBorders>
            <w:gridSpan w:val="3"/>
            <w:vMerge w:val="restart"/>
          </w:tcPr>
          <w:p>
            <w:pPr>
              <w:jc w:val="center"/>
              <w:ind w:right="210"/>
              <w:spacing w:after="0"/>
              <w:rPr>
                <w:sz w:val="20"/>
                <w:szCs w:val="20"/>
                <w:color w:val="auto"/>
              </w:rPr>
            </w:pPr>
            <w:r>
              <w:rPr>
                <w:rFonts w:ascii="Arial" w:cs="Arial" w:eastAsia="Arial" w:hAnsi="Arial"/>
                <w:sz w:val="14"/>
                <w:szCs w:val="14"/>
                <w:b w:val="1"/>
                <w:bCs w:val="1"/>
                <w:color w:val="auto"/>
                <w:w w:val="94"/>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Currency</w:t>
            </w:r>
          </w:p>
        </w:tc>
        <w:tc>
          <w:tcPr>
            <w:tcW w:w="102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Forward</w:t>
            </w:r>
          </w:p>
        </w:tc>
        <w:tc>
          <w:tcPr>
            <w:tcW w:w="1020" w:type="dxa"/>
            <w:vAlign w:val="bottom"/>
            <w:gridSpan w:val="3"/>
          </w:tcPr>
          <w:p>
            <w:pPr>
              <w:jc w:val="center"/>
              <w:ind w:right="210"/>
              <w:spacing w:after="0" w:line="135" w:lineRule="exact"/>
              <w:rPr>
                <w:sz w:val="20"/>
                <w:szCs w:val="20"/>
                <w:color w:val="auto"/>
              </w:rPr>
            </w:pPr>
            <w:r>
              <w:rPr>
                <w:rFonts w:ascii="Arial" w:cs="Arial" w:eastAsia="Arial" w:hAnsi="Arial"/>
                <w:sz w:val="14"/>
                <w:szCs w:val="14"/>
                <w:b w:val="1"/>
                <w:bCs w:val="1"/>
                <w:color w:val="auto"/>
                <w:w w:val="92"/>
              </w:rPr>
              <w:t>Rate</w:t>
            </w: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40" w:type="dxa"/>
            <w:vAlign w:val="bottom"/>
            <w:vMerge w:val="continue"/>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Contracts</w:t>
            </w:r>
          </w:p>
        </w:tc>
        <w:tc>
          <w:tcPr>
            <w:tcW w:w="102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0"/>
              </w:rPr>
              <w:t>Swaps</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Balance at March 31, 2020, net of tax</w:t>
            </w: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(2,453.5)</w:t>
            </w:r>
          </w:p>
        </w:tc>
        <w:tc>
          <w:tcPr>
            <w:tcW w:w="0" w:type="dxa"/>
            <w:vAlign w:val="bottom"/>
          </w:tcPr>
          <w:p>
            <w:pPr>
              <w:spacing w:after="0"/>
              <w:rPr>
                <w:sz w:val="1"/>
                <w:szCs w:val="1"/>
                <w:color w:val="auto"/>
              </w:rPr>
            </w:pPr>
          </w:p>
        </w:tc>
      </w:tr>
      <w:tr>
        <w:trPr>
          <w:trHeight w:val="155"/>
        </w:trPr>
        <w:tc>
          <w:tcPr>
            <w:tcW w:w="2840" w:type="dxa"/>
            <w:vAlign w:val="bottom"/>
          </w:tcPr>
          <w:p>
            <w:pPr>
              <w:ind w:left="220"/>
              <w:spacing w:after="0" w:line="156" w:lineRule="exact"/>
              <w:rPr>
                <w:sz w:val="20"/>
                <w:szCs w:val="20"/>
                <w:color w:val="auto"/>
              </w:rPr>
            </w:pPr>
            <w:r>
              <w:rPr>
                <w:rFonts w:ascii="Arial" w:cs="Arial" w:eastAsia="Arial" w:hAnsi="Arial"/>
                <w:sz w:val="18"/>
                <w:szCs w:val="18"/>
                <w:color w:val="auto"/>
              </w:rPr>
              <w:t>Other comprehensive earnings</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220"/>
              <w:spacing w:after="0" w:line="176" w:lineRule="exact"/>
              <w:rPr>
                <w:sz w:val="20"/>
                <w:szCs w:val="20"/>
                <w:color w:val="auto"/>
              </w:rPr>
            </w:pPr>
            <w:r>
              <w:rPr>
                <w:rFonts w:ascii="Arial" w:cs="Arial" w:eastAsia="Arial" w:hAnsi="Arial"/>
                <w:sz w:val="18"/>
                <w:szCs w:val="18"/>
                <w:color w:val="auto"/>
              </w:rPr>
              <w:t>(loss) before reclassifications,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29"/>
        </w:trPr>
        <w:tc>
          <w:tcPr>
            <w:tcW w:w="2840" w:type="dxa"/>
            <w:vAlign w:val="bottom"/>
          </w:tcPr>
          <w:p>
            <w:pPr>
              <w:ind w:left="220"/>
              <w:spacing w:after="0"/>
              <w:rPr>
                <w:sz w:val="20"/>
                <w:szCs w:val="20"/>
                <w:color w:val="auto"/>
              </w:rPr>
            </w:pPr>
            <w:r>
              <w:rPr>
                <w:rFonts w:ascii="Arial" w:cs="Arial" w:eastAsia="Arial" w:hAnsi="Arial"/>
                <w:sz w:val="18"/>
                <w:szCs w:val="18"/>
                <w:color w:val="auto"/>
              </w:rPr>
              <w:t>before tax</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Amounts reclassified from</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accumulated other comprehensive</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(loss), before tax:</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480"/>
              <w:spacing w:after="0" w:line="176" w:lineRule="exact"/>
              <w:rPr>
                <w:sz w:val="20"/>
                <w:szCs w:val="20"/>
                <w:color w:val="auto"/>
              </w:rPr>
            </w:pPr>
            <w:r>
              <w:rPr>
                <w:rFonts w:ascii="Arial" w:cs="Arial" w:eastAsia="Arial" w:hAnsi="Arial"/>
                <w:sz w:val="18"/>
                <w:szCs w:val="18"/>
                <w:color w:val="auto"/>
              </w:rPr>
              <w:t>Loss on foreign exchange</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480"/>
              <w:spacing w:after="0" w:line="176" w:lineRule="exact"/>
              <w:rPr>
                <w:sz w:val="20"/>
                <w:szCs w:val="20"/>
                <w:color w:val="auto"/>
              </w:rPr>
            </w:pPr>
            <w:r>
              <w:rPr>
                <w:rFonts w:ascii="Arial" w:cs="Arial" w:eastAsia="Arial" w:hAnsi="Arial"/>
                <w:sz w:val="18"/>
                <w:szCs w:val="18"/>
                <w:color w:val="auto"/>
                <w:w w:val="97"/>
              </w:rPr>
              <w:t>forward contracts classified as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480"/>
              <w:spacing w:after="0" w:line="176" w:lineRule="exact"/>
              <w:rPr>
                <w:sz w:val="20"/>
                <w:szCs w:val="20"/>
                <w:color w:val="auto"/>
              </w:rPr>
            </w:pPr>
            <w:r>
              <w:rPr>
                <w:rFonts w:ascii="Arial" w:cs="Arial" w:eastAsia="Arial" w:hAnsi="Arial"/>
                <w:sz w:val="18"/>
                <w:szCs w:val="18"/>
                <w:color w:val="auto"/>
                <w:w w:val="99"/>
              </w:rPr>
              <w:t>cash flow hedges, included in</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2840" w:type="dxa"/>
            <w:vAlign w:val="bottom"/>
          </w:tcPr>
          <w:p>
            <w:pPr>
              <w:ind w:left="480"/>
              <w:spacing w:after="0"/>
              <w:rPr>
                <w:sz w:val="20"/>
                <w:szCs w:val="20"/>
                <w:color w:val="auto"/>
              </w:rPr>
            </w:pPr>
            <w:r>
              <w:rPr>
                <w:rFonts w:ascii="Arial" w:cs="Arial" w:eastAsia="Arial" w:hAnsi="Arial"/>
                <w:sz w:val="18"/>
                <w:szCs w:val="18"/>
                <w:color w:val="auto"/>
              </w:rPr>
              <w:t>net sales</w:t>
            </w: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Loss on interest rate swaps</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4"/>
              </w:rPr>
              <w:t>classified as cash flow hedges,</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included in interest expense</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480"/>
              <w:spacing w:after="0" w:line="176" w:lineRule="exact"/>
              <w:rPr>
                <w:sz w:val="20"/>
                <w:szCs w:val="20"/>
                <w:color w:val="auto"/>
              </w:rPr>
            </w:pPr>
            <w:r>
              <w:rPr>
                <w:rFonts w:ascii="Arial" w:cs="Arial" w:eastAsia="Arial" w:hAnsi="Arial"/>
                <w:sz w:val="18"/>
                <w:szCs w:val="18"/>
                <w:color w:val="auto"/>
              </w:rPr>
              <w:t>Amortization of actuarial loss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28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4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w w:val="94"/>
              </w:rPr>
              <w:t>Net other comprehensive earnings</w:t>
            </w: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tax</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20"/>
              <w:spacing w:after="0"/>
              <w:rPr>
                <w:sz w:val="20"/>
                <w:szCs w:val="20"/>
                <w:color w:val="auto"/>
              </w:rPr>
            </w:pPr>
            <w:r>
              <w:rPr>
                <w:rFonts w:ascii="Arial" w:cs="Arial" w:eastAsia="Arial" w:hAnsi="Arial"/>
                <w:sz w:val="18"/>
                <w:szCs w:val="18"/>
                <w:color w:val="auto"/>
              </w:rPr>
              <w:t>Income tax provision (benefit)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Balance at June 30, 2020, net of tax</w:t>
            </w: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(2,024.9)</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Six Months Ended June 30, 2021</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2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Gains and</w:t>
            </w:r>
          </w:p>
        </w:tc>
        <w:tc>
          <w:tcPr>
            <w:tcW w:w="10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Gains and</w:t>
            </w:r>
          </w:p>
        </w:tc>
        <w:tc>
          <w:tcPr>
            <w:tcW w:w="140" w:type="dxa"/>
            <w:vAlign w:val="bottom"/>
          </w:tcPr>
          <w:p>
            <w:pPr>
              <w:spacing w:after="0"/>
              <w:rPr>
                <w:sz w:val="24"/>
                <w:szCs w:val="24"/>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Foreign Currency</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276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90"/>
              </w:rPr>
              <w:t>Gains and Losses on Derivatives in Cash</w:t>
            </w:r>
          </w:p>
        </w:tc>
        <w:tc>
          <w:tcPr>
            <w:tcW w:w="108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Losses on Net</w:t>
            </w: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Losses on</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276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Pension</w:t>
            </w:r>
          </w:p>
        </w:tc>
        <w:tc>
          <w:tcPr>
            <w:tcW w:w="18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1"/>
                <w:szCs w:val="11"/>
                <w:color w:val="auto"/>
              </w:rPr>
            </w:pPr>
          </w:p>
        </w:tc>
        <w:tc>
          <w:tcPr>
            <w:tcW w:w="9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27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1"/>
              </w:rPr>
              <w:t>Flow Hedging Relationships</w:t>
            </w:r>
          </w:p>
        </w:tc>
        <w:tc>
          <w:tcPr>
            <w:tcW w:w="10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Hedges</w:t>
            </w:r>
          </w:p>
        </w:tc>
        <w:tc>
          <w:tcPr>
            <w:tcW w:w="10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Adjustment</w:t>
            </w: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3"/>
              </w:rPr>
              <w:t>Foreign</w:t>
            </w:r>
          </w:p>
        </w:tc>
        <w:tc>
          <w:tcPr>
            <w:tcW w:w="1020" w:type="dxa"/>
            <w:vAlign w:val="bottom"/>
            <w:tcBorders>
              <w:top w:val="single" w:sz="8" w:color="auto"/>
            </w:tcBorders>
            <w:gridSpan w:val="3"/>
            <w:vMerge w:val="restart"/>
          </w:tcPr>
          <w:p>
            <w:pPr>
              <w:jc w:val="center"/>
              <w:ind w:right="210"/>
              <w:spacing w:after="0"/>
              <w:rPr>
                <w:sz w:val="20"/>
                <w:szCs w:val="20"/>
                <w:color w:val="auto"/>
              </w:rPr>
            </w:pPr>
            <w:r>
              <w:rPr>
                <w:rFonts w:ascii="Arial" w:cs="Arial" w:eastAsia="Arial" w:hAnsi="Arial"/>
                <w:sz w:val="14"/>
                <w:szCs w:val="14"/>
                <w:b w:val="1"/>
                <w:bCs w:val="1"/>
                <w:color w:val="auto"/>
                <w:w w:val="94"/>
              </w:rPr>
              <w:t>Interest</w:t>
            </w: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Currency</w:t>
            </w:r>
          </w:p>
        </w:tc>
        <w:tc>
          <w:tcPr>
            <w:tcW w:w="102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Forward</w:t>
            </w:r>
          </w:p>
        </w:tc>
        <w:tc>
          <w:tcPr>
            <w:tcW w:w="1020" w:type="dxa"/>
            <w:vAlign w:val="bottom"/>
            <w:gridSpan w:val="3"/>
          </w:tcPr>
          <w:p>
            <w:pPr>
              <w:jc w:val="center"/>
              <w:ind w:right="210"/>
              <w:spacing w:after="0" w:line="135" w:lineRule="exact"/>
              <w:rPr>
                <w:sz w:val="20"/>
                <w:szCs w:val="20"/>
                <w:color w:val="auto"/>
              </w:rPr>
            </w:pPr>
            <w:r>
              <w:rPr>
                <w:rFonts w:ascii="Arial" w:cs="Arial" w:eastAsia="Arial" w:hAnsi="Arial"/>
                <w:sz w:val="14"/>
                <w:szCs w:val="14"/>
                <w:b w:val="1"/>
                <w:bCs w:val="1"/>
                <w:color w:val="auto"/>
                <w:w w:val="92"/>
              </w:rPr>
              <w:t>Rate</w:t>
            </w: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Contracts</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Swaps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820" w:type="dxa"/>
            <w:vAlign w:val="bottom"/>
            <w:shd w:val="clear" w:color="auto" w:fill="CCEEFF"/>
          </w:tcPr>
          <w:p>
            <w:pPr>
              <w:spacing w:after="0" w:line="157" w:lineRule="exact"/>
              <w:rPr>
                <w:sz w:val="20"/>
                <w:szCs w:val="20"/>
                <w:color w:val="auto"/>
              </w:rPr>
            </w:pPr>
            <w:r>
              <w:rPr>
                <w:rFonts w:ascii="Arial" w:cs="Arial" w:eastAsia="Arial" w:hAnsi="Arial"/>
                <w:sz w:val="18"/>
                <w:szCs w:val="18"/>
                <w:color w:val="auto"/>
                <w:w w:val="92"/>
              </w:rPr>
              <w:t>Balance at December 31, 2020, net of</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w:t>
            </w:r>
            <w:r>
              <w:rPr>
                <w:rFonts w:ascii="Arial" w:cs="Arial" w:eastAsia="Arial" w:hAnsi="Arial"/>
                <w:sz w:val="18"/>
                <w:szCs w:val="18"/>
                <w:u w:val="single" w:color="auto"/>
                <w:color w:val="auto"/>
              </w:rPr>
              <w:t>6)</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center"/>
              <w:ind w:left="438"/>
              <w:spacing w:after="0"/>
              <w:rPr>
                <w:sz w:val="20"/>
                <w:szCs w:val="20"/>
                <w:color w:val="auto"/>
              </w:rPr>
            </w:pPr>
            <w:r>
              <w:rPr>
                <w:rFonts w:ascii="Arial" w:cs="Arial" w:eastAsia="Arial" w:hAnsi="Arial"/>
                <w:sz w:val="18"/>
                <w:szCs w:val="18"/>
                <w:color w:val="auto"/>
                <w:w w:val="95"/>
              </w:rPr>
              <w:t>1.2</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r>
              <w:rPr>
                <w:rFonts w:ascii="Arial" w:cs="Arial" w:eastAsia="Arial" w:hAnsi="Arial"/>
                <w:sz w:val="18"/>
                <w:szCs w:val="18"/>
                <w:u w:val="single" w:color="auto"/>
                <w:color w:val="auto"/>
              </w:rPr>
              <w:t>1)</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820" w:type="dxa"/>
            <w:vAlign w:val="bottom"/>
          </w:tcPr>
          <w:p>
            <w:pPr>
              <w:ind w:left="200"/>
              <w:spacing w:after="0" w:line="156" w:lineRule="exact"/>
              <w:rPr>
                <w:sz w:val="20"/>
                <w:szCs w:val="20"/>
                <w:color w:val="auto"/>
              </w:rPr>
            </w:pPr>
            <w:r>
              <w:rPr>
                <w:rFonts w:ascii="Arial" w:cs="Arial" w:eastAsia="Arial" w:hAnsi="Arial"/>
                <w:sz w:val="18"/>
                <w:szCs w:val="18"/>
                <w:color w:val="auto"/>
              </w:rPr>
              <w:t>Other comprehensive earnings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00"/>
              <w:spacing w:after="0" w:line="176" w:lineRule="exact"/>
              <w:rPr>
                <w:sz w:val="20"/>
                <w:szCs w:val="20"/>
                <w:color w:val="auto"/>
              </w:rPr>
            </w:pPr>
            <w:r>
              <w:rPr>
                <w:rFonts w:ascii="Arial" w:cs="Arial" w:eastAsia="Arial" w:hAnsi="Arial"/>
                <w:sz w:val="18"/>
                <w:szCs w:val="18"/>
                <w:color w:val="auto"/>
              </w:rPr>
              <w:t>(loss) before reclassifications,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center"/>
              <w:ind w:left="418"/>
              <w:spacing w:after="0"/>
              <w:rPr>
                <w:sz w:val="20"/>
                <w:szCs w:val="20"/>
                <w:color w:val="auto"/>
              </w:rPr>
            </w:pPr>
            <w:r>
              <w:rPr>
                <w:rFonts w:ascii="Arial" w:cs="Arial" w:eastAsia="Arial" w:hAnsi="Arial"/>
                <w:sz w:val="18"/>
                <w:szCs w:val="18"/>
                <w:color w:val="auto"/>
                <w:w w:val="91"/>
              </w:rPr>
              <w:t>(0.7)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(560.5)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29"/>
        </w:trPr>
        <w:tc>
          <w:tcPr>
            <w:tcW w:w="2820" w:type="dxa"/>
            <w:vAlign w:val="bottom"/>
          </w:tcPr>
          <w:p>
            <w:pPr>
              <w:ind w:left="200"/>
              <w:spacing w:after="0"/>
              <w:rPr>
                <w:sz w:val="20"/>
                <w:szCs w:val="20"/>
                <w:color w:val="auto"/>
              </w:rPr>
            </w:pPr>
            <w:r>
              <w:rPr>
                <w:rFonts w:ascii="Arial" w:cs="Arial" w:eastAsia="Arial" w:hAnsi="Arial"/>
                <w:sz w:val="18"/>
                <w:szCs w:val="18"/>
                <w:color w:val="auto"/>
              </w:rPr>
              <w:t>before tax</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Amounts reclassified from</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4"/>
              </w:rPr>
              <w:t>accumulated other comprehensive</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(loss), before tax:</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rPr>
              <w:t>Gain on foreign exchange</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w w:val="97"/>
              </w:rPr>
              <w:t>forward contracts classified as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w w:val="99"/>
              </w:rPr>
              <w:t>cash flow hedges, included in</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2820" w:type="dxa"/>
            <w:vAlign w:val="bottom"/>
          </w:tcPr>
          <w:p>
            <w:pPr>
              <w:ind w:left="460"/>
              <w:spacing w:after="0"/>
              <w:rPr>
                <w:sz w:val="20"/>
                <w:szCs w:val="20"/>
                <w:color w:val="auto"/>
              </w:rPr>
            </w:pPr>
            <w:r>
              <w:rPr>
                <w:rFonts w:ascii="Arial" w:cs="Arial" w:eastAsia="Arial" w:hAnsi="Arial"/>
                <w:sz w:val="18"/>
                <w:szCs w:val="18"/>
                <w:color w:val="auto"/>
              </w:rPr>
              <w:t>net sales</w:t>
            </w: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Loss on interest rate swaps</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4"/>
              </w:rPr>
              <w:t>classified as cash flow hedges,</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included in interest expense</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rPr>
              <w:t>Amortization of prior service</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2820" w:type="dxa"/>
            <w:vAlign w:val="bottom"/>
          </w:tcPr>
          <w:p>
            <w:pPr>
              <w:ind w:left="460"/>
              <w:spacing w:after="0"/>
              <w:rPr>
                <w:sz w:val="20"/>
                <w:szCs w:val="20"/>
                <w:color w:val="auto"/>
              </w:rPr>
            </w:pPr>
            <w:r>
              <w:rPr>
                <w:rFonts w:ascii="Arial" w:cs="Arial" w:eastAsia="Arial" w:hAnsi="Arial"/>
                <w:sz w:val="18"/>
                <w:szCs w:val="18"/>
                <w:color w:val="auto"/>
              </w:rPr>
              <w:t>costs included in SG&amp;A</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Amortization of actuarial loss</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included in SG&amp;A</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200"/>
              <w:spacing w:after="0" w:line="156" w:lineRule="exact"/>
              <w:rPr>
                <w:sz w:val="20"/>
                <w:szCs w:val="20"/>
                <w:color w:val="auto"/>
              </w:rPr>
            </w:pPr>
            <w:r>
              <w:rPr>
                <w:rFonts w:ascii="Arial" w:cs="Arial" w:eastAsia="Arial" w:hAnsi="Arial"/>
                <w:sz w:val="18"/>
                <w:szCs w:val="18"/>
                <w:color w:val="auto"/>
                <w:w w:val="94"/>
              </w:rPr>
              <w:t>Net other comprehensive earnings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center"/>
              <w:ind w:left="418"/>
              <w:spacing w:after="0"/>
              <w:rPr>
                <w:sz w:val="20"/>
                <w:szCs w:val="20"/>
                <w:color w:val="auto"/>
              </w:rPr>
            </w:pPr>
            <w:r>
              <w:rPr>
                <w:rFonts w:ascii="Arial" w:cs="Arial" w:eastAsia="Arial" w:hAnsi="Arial"/>
                <w:sz w:val="18"/>
                <w:szCs w:val="18"/>
                <w:color w:val="auto"/>
                <w:w w:val="91"/>
              </w:rPr>
              <w:t>(0.7)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(560.5)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29"/>
        </w:trPr>
        <w:tc>
          <w:tcPr>
            <w:tcW w:w="2820" w:type="dxa"/>
            <w:vAlign w:val="bottom"/>
          </w:tcPr>
          <w:p>
            <w:pPr>
              <w:ind w:left="200"/>
              <w:spacing w:after="0"/>
              <w:rPr>
                <w:sz w:val="20"/>
                <w:szCs w:val="20"/>
                <w:color w:val="auto"/>
              </w:rPr>
            </w:pPr>
            <w:r>
              <w:rPr>
                <w:rFonts w:ascii="Arial" w:cs="Arial" w:eastAsia="Arial" w:hAnsi="Arial"/>
                <w:sz w:val="18"/>
                <w:szCs w:val="18"/>
                <w:color w:val="auto"/>
              </w:rPr>
              <w:t>(loss), before tax</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 (benefit)</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38"/>
              <w:spacing w:after="0"/>
              <w:rPr>
                <w:sz w:val="20"/>
                <w:szCs w:val="20"/>
                <w:color w:val="auto"/>
              </w:rPr>
            </w:pPr>
            <w:r>
              <w:rPr>
                <w:rFonts w:ascii="Arial" w:cs="Arial" w:eastAsia="Arial" w:hAnsi="Arial"/>
                <w:sz w:val="18"/>
                <w:szCs w:val="18"/>
                <w:color w:val="auto"/>
                <w:w w:val="95"/>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8"/>
                <w:szCs w:val="18"/>
                <w:color w:val="auto"/>
                <w:w w:val="97"/>
              </w:rPr>
              <w:t>Balance at June 30, 2021, net of tax</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r>
              <w:rPr>
                <w:rFonts w:ascii="Arial" w:cs="Arial" w:eastAsia="Arial" w:hAnsi="Arial"/>
                <w:sz w:val="18"/>
                <w:szCs w:val="18"/>
                <w:u w:val="single" w:color="auto"/>
                <w:color w:val="auto"/>
              </w:rPr>
              <w:t>8)</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center"/>
              <w:ind w:left="438"/>
              <w:spacing w:after="0"/>
              <w:rPr>
                <w:sz w:val="20"/>
                <w:szCs w:val="20"/>
                <w:color w:val="auto"/>
              </w:rPr>
            </w:pPr>
            <w:r>
              <w:rPr>
                <w:rFonts w:ascii="Arial" w:cs="Arial" w:eastAsia="Arial" w:hAnsi="Arial"/>
                <w:sz w:val="18"/>
                <w:szCs w:val="18"/>
                <w:color w:val="auto"/>
                <w:w w:val="95"/>
              </w:rPr>
              <w:t>0.4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(1,205.0)</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Six Months Ended June 30, 2020</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2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Gains and</w:t>
            </w:r>
          </w:p>
        </w:tc>
        <w:tc>
          <w:tcPr>
            <w:tcW w:w="10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Gains and</w:t>
            </w:r>
          </w:p>
        </w:tc>
        <w:tc>
          <w:tcPr>
            <w:tcW w:w="140" w:type="dxa"/>
            <w:vAlign w:val="bottom"/>
          </w:tcPr>
          <w:p>
            <w:pPr>
              <w:spacing w:after="0"/>
              <w:rPr>
                <w:sz w:val="24"/>
                <w:szCs w:val="24"/>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Foreign Currency</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276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90"/>
              </w:rPr>
              <w:t>Gains and Losses on Derivatives in Cash</w:t>
            </w:r>
          </w:p>
        </w:tc>
        <w:tc>
          <w:tcPr>
            <w:tcW w:w="108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Losses on Net</w:t>
            </w: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Losses on</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276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Pension</w:t>
            </w:r>
          </w:p>
        </w:tc>
        <w:tc>
          <w:tcPr>
            <w:tcW w:w="18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1"/>
                <w:szCs w:val="11"/>
                <w:color w:val="auto"/>
              </w:rPr>
            </w:pPr>
          </w:p>
        </w:tc>
        <w:tc>
          <w:tcPr>
            <w:tcW w:w="9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27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1"/>
              </w:rPr>
              <w:t>Flow Hedging Relationships</w:t>
            </w:r>
          </w:p>
        </w:tc>
        <w:tc>
          <w:tcPr>
            <w:tcW w:w="10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Hedges</w:t>
            </w:r>
          </w:p>
        </w:tc>
        <w:tc>
          <w:tcPr>
            <w:tcW w:w="10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Adjustment</w:t>
            </w: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3"/>
              </w:rPr>
              <w:t>Foreign</w:t>
            </w:r>
          </w:p>
        </w:tc>
        <w:tc>
          <w:tcPr>
            <w:tcW w:w="1020" w:type="dxa"/>
            <w:vAlign w:val="bottom"/>
            <w:tcBorders>
              <w:top w:val="single" w:sz="8" w:color="auto"/>
            </w:tcBorders>
            <w:gridSpan w:val="3"/>
            <w:vMerge w:val="restart"/>
          </w:tcPr>
          <w:p>
            <w:pPr>
              <w:jc w:val="center"/>
              <w:ind w:right="210"/>
              <w:spacing w:after="0"/>
              <w:rPr>
                <w:sz w:val="20"/>
                <w:szCs w:val="20"/>
                <w:color w:val="auto"/>
              </w:rPr>
            </w:pPr>
            <w:r>
              <w:rPr>
                <w:rFonts w:ascii="Arial" w:cs="Arial" w:eastAsia="Arial" w:hAnsi="Arial"/>
                <w:sz w:val="14"/>
                <w:szCs w:val="14"/>
                <w:b w:val="1"/>
                <w:bCs w:val="1"/>
                <w:color w:val="auto"/>
                <w:w w:val="94"/>
              </w:rPr>
              <w:t>Interest</w:t>
            </w: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Currency</w:t>
            </w:r>
          </w:p>
        </w:tc>
        <w:tc>
          <w:tcPr>
            <w:tcW w:w="102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Forward</w:t>
            </w:r>
          </w:p>
        </w:tc>
        <w:tc>
          <w:tcPr>
            <w:tcW w:w="1020" w:type="dxa"/>
            <w:vAlign w:val="bottom"/>
            <w:gridSpan w:val="3"/>
          </w:tcPr>
          <w:p>
            <w:pPr>
              <w:jc w:val="center"/>
              <w:ind w:right="210"/>
              <w:spacing w:after="0" w:line="135" w:lineRule="exact"/>
              <w:rPr>
                <w:sz w:val="20"/>
                <w:szCs w:val="20"/>
                <w:color w:val="auto"/>
              </w:rPr>
            </w:pPr>
            <w:r>
              <w:rPr>
                <w:rFonts w:ascii="Arial" w:cs="Arial" w:eastAsia="Arial" w:hAnsi="Arial"/>
                <w:sz w:val="14"/>
                <w:szCs w:val="14"/>
                <w:b w:val="1"/>
                <w:bCs w:val="1"/>
                <w:color w:val="auto"/>
                <w:w w:val="92"/>
              </w:rPr>
              <w:t>Rate</w:t>
            </w: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Contracts</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Swaps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820" w:type="dxa"/>
            <w:vAlign w:val="bottom"/>
            <w:shd w:val="clear" w:color="auto" w:fill="CCEEFF"/>
          </w:tcPr>
          <w:p>
            <w:pPr>
              <w:spacing w:after="0" w:line="157" w:lineRule="exact"/>
              <w:rPr>
                <w:sz w:val="20"/>
                <w:szCs w:val="20"/>
                <w:color w:val="auto"/>
              </w:rPr>
            </w:pPr>
            <w:r>
              <w:rPr>
                <w:rFonts w:ascii="Arial" w:cs="Arial" w:eastAsia="Arial" w:hAnsi="Arial"/>
                <w:sz w:val="18"/>
                <w:szCs w:val="18"/>
                <w:color w:val="auto"/>
                <w:w w:val="92"/>
              </w:rPr>
              <w:t>Balance at December 31, 2019, net of</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r>
              <w:rPr>
                <w:rFonts w:ascii="Arial" w:cs="Arial" w:eastAsia="Arial" w:hAnsi="Arial"/>
                <w:sz w:val="18"/>
                <w:szCs w:val="18"/>
                <w:u w:val="single" w:color="auto"/>
                <w:color w:val="auto"/>
              </w:rPr>
              <w:t>4)</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(1,674.5)</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(1,797.2)</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200"/>
              <w:spacing w:after="0" w:line="156" w:lineRule="exact"/>
              <w:rPr>
                <w:sz w:val="20"/>
                <w:szCs w:val="20"/>
                <w:color w:val="auto"/>
              </w:rPr>
            </w:pPr>
            <w:r>
              <w:rPr>
                <w:rFonts w:ascii="Arial" w:cs="Arial" w:eastAsia="Arial" w:hAnsi="Arial"/>
                <w:sz w:val="18"/>
                <w:szCs w:val="18"/>
                <w:color w:val="auto"/>
              </w:rPr>
              <w:t>Other comprehensive (loss)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200"/>
              <w:spacing w:after="0" w:line="176" w:lineRule="exact"/>
              <w:rPr>
                <w:sz w:val="20"/>
                <w:szCs w:val="20"/>
                <w:color w:val="auto"/>
              </w:rPr>
            </w:pPr>
            <w:r>
              <w:rPr>
                <w:rFonts w:ascii="Arial" w:cs="Arial" w:eastAsia="Arial" w:hAnsi="Arial"/>
                <w:sz w:val="18"/>
                <w:szCs w:val="18"/>
                <w:color w:val="auto"/>
                <w:w w:val="99"/>
              </w:rPr>
              <w:t>earnings before reclassifications,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30"/>
        </w:trPr>
        <w:tc>
          <w:tcPr>
            <w:tcW w:w="2820" w:type="dxa"/>
            <w:vAlign w:val="bottom"/>
          </w:tcPr>
          <w:p>
            <w:pPr>
              <w:ind w:left="200"/>
              <w:spacing w:after="0"/>
              <w:rPr>
                <w:sz w:val="20"/>
                <w:szCs w:val="20"/>
                <w:color w:val="auto"/>
              </w:rPr>
            </w:pPr>
            <w:r>
              <w:rPr>
                <w:rFonts w:ascii="Arial" w:cs="Arial" w:eastAsia="Arial" w:hAnsi="Arial"/>
                <w:sz w:val="18"/>
                <w:szCs w:val="18"/>
                <w:color w:val="auto"/>
              </w:rPr>
              <w:t>before tax</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Amounts reclassified from</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4"/>
              </w:rPr>
              <w:t>accumulated other comprehensive</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earnings, before tax:</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rPr>
              <w:t>Loss on foreign exchange</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w w:val="97"/>
              </w:rPr>
              <w:t>forward contracts classified as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w w:val="99"/>
              </w:rPr>
              <w:t>cash flow hedges, included in</w:t>
            </w:r>
          </w:p>
        </w:tc>
        <w:tc>
          <w:tcPr>
            <w:tcW w:w="880" w:type="dxa"/>
            <w:vAlign w:val="bottom"/>
            <w:vMerge w:val="restart"/>
          </w:tcPr>
          <w:p>
            <w:pPr>
              <w:jc w:val="right"/>
              <w:ind w:right="5"/>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2820" w:type="dxa"/>
            <w:vAlign w:val="bottom"/>
          </w:tcPr>
          <w:p>
            <w:pPr>
              <w:ind w:left="460"/>
              <w:spacing w:after="0"/>
              <w:rPr>
                <w:sz w:val="20"/>
                <w:szCs w:val="20"/>
                <w:color w:val="auto"/>
              </w:rPr>
            </w:pPr>
            <w:r>
              <w:rPr>
                <w:rFonts w:ascii="Arial" w:cs="Arial" w:eastAsia="Arial" w:hAnsi="Arial"/>
                <w:sz w:val="18"/>
                <w:szCs w:val="18"/>
                <w:color w:val="auto"/>
              </w:rPr>
              <w:t>net sales</w:t>
            </w: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Loss on interest rate swaps</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4"/>
              </w:rPr>
              <w:t>classified as cash flow hedges,</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included in interest expense</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rPr>
              <w:t>Amortization of actuarial loss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included in SG&amp;A</w:t>
            </w: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20" w:type="dxa"/>
            <w:vAlign w:val="bottom"/>
            <w:shd w:val="clear" w:color="auto" w:fill="CCEEFF"/>
          </w:tcPr>
          <w:p>
            <w:pPr>
              <w:ind w:left="200"/>
              <w:spacing w:after="0" w:line="156" w:lineRule="exact"/>
              <w:rPr>
                <w:sz w:val="20"/>
                <w:szCs w:val="20"/>
                <w:color w:val="auto"/>
              </w:rPr>
            </w:pPr>
            <w:r>
              <w:rPr>
                <w:rFonts w:ascii="Arial" w:cs="Arial" w:eastAsia="Arial" w:hAnsi="Arial"/>
                <w:sz w:val="18"/>
                <w:szCs w:val="18"/>
                <w:color w:val="auto"/>
              </w:rPr>
              <w:t>Net other comprehensive (loss)</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before tax</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0"/>
              <w:spacing w:after="0"/>
              <w:rPr>
                <w:sz w:val="20"/>
                <w:szCs w:val="20"/>
                <w:color w:val="auto"/>
              </w:rPr>
            </w:pPr>
            <w:r>
              <w:rPr>
                <w:rFonts w:ascii="Arial" w:cs="Arial" w:eastAsia="Arial" w:hAnsi="Arial"/>
                <w:sz w:val="18"/>
                <w:szCs w:val="18"/>
                <w:color w:val="auto"/>
              </w:rPr>
              <w:t>Income tax (benefit) provision</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8"/>
        </w:trPr>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Balance at June 30, 2020, net of tax</w:t>
            </w: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Viatris reports segment information on the basis of markets and geography. In conjunction with the formation of Viatris, the Company has changed its reportable segments, from North America, Europe, and Rest of World, to Developed Markets, Greater China, JANZ, and Emerging Markets. Prior year amounts have been recasted to reflect this segment structure. We have also revised our measure of segment profitability. This approach reflects the Company’s focus on bringing its broad and diversified portfolio of branded, complex generics and biosimilars,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operations in countries with developing markets and emerging economies including countries in Asia, the Middle East, South and Central America, Africa and Eastern Europe, and also includes the Company’s anti-retroviral franchise.</w:t>
      </w:r>
    </w:p>
    <w:p>
      <w:pPr>
        <w:spacing w:after="0" w:line="16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Company’s chief operating decision maker is the Chief Executive Officer, who evaluates the performance of the Company’s segments based on total revenues and segment profitability.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costs are not included in the measurement of segment profitability, such as costs, if any, associated with the following:</w:t>
      </w:r>
    </w:p>
    <w:p>
      <w:pPr>
        <w:spacing w:after="0" w:line="225" w:lineRule="exact"/>
        <w:rPr>
          <w:sz w:val="20"/>
          <w:szCs w:val="20"/>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Intangible asset amortization expense and impairments of intangible assets;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R&amp;D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charges or net gains for litigation settlements and other contingencies;</w:t>
      </w:r>
    </w:p>
    <w:p>
      <w:pPr>
        <w:spacing w:after="0" w:line="225" w:lineRule="exact"/>
        <w:rPr>
          <w:rFonts w:ascii="Arial" w:cs="Arial" w:eastAsia="Arial" w:hAnsi="Arial"/>
          <w:sz w:val="18"/>
          <w:szCs w:val="18"/>
          <w:color w:val="auto"/>
        </w:rPr>
      </w:pPr>
    </w:p>
    <w:p>
      <w:pPr>
        <w:ind w:left="660" w:firstLine="320"/>
        <w:spacing w:after="0" w:line="272" w:lineRule="auto"/>
        <w:tabs>
          <w:tab w:leader="none" w:pos="13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Certain costs related to transactions and events such as (i) purchase accounting adjustments, where we incur expenses associated with the amortization of fair value adjustments to inventory and property, plant and equipment; (ii) acquisition-related costs, where we incur costs for executing the transaction, integrating the acquired operations and restructuring the combined company; and (iii) other significant items, which are substantive and/or unusual, and in some cases recurring, items (such as restructuring)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disposals of assets or businesses, including, as applicable, any associated transition activities.</w:t>
      </w:r>
    </w:p>
    <w:p>
      <w:pPr>
        <w:spacing w:after="0" w:line="177" w:lineRule="exact"/>
        <w:rPr>
          <w:rFonts w:ascii="Arial" w:cs="Arial" w:eastAsia="Arial" w:hAnsi="Arial"/>
          <w:sz w:val="17"/>
          <w:szCs w:val="17"/>
          <w:color w:val="auto"/>
        </w:rPr>
      </w:pPr>
    </w:p>
    <w:p>
      <w:pPr>
        <w:ind w:left="660" w:firstLine="320"/>
        <w:spacing w:after="0" w:line="257" w:lineRule="auto"/>
        <w:tabs>
          <w:tab w:leader="none" w:pos="13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Corporate and other unallocated costs associated with platform functions (such as digital, facilities, legal, finance, human resources, insurance, public affairs and procurement), patient advocacy activities and certain compensation and other corporate costs (such as interest income and expense, and gains and losses on investments, as well as overhead expenses associated with our manufacturing, which include manufacturing variances associated with production) and operations that are not directly assessed to an operating segment as business unit (segment) management does not manage these costs.</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does not report depreciation expense, total assets and capital expenditures by segment, as such information is not used by the chief operating decision maker.</w:t>
      </w:r>
    </w:p>
    <w:p>
      <w:pPr>
        <w:spacing w:after="0" w:line="170"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 xml:space="preserve">The accounting policies of the segments are the same as those described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included in the 2020 Form 10-K, and Note 3 </w:t>
      </w:r>
      <w:r>
        <w:rPr>
          <w:rFonts w:ascii="Arial" w:cs="Arial" w:eastAsia="Arial" w:hAnsi="Arial"/>
          <w:sz w:val="16"/>
          <w:szCs w:val="16"/>
          <w:i w:val="1"/>
          <w:iCs w:val="1"/>
          <w:color w:val="auto"/>
        </w:rPr>
        <w:t>Recent Accounting Pronouncements, Adoption of New Accounting Standards</w:t>
      </w:r>
      <w:r>
        <w:rPr>
          <w:rFonts w:ascii="Arial" w:cs="Arial" w:eastAsia="Arial" w:hAnsi="Arial"/>
          <w:sz w:val="16"/>
          <w:szCs w:val="16"/>
          <w:color w:val="auto"/>
        </w:rPr>
        <w:t xml:space="preserve"> included in this Form 10-Q.</w:t>
      </w:r>
    </w:p>
    <w:p>
      <w:pPr>
        <w:spacing w:after="0" w:line="124" w:lineRule="exact"/>
        <w:rPr>
          <w:sz w:val="20"/>
          <w:szCs w:val="20"/>
          <w:color w:val="auto"/>
        </w:rPr>
      </w:pPr>
    </w:p>
    <w:p>
      <w:pPr>
        <w:ind w:right="300" w:firstLine="648"/>
        <w:spacing w:after="0" w:line="269" w:lineRule="auto"/>
        <w:rPr>
          <w:sz w:val="20"/>
          <w:szCs w:val="20"/>
          <w:color w:val="auto"/>
        </w:rPr>
      </w:pPr>
      <w:r>
        <w:rPr>
          <w:rFonts w:ascii="Arial" w:cs="Arial" w:eastAsia="Arial" w:hAnsi="Arial"/>
          <w:sz w:val="18"/>
          <w:szCs w:val="18"/>
          <w:color w:val="auto"/>
        </w:rPr>
        <w:t>Presented in the table below is segment information for the periods identified and a reconciliation of segment information to total consolidated information.</w:t>
      </w: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w w:val="85"/>
              </w:rPr>
              <w:t>Net Sales</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Segment Profitability</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60" w:type="dxa"/>
            <w:vAlign w:val="bottom"/>
            <w:tcBorders>
              <w:bottom w:val="single" w:sz="8" w:color="CCEEFF"/>
            </w:tcBorders>
          </w:tcPr>
          <w:p>
            <w:pPr>
              <w:ind w:left="680"/>
              <w:spacing w:after="0"/>
              <w:rPr>
                <w:sz w:val="20"/>
                <w:szCs w:val="20"/>
                <w:color w:val="auto"/>
              </w:rPr>
            </w:pPr>
            <w:r>
              <w:rPr>
                <w:rFonts w:ascii="Arial" w:cs="Arial" w:eastAsia="Arial" w:hAnsi="Arial"/>
                <w:sz w:val="14"/>
                <w:szCs w:val="14"/>
                <w:b w:val="1"/>
                <w:bCs w:val="1"/>
                <w:i w:val="1"/>
                <w:iCs w:val="1"/>
                <w:color w:val="auto"/>
              </w:rPr>
              <w:t>(In millions)</w:t>
            </w:r>
          </w:p>
        </w:tc>
        <w:tc>
          <w:tcPr>
            <w:tcW w:w="9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57"/>
        </w:trPr>
        <w:tc>
          <w:tcPr>
            <w:tcW w:w="2460" w:type="dxa"/>
            <w:vAlign w:val="bottom"/>
            <w:shd w:val="clear" w:color="auto" w:fill="CCEEFF"/>
          </w:tcPr>
          <w:p>
            <w:pPr>
              <w:ind w:left="680"/>
              <w:spacing w:after="0" w:line="157" w:lineRule="exact"/>
              <w:rPr>
                <w:sz w:val="20"/>
                <w:szCs w:val="20"/>
                <w:color w:val="auto"/>
              </w:rPr>
            </w:pPr>
            <w:r>
              <w:rPr>
                <w:rFonts w:ascii="Arial" w:cs="Arial" w:eastAsia="Arial" w:hAnsi="Arial"/>
                <w:sz w:val="18"/>
                <w:szCs w:val="18"/>
                <w:b w:val="1"/>
                <w:bCs w:val="1"/>
                <w:color w:val="auto"/>
              </w:rPr>
              <w:t>Reportable</w:t>
            </w:r>
          </w:p>
        </w:tc>
        <w:tc>
          <w:tcPr>
            <w:tcW w:w="9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Segments:</w:t>
            </w: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780"/>
              <w:spacing w:after="0"/>
              <w:rPr>
                <w:sz w:val="20"/>
                <w:szCs w:val="20"/>
                <w:color w:val="auto"/>
              </w:rPr>
            </w:pPr>
            <w:r>
              <w:rPr>
                <w:rFonts w:ascii="Arial" w:cs="Arial" w:eastAsia="Arial" w:hAnsi="Arial"/>
                <w:sz w:val="18"/>
                <w:szCs w:val="18"/>
                <w:color w:val="auto"/>
              </w:rPr>
              <w:t>Developed Markets</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2,640.4</w:t>
            </w:r>
          </w:p>
        </w:tc>
        <w:tc>
          <w:tcPr>
            <w:tcW w:w="100" w:type="dxa"/>
            <w:vAlign w:val="bottom"/>
          </w:tcPr>
          <w:p>
            <w:pPr>
              <w:spacing w:after="0"/>
              <w:rPr>
                <w:sz w:val="19"/>
                <w:szCs w:val="19"/>
                <w:color w:val="auto"/>
              </w:rPr>
            </w:pPr>
          </w:p>
        </w:tc>
        <w:tc>
          <w:tcPr>
            <w:tcW w:w="1220" w:type="dxa"/>
            <w:vAlign w:val="bottom"/>
          </w:tcPr>
          <w:p>
            <w:pPr>
              <w:jc w:val="right"/>
              <w:ind w:right="376"/>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1,982.7</w:t>
            </w:r>
          </w:p>
        </w:tc>
        <w:tc>
          <w:tcPr>
            <w:tcW w:w="10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1,319.9</w:t>
            </w:r>
          </w:p>
        </w:tc>
        <w:tc>
          <w:tcPr>
            <w:tcW w:w="100" w:type="dxa"/>
            <w:vAlign w:val="bottom"/>
          </w:tcPr>
          <w:p>
            <w:pPr>
              <w:spacing w:after="0"/>
              <w:rPr>
                <w:sz w:val="19"/>
                <w:szCs w:val="19"/>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1,048.6</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Greater China</w:t>
            </w: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460" w:type="dxa"/>
            <w:vAlign w:val="bottom"/>
          </w:tcPr>
          <w:p>
            <w:pPr>
              <w:ind w:left="780"/>
              <w:spacing w:after="0"/>
              <w:rPr>
                <w:sz w:val="20"/>
                <w:szCs w:val="20"/>
                <w:color w:val="auto"/>
              </w:rPr>
            </w:pPr>
            <w:r>
              <w:rPr>
                <w:rFonts w:ascii="Arial" w:cs="Arial" w:eastAsia="Arial" w:hAnsi="Arial"/>
                <w:sz w:val="18"/>
                <w:szCs w:val="18"/>
                <w:color w:val="auto"/>
              </w:rPr>
              <w:t>JANZ</w:t>
            </w:r>
          </w:p>
        </w:tc>
        <w:tc>
          <w:tcPr>
            <w:tcW w:w="9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501.0</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Emerging Markets</w:t>
            </w:r>
          </w:p>
        </w:tc>
        <w:tc>
          <w:tcPr>
            <w:tcW w:w="9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156"/>
        </w:trPr>
        <w:tc>
          <w:tcPr>
            <w:tcW w:w="2460" w:type="dxa"/>
            <w:vAlign w:val="bottom"/>
          </w:tcPr>
          <w:p>
            <w:pPr>
              <w:ind w:left="900"/>
              <w:spacing w:after="0" w:line="156" w:lineRule="exact"/>
              <w:rPr>
                <w:sz w:val="20"/>
                <w:szCs w:val="20"/>
                <w:color w:val="auto"/>
              </w:rPr>
            </w:pPr>
            <w:r>
              <w:rPr>
                <w:rFonts w:ascii="Arial" w:cs="Arial" w:eastAsia="Arial" w:hAnsi="Arial"/>
                <w:sz w:val="18"/>
                <w:szCs w:val="18"/>
                <w:color w:val="auto"/>
              </w:rPr>
              <w:t>Total reportable</w:t>
            </w:r>
          </w:p>
        </w:tc>
        <w:tc>
          <w:tcPr>
            <w:tcW w:w="98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4,561.7</w:t>
            </w:r>
          </w:p>
        </w:tc>
        <w:tc>
          <w:tcPr>
            <w:tcW w:w="100" w:type="dxa"/>
            <w:vAlign w:val="bottom"/>
          </w:tcPr>
          <w:p>
            <w:pPr>
              <w:spacing w:after="0"/>
              <w:rPr>
                <w:sz w:val="13"/>
                <w:szCs w:val="13"/>
                <w:color w:val="auto"/>
              </w:rPr>
            </w:pPr>
          </w:p>
        </w:tc>
        <w:tc>
          <w:tcPr>
            <w:tcW w:w="1220" w:type="dxa"/>
            <w:vAlign w:val="bottom"/>
            <w:vMerge w:val="restart"/>
          </w:tcPr>
          <w:p>
            <w:pPr>
              <w:jc w:val="right"/>
              <w:ind w:right="376"/>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2,695.9</w:t>
            </w:r>
          </w:p>
        </w:tc>
        <w:tc>
          <w:tcPr>
            <w:tcW w:w="100" w:type="dxa"/>
            <w:vAlign w:val="bottom"/>
          </w:tcPr>
          <w:p>
            <w:pPr>
              <w:spacing w:after="0"/>
              <w:rPr>
                <w:sz w:val="13"/>
                <w:szCs w:val="13"/>
                <w:color w:val="auto"/>
              </w:rPr>
            </w:pPr>
          </w:p>
        </w:tc>
        <w:tc>
          <w:tcPr>
            <w:tcW w:w="100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2,256.5</w:t>
            </w:r>
          </w:p>
        </w:tc>
        <w:tc>
          <w:tcPr>
            <w:tcW w:w="100" w:type="dxa"/>
            <w:vAlign w:val="bottom"/>
          </w:tcPr>
          <w:p>
            <w:pPr>
              <w:spacing w:after="0"/>
              <w:rPr>
                <w:sz w:val="13"/>
                <w:szCs w:val="13"/>
                <w:color w:val="auto"/>
              </w:rPr>
            </w:pP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1,270.9</w:t>
            </w:r>
          </w:p>
        </w:tc>
        <w:tc>
          <w:tcPr>
            <w:tcW w:w="0" w:type="dxa"/>
            <w:vAlign w:val="bottom"/>
          </w:tcPr>
          <w:p>
            <w:pPr>
              <w:spacing w:after="0"/>
              <w:rPr>
                <w:sz w:val="1"/>
                <w:szCs w:val="1"/>
                <w:color w:val="auto"/>
              </w:rPr>
            </w:pPr>
          </w:p>
        </w:tc>
      </w:tr>
      <w:tr>
        <w:trPr>
          <w:trHeight w:val="208"/>
        </w:trPr>
        <w:tc>
          <w:tcPr>
            <w:tcW w:w="2460" w:type="dxa"/>
            <w:vAlign w:val="bottom"/>
          </w:tcPr>
          <w:p>
            <w:pPr>
              <w:ind w:left="240"/>
              <w:spacing w:after="0" w:line="202" w:lineRule="exact"/>
              <w:rPr>
                <w:sz w:val="20"/>
                <w:szCs w:val="20"/>
                <w:color w:val="auto"/>
              </w:rPr>
            </w:pPr>
            <w:r>
              <w:rPr>
                <w:rFonts w:ascii="Arial" w:cs="Arial" w:eastAsia="Arial" w:hAnsi="Arial"/>
                <w:sz w:val="18"/>
                <w:szCs w:val="18"/>
                <w:color w:val="auto"/>
              </w:rPr>
              <w:t>segments</w:t>
            </w:r>
          </w:p>
        </w:tc>
        <w:tc>
          <w:tcPr>
            <w:tcW w:w="98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680"/>
              <w:spacing w:after="0"/>
              <w:rPr>
                <w:sz w:val="20"/>
                <w:szCs w:val="20"/>
                <w:color w:val="auto"/>
              </w:rPr>
            </w:pPr>
            <w:r>
              <w:rPr>
                <w:rFonts w:ascii="Arial" w:cs="Arial" w:eastAsia="Arial" w:hAnsi="Arial"/>
                <w:sz w:val="18"/>
                <w:szCs w:val="18"/>
                <w:color w:val="auto"/>
              </w:rPr>
              <w:t>Reconciling items:</w:t>
            </w: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rPr>
              <w:t>Intangible asset</w:t>
            </w:r>
          </w:p>
        </w:tc>
        <w:tc>
          <w:tcPr>
            <w:tcW w:w="9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(681.6)</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expense</w:t>
            </w: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780"/>
              <w:spacing w:after="0" w:line="176" w:lineRule="exact"/>
              <w:rPr>
                <w:sz w:val="20"/>
                <w:szCs w:val="20"/>
                <w:color w:val="auto"/>
              </w:rPr>
            </w:pPr>
            <w:r>
              <w:rPr>
                <w:rFonts w:ascii="Arial" w:cs="Arial" w:eastAsia="Arial" w:hAnsi="Arial"/>
                <w:sz w:val="18"/>
                <w:szCs w:val="18"/>
                <w:color w:val="auto"/>
              </w:rPr>
              <w:t>Globally managed</w:t>
            </w: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140"/>
              <w:spacing w:after="0" w:line="176" w:lineRule="exact"/>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costs</w:t>
            </w: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rPr>
              <w:t>Litigation</w:t>
            </w:r>
          </w:p>
        </w:tc>
        <w:tc>
          <w:tcPr>
            <w:tcW w:w="9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settlements &amp; other</w:t>
            </w:r>
          </w:p>
        </w:tc>
        <w:tc>
          <w:tcPr>
            <w:tcW w:w="9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contingencies</w:t>
            </w: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780"/>
              <w:spacing w:after="0" w:line="176" w:lineRule="exact"/>
              <w:rPr>
                <w:sz w:val="20"/>
                <w:szCs w:val="20"/>
                <w:color w:val="auto"/>
              </w:rPr>
            </w:pPr>
            <w:r>
              <w:rPr>
                <w:rFonts w:ascii="Arial" w:cs="Arial" w:eastAsia="Arial" w:hAnsi="Arial"/>
                <w:sz w:val="18"/>
                <w:szCs w:val="18"/>
                <w:color w:val="auto"/>
              </w:rPr>
              <w:t>Transaction related</w:t>
            </w: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(920.7)</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and other special items</w:t>
            </w: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rPr>
              <w:t>Corporate and other</w:t>
            </w:r>
          </w:p>
        </w:tc>
        <w:tc>
          <w:tcPr>
            <w:tcW w:w="9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unallocated</w:t>
            </w: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460" w:type="dxa"/>
            <w:vAlign w:val="bottom"/>
          </w:tcPr>
          <w:p>
            <w:pPr>
              <w:ind w:left="680"/>
              <w:spacing w:after="0" w:line="156" w:lineRule="exact"/>
              <w:rPr>
                <w:sz w:val="20"/>
                <w:szCs w:val="20"/>
                <w:color w:val="auto"/>
              </w:rPr>
            </w:pPr>
            <w:r>
              <w:rPr>
                <w:rFonts w:ascii="Arial" w:cs="Arial" w:eastAsia="Arial" w:hAnsi="Arial"/>
                <w:sz w:val="18"/>
                <w:szCs w:val="18"/>
                <w:color w:val="auto"/>
              </w:rPr>
              <w:t>(Loss) earnings from</w:t>
            </w: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3"/>
                <w:szCs w:val="13"/>
                <w:color w:val="auto"/>
              </w:rPr>
            </w:pP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08"/>
        </w:trPr>
        <w:tc>
          <w:tcPr>
            <w:tcW w:w="2460" w:type="dxa"/>
            <w:vAlign w:val="bottom"/>
          </w:tcPr>
          <w:p>
            <w:pPr>
              <w:ind w:left="20"/>
              <w:spacing w:after="0" w:line="202" w:lineRule="exact"/>
              <w:rPr>
                <w:sz w:val="20"/>
                <w:szCs w:val="20"/>
                <w:color w:val="auto"/>
              </w:rPr>
            </w:pPr>
            <w:r>
              <w:rPr>
                <w:rFonts w:ascii="Arial" w:cs="Arial" w:eastAsia="Arial" w:hAnsi="Arial"/>
                <w:sz w:val="18"/>
                <w:szCs w:val="18"/>
                <w:color w:val="auto"/>
              </w:rPr>
              <w:t>operations</w:t>
            </w: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Net Sales</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Segment Profitability</w:t>
            </w:r>
          </w:p>
        </w:tc>
        <w:tc>
          <w:tcPr>
            <w:tcW w:w="980" w:type="dxa"/>
            <w:vAlign w:val="bottom"/>
            <w:tcBorders>
              <w:bottom w:val="single" w:sz="8" w:color="auto"/>
            </w:tcBorders>
          </w:tcPr>
          <w:p>
            <w:pPr>
              <w:spacing w:after="0"/>
              <w:rPr>
                <w:sz w:val="16"/>
                <w:szCs w:val="16"/>
                <w:color w:val="auto"/>
              </w:rPr>
            </w:pPr>
          </w:p>
        </w:tc>
      </w:tr>
      <w:tr>
        <w:trPr>
          <w:trHeight w:val="186"/>
        </w:trPr>
        <w:tc>
          <w:tcPr>
            <w:tcW w:w="438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Six Months Ended June 30,</w:t>
            </w:r>
          </w:p>
        </w:tc>
      </w:tr>
      <w:tr>
        <w:trPr>
          <w:trHeight w:val="18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6"/>
              </w:rPr>
              <w:t>2020</w:t>
            </w:r>
          </w:p>
        </w:tc>
      </w:tr>
      <w:tr>
        <w:trPr>
          <w:trHeight w:val="211"/>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Developed Markets</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5,212.0</w:t>
            </w:r>
          </w:p>
        </w:tc>
        <w:tc>
          <w:tcPr>
            <w:tcW w:w="100" w:type="dxa"/>
            <w:vAlign w:val="bottom"/>
          </w:tcPr>
          <w:p>
            <w:pPr>
              <w:spacing w:after="0"/>
              <w:rPr>
                <w:sz w:val="19"/>
                <w:szCs w:val="19"/>
                <w:color w:val="auto"/>
              </w:rPr>
            </w:pP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3,969.1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2,605.3</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2,037.6</w:t>
            </w:r>
          </w:p>
        </w:tc>
      </w:tr>
      <w:tr>
        <w:trPr>
          <w:trHeight w:val="229"/>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Greater China</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1,142.2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JANZ</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982.9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369.6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135.0</w:t>
            </w: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Emerging Markets</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1,624.7</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w:t>
            </w:r>
          </w:p>
        </w:tc>
      </w:tr>
      <w:tr>
        <w:trPr>
          <w:trHeight w:val="223"/>
        </w:trPr>
        <w:tc>
          <w:tcPr>
            <w:tcW w:w="4380" w:type="dxa"/>
            <w:vAlign w:val="bottom"/>
          </w:tcPr>
          <w:p>
            <w:pPr>
              <w:ind w:left="240"/>
              <w:spacing w:after="0"/>
              <w:rPr>
                <w:sz w:val="20"/>
                <w:szCs w:val="20"/>
                <w:color w:val="auto"/>
              </w:rPr>
            </w:pPr>
            <w:r>
              <w:rPr>
                <w:rFonts w:ascii="Arial" w:cs="Arial" w:eastAsia="Arial" w:hAnsi="Arial"/>
                <w:sz w:val="18"/>
                <w:szCs w:val="18"/>
                <w:color w:val="auto"/>
              </w:rPr>
              <w:t>Total reportable segments</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8,961.8</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5,284.1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4,468.3</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2,405.9</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Reconciling items:</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 expense</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w:t>
            </w: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Intangible asset impairment charges</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Globally managed research and development costs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Litigation settlements &amp; other contingencies</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related and other special items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r>
      <w:tr>
        <w:trPr>
          <w:trHeight w:val="229"/>
        </w:trPr>
        <w:tc>
          <w:tcPr>
            <w:tcW w:w="4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 unallocated</w:t>
            </w:r>
          </w:p>
        </w:tc>
        <w:tc>
          <w:tcPr>
            <w:tcW w:w="9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(1,041.1)</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(662.3)</w:t>
            </w: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earnings from operations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2020 Restructuring Program</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Viatris’ restructuring initiative incorporates and expands on the restructuring program announced by Mylan N.V. earlier in 2020 as part of its business transformation efforts. The Company expects to optimize its commercial capabilities and enabling functions, and close, downsize or divest up to 15 manufacturing facilities globally that are deemed to be no longer viable either due to surplus capacity, challenging market dynamics or a shift in its product portfolio toward more complex products. As a result, Viatris expects that up to 20% of its global workforce may be impacted upon completion of the restructuring initiative.</w:t>
      </w:r>
    </w:p>
    <w:p>
      <w:pPr>
        <w:spacing w:after="0" w:line="19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For the committed restructuring actions, the Company expects to incur total pre-tax charges ranging between $1.1 billion and $1.4 billion. Such charges are expected to include between $350 million and $450 million of non-cash charges mainly related to accelerated depreciation and asset impairment charges, including inventory write-offs. The remaining estimated cash costs of between $750 million and $950 million are expected to be primarily related to severance and employee benefits expense, as well as other costs, including those related to contract terminations and decommissioning costs.</w:t>
      </w:r>
    </w:p>
    <w:p>
      <w:pPr>
        <w:spacing w:after="0" w:line="188"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Charges for restructuring and ongoing cost reduction initiatives are recorded in the period the Company commits to a restructuring or cost reduction plan, or executes specific actions contemplated by the plan and all criteria for liability recognition have been met.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restructuring charges and the reserve activity for the 2020 restructuring program from December 31, 2020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Employee</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Exit Costs</w:t>
            </w:r>
          </w:p>
        </w:tc>
        <w:tc>
          <w:tcPr>
            <w:tcW w:w="260" w:type="dxa"/>
            <w:vAlign w:val="bottom"/>
          </w:tcPr>
          <w:p>
            <w:pPr>
              <w:spacing w:after="0"/>
              <w:rPr>
                <w:sz w:val="14"/>
                <w:szCs w:val="14"/>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7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Related Costs</w:t>
            </w:r>
          </w:p>
        </w:tc>
        <w:tc>
          <w:tcPr>
            <w:tcW w:w="12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Reimbursable restructuring charges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494.0</w:t>
            </w:r>
          </w:p>
        </w:tc>
        <w:tc>
          <w:tcPr>
            <w:tcW w:w="1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17" w:lineRule="exact"/>
        <w:rPr>
          <w:sz w:val="20"/>
          <w:szCs w:val="20"/>
          <w:color w:val="auto"/>
        </w:rPr>
      </w:pPr>
    </w:p>
    <w:p>
      <w:pPr>
        <w:jc w:val="both"/>
        <w:ind w:left="660" w:hanging="328"/>
        <w:spacing w:after="0" w:line="238" w:lineRule="auto"/>
        <w:tabs>
          <w:tab w:leader="none" w:pos="779"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June 30, 2021, total restructuring charges in Developed Markets, JANZ, Emerging Markets, and Corporate/Other were approximately $115.1 million, $107.5 million, $6.0 million, and $23.3 million respectively. For the six months ended June 30, 2021, total restructuring charges in Developed Markets, Greater China, JANZ, Emerging Markets, and Corporate/Other were approximately $381.6 million, $5.3 million, $109.0 million, $46.3 million, and $23.3 million, respectively.</w:t>
      </w:r>
    </w:p>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At June 30, 2021 and December 31, 2020, accrued liabilities for restructuring and other cost reduction programs were primarily included in other current liabilities and other long-term obligations in the condensed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Collaboration and Licensing Agreements</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We periodically enter into collaboration and licensing agreements with other pharmaceutical companies for the development, manufacture, marketing and/or sale of pharmaceutical products. Our significant collaboration and licensing agreements are primarily focused on the development, manufacturing, supply and commercialization of multiple, high-value generic biologic compounds, insulin analog products and respiratory products, among other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condensed consolidated balance sheets, except for obligations reflected as acquisition related contingent consideration. Refer to Note 11 </w:t>
      </w:r>
      <w:r>
        <w:rPr>
          <w:rFonts w:ascii="Arial" w:cs="Arial" w:eastAsia="Arial" w:hAnsi="Arial"/>
          <w:sz w:val="17"/>
          <w:szCs w:val="17"/>
          <w:i w:val="1"/>
          <w:iCs w:val="1"/>
          <w:color w:val="auto"/>
        </w:rPr>
        <w:t>Financial Instruments and Risk Management</w:t>
      </w:r>
      <w:r>
        <w:rPr>
          <w:rFonts w:ascii="Arial" w:cs="Arial" w:eastAsia="Arial" w:hAnsi="Arial"/>
          <w:sz w:val="17"/>
          <w:szCs w:val="17"/>
          <w:color w:val="auto"/>
        </w:rPr>
        <w:t xml:space="preserve"> for further discussion of contingent consideration. Our potential maximum development milestones not accrued for at June 30, 2021 totaled approximately $359 million</w:t>
      </w:r>
      <w:r>
        <w:rPr>
          <w:rFonts w:ascii="Arial" w:cs="Arial" w:eastAsia="Arial" w:hAnsi="Arial"/>
          <w:sz w:val="17"/>
          <w:szCs w:val="17"/>
          <w:i w:val="1"/>
          <w:iCs w:val="1"/>
          <w:color w:val="auto"/>
        </w:rPr>
        <w:t>.</w:t>
      </w:r>
      <w:r>
        <w:rPr>
          <w:rFonts w:ascii="Arial" w:cs="Arial" w:eastAsia="Arial" w:hAnsi="Arial"/>
          <w:sz w:val="17"/>
          <w:szCs w:val="17"/>
          <w:color w:val="auto"/>
        </w:rPr>
        <w:t xml:space="preserve"> We estimate that the amounts that may be paid through the end of 2021 to be approximately $24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significant changes to our collaboration and licensing agreements as disclosed in our 2020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Examinations</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spacing w:after="0" w:line="1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spacing w:after="0" w:line="176"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Company is subject to ongoing IRS examinations. The years 2015 through 2018 are open years under examination. The years 2012, 2013 and 2014 have one matter open, and a Tax Court petition was filed regarding the matter and a trial was held in December 2018 and is discussed further below.</w:t>
      </w:r>
    </w:p>
    <w:p>
      <w:pPr>
        <w:spacing w:after="0" w:line="124"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Several international audits are currently in progress. In some cases, the tax auditors have proposed adjustments or issued assessments to our tax positions, including with respect to intercompany transactions, and we are in ongoing discussions with some of the auditors regarding the validity of their positions.</w:t>
      </w:r>
    </w:p>
    <w:p>
      <w:pPr>
        <w:spacing w:after="0" w:line="184"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Australia, the tax authorities have issued notices of assessments to the Company for the years ended December 2009 to December 2019, subject to additional interest and penalties, concerning our tax position with respect to certain intercompany transactions. We intend to challenge these assessments in court in the event our objections are not sustained.</w:t>
      </w:r>
    </w:p>
    <w:p>
      <w:pPr>
        <w:spacing w:after="0" w:line="184"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In France, the tax authorities have issued notices of assessments to the Company for the years ended December 2013 to December 2016 concerning our tax position with respect to (i) certain intercompany transactions and (ii) whether income earned by a Company entity not domiciled in France should be subject to French tax. We have resolved our position concerning certain intercompany transactions with the tax authorities. Concerning the remaining issue, we anticipate it will become the subject of litigation before the French tax courts in which the tax authorities will seek unpaid taxes, penalties, and interest.</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has recorded a reserve for uncertain tax positions of $73.1 million and $134.6 million, including interest and penalties, in connection with its international audits at June 30, 2021 and December 31, 2020, respectively. The reserve balance at June 30, 2021 reflects the impact of current year settlement payments. In connection with our international tax audits, including in Australia and France, it is possible that we will incur material losses above the amounts reserved.</w:t>
      </w:r>
    </w:p>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Company’s major U.S. state taxing jurisdictions remain open from fiscal year 2013 through 2020, with several state audits currently in progress. The Company’s major international taxing jurisdictions remain open from 2012 through 2020.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Court Proceedings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U.S. federal income tax returns for 2012 through 2014 had been subject to proceedings in U.S. Tax Court involving a dispute with the IRS regarding whether certain costs related to ANDAs were eligible to be expensed and deducted immediately or required to be amortized over longer periods. A trial was held in U.S. Tax Court in December 2018 and on April 27, 2021, the Court affirmed Mylan’s position and held that patent litigation expenses related to ANDAs are immediately deductible.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Uncertainty in Income Taxes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Litigation</w:t>
      </w:r>
    </w:p>
    <w:p>
      <w:pPr>
        <w:spacing w:after="0" w:line="229" w:lineRule="exact"/>
        <w:rPr>
          <w:sz w:val="20"/>
          <w:szCs w:val="20"/>
          <w:color w:val="auto"/>
        </w:rPr>
      </w:pPr>
    </w:p>
    <w:p>
      <w:pPr>
        <w:jc w:val="both"/>
        <w:ind w:right="440" w:firstLine="648"/>
        <w:spacing w:after="0" w:line="311" w:lineRule="auto"/>
        <w:rPr>
          <w:sz w:val="20"/>
          <w:szCs w:val="20"/>
          <w:color w:val="auto"/>
        </w:rPr>
      </w:pPr>
      <w:r>
        <w:rPr>
          <w:rFonts w:ascii="Arial" w:cs="Arial" w:eastAsia="Arial" w:hAnsi="Arial"/>
          <w:sz w:val="16"/>
          <w:szCs w:val="16"/>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spacing w:after="0" w:line="14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spacing w:after="0" w:line="18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5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and/or stock price. If and when any reasonably possible losses associated with the resolution of such other pending proceedings, in the opinion of the Company, become material, the Company will disclose such matters.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Legal costs are recorded as incurred and are classified in SG&amp;A in the Company’s condensed consolidated statements of operations.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EpiPen® Auto-Injector Litigation</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 has been named as a defendant in putative indirect purchaser class actions relating to the pricing and/or marketing of the EpiPen® Auto-Injector. The plaintiffs in these cases assert violations of various federal and state antitrust and consumer protection laws, RICO as well as common law claims. Plaintiffs’ claims include purported challenges to the prices charged for the EpiPen® Auto-Injector and/or the marketing of the product in packages containing two auto-injectors, as well as allegedly anti-competitive conduct. A former Mylan N.V. officer and other non-Viatris affiliated companies are also defendants in some of the class actions. Plaintiffs’ seek monetary damages, attorneys’ fees and costs. These lawsuits were filed in various federal and state courts and have either been dismissed or transferred into a MDL in the U.S. District Court for the District of Kansas and have been consolidated. The District Court certified an antitrust class that applies to 17 states and a RICO class. On June 23, 2021, the Court granted – in substantial part –the Company’s and former Mylan N.V. officer’s motion for summary judgment by dismissing certain antitrust claims and the RICO claims, which included RICO claims asserted against the former Mylan N.V. officer. Plaintiffs filed a motion for reconsideration of the summary judgment decision with respect to the RICO claims. On July 8, 2021, the Company filed a motion to decertify the class action with respect to the remaining antitrust claims. A trial on the remaining antitrust claims against the Company is currently scheduled to begin on January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February 14, 2020, the Company, together with other non-Viatris affiliated companies, were named as defendants in a putative direct purchaser class action filed in the U.S. District Court for the District of Kansas relating to the pricing and/or marketing of the EpiPen® Auto-Injector. The plaintiff in this case asserts federal antitrust claims which are based on allegations that are similar to those in the putative indirect purchaser class actions discussed above. On November 3, 2020, the plaintiff filed a second amended complaint that is substantially similar to the allegations in the amended complaint. Plaintiffs’ seek monetary damages, declaratory relief, attorneys’ fees and costs. On July 26, 2021, the Court dismissed the second amended complaint with an option for Plaintiff to file a limited amended complaint within 30 days.</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Beginning in March 2020, the Company, together with other non-Viatris affiliated companies, were named as defendants in putative direct purchaser class actions filed in the U.S. District Court for the District of Minnesota relating to contracts with certain pharmacy benefit managers concerning EpiPen® Auto-Injector. The plaintiffs claim that the alleged conduct resulted in the exclusion or restriction of competing products and the elimination of pricing constraints in violation of RICO and federal antitrust law. These actions have been consolidated. Plaintiffs’ seek monetary damages, attorneys’ fees and costs.</w:t>
      </w:r>
    </w:p>
    <w:p>
      <w:pPr>
        <w:spacing w:after="0" w:line="188"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On April 24, 2017, Sanofi Aventis U.S., LLC (“Sanofi”) filed a lawsuit against the Company in the U.S. District Court for the District of New Jersey. This lawsuit has been transferred into the aforementioned MDL and alleges exclusive dealing and anti-competitive marketing practices in violation of the antitrust laws in connection with the sale and marketing of the EpiPen® Auto-Injector. Sanofi seeks monetary damages, declaratory relief, attorneys’ fees and costs. The Court granted the Company’s motion for summary judgment and dismissed Sanofi’s claims. Sanofi’s appeal is pending.</w:t>
      </w:r>
    </w:p>
    <w:p>
      <w:pPr>
        <w:spacing w:after="0" w:line="15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has a total accrual of approximately $10.0 million related to this matter at June 30, 2021, which is included in other current liabilities 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Drug Pricing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Department of Justice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December 3, 2015, the Company received a subpoena from the Antitrust Division of the DOJ seeking information relating to the marketing, pricing, and sale of certain of our generic products and any communications with competitors about such products. On September 8, 2016, the Company, as well as certain employees and a member of senior management, received subpoenas from the DOJ seeking similar information. Related search warrants also were executed.</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May 10, 2018, the Company received a civil investigative demand from the Civil Division of the DOJ seeking information relating to the pricing and sale of its generic drug products.</w:t>
      </w:r>
    </w:p>
    <w:p>
      <w:pPr>
        <w:spacing w:after="0" w:line="170"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We are fully cooperating with these investigations, which we believe are related to a broader industry-wide investigation of the generic pharmaceutical industry.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Civil Litigation</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Beginning in 2016, the Company, along with other manufacturers, has been named as a defendant in lawsuits generally alleging anticompetitive conduct with respect to generic drugs. The lawsuits have been filed by plaintiffs, including putative classes of direct purchasers, indirect purchasers, and indirect resellers, as well as individual direct and indirect purchasers and certain cities and counties. They allege harm under federal and state laws, including federal and state antitrust laws, state consumer protection laws and unjust enrichment claims. Some of the lawsuits also name as defendants the Company’s President, including allegations against him with respect to a single drug product, and one of the Company’s sales employees, including allegations against him with respect to certain generic drugs. The lawsuits have been consolidated in an MDL proceeding in the Eastern District of Pennsylvania (“EDPA”). Plaintiffs generally seek monetary damages, restitution, declaratory and injunctive relief, attorneys’ fees and costs. The Court has ordered certain plaintiffs’ complaints regarding two single-drug product cases to proceed as bellwethers. The Company is named in those plaintiffs’ complaints that regard one of the two individual drug products.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Attorneys General Litigation</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originally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has been transferred to the aforementioned MDL proceeding in the EDPA. The operative complaint includes attorneys general of forty-seven states, the District of Columbia and the Commonwealth of Puerto Rico. The Company is alleged to have engaged in anticompetitive conduct with respect to four generic drug products. The amended complaint also includes claims asserted by attorneys general of thirty-seven states and the Commonwealth of Puerto Rico against certain individuals, including the Company’s President, with respect to a single drug product. The amended complaint seeks declaratory and injunctive relief, disgorgement, attorneys’ fees and costs, and certain states seek monetary damages, civil penalties, and restitution.</w:t>
      </w:r>
    </w:p>
    <w:p>
      <w:pPr>
        <w:spacing w:after="0" w:line="18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May 10, 2019, certain attorneys general filed a new complaint in the United States District Court for the District of Connecticut against various drug manufacturers and individuals, including the Company and one of its sales employees, alleging anticompetitive conduct with respect to additional generic drugs. On November 1, 2019, the complaint was amended, adding additional states as plaintiffs. The operative complaint is brought by attorneys general of forty-eight states, certain territories and the District of Columbia. The amended complaint also includes claims asserted by attorneys general of forty-three states and certain territories against several individuals, including a Company sales employee. The amended complaint seeks declaratory and injunctive relief, disgorgement, attorneys’ fees and costs, and certain states seek monetary damages, civil penalties, and restitution. This lawsuit has been transferred to the aforementioned MDL proceeding in the EDPA.</w:t>
      </w:r>
    </w:p>
    <w:p>
      <w:pPr>
        <w:spacing w:after="0" w:line="177"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On June 10, 2020, attorneys general of forty-six states, certain territories and the District of Columbia filed a new complaint in the United States District Court for the District of Connecticut against drug manufacturers, including the Company, and individual defendants (none from the Company), alleging anticompetitive conduct with respect to additional generic drugs. The complaint seeks declaratory and injunctive relief, disgorgement, attorneys’ fees and costs, and certain states seek monetary damages, civil penalties, and restitution. This lawsuit has been transferred to the aforementioned MDL proceeding in the EDPA. The court has ordered that this case proceed as a bellwether.</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Securities Related Litigation</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Purported class action complaints were filed in October 2016 against Mylan N.V. and Mylan Inc. (collectively “Mylan”), certain of Mylan’s former directors and officers, and certain of the Company’s current directors and officers (collectively, for purposes of this paragraph, the “defendants”) in the United States District Court for the Southern District of New York (“SDNY”) on behalf of certain purchasers of securities of Mylan on the NASDAQ. The complaints alleged that defendants made false or misleading statements and omissions of purportedly material fact, in violation of federal securities laws, in connection with disclosures relating to the classification of their EpiPen® Auto-Injector as a non-innovator drug for purposes of the Medicaid Drug Rebate Program. On March 20, 2017, a consolidated amended complaint was filed alleging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substantially similar claims, but adding allegations that defendants made false or misleading statements and omissions of purportedly material fact in connection with allegedly anticompetitive conduct with respect to EpiPen® Auto-Injector and certain generic drugs.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operative complaint is the third amended consolidated complaint, which was filed on June 17, 2019, and contains the allegations as described above against Mylan, certain of Mylan’s former directors and officers, and certain of the Company’s current directors, officers, and employees (collectively, for purposes of this paragraph, the “defendants”). A class has been certified covering all persons or entities that purchased Mylan common stock between February 21, 2012 and May 24, 2019 excluding defendants, certain of the Company’s current directors and officers, former directors and officers of Mylan, members of their immediate families and their legal representatives, heirs, successors or assigns, and any entity in which defendants have or had a controlling interest. Plaintiffs seek damages and costs and expenses, including attorneys’ fees and expert costs.</w:t>
      </w:r>
    </w:p>
    <w:p>
      <w:pPr>
        <w:spacing w:after="0" w:line="16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On April 30, 2017, a similar lawsuit was filed in the Tel Aviv District Court (Economic Division) in Israel, which has been stayed pending a decision in the SDNY class action litigation.</w:t>
      </w:r>
    </w:p>
    <w:p>
      <w:pPr>
        <w:spacing w:after="0" w:line="170"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On February 26, 2019, MYL Litigation Recovery I LLC (“MYL Plaintiff”) (an assignee of entities that purportedly purchased stock of Mylan N.V.) filed an additional complaint in the SDNY against Mylan, certain of Mylan’s former officers and directors, and an officer of the Company asserting allegations pertaining to EpiPen® Auto-Injector under the federal securities laws that overlap in part with those asserted in the third amended complaint identified above. MYL Plaintiff’s complaint seeks monetary damages as well as the plaintiff’s costs. On May 6, 2020, MYL Plaintiff filed an amended complaint including additional allegations in connection with purportedly anticompetitive conduct with respect to EpiPen® Auto-Injector.</w:t>
      </w:r>
    </w:p>
    <w:p>
      <w:pPr>
        <w:spacing w:after="0" w:line="16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MYL Plaintiff subsequently filed a summons on October 30, 2020, naming Mylan, certain of Mylan’s former officers and directors, and certain of the Company’s current officers, directors, and employees in New York State Court, County of New York, claiming investment losses suffered as a result of purportedly false and misleading statements in connection with allegedly anticompetitive conduct concerning generic pharmaceuticals. Plaintiff is seeking monetary and punitive damages, attorneys’ fees and costs. The parties have resolved both matters filed by MYL Plaintiff and they have been dismissed with prejudice.</w:t>
      </w:r>
    </w:p>
    <w:p>
      <w:pPr>
        <w:spacing w:after="0" w:line="188" w:lineRule="exact"/>
        <w:rPr>
          <w:sz w:val="20"/>
          <w:szCs w:val="20"/>
          <w:color w:val="auto"/>
        </w:rPr>
      </w:pPr>
    </w:p>
    <w:p>
      <w:pPr>
        <w:ind w:right="460" w:firstLine="648"/>
        <w:spacing w:after="0" w:line="311" w:lineRule="auto"/>
        <w:rPr>
          <w:sz w:val="20"/>
          <w:szCs w:val="20"/>
          <w:color w:val="auto"/>
        </w:rPr>
      </w:pPr>
      <w:r>
        <w:rPr>
          <w:rFonts w:ascii="Arial" w:cs="Arial" w:eastAsia="Arial" w:hAnsi="Arial"/>
          <w:sz w:val="16"/>
          <w:szCs w:val="16"/>
          <w:color w:val="auto"/>
        </w:rPr>
        <w:t>On February 14, 2020, the Abu Dhabi Investment Authority filed a complaint against Mylan in the SDNY asserting allegations pertaining to EpiPen® Auto-Injector and certain generic drugs under the federal securities laws that overlap with those asserted in the third amended complaint identified above. The Abu Dhabi Investment Authority’s complaint seeks monetary damages as well as the plaintiff’s fees and costs.</w:t>
      </w:r>
    </w:p>
    <w:p>
      <w:pPr>
        <w:spacing w:after="0" w:line="14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June 26, 2020, a putative class action complaint was filed by the Public Employees Retirement System of Mississippi, which was subsequently amended on November 13, 2020, against Mylan N.V., certain of Mylan N.V.’s former directors and officers, and an officer and director of the Company (collectively for the purposes of this paragraph, the “defendants”) in the U.S. District Court for the Western District of Pennsylvania on behalf of certain purchasers of securities of Mylan N.V. The amended complaint alleges that defendants made false or misleading statements and omissions of purportedly material fact, in violation of federal securities laws, in connection with disclosures relating to the Morgantown manufacturing plant and inspections at the plant by the FDA. Plaintiff seeks certification of a class of purchasers of Mylan N.V. securities between February 16, 2016 and May 7, 2019. The complaint seeks monetary damages, as well as the plaintiff’s fees and costs.</w:t>
      </w:r>
    </w:p>
    <w:p>
      <w:pPr>
        <w:spacing w:after="0" w:line="17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On February 15, 2021, a complaint was filed by Skandia Mutual Life Ins. Co., Lansforsakringar AB, KBC Asset Management N.V., and GIC Private Limited, against the Company, certain of Mylan N.V.’s former directors and officers, a current director and officer of the Company, and current employees of the Company. The Complaint asserts claims which are based on allegations that are similar to those in the SDNY and the Western District of Pennsylvania complaints identified above. Plaintiffs seek compensatory damages, costs and expenses and attorneys’ fees.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Opioids</w:t>
      </w:r>
    </w:p>
    <w:p>
      <w:pPr>
        <w:spacing w:after="0" w:line="225"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The Company, along with other manufacturers, distributors, pharmacies, pharmacy benefit managers, and individual healthcare providers is a defendant in more than 1,000 cases in the United States and Canada filed by various plaintiffs, including counties, cities and other local governmental entities, asserting civil claims related to sales, marketing and/or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distribution practices with respect to prescription opioid products. In addition, lawsuits have been filed as putative class actions including on behalf of children with Neonatal Abstinence Syndrome due to alleged exposure to opioids.</w:t>
      </w:r>
    </w:p>
    <w:p>
      <w:pPr>
        <w:spacing w:after="0" w:line="170"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w:t>
      </w:r>
    </w:p>
    <w:p>
      <w:pPr>
        <w:spacing w:after="0" w:line="16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In November 2019, the Company received a subpoena from the New York Department of Financial Services as part of an industry-wide inquiry into the effect of opioid prescriptions on New York health insurance premiums. The Company is fully cooperating with this subpoena request.</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European Commission Proceedings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Perindopril</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July 9, 2014, the Commission issued a decision finding that the Company as well as several other companies, had violated EU competition rules relating to the product Perindopril and fined the Company approximately €17.2 million. The Company paid approximately $21.7 million related to this matter during the fourth quarter of 2014. The decision was affirmed on appeal by the General Court of the EU and is now on appeal to the CJEU. The Company has received a notice from an organization representing health insurers in the Netherlands stating an intention to commence follow-on litigation and asserting monetary damages.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Citalopram</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On June 19, 2013, the Commission issued a decision finding that the Company as well as several other companies, had violated EU competition rules relating to the product Citalopram and fined the Company approximately €7.8 million, jointly and severally with Merck KGaA. The decision was affirmed on appeal by the General Court of the EU and the CJEU. The Commission’s matter as to the Company is now closed. The Company has received notices from European NHS and health insurers stating an intention to commence follow-on litigation and asserting monetary damages. The NHS England and Wales has instituted litigation against all parties to the Commission’s decision, including the Company.</w:t>
      </w:r>
    </w:p>
    <w:p>
      <w:pPr>
        <w:spacing w:after="0" w:line="17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has also sought indemnification from Merck KGaA with respect to the €7.8 million portion of the fine for which Merck KGaA and the Company were held jointly and severally liable. Merck KGaA has counterclaimed against the Company seeking the same indemnification. In June 2018, the Frankfurt Regional Court issued a judgment ordering the Company to indemnify Merck KGaA with respect to the amount for which the parties were held jointly and severally liable. The Company has appealed this decision.</w:t>
      </w:r>
    </w:p>
    <w:p>
      <w:pPr>
        <w:spacing w:after="0" w:line="187"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The Company has accrued approximately €11.2 million as of June 30, 2021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U.K. Competition and Markets Authority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Paroxetine</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August 12, 2011, the Company received notice that the Office of Fair Trading (now the “CMA”) opened an investigation regarding possible infringement of the Competition Act 1998 and Articles 101 and 102 of the Treaty on the Functioning of the EU, with respect to alleged agreements related to Paroxetine. The CMA issued a decision on February 12, 2016, finding that the Company, Merck KGaA, and other companies were liable for infringing EU and U.K. competition rules. The CMA issued a penalty to Merck KGaA of approximately £5.8 million, for which the Company is jointly and severally liable for approximately £2.7 million. On appeal, the CAT affirmed the CMA’s decision but reduced the penalty to Merck KGaA to approximately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£3.9 million, and reduced the amount for which the Company is jointly and severally liable to approximately £2.05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has also received a notice from the NHS England and Wales stating an intention to commence follow- on litigation and asserting monetary damages.</w:t>
      </w:r>
    </w:p>
    <w:p>
      <w:pPr>
        <w:spacing w:after="0" w:line="170"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The Company has accrued approximately £10.1 million as of June 30, 2021 related to this matter. It is reasonably possible that the Company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22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spacing w:after="0" w:line="165"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Company has accrued approximately $103.1 million as of June 30, 2021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Nitrosamines</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Company, along with numerous other manufacturers, retailers, and others, are parties to litigation relating to alleged trace amounts of nitrosamine impurities in certain products, including valsartan and ranitidine. The vast majority of these lawsuits in the United States are pending in two MDLs, namely an MDL pending in the United States District Court for the District of New Jersey concerning valsartan and an MDL pending in the United States District Court for the Southern District of Florida concerning raniditine. The lawsuits against the Company in the MDLs include putative class actions seeking the refund of the purchase price and other economic and punitive damages allegedly sustained by consumers and end payors as well as individuals seeking compensatory and punitive damages for personal injuries allegedly caused by ingestion of the medications. Similar lawsuits pertaining to valsartan have been filed in Canada and other countries. The Company has also received claims and inquiries related to these products, as well as requests to indemnify purchasers of the Company’s API and/ or finished dose forms of these products. The original master complaints concerning ranitidine were dismissed on December 31, 2020. The Company has not been named as a defendant in the amended master complaints, though it is still named in certain short form personal injury complaints. The end-payor plaintiffs in the ranitidine matter have filed an appeal to the U.S. Court of Appeals for the Eleventh Circuit.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Lipitor</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Since 2016, certain cases in the MDL were remanded to certain state courts. In 2017, the District Court granted Pfizer’s motion for summary judgment, dismissing all of the cases pending in the MDL. In June 2018, this dismissal was affirmed by the U.S. Court of Appeals for the Fourth Circuit. The state court proceedings remain pending in various jurisdictions, including in California, Missouri, and New York. On January 27, 2021, the California Court granted Pfizer’s motion to exclude the opinions of plaintiffs’ only general causation expert in connection with his opinions involving the three lowest doses of Lipitor (10, 20 and 40 mg). The Company filed a motion for summary judgment - which remains pending - in connection with the 10, 20, and 40 mg plaintiffs on June 7, 2021 and Plaintiffs did not file an opposition.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Viagra</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Since April 2016, an MDL has been pending in the U.S. District Court for the Northern District of California, in which plaintiffs allege that they developed melanoma and/or the exacerbation of melanoma purportedly as a result of the ingestion of Viagra. Additional cases filed against Eli Lilly and Company (“Lilly”) with respect to Cialis have also been consolidated in the MDL. Plaintiffs seek compensatory and punitive damages. In January 2020, the District Court granted Pfizer’s and Lilly’s motion to exclude all of plaintiffs’ general causation opinions. As a result, in April 2020, the District Court entered summary judgment in favor of defendants and dismissed all of plaintiffs’ claims. In April 2020, plaintiffs filed a notice of appeal in the U.S. Court of Appeals for the Ninth Circuit. The parties have reached a settlement in principle.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Dilantin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Since 2018, a number of individual and multi-plaintiff lawsuits have been filed against Pfizer and related entities in various federal and state courts, alleging that the plaintiffs developed cerebellar atrophy as a result of the ingestion of Dilantin. Plaintiffs seek compensatory and punitive damages. The cases are in various stages, from the initial pleading stage to discovery, and some at the bellwether case selection phase. The parties have reached a settlement in principle.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is involved in a number of patent litigation lawsuits involving the validity and/or infringement of patents held by branded pharmaceutical manufacturers including but not limited to the matters described below. 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and/or stock price.</w:t>
      </w:r>
    </w:p>
    <w:p>
      <w:pPr>
        <w:spacing w:after="0" w:line="18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has accrued approximately $302.5 million as of June 30, 2021 for its intellectual property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Insulin Glargine</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On October 24, 2017, Sanofi and affiliated entities (collectively for the purposes of this section, “Sanofi”), sued Mylan GmbH and other Mylan entities in the U.S. District Court for the District of New Jersey asserting that Mylan GmbH’s new drug application for insulin glargine injection 100 Units/mL vials and prefilled injection pens (SEMGLEE® vial and pens) infringed 18 U.S. patents. 2 of the 18 patents covered the insulin glargine formulation. Both of these patents have been held invalid and all appeals have concluded. These two patents were the only patents asserted against the SEMGLEE® vial product.</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16 other asserted patents relate to a pen injection device (“device patents”) and were asserted only against the SEMGLEE® pen injection device. Prior to trial, Sanofi dismissed 12 of those device patents from the case and granted the Company a covenant not to sue with respect to them. On June 17, 2019, following the District Court’s claim construction order, the District Court entered judgment of non-infringement with respect to the asserted claims of three of the four remaining device patents (U.S. Patent Numbers 8,603,044, 8,679,069, 8,992,486).</w:t>
      </w:r>
    </w:p>
    <w:p>
      <w:pPr>
        <w:spacing w:after="0" w:line="171"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Only one device patent remained for trial (U.S. Patent Number 9,526,844). On March 9, 2020, the District Court issued an opinion after trial finding all asserted claims of the ‘844 patent not infringed and invalid for lack of written description. Sanofi’s appeal is pending.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September 10, 2018, Mylan Pharmaceuticals Inc. (“MPI”) filed IPR petitions challenging five device patents (the ‘844, ‘044, ‘069, ‘486, and ‘008 patents). On April 2, 2020 and May 29, 2020, the PTAB issued final written decisions in the IPR proceedings finding all challenged claims unpatentable except for two claims of the ‘008 patent for which Sanofi granted the Company a covenant not to sue as described above. Sanofi’s appeals of all these IPR decisions are pending.</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March 26, 2021, the PTAB issued a final written decision in an IPR proceeding in which MPI challenged an additional Sanofi device patent (U.S. Patent Number RE47,614) and found all challenged claims unpatentable. Sanofi’s appeal is pending.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June 11, 2020, the FDA approved the SEMGLEE® vial and pen products, which MPI began selling on August 31,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Dimethyl Fumarate</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On June 30, 2017, Biogen MA Inc. and Biogen International GmbH (collectively, “Biogen”) sued MPI in the U.S. District Court for the Northern District of West Virginia asserting that MPI’s abbreviated new drug application for dimethyl fumarate delayed-release capsules containing 120 mg and 240 mg of dimethyl fumarate (generic for Tecfidera®) infringed six U.S. patents that Biogen had listed in the Orange Book: 6,509,376, 7,320,999, 7,619,001, 7,803,840, 8,759,393, and 8,399,514. All patents except for the ‘514 expired during the litigation and were dismissed from the case.</w:t>
      </w:r>
    </w:p>
    <w:p>
      <w:pPr>
        <w:spacing w:after="0" w:line="15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After a trial involving only the ’514 patent on June 18, 2020, the District Court issued a judgment finding all claims of the ’514 patent invalid for lack of adequate written description. Biogen’s appeal is pending.</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July 13, 2018, MPI filed an IPR petition challenging the ’514 patent based only on obviousness. On February 5, 2020, the PTAB issued a final written decision finding the claims not obvious. MPI’s appeal is pending.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17, 2020, the FDA approved MPI’s dimethyl fumarate delayed-release capsules, which MPI began selling on August 18, 2020.</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Lyrica - United Kingdom</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Beginning in 2014, Pfizer was involved in patent litigation in the English courts concerning the validity of its Lyrica pain use patent. In 2015, the High Court of Justice in London ordered that the NHS England issue guidance for prescribers and pharmacists directing the prescription and dispensing of Lyrica by brand when pregabalin was prescribed for the treatment of neuropathic pain and entered a preliminary injunction against certain Sandoz group companies preventing the sale of Sandoz’s full label pregabalin product. Pfizer undertook to compensate certain generic companies and NHS entities for losses caused by these orders, which remained in effect until patent expiration in July 2017. In November 2018, the U.K. Supreme Court ruled that all the relevant claims directed to neuropathic pain were invalid.</w:t>
      </w:r>
    </w:p>
    <w:p>
      <w:pPr>
        <w:spacing w:after="0" w:line="17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Dr. Reddy’s Laboratories filed a claim for monetary damages, interest, and costs in May 2020, followed by the Scottish Ministers and fourteen Scottish Health Boards (together, NHS Scotland) in July 2020. In September 2020, Teva, Sandoz, Ranbaxy, Actavis, and the Secretary of State for Health and Social Care, together with 32 other NHS entities (together, NHS England, Wales, Scotland and Northern Ireland) filed their claims. The claim filed by Sandoz has been resolved and we have reached a settlement in principle to resolve the claim filed by Ranbaxy.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Lyrica - Canada</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June 2014, Pharmascience Inc. (“PMS”) commenced an action against Pfizer Canada Inc., Warner-Lambert Company and Warner-Lambert Company LLC (the Pfizer Canada Defendants) seeking damages in connection with an earlier unsuccessful patent litigation brought by the Pfizer Canada Defendants involving pregabalin. PMS claims lost profit damages from November 30, 2010, the date it received tentative regulatory approval for its pregabalin product, to February 13, 2013, the date Pfizer’s patent case against PMS was dismissed. A trial that will take place intermittently over a few week period began on July 19, 2021.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Litigation</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Company is involved in various other legal proceedings including commercial, contractual, employment, or other similar matters that are considered normal to its business. The Company has approximately $12.7 million accrued related to these various other legal proceedings at June 30, 2021.</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following discussion and analysis addresses material changes in the financial condition and results of operations of Viatris Inc. and</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subsidiaries for the periods presented. Unless context requires otherwise, the “Company,” “Viatris,” “our” or “we” refer to Viatris Inc. and its subsidiaries.</w:t>
      </w:r>
    </w:p>
    <w:p>
      <w:pPr>
        <w:spacing w:after="0" w:line="234"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This discussion and analysis should be read in conjunction with the Consolidated Financial Statements, the related Notes to Consolidated Financial Statements and Management’s Discussion and Analysis of Financial Condition and Results of Operations included in Viatris’ 2020 Form 10-K, the unaudited interim financial statements and related Notes included in Part I — ITEM 1 of this Form 10-Q and our other SEC filings and public disclosures. The interim results of operations and comprehensive earnings for the three and six months ended June 30, 2021, and cash flows for the six months ended June 30, 2021 are not necessarily indicative of the results to be expected for the full fiscal year or any other future period.</w:t>
      </w:r>
    </w:p>
    <w:p>
      <w:pPr>
        <w:spacing w:after="0" w:line="16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This Form 10-Q contains “forward-looking statements”. These statements are made pursuant to the safe harbor provisions of the Private Securities Litigation Reform Act of 1995. Such forward-looking statements may include, without limitation, statements about the Combination, the benefits and synergies of the Combination or our global restructuring program, future opportunities for the Company and its products and any other statements regarding the Company’s future operations, financial or operating results, capital allocation, dividend policy and payments, debt ratio and covenants, anticipated business levels, future earnings, planned activities, anticipated growth, market opportunities, strategies, competitions,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200" w:lineRule="exact"/>
        <w:rPr>
          <w:sz w:val="20"/>
          <w:szCs w:val="20"/>
          <w:color w:val="auto"/>
        </w:rPr>
      </w:pPr>
    </w:p>
    <w:p>
      <w:pPr>
        <w:spacing w:after="0" w:line="215" w:lineRule="exact"/>
        <w:rPr>
          <w:sz w:val="20"/>
          <w:szCs w:val="20"/>
          <w:color w:val="auto"/>
        </w:rPr>
      </w:pPr>
    </w:p>
    <w:p>
      <w:pPr>
        <w:ind w:left="660" w:hanging="328"/>
        <w:spacing w:after="0" w:line="228"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integration of Mylan and the Upjohn Business or the implementation of the Company’s global restructuring program being more difficult, time consuming or costly than expected;</w:t>
      </w:r>
    </w:p>
    <w:p>
      <w:pPr>
        <w:ind w:left="660" w:right="720" w:hanging="328"/>
        <w:spacing w:after="0" w:line="21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achieve expected benefits, synergies and operating efficiencies in connection with the Combination or its global restructuring program within the expected timeframe or at all;</w:t>
      </w:r>
    </w:p>
    <w:p>
      <w:pPr>
        <w:ind w:left="660" w:right="300" w:hanging="328"/>
        <w:spacing w:after="0" w:line="21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successfully integrate Mylan and the Upjohn Business or implement its global restructuring program;</w:t>
      </w:r>
    </w:p>
    <w:p>
      <w:pPr>
        <w:ind w:left="660" w:right="900" w:hanging="328"/>
        <w:spacing w:after="0" w:line="21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operational or financial difficulties or losses associated with the Company’s reliance on agreements with Pfizer in connection with the Combination, including with respect to transition services;</w:t>
      </w: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achieve all intended benefits of its strategic initiatives;</w:t>
      </w:r>
    </w:p>
    <w:p>
      <w:pPr>
        <w:ind w:left="660" w:right="560" w:hanging="328"/>
        <w:spacing w:after="0" w:line="21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impact of public health outbreaks, epidemics and pandemics, including the ongoing challenges and uncertainties posed by the COVID-19 pandemic;</w:t>
      </w: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failure to achieve expected or targeted future financial and operating performance and results;</w:t>
      </w: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actions and decisions of healthcare and pharmaceutical regulators;</w:t>
      </w:r>
    </w:p>
    <w:p>
      <w:pPr>
        <w:ind w:left="660" w:right="60" w:hanging="328"/>
        <w:spacing w:after="0" w:line="21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relevant laws and regulations, including but not limited to changes in tax, healthcare and pharmaceutical laws and regulations globally (including the impact of potential tax reform in the U.S.);</w:t>
      </w: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attract and retain key personnel;</w:t>
      </w: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liquidity, capital resources and ability to obtain financing;</w:t>
      </w:r>
    </w:p>
    <w:p>
      <w:pPr>
        <w:ind w:left="660" w:right="680" w:hanging="328"/>
        <w:spacing w:after="0" w:line="21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regulatory, legal or other impediments to the Company’s ability to bring new products to market, including but not limited to “at-risk launches”;</w:t>
      </w:r>
    </w:p>
    <w:p>
      <w:pPr>
        <w:ind w:left="660" w:right="660" w:hanging="328"/>
        <w:spacing w:after="0" w:line="21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 of clinical trials and the Company’s or its partners’ ability to execute on new product opportunities and develop, manufacture and commercialize products;</w:t>
      </w:r>
    </w:p>
    <w:p>
      <w:pPr>
        <w:ind w:left="660" w:right="260" w:hanging="328"/>
        <w:spacing w:after="0" w:line="21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changes in or difficulties with the Company’s manufacturing facilities, including with respect to inspections, remediation and restructuring activities, supply chain or inventory or the ability to meet anticipated demand;</w:t>
      </w:r>
    </w:p>
    <w:p>
      <w:pPr>
        <w:ind w:left="660" w:right="280" w:hanging="328"/>
        <w:spacing w:after="0" w:line="21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timing and outcome of any ongoing legal proceedings, including government inquiries or investigations, and the impact of any such proceedings on the Company;</w:t>
      </w: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significant breach of data security or data privacy or disruptions to our information technology systems;</w:t>
      </w: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associated with having significant operations globally;</w:t>
      </w: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protect intellectual property and preserve intellectual property rights;</w:t>
      </w: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third-party relationships;</w:t>
      </w:r>
    </w:p>
    <w:p>
      <w:pPr>
        <w:ind w:left="660" w:right="520" w:hanging="328"/>
        <w:spacing w:after="0" w:line="23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 of any changes in the Company’s or its partners’ customer and supplier relationships and customer purchasing patterns, including customer loss and business disruption being greater than expected following the Combination;</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impacts of competition, including decreases in sales or revenues as a result of the loss of market exclusivity for certain products;</w:t>
      </w:r>
    </w:p>
    <w:p>
      <w:pPr>
        <w:ind w:left="660" w:hanging="328"/>
        <w:spacing w:after="0" w:line="21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economic and financial conditions of the Company or its partners;</w:t>
      </w:r>
    </w:p>
    <w:p>
      <w:pPr>
        <w:ind w:left="660" w:hanging="328"/>
        <w:spacing w:after="0" w:line="21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uncertainties regarding future demand, pricing and reimbursement for the Company’s products;</w:t>
      </w:r>
    </w:p>
    <w:p>
      <w:pPr>
        <w:ind w:left="660" w:right="320" w:hanging="328"/>
        <w:spacing w:after="0" w:line="219"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uncertainties and matters beyond the control of management, including but not limited to general political and economic conditions and global exchange rates; and</w:t>
      </w:r>
    </w:p>
    <w:p>
      <w:pPr>
        <w:ind w:left="660" w:right="280" w:hanging="328"/>
        <w:spacing w:after="0" w:line="23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2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more detailed information on the risks and uncertainties associated with Viatris, see the risks described in Part I, Item 1A in the 2020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10-Q and shall not be deemed “filed” under the Securities Exchange Act of 1934, as amended. Viatris undertakes no obligation to update any statements herein for revisions or changes after the filing date of this Form 10-Q other than as required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 xml:space="preserve">In accordance with </w:t>
      </w:r>
      <w:r>
        <w:rPr>
          <w:rFonts w:ascii="Arial" w:cs="Arial" w:eastAsia="Arial" w:hAnsi="Arial"/>
          <w:sz w:val="17"/>
          <w:szCs w:val="17"/>
          <w:i w:val="1"/>
          <w:iCs w:val="1"/>
          <w:color w:val="auto"/>
        </w:rPr>
        <w:t>ASC 805, Business Combinations</w:t>
      </w:r>
      <w:r>
        <w:rPr>
          <w:rFonts w:ascii="Arial" w:cs="Arial" w:eastAsia="Arial" w:hAnsi="Arial"/>
          <w:sz w:val="17"/>
          <w:szCs w:val="17"/>
          <w:color w:val="auto"/>
        </w:rPr>
        <w:t>, Mylan is considered the accounting acquirer of the Upjohn Business and all historical financial information of the Company prior to November 16, 2020 represents Mylan’s historical results and the Company’s thereafter.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Viatris is a global healthcare company formed in November 2020 through the combination of Mylan and Upjohn, whose mission is to empower people worldwide to live healthier at every stage of life. By integrating the strengths of these two businesses, including our global workforce of more than 40,000 employees and contractors, Viatris aims to deliver increased access to affordable, quality medicines for patients worldwide regardless of geography or circumstance. Viatris brings together industry leading commercial, R&amp;D, regulatory, manufacturing, legal and medical expertise complemented by a strong commitment to quality and unparalleled geographic footprint to deliver high-quality medicines to patients in more than 165 countries and territories. Viatris’ portfolio comprises more than 1,400 approved molecules across a wide range of key therapeutic areas, including globally recognized iconic and key brand, generic, complex generic, and biosimilar products. Viatris operates approximately 50 manufacturing sites worldwide that produce oral solid doses, injectables, complex dosage forms and APIs. Viatris is headquartered in the U.S., with global centers in Pittsburgh, Pennsylvania, Shanghai, China and Hyderabad, India.</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Viatris reports segment information on the basis of markets and geography. In conjunction with the formation of Viatris, the Company has changed its reportable segments, from North America, Europe, and Rest of World, to Developed Markets, Greater China, JANZ, and Emerging Markets. This approach reflects the Company’s focus on bringing its broad and diversified portfolio of branded, complex generics and biosimilars,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operations in countries with developing markets and emerging economies including countries in Asia, the Middle East, South and Central America, Africa and Eastern Europe, and also includes the Company’s anti-retroviral franchise.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Market and Industry Factors</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spacing w:after="0" w:line="124"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w:t>
      </w:r>
    </w:p>
    <w:p>
      <w:pPr>
        <w:spacing w:after="0" w:line="184"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For example, several companies launched a generic to Lyrica® in Japan in December 2020 despite pending patent infringement litigation. While the litigation remains ongoing, the rate of generic conversion is significant and, combined with market dynamics relating to the COVID-19 pandemic, the Company expects a significant reduction in the annual revenues of Lyrica®.</w:t>
      </w:r>
    </w:p>
    <w:p>
      <w:pPr>
        <w:spacing w:after="0" w:line="16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The loss of a tender by a third party to whom we supply API can also have a negative impact on our sales and profitability. Sales continue to be negatively affected by the impact of tender systems in certain countries.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SEMGLEE®</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June 11, 2020, the FDA approved the SEMGLEE® vial and pen products, which the Company began selling on August 31, 2020. On July 28, 2021, Viatris and Biocon Biologics Ltd. announced that the FDA had approved SEMGLEE® (insulin glargine-yfgn) injection as the first interchangeable biosimilar product under the 351(k) regulatory pathway. The interchangeable SEMGLEE® product, which will allow substitution of SEMGLEE® for the reference product, Lantus®, at the pharmacy counter, will be introduced before the end of the year. The Company is eligible to have exclusivity for 12 months before the FDA can approve another biosimilar interchangeable to Lantus®. Commercial preparations for launch are underway. Over the next few months, Viatris will transition the current product to the 351(k) interchangeable product.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2020 Restructuring Program</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Viatris’ restructuring initiative incorporates and expands on the restructuring program announced by Mylan N.V. earlier in 2020 as part of its business transformation efforts. The Company expects to optimize its commercial capabilities and enabling functions, and close, downsize or divest up to 15 manufacturing facilities globally that are deemed to be no longer viable either due to surplus capacity, challenging market dynamics or a shift in its product portfolio toward more complex products. As a result, Viatris expects that up to 20% of its global workforce may be impacted upon completion of the restructuring initiative.</w:t>
      </w:r>
    </w:p>
    <w:p>
      <w:pPr>
        <w:spacing w:after="0" w:line="19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For the committed restructuring actions, the Company expects to incur total pre-tax charges ranging between $1.1 billion and $1.4 billion. Such charges are expected to include between $350 million and $450 million of non-cash charges mainly related to accelerated depreciation and asset impairment charges, including inventory write-offs. The remaining estimated cash costs of between $750 million and $950 million are expected to be primarily related to severance and employee benefits expense, as well as other costs, including those related to contract terminations and decommissioning costs. In addition, management believes the potential annual savings related to these committed restructuring activities to be between $700 million and $900 million once fully implemented, with most of these savings expected to improve operating cash flow.</w:t>
      </w:r>
    </w:p>
    <w:p>
      <w:pPr>
        <w:spacing w:after="0" w:line="17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During the three and six months ended June 30, 2021, the Company recorded pre-tax charges of $251.9 million and $565.5 million, respectively. For the charges recognized during the three months ended June 30, 2021, $80.8 million were non-cash asset impairment charges and the remaining charges were primarily related to severance and employee benefits. Included within the charges during the six months ended June 30, 2021 were $231.8 million for non-cash asset impairment charges with the remaining charges primarily related to severance and employee benefits.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Coronavirus pandemic on our business and results of operations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As a leading global pharmaceutical company, Viatris is committed to continue doing its part in support of public health needs amid the evolving COVID-19 pandemic. The Company’s priorities remain protecting the health and safety of our workforce, continuing to produce critically needed medicines, deploying resources and expertise in the fight against COVID-19 through potential prevention and treatment efforts, supporting the communities in which we operate and maintaining the health of our overall business.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section discusses the important measures the Company continues to take in light of the COVID-19 pandemic.</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 Health and Safety</w:t>
      </w:r>
    </w:p>
    <w:p>
      <w:pPr>
        <w:spacing w:after="0" w:line="256" w:lineRule="exact"/>
        <w:rPr>
          <w:sz w:val="20"/>
          <w:szCs w:val="20"/>
          <w:color w:val="auto"/>
        </w:rPr>
      </w:pPr>
    </w:p>
    <w:p>
      <w:pPr>
        <w:ind w:left="660" w:right="68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Viatris continues to align with government and health authority guidelines in an effort to safeguard our workforce and continues to make assessments on an ongoing basis.</w:t>
      </w:r>
    </w:p>
    <w:p>
      <w:pPr>
        <w:spacing w:after="0" w:line="197" w:lineRule="exact"/>
        <w:rPr>
          <w:rFonts w:ascii="Arial" w:cs="Arial" w:eastAsia="Arial" w:hAnsi="Arial"/>
          <w:sz w:val="18"/>
          <w:szCs w:val="18"/>
          <w:color w:val="auto"/>
        </w:rPr>
      </w:pPr>
    </w:p>
    <w:p>
      <w:pPr>
        <w:jc w:val="both"/>
        <w:ind w:left="660" w:right="18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While Viatris’ business operations are currently considered essential based on government guidelines throughout the world due to the important role pharmaceutical manufacturers play within the global healthcare system, many Viatris administrative offices continue operating under work from home protocols.</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right="20" w:hanging="328"/>
        <w:spacing w:after="0" w:line="26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Because protecting the health and safety of our workforce remains paramount, Viatris has taken extra precautions at manufacturing facilities to aid in the protection of site personnel and operations, including the implementation of social distancing guidelines, daily health assessments and split shifts where feasible.</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Many customer facing field personnel have moved to a remote engagement model to ensure continued support for healthcare professionals, patient care and access to needed products.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Global restrictions have been placed on travel and in-person meetings.</w:t>
      </w:r>
    </w:p>
    <w:p>
      <w:pPr>
        <w:spacing w:after="0" w:line="252"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Viatris has taken steps to protect the safety of study participants, our employees and staff at clinical trial sites and ensure regulatory compliance and scientific integrity of trial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Continuing to Produce Critically Needed Medicines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Manufacturing and Supply</w:t>
      </w:r>
    </w:p>
    <w:p>
      <w:pPr>
        <w:spacing w:after="0" w:line="252" w:lineRule="exact"/>
        <w:rPr>
          <w:sz w:val="20"/>
          <w:szCs w:val="20"/>
          <w:color w:val="auto"/>
        </w:rPr>
      </w:pPr>
    </w:p>
    <w:p>
      <w:pPr>
        <w:ind w:left="660" w:right="38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Viatris has activated worldwide business continuity plans to seek to ensure that our global supply chain platform continues to operate without significant disruption.</w:t>
      </w:r>
    </w:p>
    <w:p>
      <w:pPr>
        <w:spacing w:after="0" w:line="197"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of our manufacturing facilities, and those of our key global partners, are currently operational and, at this time, we are not experiencing any significant disruptions to our supply chain, including the availability of APIs. Also, we are currently not experiencing any negative impact on our customer service levels.</w:t>
      </w:r>
    </w:p>
    <w:p>
      <w:pPr>
        <w:spacing w:after="0" w:line="210" w:lineRule="exact"/>
        <w:rPr>
          <w:rFonts w:ascii="Arial" w:cs="Arial" w:eastAsia="Arial" w:hAnsi="Arial"/>
          <w:sz w:val="18"/>
          <w:szCs w:val="18"/>
          <w:color w:val="auto"/>
        </w:rPr>
      </w:pPr>
    </w:p>
    <w:p>
      <w:pPr>
        <w:ind w:left="660" w:right="140" w:hanging="328"/>
        <w:spacing w:after="0" w:line="342"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Viatris has a broad, diverse and resilient global manufacturing and supply chain footprint. We are not dependent on any one country or site. Even in India, our manufacturing footprint is spread over five different states, which mitigates the risk of disruption in any given part of the country.</w:t>
      </w:r>
    </w:p>
    <w:p>
      <w:pPr>
        <w:spacing w:after="0" w:line="150" w:lineRule="exact"/>
        <w:rPr>
          <w:rFonts w:ascii="Arial" w:cs="Arial" w:eastAsia="Arial" w:hAnsi="Arial"/>
          <w:sz w:val="16"/>
          <w:szCs w:val="16"/>
          <w:color w:val="auto"/>
        </w:rPr>
      </w:pPr>
    </w:p>
    <w:p>
      <w:pPr>
        <w:ind w:left="660" w:right="26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Viatris continues to engage with regulatory authorities around the world who are committed to maintaining ongoing regulatory processes while also continuing to make available our global R&amp;D, regulatory and manufacturing expertise and capacity to partners who may be in need of additional resources.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Commercial Operations</w:t>
      </w:r>
    </w:p>
    <w:p>
      <w:pPr>
        <w:spacing w:after="0" w:line="252" w:lineRule="exact"/>
        <w:rPr>
          <w:sz w:val="20"/>
          <w:szCs w:val="20"/>
          <w:color w:val="auto"/>
        </w:rPr>
      </w:pPr>
    </w:p>
    <w:p>
      <w:pPr>
        <w:ind w:left="660" w:right="24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and continue to experience fluctuations in demand trends due to COVID-19. We will continue to monitor trends closely as we work to ensure patients have access to needed medicine.</w:t>
      </w:r>
    </w:p>
    <w:p>
      <w:pPr>
        <w:spacing w:after="0" w:line="197"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Inventory levels, both ours and those in our distribution channel, remain in-line with normal levels and are currently assessed to be sufficient for anticipated demand.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Deploying Resources and Expertise in the Fight Against COVID-19</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 Development</w:t>
      </w:r>
    </w:p>
    <w:p>
      <w:pPr>
        <w:spacing w:after="0" w:line="252" w:lineRule="exact"/>
        <w:rPr>
          <w:sz w:val="20"/>
          <w:szCs w:val="20"/>
          <w:color w:val="auto"/>
        </w:rPr>
      </w:pPr>
    </w:p>
    <w:p>
      <w:pPr>
        <w:ind w:left="660" w:right="100" w:hanging="328"/>
        <w:spacing w:after="0" w:line="263"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May 12, 2020, Mylan announced a global collaboration with Gilead Sciences, Inc. to expand access to the investigational antiviral remdesivir for the potential treatment of COVID-19. Under the terms of the license agreement the Company has rights to manufacture and distribute remdesivir in 127 low-and middle-income countries, including India.</w:t>
      </w:r>
    </w:p>
    <w:p>
      <w:pPr>
        <w:spacing w:after="0" w:line="210"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July 6, 2020, Mylan announced that the DCGI approved its remdesivir 100 mg/vial for restricted emergency use in India as part of the DCGI’s accelerated approval process to address urgent, unmet needs amid the evolving COVID-19 pandemic.</w:t>
      </w:r>
    </w:p>
    <w:p>
      <w:pPr>
        <w:spacing w:after="0" w:line="197" w:lineRule="exact"/>
        <w:rPr>
          <w:rFonts w:ascii="Arial" w:cs="Arial" w:eastAsia="Arial" w:hAnsi="Arial"/>
          <w:sz w:val="18"/>
          <w:szCs w:val="18"/>
          <w:color w:val="auto"/>
        </w:rPr>
      </w:pPr>
    </w:p>
    <w:p>
      <w:pPr>
        <w:ind w:left="660" w:right="620" w:hanging="328"/>
        <w:spacing w:after="0" w:line="342"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November 20, 2020, the World Health Organization issued a conditional recommendation against the use of remdesivir in hospitalized patients, regardless of disease severity, as there was no evidence that remdesivir improved survival and other outcomes in these patients.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right="20" w:hanging="328"/>
        <w:spacing w:after="0" w:line="342"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Viatris has ramped up production of antiviral medicines, including remdesivir and ambisome, and continues to work with government authorities in India to further reduce the cost of the medicines and educate more than 20,000 healthcare professionals about product usage.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Maintaining the Health of Our Overall Business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Access to Capital Markets and Liquidity</w:t>
      </w:r>
    </w:p>
    <w:p>
      <w:pPr>
        <w:spacing w:after="0" w:line="252"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While currently we are not experiencing any negative liquidity trends related to the COVID-19 pandemic, we continue to closely monitor developments and the potential negative impact on our operating performance and our ability to access the capital markets.</w:t>
      </w:r>
    </w:p>
    <w:p>
      <w:pPr>
        <w:spacing w:after="0" w:line="173"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Due to the Company’s ability to generate significant cash flows from operations, as well as its revolving credit agreement, other short-term borrowing facilities and access to capital markets, we believe that we currently have, and will maintain, the ability to meet foreseeable liquidity needs.</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Impact on Results of Operations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The global spread of COVID-19 has created and continues to create significant volatility, uncertainty and economic disruption affecting the markets we serve. The extent to which the COVID-19 pandemic will impact our business, operations and financial results in future periods will depend on numerous evolving factors that are beyond our control and that we may not be able to accurately predict. For additional information, see “Item 2. </w:t>
      </w:r>
      <w:r>
        <w:rPr>
          <w:rFonts w:ascii="Arial" w:cs="Arial" w:eastAsia="Arial" w:hAnsi="Arial"/>
          <w:sz w:val="18"/>
          <w:szCs w:val="18"/>
          <w:i w:val="1"/>
          <w:iCs w:val="1"/>
          <w:color w:val="auto"/>
        </w:rPr>
        <w:t xml:space="preserve">Management’s Discussion and Analysis of Financial Condition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Results of Operations.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is a summary of the Company’s financial results for the three and six months ended June 30, 2021 compared to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40" w:type="dxa"/>
            <w:vAlign w:val="bottom"/>
            <w:gridSpan w:val="3"/>
          </w:tcPr>
          <w:p>
            <w:pPr>
              <w:jc w:val="center"/>
              <w:ind w:left="535"/>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50"/>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960" w:type="dxa"/>
            <w:vAlign w:val="bottom"/>
          </w:tcPr>
          <w:p>
            <w:pPr>
              <w:ind w:left="680"/>
              <w:spacing w:after="0" w:line="122" w:lineRule="exact"/>
              <w:rPr>
                <w:sz w:val="20"/>
                <w:szCs w:val="20"/>
                <w:color w:val="auto"/>
              </w:rPr>
            </w:pPr>
            <w:r>
              <w:rPr>
                <w:rFonts w:ascii="Arial" w:cs="Arial" w:eastAsia="Arial" w:hAnsi="Arial"/>
                <w:sz w:val="14"/>
                <w:szCs w:val="14"/>
                <w:b w:val="1"/>
                <w:bCs w:val="1"/>
                <w:i w:val="1"/>
                <w:iCs w:val="1"/>
                <w:color w:val="auto"/>
              </w:rPr>
              <w:t>(In millions, except per share</w:t>
            </w:r>
          </w:p>
        </w:tc>
        <w:tc>
          <w:tcPr>
            <w:tcW w:w="960" w:type="dxa"/>
            <w:vAlign w:val="bottom"/>
          </w:tcPr>
          <w:p>
            <w:pPr>
              <w:spacing w:after="0"/>
              <w:rPr>
                <w:sz w:val="10"/>
                <w:szCs w:val="10"/>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9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amounts)</w:t>
            </w:r>
          </w:p>
        </w:tc>
        <w:tc>
          <w:tcPr>
            <w:tcW w:w="9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4,577.8</w:t>
            </w:r>
          </w:p>
        </w:tc>
        <w:tc>
          <w:tcPr>
            <w:tcW w:w="100" w:type="dxa"/>
            <w:vAlign w:val="bottom"/>
          </w:tcPr>
          <w:p>
            <w:pPr>
              <w:spacing w:after="0"/>
              <w:rPr>
                <w:sz w:val="19"/>
                <w:szCs w:val="19"/>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2,731.2</w:t>
            </w:r>
          </w:p>
        </w:tc>
        <w:tc>
          <w:tcPr>
            <w:tcW w:w="80" w:type="dxa"/>
            <w:vAlign w:val="bottom"/>
          </w:tcPr>
          <w:p>
            <w:pPr>
              <w:spacing w:after="0"/>
              <w:rPr>
                <w:sz w:val="19"/>
                <w:szCs w:val="19"/>
                <w:color w:val="auto"/>
              </w:rPr>
            </w:pP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1,846.6</w:t>
            </w:r>
          </w:p>
        </w:tc>
        <w:tc>
          <w:tcPr>
            <w:tcW w:w="80" w:type="dxa"/>
            <w:vAlign w:val="bottom"/>
          </w:tcPr>
          <w:p>
            <w:pPr>
              <w:spacing w:after="0"/>
              <w:rPr>
                <w:sz w:val="19"/>
                <w:szCs w:val="19"/>
                <w:color w:val="auto"/>
              </w:rPr>
            </w:pPr>
          </w:p>
        </w:tc>
        <w:tc>
          <w:tcPr>
            <w:tcW w:w="1660" w:type="dxa"/>
            <w:vAlign w:val="bottom"/>
            <w:tcBorders>
              <w:top w:val="single" w:sz="8" w:color="auto"/>
            </w:tcBorders>
          </w:tcPr>
          <w:p>
            <w:pPr>
              <w:jc w:val="right"/>
              <w:ind w:right="495"/>
              <w:spacing w:after="0"/>
              <w:rPr>
                <w:sz w:val="20"/>
                <w:szCs w:val="20"/>
                <w:color w:val="auto"/>
              </w:rPr>
            </w:pPr>
            <w:r>
              <w:rPr>
                <w:rFonts w:ascii="Arial" w:cs="Arial" w:eastAsia="Arial" w:hAnsi="Arial"/>
                <w:sz w:val="18"/>
                <w:szCs w:val="18"/>
                <w:color w:val="auto"/>
              </w:rPr>
              <w:t>68</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1,025.7</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960" w:type="dxa"/>
            <w:vAlign w:val="bottom"/>
          </w:tcPr>
          <w:p>
            <w:pPr>
              <w:ind w:left="680"/>
              <w:spacing w:after="0" w:line="176" w:lineRule="exact"/>
              <w:rPr>
                <w:sz w:val="20"/>
                <w:szCs w:val="20"/>
                <w:color w:val="auto"/>
              </w:rPr>
            </w:pPr>
            <w:r>
              <w:rPr>
                <w:rFonts w:ascii="Arial" w:cs="Arial" w:eastAsia="Arial" w:hAnsi="Arial"/>
                <w:sz w:val="18"/>
                <w:szCs w:val="18"/>
                <w:color w:val="auto"/>
              </w:rPr>
              <w:t>(Loss) earnings from</w:t>
            </w:r>
          </w:p>
        </w:tc>
        <w:tc>
          <w:tcPr>
            <w:tcW w:w="9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134.2</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(182.0)</w:t>
            </w:r>
          </w:p>
        </w:tc>
        <w:tc>
          <w:tcPr>
            <w:tcW w:w="80" w:type="dxa"/>
            <w:vAlign w:val="bottom"/>
          </w:tcPr>
          <w:p>
            <w:pPr>
              <w:spacing w:after="0"/>
              <w:rPr>
                <w:sz w:val="15"/>
                <w:szCs w:val="15"/>
                <w:color w:val="auto"/>
              </w:rPr>
            </w:pPr>
          </w:p>
        </w:tc>
        <w:tc>
          <w:tcPr>
            <w:tcW w:w="1660" w:type="dxa"/>
            <w:vAlign w:val="bottom"/>
            <w:vMerge w:val="restart"/>
          </w:tcPr>
          <w:p>
            <w:pPr>
              <w:jc w:val="right"/>
              <w:ind w:right="455"/>
              <w:spacing w:after="0"/>
              <w:rPr>
                <w:sz w:val="20"/>
                <w:szCs w:val="20"/>
                <w:color w:val="auto"/>
              </w:rPr>
            </w:pPr>
            <w:r>
              <w:rPr>
                <w:rFonts w:ascii="Arial" w:cs="Arial" w:eastAsia="Arial" w:hAnsi="Arial"/>
                <w:sz w:val="18"/>
                <w:szCs w:val="18"/>
                <w:color w:val="auto"/>
              </w:rPr>
              <w:t>(136)</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operations</w:t>
            </w:r>
          </w:p>
        </w:tc>
        <w:tc>
          <w:tcPr>
            <w:tcW w:w="9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(loss) earnings</w:t>
            </w: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176"/>
        </w:trPr>
        <w:tc>
          <w:tcPr>
            <w:tcW w:w="2960" w:type="dxa"/>
            <w:vAlign w:val="bottom"/>
          </w:tcPr>
          <w:p>
            <w:pPr>
              <w:ind w:left="680"/>
              <w:spacing w:after="0" w:line="176" w:lineRule="exact"/>
              <w:rPr>
                <w:sz w:val="20"/>
                <w:szCs w:val="20"/>
                <w:color w:val="auto"/>
              </w:rPr>
            </w:pPr>
            <w:r>
              <w:rPr>
                <w:rFonts w:ascii="Arial" w:cs="Arial" w:eastAsia="Arial" w:hAnsi="Arial"/>
                <w:sz w:val="18"/>
                <w:szCs w:val="18"/>
                <w:color w:val="auto"/>
              </w:rPr>
              <w:t>Diluted (loss) earnings per</w:t>
            </w: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5"/>
                <w:szCs w:val="15"/>
                <w:color w:val="auto"/>
              </w:rPr>
            </w:pP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0.08</w:t>
            </w:r>
          </w:p>
        </w:tc>
        <w:tc>
          <w:tcPr>
            <w:tcW w:w="108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(0.31)</w:t>
            </w: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share</w:t>
            </w:r>
          </w:p>
        </w:tc>
        <w:tc>
          <w:tcPr>
            <w:tcW w:w="96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40" w:type="dxa"/>
            <w:vAlign w:val="bottom"/>
            <w:gridSpan w:val="3"/>
          </w:tcPr>
          <w:p>
            <w:pPr>
              <w:jc w:val="center"/>
              <w:ind w:left="535"/>
              <w:spacing w:after="0"/>
              <w:rPr>
                <w:sz w:val="20"/>
                <w:szCs w:val="20"/>
                <w:color w:val="auto"/>
              </w:rPr>
            </w:pPr>
            <w:r>
              <w:rPr>
                <w:rFonts w:ascii="Arial" w:cs="Arial" w:eastAsia="Arial" w:hAnsi="Arial"/>
                <w:sz w:val="14"/>
                <w:szCs w:val="14"/>
                <w:b w:val="1"/>
                <w:bCs w:val="1"/>
                <w:color w:val="auto"/>
                <w:w w:val="92"/>
              </w:rPr>
              <w:t>Six Months Ended</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50"/>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960" w:type="dxa"/>
            <w:vAlign w:val="bottom"/>
          </w:tcPr>
          <w:p>
            <w:pPr>
              <w:ind w:left="680"/>
              <w:spacing w:after="0" w:line="122" w:lineRule="exact"/>
              <w:rPr>
                <w:sz w:val="20"/>
                <w:szCs w:val="20"/>
                <w:color w:val="auto"/>
              </w:rPr>
            </w:pPr>
            <w:r>
              <w:rPr>
                <w:rFonts w:ascii="Arial" w:cs="Arial" w:eastAsia="Arial" w:hAnsi="Arial"/>
                <w:sz w:val="14"/>
                <w:szCs w:val="14"/>
                <w:b w:val="1"/>
                <w:bCs w:val="1"/>
                <w:i w:val="1"/>
                <w:iCs w:val="1"/>
                <w:color w:val="auto"/>
              </w:rPr>
              <w:t>(In millions, except per share</w:t>
            </w:r>
          </w:p>
        </w:tc>
        <w:tc>
          <w:tcPr>
            <w:tcW w:w="960" w:type="dxa"/>
            <w:vAlign w:val="bottom"/>
          </w:tcPr>
          <w:p>
            <w:pPr>
              <w:spacing w:after="0"/>
              <w:rPr>
                <w:sz w:val="10"/>
                <w:szCs w:val="10"/>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9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amounts)</w:t>
            </w:r>
          </w:p>
        </w:tc>
        <w:tc>
          <w:tcPr>
            <w:tcW w:w="9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9,008.1</w:t>
            </w:r>
          </w:p>
        </w:tc>
        <w:tc>
          <w:tcPr>
            <w:tcW w:w="100" w:type="dxa"/>
            <w:vAlign w:val="bottom"/>
          </w:tcPr>
          <w:p>
            <w:pPr>
              <w:spacing w:after="0"/>
              <w:rPr>
                <w:sz w:val="19"/>
                <w:szCs w:val="19"/>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5,350.4</w:t>
            </w:r>
          </w:p>
        </w:tc>
        <w:tc>
          <w:tcPr>
            <w:tcW w:w="80" w:type="dxa"/>
            <w:vAlign w:val="bottom"/>
          </w:tcPr>
          <w:p>
            <w:pPr>
              <w:spacing w:after="0"/>
              <w:rPr>
                <w:sz w:val="19"/>
                <w:szCs w:val="19"/>
                <w:color w:val="auto"/>
              </w:rPr>
            </w:pP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3,657.7</w:t>
            </w:r>
          </w:p>
        </w:tc>
        <w:tc>
          <w:tcPr>
            <w:tcW w:w="80" w:type="dxa"/>
            <w:vAlign w:val="bottom"/>
          </w:tcPr>
          <w:p>
            <w:pPr>
              <w:spacing w:after="0"/>
              <w:rPr>
                <w:sz w:val="19"/>
                <w:szCs w:val="19"/>
                <w:color w:val="auto"/>
              </w:rPr>
            </w:pPr>
          </w:p>
        </w:tc>
        <w:tc>
          <w:tcPr>
            <w:tcW w:w="1660" w:type="dxa"/>
            <w:vAlign w:val="bottom"/>
            <w:tcBorders>
              <w:top w:val="single" w:sz="8" w:color="auto"/>
            </w:tcBorders>
          </w:tcPr>
          <w:p>
            <w:pPr>
              <w:jc w:val="right"/>
              <w:ind w:right="495"/>
              <w:spacing w:after="0"/>
              <w:rPr>
                <w:sz w:val="20"/>
                <w:szCs w:val="20"/>
                <w:color w:val="auto"/>
              </w:rPr>
            </w:pPr>
            <w:r>
              <w:rPr>
                <w:rFonts w:ascii="Arial" w:cs="Arial" w:eastAsia="Arial" w:hAnsi="Arial"/>
                <w:sz w:val="18"/>
                <w:szCs w:val="18"/>
                <w:color w:val="auto"/>
              </w:rPr>
              <w:t>68</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960" w:type="dxa"/>
            <w:vAlign w:val="bottom"/>
          </w:tcPr>
          <w:p>
            <w:pPr>
              <w:ind w:left="680"/>
              <w:spacing w:after="0" w:line="176" w:lineRule="exact"/>
              <w:rPr>
                <w:sz w:val="20"/>
                <w:szCs w:val="20"/>
                <w:color w:val="auto"/>
              </w:rPr>
            </w:pPr>
            <w:r>
              <w:rPr>
                <w:rFonts w:ascii="Arial" w:cs="Arial" w:eastAsia="Arial" w:hAnsi="Arial"/>
                <w:sz w:val="18"/>
                <w:szCs w:val="18"/>
                <w:color w:val="auto"/>
              </w:rPr>
              <w:t>(Loss) earnings from</w:t>
            </w:r>
          </w:p>
        </w:tc>
        <w:tc>
          <w:tcPr>
            <w:tcW w:w="9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318.9</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(632.9)</w:t>
            </w:r>
          </w:p>
        </w:tc>
        <w:tc>
          <w:tcPr>
            <w:tcW w:w="80" w:type="dxa"/>
            <w:vAlign w:val="bottom"/>
          </w:tcPr>
          <w:p>
            <w:pPr>
              <w:spacing w:after="0"/>
              <w:rPr>
                <w:sz w:val="15"/>
                <w:szCs w:val="15"/>
                <w:color w:val="auto"/>
              </w:rPr>
            </w:pPr>
          </w:p>
        </w:tc>
        <w:tc>
          <w:tcPr>
            <w:tcW w:w="1660" w:type="dxa"/>
            <w:vAlign w:val="bottom"/>
            <w:vMerge w:val="restart"/>
          </w:tcPr>
          <w:p>
            <w:pPr>
              <w:jc w:val="right"/>
              <w:ind w:right="455"/>
              <w:spacing w:after="0"/>
              <w:rPr>
                <w:sz w:val="20"/>
                <w:szCs w:val="20"/>
                <w:color w:val="auto"/>
              </w:rPr>
            </w:pPr>
            <w:r>
              <w:rPr>
                <w:rFonts w:ascii="Arial" w:cs="Arial" w:eastAsia="Arial" w:hAnsi="Arial"/>
                <w:sz w:val="18"/>
                <w:szCs w:val="18"/>
                <w:color w:val="auto"/>
              </w:rPr>
              <w:t>(198)</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operations</w:t>
            </w:r>
          </w:p>
        </w:tc>
        <w:tc>
          <w:tcPr>
            <w:tcW w:w="9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(loss) earnings</w:t>
            </w: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(1,377.0)</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175"/>
        </w:trPr>
        <w:tc>
          <w:tcPr>
            <w:tcW w:w="2960" w:type="dxa"/>
            <w:vAlign w:val="bottom"/>
          </w:tcPr>
          <w:p>
            <w:pPr>
              <w:ind w:left="680"/>
              <w:spacing w:after="0" w:line="176" w:lineRule="exact"/>
              <w:rPr>
                <w:sz w:val="20"/>
                <w:szCs w:val="20"/>
                <w:color w:val="auto"/>
              </w:rPr>
            </w:pPr>
            <w:r>
              <w:rPr>
                <w:rFonts w:ascii="Arial" w:cs="Arial" w:eastAsia="Arial" w:hAnsi="Arial"/>
                <w:sz w:val="18"/>
                <w:szCs w:val="18"/>
                <w:color w:val="auto"/>
              </w:rPr>
              <w:t>Diluted (loss) earnings per</w:t>
            </w: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5"/>
                <w:szCs w:val="15"/>
                <w:color w:val="auto"/>
              </w:rPr>
            </w:pP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0.12</w:t>
            </w:r>
          </w:p>
        </w:tc>
        <w:tc>
          <w:tcPr>
            <w:tcW w:w="108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share</w:t>
            </w:r>
          </w:p>
        </w:tc>
        <w:tc>
          <w:tcPr>
            <w:tcW w:w="96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More information about non-GAAP measures used by the Company as part of this discussion, including adjusted cost of sales, adjusted gross margins, adjusted net earnings and adjusted EBITDA (all of which are defined below) can be found in “Item 2.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Results of Operations - Results of Operations - Use of Non-GAAP Financial Measures.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jc w:val="center"/>
              <w:ind w:left="4"/>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left="4"/>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2021 Currency</w:t>
            </w:r>
          </w:p>
        </w:tc>
        <w:tc>
          <w:tcPr>
            <w:tcW w:w="140" w:type="dxa"/>
            <w:vAlign w:val="bottom"/>
          </w:tcPr>
          <w:p>
            <w:pPr>
              <w:spacing w:after="0"/>
              <w:rPr>
                <w:sz w:val="11"/>
                <w:szCs w:val="11"/>
                <w:color w:val="auto"/>
              </w:rPr>
            </w:pPr>
          </w:p>
        </w:tc>
        <w:tc>
          <w:tcPr>
            <w:tcW w:w="1040" w:type="dxa"/>
            <w:vAlign w:val="bottom"/>
          </w:tcPr>
          <w:p>
            <w:pPr>
              <w:jc w:val="right"/>
              <w:ind w:right="55"/>
              <w:spacing w:after="0" w:line="135" w:lineRule="exact"/>
              <w:rPr>
                <w:sz w:val="20"/>
                <w:szCs w:val="20"/>
                <w:color w:val="auto"/>
              </w:rPr>
            </w:pPr>
            <w:r>
              <w:rPr>
                <w:rFonts w:ascii="Arial" w:cs="Arial" w:eastAsia="Arial" w:hAnsi="Arial"/>
                <w:sz w:val="14"/>
                <w:szCs w:val="14"/>
                <w:b w:val="1"/>
                <w:bCs w:val="1"/>
                <w:color w:val="auto"/>
                <w:w w:val="91"/>
              </w:rPr>
              <w:t>2021 Constant</w:t>
            </w:r>
          </w:p>
        </w:tc>
        <w:tc>
          <w:tcPr>
            <w:tcW w:w="100" w:type="dxa"/>
            <w:vAlign w:val="bottom"/>
          </w:tcPr>
          <w:p>
            <w:pPr>
              <w:spacing w:after="0"/>
              <w:rPr>
                <w:sz w:val="11"/>
                <w:szCs w:val="11"/>
                <w:color w:val="auto"/>
              </w:rPr>
            </w:pPr>
          </w:p>
        </w:tc>
        <w:tc>
          <w:tcPr>
            <w:tcW w:w="13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8"/>
              </w:rPr>
              <w:t>Constant Currency</w:t>
            </w:r>
          </w:p>
        </w:tc>
        <w:tc>
          <w:tcPr>
            <w:tcW w:w="0" w:type="dxa"/>
            <w:vAlign w:val="bottom"/>
          </w:tcPr>
          <w:p>
            <w:pPr>
              <w:spacing w:after="0"/>
              <w:rPr>
                <w:sz w:val="1"/>
                <w:szCs w:val="1"/>
                <w:color w:val="auto"/>
              </w:rPr>
            </w:pPr>
          </w:p>
        </w:tc>
      </w:tr>
      <w:tr>
        <w:trPr>
          <w:trHeight w:val="135"/>
        </w:trPr>
        <w:tc>
          <w:tcPr>
            <w:tcW w:w="33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1"/>
                <w:szCs w:val="11"/>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4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215"/>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4"/>
              </w:rPr>
              <w:t xml:space="preserve">Impact </w:t>
            </w:r>
            <w:r>
              <w:rPr>
                <w:rFonts w:ascii="Arial" w:cs="Arial" w:eastAsia="Arial" w:hAnsi="Arial"/>
                <w:sz w:val="18"/>
                <w:szCs w:val="18"/>
                <w:b w:val="1"/>
                <w:bCs w:val="1"/>
                <w:color w:val="auto"/>
                <w:w w:val="94"/>
                <w:vertAlign w:val="superscript"/>
              </w:rPr>
              <w:t>(1)</w:t>
            </w:r>
          </w:p>
        </w:tc>
        <w:tc>
          <w:tcPr>
            <w:tcW w:w="14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1340" w:type="dxa"/>
            <w:vAlign w:val="bottom"/>
          </w:tcPr>
          <w:p>
            <w:pPr>
              <w:jc w:val="right"/>
              <w:ind w:right="202"/>
              <w:spacing w:after="0" w:line="189"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Arial" w:cs="Arial" w:eastAsia="Arial" w:hAnsi="Arial"/>
                <w:sz w:val="18"/>
                <w:szCs w:val="18"/>
                <w:color w:val="auto"/>
              </w:rPr>
              <w:t>Developed Markets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2,640.4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1,982.7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2,528.3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Greater China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Arial" w:cs="Arial" w:eastAsia="Arial" w:hAnsi="Arial"/>
                <w:sz w:val="18"/>
                <w:szCs w:val="18"/>
                <w:color w:val="auto"/>
              </w:rPr>
              <w:t>JANZ</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Emerging Markets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23"/>
        </w:trPr>
        <w:tc>
          <w:tcPr>
            <w:tcW w:w="334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4,561.7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2,695.9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4,409.9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Other revenues </w:t>
            </w:r>
            <w:r>
              <w:rPr>
                <w:rFonts w:ascii="Arial" w:cs="Arial" w:eastAsia="Arial" w:hAnsi="Arial"/>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20"/>
              <w:spacing w:after="0" w:line="223" w:lineRule="exact"/>
              <w:rPr>
                <w:sz w:val="20"/>
                <w:szCs w:val="20"/>
                <w:color w:val="auto"/>
              </w:rPr>
            </w:pPr>
            <w:r>
              <w:rPr>
                <w:rFonts w:ascii="Arial" w:cs="Arial" w:eastAsia="Arial" w:hAnsi="Arial"/>
                <w:sz w:val="18"/>
                <w:szCs w:val="18"/>
                <w:color w:val="auto"/>
              </w:rPr>
              <w:t xml:space="preserve">Consolidated total revenues </w:t>
            </w:r>
            <w:r>
              <w:rPr>
                <w:rFonts w:ascii="Arial" w:cs="Arial" w:eastAsia="Arial" w:hAnsi="Arial"/>
                <w:sz w:val="23"/>
                <w:szCs w:val="23"/>
                <w:color w:val="auto"/>
                <w:vertAlign w:val="superscript"/>
              </w:rPr>
              <w:t>(4)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Currency impact is shown as unfavorable (favorable).</w:t>
      </w:r>
    </w:p>
    <w:p>
      <w:pPr>
        <w:spacing w:after="0" w:line="55" w:lineRule="exact"/>
        <w:rPr>
          <w:rFonts w:ascii="Arial" w:cs="Arial" w:eastAsia="Arial" w:hAnsi="Arial"/>
          <w:sz w:val="23"/>
          <w:szCs w:val="23"/>
          <w:color w:val="auto"/>
          <w:vertAlign w:val="superscript"/>
        </w:rPr>
      </w:pPr>
    </w:p>
    <w:p>
      <w:pPr>
        <w:jc w:val="both"/>
        <w:ind w:left="660" w:hanging="328"/>
        <w:spacing w:after="0" w:line="228" w:lineRule="auto"/>
        <w:tabs>
          <w:tab w:leader="none" w:pos="648"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The constant currency percentage change is derived by translating net sales or revenues for the current period at prior year comparative period exchange rates, and in doing so shows the percentage change from 2021 constant currency net sales or revenues to the corresponding amount in the prior year.</w:t>
      </w:r>
    </w:p>
    <w:p>
      <w:pPr>
        <w:spacing w:after="0" w:line="41" w:lineRule="exact"/>
        <w:rPr>
          <w:rFonts w:ascii="Arial" w:cs="Arial" w:eastAsia="Arial" w:hAnsi="Arial"/>
          <w:sz w:val="23"/>
          <w:szCs w:val="23"/>
          <w:color w:val="auto"/>
          <w:vertAlign w:val="superscript"/>
        </w:rPr>
      </w:pPr>
    </w:p>
    <w:p>
      <w:pPr>
        <w:ind w:left="660" w:hanging="328"/>
        <w:spacing w:after="0" w:line="227" w:lineRule="auto"/>
        <w:tabs>
          <w:tab w:leader="none" w:pos="648"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June 30, 2021, other revenues in Developed Markets, Greater China, JANZ, and Emerging Markets were approximately $12.2 million, $(1.4) million, $0.6 million, and $4.7 million, respectively.</w:t>
      </w:r>
    </w:p>
    <w:p>
      <w:pPr>
        <w:spacing w:after="0" w:line="5"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Amounts exclude intersegment revenue that eliminates on a consolidated basis.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ind w:right="460" w:firstLine="648"/>
        <w:spacing w:after="0" w:line="279" w:lineRule="auto"/>
        <w:rPr>
          <w:sz w:val="20"/>
          <w:szCs w:val="20"/>
          <w:color w:val="auto"/>
        </w:rPr>
      </w:pPr>
      <w:r>
        <w:rPr>
          <w:rFonts w:ascii="Arial" w:cs="Arial" w:eastAsia="Arial" w:hAnsi="Arial"/>
          <w:sz w:val="17"/>
          <w:szCs w:val="17"/>
          <w:color w:val="auto"/>
        </w:rPr>
        <w:t>For the current quarter, Viatris reported total revenues of $4.58 billion, compared to $2.73 billion for the comparable prior year period, representing an increase of $1.85 billion, or 68%. Total revenues include both net sales and other revenues from third parties. Net sales for the current quarter were $4.56 billion, compared to $2.70 billion for the comparable prior year period, representing an increase of $1.87 billion, or 69%. Other revenues for the current quarter were $16.1 million, compared to $35.3 million for the comparable prior year period.</w:t>
      </w:r>
    </w:p>
    <w:p>
      <w:pPr>
        <w:spacing w:after="0" w:line="17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increase in total revenues and net sales was primarily driven by net sales totaling $1.63 billion from the Upjohn Business in the current quarter and approximately $223.9 million of new product sales, partially offset by a decrease of approximately $139.2 million in net sales from existing products, primarily as a result of lower pricing. New product sales include new products launched in 2021 and the carryover impact of new products, including business development, launched since July 1, 2020. The Company’s net sales were favorably impacted by the effect of foreign currency translation, primarily reflecting changes in the U.S. Dollar as compared to the currencies of subsidiaries in countries within the EU and in India and Australia. The net favorable impact of foreign currency translation on net sales was approximately $151.8 million, or 6%. On a constant currency basis, the increase in net sales was approximately $1.71 billion, or 64% for the three months ended June 30, 2021. We estimate that the COVID-19 pandemic positively impacted our second quarter 2021 net sales by approximately 4%, primarily driven by the partial recovery of customer buying patterns in Europe and certain product sales in India during the second quarter of 2021 as compared to the prior year period. The prior year period was negatively impacted by the reversal of forward purchasing patterns that occurred in the first quarter of 2020.</w:t>
      </w:r>
    </w:p>
    <w:p>
      <w:pPr>
        <w:spacing w:after="0" w:line="18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From time to time, a limited number of our products may represent a significant portion of our net sales, gross profit and net earnings. Our top ten products in terms of net sales, in the aggregate, represented approximately 33% and 26% for the three months ended June 30, 2021 and 2020, respectively, with the year-over-year increase a result of the Combination. This percentage may fluctuate based upon the timing of new product launches, seasonality and the timing of changes in competition.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are derived from our four reporting segments: Developed Markets, Greater China, JANZ, and Emerging Markets.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Developed Markets Segment</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Net sales from Developed Markets increased by $657.7 million or 33% during the three months ended June 30, 2021 when compared to the prior year period. Net sales within North America totaled approximately $1.20 billion and net sales within Europe totaled approximately $1.44 billion. This increase was due primarily to net sales from the Upjohn Business in the current quarter of $519.7 million and new product sales, including the portfolio of thrombosis products in Europe acquired from Aspen in the fourth quarter of 2020, as well as higher volumes in Europe as compared to the prior year period due to the higher COVID-19 impact during the second quarter of 2020 as a result of customer buying patterns, and Yulperi growth in North America. This increase was partially offset by lower pricing in Europe, and lower pricing and volumes on net sales of certain existing North American products, including Wixela, Xulane, and Perforomist, primarily driven by additional competition. Lower volumes were also due to the impact of product divestitures, including certain North American OTC products during the current quarter and other products during 2020 as a result of the Combination. The favorable impact of foreign currency translation on current period net sales, primarily in Europe, was approximately $112.1 million, or 6%. Constant currency net sales increased by approximately $545.6 million, or 28% when compared to the prior year period.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Greater China Segment</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Net sales from Greater China increased by $527.6 million for the three months ended June 30, 2021 when compared to the prior year period. This increase was the result of net sales from the Upjohn Business in the current quarter of $540.6 million. This increase was partially offset by lower net sales of existing products, driven by lower volumes, which were negatively impacted by competitive market conditions, including VBP. The favorable impact of foreign currency translation was approximately $0.5 million, or 2%. Constant currency net sales increased by approximately $527.1 million when compared to the prior year.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JANZ Segment</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Net sales from JANZ increased by $220.8 million or 79% for the three months ended June 30, 2021 when compared to the prior year period. This increase was the result of net sales from the Upjohn Business in the current quarter of $191.9 million and higher net sales of existing products driven by higher volumes in Japan primarily related to the impact of the termination of the collaboration arrangement with Pfizer in the prior year, partially offset by lower pricing in Australia driven by government price reductions and product competition. Foreign currency translation had a favorable impact of approximately $14.9 million, or 5%. Constant currency net sales increased by approximately $205.9 million, or 74% when compared to the prior year period.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Emerging Markets Segment</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Net sales from Emerging Markets increased by $459.7 million or 112% for the three months ended June 30, 2021 when compared to the prior year period. This increase was the result of net sales from the Upjohn Business in the current quarter of $377.1 million and COVID-19 related product sales in India, primarily related to remdesivir and ambisome. This increase was partially offset by lower volumes and pricing of antiretroviral drugs as a result of the timing of orders across multiple markets, and lower volumes in other markets. The favorable impact of foreign currency translation was $24.3 million, or 6%. Constant currency net sales increased by approximately $435.4 million, or 106%.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Cost of sales increased from $1.71 billion for the three months ended June 30, 2020 to $3.25 billion for the three months ended June 30, 2021. Cost of sales was primarily impacted by purchase accounting related amortization of acquired intangible assets and other special items, which are described further in the section titled </w:t>
      </w:r>
      <w:r>
        <w:rPr>
          <w:rFonts w:ascii="Arial" w:cs="Arial" w:eastAsia="Arial" w:hAnsi="Arial"/>
          <w:sz w:val="18"/>
          <w:szCs w:val="18"/>
          <w:i w:val="1"/>
          <w:iCs w:val="1"/>
          <w:color w:val="auto"/>
        </w:rPr>
        <w:t>Use of Non-GAAP Financial Measures.</w:t>
      </w:r>
      <w:r>
        <w:rPr>
          <w:rFonts w:ascii="Arial" w:cs="Arial" w:eastAsia="Arial" w:hAnsi="Arial"/>
          <w:sz w:val="18"/>
          <w:szCs w:val="18"/>
          <w:color w:val="auto"/>
        </w:rPr>
        <w:t xml:space="preserve"> Gross profit for the three months ended June 30, 2021 was $1.33 billion and gross margins were 29%. For the three months ended June 30, 2020, gross profit was $1.03 billion and gross margins were 38%. Cost of sales from the Upjohn Business, including the impact of amortization expense, was $1.24 billion for the three months ended June 30, 2021. This includes increased amortization expense of $778.0 million primarily for purchase accounting related amortization of intangible assets and the step-up of acquired inventory. Gross profit from net sales of existing products was impacted equally by lower volumes and lower pricing. Adjusted gross margins were 58% for the three months ended June 30, 2021, compared to 54% for the three months ended June 30, 2020, with the year-over-year increase driven by the impact of the Combination.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 reconciliation between cost of sales, as reported under U.S. GAAP, and adjusted cost of sales and adjusted gross margin for the three months ended June 30, 2021 compared to the three months ended June 30, 2020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4"/>
        </w:trPr>
        <w:tc>
          <w:tcPr>
            <w:tcW w:w="8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GAAP cost of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3,250.1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1,705.5</w:t>
            </w:r>
          </w:p>
        </w:tc>
        <w:tc>
          <w:tcPr>
            <w:tcW w:w="0" w:type="dxa"/>
            <w:vAlign w:val="bottom"/>
          </w:tcPr>
          <w:p>
            <w:pPr>
              <w:spacing w:after="0"/>
              <w:rPr>
                <w:sz w:val="1"/>
                <w:szCs w:val="1"/>
                <w:color w:val="auto"/>
              </w:rPr>
            </w:pPr>
          </w:p>
        </w:tc>
      </w:tr>
      <w:tr>
        <w:trPr>
          <w:trHeight w:val="229"/>
        </w:trPr>
        <w:tc>
          <w:tcPr>
            <w:tcW w:w="8740" w:type="dxa"/>
            <w:vAlign w:val="bottom"/>
          </w:tcPr>
          <w:p>
            <w:pPr>
              <w:ind w:left="20"/>
              <w:spacing w:after="0"/>
              <w:rPr>
                <w:sz w:val="20"/>
                <w:szCs w:val="20"/>
                <w:color w:val="auto"/>
              </w:rPr>
            </w:pPr>
            <w:r>
              <w:rPr>
                <w:rFonts w:ascii="Arial" w:cs="Arial" w:eastAsia="Arial" w:hAnsi="Arial"/>
                <w:sz w:val="18"/>
                <w:szCs w:val="18"/>
                <w:color w:val="auto"/>
              </w:rPr>
              <w:t>Deduct:</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accounting related amortization</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(1,169.8)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30"/>
        </w:trPr>
        <w:tc>
          <w:tcPr>
            <w:tcW w:w="8740" w:type="dxa"/>
            <w:vAlign w:val="bottom"/>
          </w:tcPr>
          <w:p>
            <w:pPr>
              <w:ind w:left="220"/>
              <w:spacing w:after="0"/>
              <w:rPr>
                <w:sz w:val="20"/>
                <w:szCs w:val="20"/>
                <w:color w:val="auto"/>
              </w:rPr>
            </w:pPr>
            <w:r>
              <w:rPr>
                <w:rFonts w:ascii="Arial" w:cs="Arial" w:eastAsia="Arial" w:hAnsi="Arial"/>
                <w:sz w:val="18"/>
                <w:szCs w:val="18"/>
                <w:color w:val="auto"/>
              </w:rPr>
              <w:t>Acquisition related items</w:t>
            </w:r>
          </w:p>
        </w:tc>
        <w:tc>
          <w:tcPr>
            <w:tcW w:w="24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related costs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874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special items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3"/>
        </w:trPr>
        <w:tc>
          <w:tcPr>
            <w:tcW w:w="8740" w:type="dxa"/>
            <w:vAlign w:val="bottom"/>
          </w:tcPr>
          <w:p>
            <w:pPr>
              <w:ind w:left="20"/>
              <w:spacing w:after="0"/>
              <w:rPr>
                <w:sz w:val="20"/>
                <w:szCs w:val="20"/>
                <w:color w:val="auto"/>
              </w:rPr>
            </w:pPr>
            <w:r>
              <w:rPr>
                <w:rFonts w:ascii="Arial" w:cs="Arial" w:eastAsia="Arial" w:hAnsi="Arial"/>
                <w:sz w:val="18"/>
                <w:szCs w:val="18"/>
                <w:color w:val="auto"/>
              </w:rPr>
              <w:t>Adjusted cost of sales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1,900.6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1,248.4</w:t>
            </w:r>
          </w:p>
        </w:tc>
        <w:tc>
          <w:tcPr>
            <w:tcW w:w="0" w:type="dxa"/>
            <w:vAlign w:val="bottom"/>
          </w:tcPr>
          <w:p>
            <w:pPr>
              <w:spacing w:after="0"/>
              <w:rPr>
                <w:sz w:val="1"/>
                <w:szCs w:val="1"/>
                <w:color w:val="auto"/>
              </w:rPr>
            </w:pP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23"/>
                <w:szCs w:val="23"/>
                <w:color w:val="auto"/>
                <w:vertAlign w:val="superscript"/>
              </w:rPr>
              <w:t>(a)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2,677.2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1,482.8</w:t>
            </w:r>
          </w:p>
        </w:tc>
        <w:tc>
          <w:tcPr>
            <w:tcW w:w="0" w:type="dxa"/>
            <w:vAlign w:val="bottom"/>
          </w:tcPr>
          <w:p>
            <w:pPr>
              <w:spacing w:after="0"/>
              <w:rPr>
                <w:sz w:val="1"/>
                <w:szCs w:val="1"/>
                <w:color w:val="auto"/>
              </w:rPr>
            </w:pP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3"/>
                <w:szCs w:val="23"/>
                <w:color w:val="auto"/>
                <w:vertAlign w:val="superscript"/>
              </w:rPr>
              <w:t>(a)</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1"/>
        </w:trPr>
        <w:tc>
          <w:tcPr>
            <w:tcW w:w="87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8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60" w:hanging="328"/>
        <w:spacing w:after="0" w:line="234" w:lineRule="auto"/>
        <w:tabs>
          <w:tab w:leader="none" w:pos="655"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&amp; Development Expense</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R&amp;D expense for the three months ended June 30, 2021 was $147.7 million, compared to $156.3 million for the comparable prior year period, a decrease of $8.6 million. This decrease was primarily due to higher expenses in the comparable prior year period related to licensing arrangements for products in development, partially offset by increased costs associated with the Upjohn Business in the current year period.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&amp; Administrative Expense</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SG&amp;A expense for the three months ended June 30, 2021 was $1.20 billion, compared to $719.4 million for the comparable prior year period, an increase of $485.4 million. The increase was primarily due to costs related to the Upjohn Business of $421.3 million and an increase of approximately $146.2 million for restructuring costs due to the implementation of the 2020 restructuring program. Partially offsetting these increases were lower acquisition related costs of approximately $74.2 million and lower selling and promotional expenses, including through our active management related to synergies and certain lower expenses as a result of COVID-19.</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 Settlements and Other Contingencies,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the losses/(gains) recognized in litigation settlements and other contingencies, net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95"/>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r>
      <w:tr>
        <w:trPr>
          <w:trHeight w:val="188"/>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r>
      <w:tr>
        <w:trPr>
          <w:trHeight w:val="224"/>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Respiratory delivery platform contingent consideration adjustment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Litigation settlements, net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0.1</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48"/>
        </w:trPr>
        <w:tc>
          <w:tcPr>
            <w:tcW w:w="8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litigation settlements and other contingencies,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23.0</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Interest expense for the three months ended June 30, 2021 totaled $167.1 million, compared to $116.2 million for the three months ended June 30, 2020, an increase of $50.9 million. The increase is due to the interest expense related to the additional debt assumed in the Combination of approximately $68.2 million, partially offset by amortization of debt premium of $17.3 million and by the impact of debt repayments in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Other expense, net was $4.2 million for the three months ended June 30, 2021, compared to other income, net of $2.0 million for the comparable prior year period. Other expense (income), net includes losses from equity affiliates, foreign exchange gains and losses and interest and dividend income. Other expense (income), net was comprised of the following for the three months ended June 30, 2021 and 2020, respectively: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8"/>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from equity affiliates, primarily clean energy investments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Foreign exchange losses,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gains,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b w:val="1"/>
                <w:bCs w:val="1"/>
                <w:color w:val="auto"/>
              </w:rPr>
              <w:t>Other expense (income),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1"/>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For the three months ended June 30, 2021, the Company recognized an income tax provision of $60.1 million, compared to an income tax benefit of $19.4 million for the comparable prior year period, an increase of $79.5 million. The income tax provision for the three months ended June 30, 2021 was negatively impacted by the tax rates applied to the reversal of intercompany profit in inventory reserve which was recorded on the opening balance sheet as part of Combination. This reserve eliminates the profit in inventory related to intercompany transactions and changes to this reserve occur as products are sold to third parties. Also impacting the current year income tax provision was the changing mix of income earned in jurisdictions with differing tax rates.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left="4"/>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2021 Currency</w:t>
            </w:r>
          </w:p>
        </w:tc>
        <w:tc>
          <w:tcPr>
            <w:tcW w:w="140" w:type="dxa"/>
            <w:vAlign w:val="bottom"/>
          </w:tcPr>
          <w:p>
            <w:pPr>
              <w:spacing w:after="0"/>
              <w:rPr>
                <w:sz w:val="11"/>
                <w:szCs w:val="11"/>
                <w:color w:val="auto"/>
              </w:rPr>
            </w:pPr>
          </w:p>
        </w:tc>
        <w:tc>
          <w:tcPr>
            <w:tcW w:w="1040" w:type="dxa"/>
            <w:vAlign w:val="bottom"/>
          </w:tcPr>
          <w:p>
            <w:pPr>
              <w:jc w:val="right"/>
              <w:ind w:right="55"/>
              <w:spacing w:after="0" w:line="135" w:lineRule="exact"/>
              <w:rPr>
                <w:sz w:val="20"/>
                <w:szCs w:val="20"/>
                <w:color w:val="auto"/>
              </w:rPr>
            </w:pPr>
            <w:r>
              <w:rPr>
                <w:rFonts w:ascii="Arial" w:cs="Arial" w:eastAsia="Arial" w:hAnsi="Arial"/>
                <w:sz w:val="14"/>
                <w:szCs w:val="14"/>
                <w:b w:val="1"/>
                <w:bCs w:val="1"/>
                <w:color w:val="auto"/>
                <w:w w:val="91"/>
              </w:rPr>
              <w:t>2021 Constant</w:t>
            </w:r>
          </w:p>
        </w:tc>
        <w:tc>
          <w:tcPr>
            <w:tcW w:w="100" w:type="dxa"/>
            <w:vAlign w:val="bottom"/>
          </w:tcPr>
          <w:p>
            <w:pPr>
              <w:spacing w:after="0"/>
              <w:rPr>
                <w:sz w:val="11"/>
                <w:szCs w:val="11"/>
                <w:color w:val="auto"/>
              </w:rPr>
            </w:pPr>
          </w:p>
        </w:tc>
        <w:tc>
          <w:tcPr>
            <w:tcW w:w="13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8"/>
              </w:rPr>
              <w:t>Constant Currency</w:t>
            </w:r>
          </w:p>
        </w:tc>
        <w:tc>
          <w:tcPr>
            <w:tcW w:w="0" w:type="dxa"/>
            <w:vAlign w:val="bottom"/>
          </w:tcPr>
          <w:p>
            <w:pPr>
              <w:spacing w:after="0"/>
              <w:rPr>
                <w:sz w:val="1"/>
                <w:szCs w:val="1"/>
                <w:color w:val="auto"/>
              </w:rPr>
            </w:pPr>
          </w:p>
        </w:tc>
      </w:tr>
      <w:tr>
        <w:trPr>
          <w:trHeight w:val="135"/>
        </w:trPr>
        <w:tc>
          <w:tcPr>
            <w:tcW w:w="33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1"/>
                <w:szCs w:val="11"/>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4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215"/>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4"/>
              </w:rPr>
              <w:t xml:space="preserve">Impact </w:t>
            </w:r>
            <w:r>
              <w:rPr>
                <w:rFonts w:ascii="Arial" w:cs="Arial" w:eastAsia="Arial" w:hAnsi="Arial"/>
                <w:sz w:val="18"/>
                <w:szCs w:val="18"/>
                <w:b w:val="1"/>
                <w:bCs w:val="1"/>
                <w:color w:val="auto"/>
                <w:w w:val="94"/>
                <w:vertAlign w:val="superscript"/>
              </w:rPr>
              <w:t>(1)</w:t>
            </w:r>
          </w:p>
        </w:tc>
        <w:tc>
          <w:tcPr>
            <w:tcW w:w="14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1340" w:type="dxa"/>
            <w:vAlign w:val="bottom"/>
          </w:tcPr>
          <w:p>
            <w:pPr>
              <w:jc w:val="right"/>
              <w:ind w:right="202"/>
              <w:spacing w:after="0" w:line="189"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Arial" w:cs="Arial" w:eastAsia="Arial" w:hAnsi="Arial"/>
                <w:sz w:val="18"/>
                <w:szCs w:val="18"/>
                <w:color w:val="auto"/>
              </w:rPr>
              <w:t>Developed Markets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5,212.0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3,969.1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5,002.9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Greater China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Arial" w:cs="Arial" w:eastAsia="Arial" w:hAnsi="Arial"/>
                <w:sz w:val="18"/>
                <w:szCs w:val="18"/>
                <w:color w:val="auto"/>
              </w:rPr>
              <w:t>JANZ</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523.4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946.0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Emerging Markets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23"/>
        </w:trPr>
        <w:tc>
          <w:tcPr>
            <w:tcW w:w="334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8,961.8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5,284.1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8,690.9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Other revenues </w:t>
            </w:r>
            <w:r>
              <w:rPr>
                <w:rFonts w:ascii="Arial" w:cs="Arial" w:eastAsia="Arial" w:hAnsi="Arial"/>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20"/>
              <w:spacing w:after="0" w:line="223" w:lineRule="exact"/>
              <w:rPr>
                <w:sz w:val="20"/>
                <w:szCs w:val="20"/>
                <w:color w:val="auto"/>
              </w:rPr>
            </w:pPr>
            <w:r>
              <w:rPr>
                <w:rFonts w:ascii="Arial" w:cs="Arial" w:eastAsia="Arial" w:hAnsi="Arial"/>
                <w:sz w:val="18"/>
                <w:szCs w:val="18"/>
                <w:color w:val="auto"/>
              </w:rPr>
              <w:t xml:space="preserve">Consolidated total revenues </w:t>
            </w:r>
            <w:r>
              <w:rPr>
                <w:rFonts w:ascii="Arial" w:cs="Arial" w:eastAsia="Arial" w:hAnsi="Arial"/>
                <w:sz w:val="23"/>
                <w:szCs w:val="23"/>
                <w:color w:val="auto"/>
                <w:vertAlign w:val="superscript"/>
              </w:rPr>
              <w:t>(4)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5,350.4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8,736.0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Currency impact is shown as unfavorable (favorable).</w:t>
      </w:r>
    </w:p>
    <w:p>
      <w:pPr>
        <w:spacing w:after="0" w:line="55" w:lineRule="exact"/>
        <w:rPr>
          <w:rFonts w:ascii="Arial" w:cs="Arial" w:eastAsia="Arial" w:hAnsi="Arial"/>
          <w:sz w:val="23"/>
          <w:szCs w:val="23"/>
          <w:color w:val="auto"/>
          <w:vertAlign w:val="superscript"/>
        </w:rPr>
      </w:pPr>
    </w:p>
    <w:p>
      <w:pPr>
        <w:jc w:val="both"/>
        <w:ind w:left="660" w:hanging="328"/>
        <w:spacing w:after="0" w:line="228" w:lineRule="auto"/>
        <w:tabs>
          <w:tab w:leader="none" w:pos="648"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The constant currency percentage change is derived by translating net sales or revenues for the current period at prior year comparative period exchange rates, and in doing so shows the percentage change from 2021 constant currency net sales or revenues to the corresponding amount in the prior year.</w:t>
      </w:r>
    </w:p>
    <w:p>
      <w:pPr>
        <w:spacing w:after="0" w:line="41" w:lineRule="exact"/>
        <w:rPr>
          <w:rFonts w:ascii="Arial" w:cs="Arial" w:eastAsia="Arial" w:hAnsi="Arial"/>
          <w:sz w:val="23"/>
          <w:szCs w:val="23"/>
          <w:color w:val="auto"/>
          <w:vertAlign w:val="superscript"/>
        </w:rPr>
      </w:pPr>
    </w:p>
    <w:p>
      <w:pPr>
        <w:ind w:left="660" w:hanging="328"/>
        <w:spacing w:after="0" w:line="227" w:lineRule="auto"/>
        <w:tabs>
          <w:tab w:leader="none" w:pos="648"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For the six months ended June 30, 2021, other revenues in Developed Markets, JANZ, and Emerging Markets were approximately $34.5 million, $1.0 million, and $10.8 million, respectively.</w:t>
      </w:r>
    </w:p>
    <w:p>
      <w:pPr>
        <w:spacing w:after="0" w:line="5"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Amounts exclude intersegment revenue that eliminates on a consolidated basis.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jc w:val="both"/>
        <w:ind w:right="180" w:firstLine="648"/>
        <w:spacing w:after="0" w:line="301" w:lineRule="auto"/>
        <w:rPr>
          <w:sz w:val="20"/>
          <w:szCs w:val="20"/>
          <w:color w:val="auto"/>
        </w:rPr>
      </w:pPr>
      <w:r>
        <w:rPr>
          <w:rFonts w:ascii="Arial" w:cs="Arial" w:eastAsia="Arial" w:hAnsi="Arial"/>
          <w:sz w:val="16"/>
          <w:szCs w:val="16"/>
          <w:color w:val="auto"/>
        </w:rPr>
        <w:t>For the six months ended June 30, 2021, Viatris reported total revenues of $9.01 billion, compared to $5.35 billion for the comparable prior year period, representing an increase of $3.66 billion, or 68%. Total revenues include both net sales and other revenues from third parties. Net sales for the six months ended June 30, 2021 were $8.96 billion, compared to $5.28 billion for the comparable prior year period, representing an increase of $3.68 billion, or 70%. Other revenues for the current year were $46.3 million, compared to $66.3 million for the comparable prior year period.</w:t>
      </w:r>
    </w:p>
    <w:p>
      <w:pPr>
        <w:spacing w:after="0" w:line="15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increase in total revenues and net sales was primarily driven by net sales totaling $3.35 billion from the Upjohn Business in the current year and approximately $397.0 million of new product sales, partially offset by a decrease of approximately $340.7 million in net sales from existing products as a result of lower pricing, and to a lesser extent, lower volumes. New product sales include new products launched in 2021 and the carryover impact of new products, including business development, launched since July 1, 2020. The Company’s net sales were favorably impacted by the effect of foreign currency translation, primarily reflecting changes in the U.S. Dollar as compared to the currencies of subsidiaries in countries within the EU and in Australia and India. The net favorable impact of foreign currency translation on net sales was approximately $270.9 million, or 5%. On a constant currency basis, the increase in net sales was approximately $3.41 billion, or 65% for the six months ended June 30, 2021. We estimate that the COVID-19 pandemic positively impacted our net sales during the six months ended June 30, 2021 by approximately 1% as compared to the prior year period.</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From time to time, a limited number of our products may represent a significant portion of our net sales, gross profit and net earnings. Our top ten products in terms of net sales, in the aggregate, represented approximately 34% and 24% for the six months ended June 30, 2021 and 2020, respectively, with the year-over-year increase a result of the Combination. This percentage may fluctuate based upon the timing of new product launches, seasonality and the timing of changes in competition.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are derived from our four reporting segments: Developed Markets, Greater China, JANZ, and Emerging Markets.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Developed Markets Segment</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Net sales from Developed Markets increased by $1.24 billion or 31% during the six months ended June 30, 2021 when compared to the prior year period. Net sales within North America totaled approximately $2.40 billion and net sales within Europe totaled approximately $2.81 billion. This increase was due primarily to net sales from the Upjohn Business in the current year of $1.05 billion, new product sales, including the portfolio of thrombosis products in Europe acquired from Aspen in the fourth quarter of 2020, and higher volumes related to customer purchasing patterns in North America for the EpiPen® Auto-Injector, Yupelri, and biosimilar products. This increase was partially offset by lower pricing and volumes on net sales of certain existing North American products, including Wixela, Xulane, Perforomist, and Levothyroxine Sodium, due to additional competition. Lower volumes were also due to the impact of product divestitures, including certain North American OTC products during the current quarter and other products during 2020 as a result of the Combination. Sales of existing products in Europe were negatively impacted by lower pricing and lower volumes as a result of a decline in certain tender sales. The favorable impact of foreign currency translation on current period net sales, primarily in Europe, was approximately $209.1 million, or 5%. Constant currency net sales increased by approximately $1.03 billion, or 26% when compared to the prior year period.</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Greater China Segment</w:t>
      </w:r>
    </w:p>
    <w:p>
      <w:pPr>
        <w:spacing w:after="0" w:line="225"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8"/>
          <w:szCs w:val="18"/>
          <w:color w:val="auto"/>
        </w:rPr>
        <w:t>Net sales from Greater China increased by $1.10 billion for the six months ended June 30, 2021 when compared to the prior year period. This increase was the result of net sales from the Upjohn Business in the current year of $1.13 billion. This increase was partially offset by lower net sales of existing products, driven by lower volumes, which were negatively impacted by competitive market conditions, including VBP. The favorable impact of foreign currency translation was approximately $0.3 million, or less than 1%. Constant currency net sales increased by approximately $1.10 billion when compared to the prior year.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JANZ Segment</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Net sales from JANZ increased by $459.5 million or 88% for the six months ended June 30, 2021 when compared to the prior year. This increase was the result of net sales from the Upjohn Business in the current year of $381.5 million and higher net sales of existing products driven by higher volumes in Japan primarily driven by the impact of the termination of the collaboration arrangement with Pfizer in the prior year, Amitiza, Lipacreon, and the EpiPen® Auto-Injector. These increases were partially offset by lower pricing and volumes in Australia driven by government price reductions and product competition. Foreign currency translation had a favorable impact of approximately $36.9 million, or 7%. Constant currency net sales increased by approximately $422.6 million, or 81% when compared to the prior year period.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Emerging Markets Segment</w:t>
      </w:r>
    </w:p>
    <w:p>
      <w:pPr>
        <w:spacing w:after="0" w:line="225"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Net sales from Emerging Markets increased by $870.9 million or 116% for the six months ended June 30, 2021 when compared to the prior year period. This increase was the result of net sales from the Upjohn Business in the current year of $783.3 million and COVID-19 related product sales in India, primarily related to remdesivir and ambisome. These increases were partially offset by lower volumes and pricing of antiretroviral drugs as a result of the timing of orders across multiple markets, and lower volumes in other markets. The favorable impact of foreign currency translation was $24.6 million, or 3%. Constant currency net sales increased by approximately $846.3 million, or 112%.</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 xml:space="preserve">Cost of sales increased from $3.42 billion for the six months ended June 30, 2020 to $6.55 billion for the six months ended June 30, 2021. Cost of sales was primarily impacted by purchase accounting related amortization of acquired intangible assets and other special items, which are described further in the section titled </w:t>
      </w:r>
      <w:r>
        <w:rPr>
          <w:rFonts w:ascii="Arial" w:cs="Arial" w:eastAsia="Arial" w:hAnsi="Arial"/>
          <w:sz w:val="16"/>
          <w:szCs w:val="16"/>
          <w:i w:val="1"/>
          <w:iCs w:val="1"/>
          <w:color w:val="auto"/>
        </w:rPr>
        <w:t>Use of Non-GAAP Financial Measures.</w:t>
      </w:r>
      <w:r>
        <w:rPr>
          <w:rFonts w:ascii="Arial" w:cs="Arial" w:eastAsia="Arial" w:hAnsi="Arial"/>
          <w:sz w:val="16"/>
          <w:szCs w:val="16"/>
          <w:color w:val="auto"/>
        </w:rPr>
        <w:t xml:space="preserve"> Gross profit for the six months ended June 30, 2021 was $2.46 billion and gross margins were 27%. For the six months ended June 30, 2020, gross profit was $1.93 billion and gross margins were 36%. Cost of sales from the Upjohn Business, including the impact of amortization expense, was $2.47 billion for the six months ended June 30, 2021. This includes increased amortization expense of $1.56 billion primarily for purchase accounting related amortization of intangible assets and the step-up of acquired inventory. Gross profit from net sales of existing products was impacted equally by lower volumes and lower pricing. Adjusted gross margins were 59% for the six months ended June 30, 2021, compared to 54% for the six months ended June 30, 2020, with the year-over-year increase driven by the impact of the Combination.</w:t>
      </w:r>
    </w:p>
    <w:p>
      <w:pPr>
        <w:spacing w:after="0" w:line="16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 reconciliation between cost of sales, as reported under U.S. GAAP, and adjusted cost of sales and adjusted gross margin for the six months ended June 30, 2021 compared to the six months ended June 30, 2020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GAAP cost of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6,553.1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6"/>
              </w:rPr>
              <w:t>3,418.6</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Deduct: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accounting related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(2,424.8)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(704.0)</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Acquisition related items</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related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(246.5)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special items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(186.1)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Adjusted cost of sales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3,691.0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6"/>
              </w:rPr>
              <w:t>2,487.2</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23"/>
                <w:szCs w:val="23"/>
                <w:color w:val="auto"/>
                <w:vertAlign w:val="superscript"/>
              </w:rPr>
              <w:t>(a)</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5,317.1</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6"/>
              </w:rPr>
              <w:t>2,863.2</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8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60" w:hanging="328"/>
        <w:spacing w:after="0" w:line="234" w:lineRule="auto"/>
        <w:tabs>
          <w:tab w:leader="none" w:pos="655"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&amp; Development Expense</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R&amp;D expense for the six months ended June 30, 2021 was $331.8 million, compared to $270.5 million for the comparable prior year period, an increase of $61.3 million. This increase was primarily due to costs associated with the Upjohn Business of $65.7 million and increased costs for inventory validation batches for certain products under development. These increases were partially offset by lower expenses in the current year period related to licensing arrangements for products in development.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Selling, General &amp; Administrative Expense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SG&amp;A expense for the six months ended June 30, 2021 was $2.39 billion, compared to $1.32 billion for the comparable prior year period, an increase of $1.07 billion. The increase was primarily due to costs related to the Upjohn Business of $857.7 million and an increase of approximately $283.7 million for restructuring costs due to the implementation of the 2020 restructuring program. Partially offsetting these increases were lower acquisition related costs of approximately $39.2 million and lower selling and promotional expenses, including through our active management related to synergies and certain lower expenses as a result of COVID-19.</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Settlements and Other Contingencies,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includes the losses/(gains) recognized in litigation settlements and other contingencies, net during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June 30,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8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r>
      <w:tr>
        <w:trPr>
          <w:trHeight w:val="188"/>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r>
      <w:tr>
        <w:trPr>
          <w:trHeight w:val="224"/>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Respiratory delivery platform contingent consideration adjustment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18.7</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Litigation settlements, net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13.9</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7"/>
              </w:rPr>
              <w:t>(1.1)</w:t>
            </w:r>
          </w:p>
        </w:tc>
      </w:tr>
      <w:tr>
        <w:trPr>
          <w:trHeight w:val="248"/>
        </w:trPr>
        <w:tc>
          <w:tcPr>
            <w:tcW w:w="8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litigation settlements and other contingencies,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45.9</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17.6</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Interest expense for the six months ended June 30, 2021 totaled $336.1 million, compared to $236.1 million for the six months ended June 30, 2020, an increase of $100.0 million. The increase is due to the interest expense related to the additional debt assumed in the Combination of approximately $143.8 million, partially offset by amortization of debt premium of $34.5 million and by the impact of debt repayments in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Other expense, net was $10.3 million for the six months ended June 30, 2021, compared to $32.1 million for the comparable prior year period. Other expense, net includes losses from equity affiliates, foreign exchange gains and losses and interest and dividend income. Other expense, net was comprised of the following for the six months ended June 30, 2021 and 2020, respectively: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Six Months Ended</w:t>
            </w:r>
          </w:p>
        </w:tc>
      </w:tr>
      <w:tr>
        <w:trPr>
          <w:trHeight w:val="194"/>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8"/>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from equity affiliates, primarily clean energy investments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center"/>
              <w:ind w:left="314"/>
              <w:spacing w:after="0"/>
              <w:rPr>
                <w:sz w:val="20"/>
                <w:szCs w:val="20"/>
                <w:color w:val="auto"/>
              </w:rPr>
            </w:pPr>
            <w:r>
              <w:rPr>
                <w:rFonts w:ascii="Arial" w:cs="Arial" w:eastAsia="Arial" w:hAnsi="Arial"/>
                <w:sz w:val="18"/>
                <w:szCs w:val="18"/>
                <w:color w:val="auto"/>
                <w:w w:val="91"/>
              </w:rPr>
              <w:t>34.5</w:t>
            </w: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Foreign exchange losses,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center"/>
              <w:ind w:left="314"/>
              <w:spacing w:after="0"/>
              <w:rPr>
                <w:sz w:val="20"/>
                <w:szCs w:val="20"/>
                <w:color w:val="auto"/>
              </w:rPr>
            </w:pPr>
            <w:r>
              <w:rPr>
                <w:rFonts w:ascii="Arial" w:cs="Arial" w:eastAsia="Arial" w:hAnsi="Arial"/>
                <w:sz w:val="18"/>
                <w:szCs w:val="18"/>
                <w:color w:val="auto"/>
                <w:w w:val="91"/>
              </w:rPr>
              <w:t>17.4</w:t>
            </w: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gains,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294"/>
              <w:spacing w:after="0"/>
              <w:rPr>
                <w:sz w:val="20"/>
                <w:szCs w:val="20"/>
                <w:color w:val="auto"/>
              </w:rPr>
            </w:pPr>
            <w:r>
              <w:rPr>
                <w:rFonts w:ascii="Arial" w:cs="Arial" w:eastAsia="Arial" w:hAnsi="Arial"/>
                <w:sz w:val="18"/>
                <w:szCs w:val="18"/>
                <w:color w:val="auto"/>
                <w:w w:val="89"/>
              </w:rPr>
              <w:t>(19.8)</w:t>
            </w: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b w:val="1"/>
                <w:bCs w:val="1"/>
                <w:color w:val="auto"/>
              </w:rPr>
              <w:t>Other expense,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center"/>
              <w:ind w:left="314"/>
              <w:spacing w:after="0"/>
              <w:rPr>
                <w:sz w:val="20"/>
                <w:szCs w:val="20"/>
                <w:color w:val="auto"/>
              </w:rPr>
            </w:pPr>
            <w:r>
              <w:rPr>
                <w:rFonts w:ascii="Arial" w:cs="Arial" w:eastAsia="Arial" w:hAnsi="Arial"/>
                <w:sz w:val="18"/>
                <w:szCs w:val="18"/>
                <w:color w:val="auto"/>
                <w:w w:val="91"/>
              </w:rPr>
              <w:t>32.1</w:t>
            </w: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For the six months ended June 30, 2021, the Company recognized an income tax provision of $656.4 million, compared to an income tax benefit of $9.5 million for the comparable prior year period, an increase of $665.9 million. The income tax provision for the six months ended June 30, 2021 was negatively impacted by the tax rates applied to the reversal of intercompany profit in inventory reserve which was recorded on the opening balance sheet as part of Combination. This reserve eliminates the profit in inventory related to intercompany transactions and changes to this reserve occur as products are sold to third parties. During the six months ended June 30, 2020, the Company recognized a benefit as a result of changes in the assessment of the realizability of deferred tax assets. Also impacting the current year income tax expense was the changing mix of income earned in jurisdictions with differing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spacing w:after="0" w:line="19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Management uses these measures internally for forecasting, budgeting, measuring its operating performance, and incentive-based awards. Primarily due to acquisitions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Cost of Sales and Adjusted Gross Margin</w:t>
      </w:r>
    </w:p>
    <w:p>
      <w:pPr>
        <w:spacing w:after="0" w:line="22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use the non-GAAP financial measure “adjusted cost of sales” and the corresponding non-GAAP financial measure “adjusted gross margin.” The principal items excluded from adjusted cost of sales include restructuring, acquisition related and other special items and purchase accounting related amortization, which are described in greater detail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Earnings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Adjusted net earnings is a non-GAAP financial measure and provides an alternative view of performance used by management. Management believes that, primarily due to acquisition activity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is an important internal financial metric related to the ongoing operating performance of the Company, and is therefore useful to investors and that their understanding of our performance is enhanced by this measure. Actual internal and forecasted operating results and annual budgets used by management include adjusted net earnings.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net contribution attributable to equity method investments, income tax provision (benefit), interest expense and depreciation and amortization. EBITDA is further adjusted for share-based compensation expense, litigation settlements and other contingencies, net, and restructuring, acquisition related and other special items to determine “adjusted EBITDA”. These adjustments are generally permitted under our credit agreement in calculating Adjusted EBITDA for determining compliance with our debt covenants.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items excluded from adjusted cost of sales, adjusted net earnings, and adjusted EBITDA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 Accounting Amortization and Other Related Items</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 xml:space="preserve">The ongoing impact of certain amounts recorded in connection with acquisitions of both businesses and assets is excluded from adjusted cost of sales, adjusted net earnings, and adjusted EBITDA. These amounts include the amortization of intangible assets, inventory step-up, property, plant and equipment step-up, and intangible asset impairment charges, including for in-process research and development. For the acquisition of businesses accounted for under the provisions of </w:t>
      </w:r>
      <w:r>
        <w:rPr>
          <w:rFonts w:ascii="Arial" w:cs="Arial" w:eastAsia="Arial" w:hAnsi="Arial"/>
          <w:sz w:val="18"/>
          <w:szCs w:val="18"/>
          <w:i w:val="1"/>
          <w:iCs w:val="1"/>
          <w:color w:val="auto"/>
        </w:rPr>
        <w:t>ASC 805, Business Combinations</w:t>
      </w:r>
      <w:r>
        <w:rPr>
          <w:rFonts w:ascii="Arial" w:cs="Arial" w:eastAsia="Arial" w:hAnsi="Arial"/>
          <w:sz w:val="18"/>
          <w:szCs w:val="18"/>
          <w:color w:val="auto"/>
        </w:rPr>
        <w:t>, these purchase accounting impacts are excluded regardless of the financing method used for the acquisitions, including the use of cash, long-term debt, the issuance of common stock, contingent consideration or any combination thereof.</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Upfront and Milestone-Related R&amp;D Expenses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These expenses and payments are excluded from adjusted net earnings and adjusted EBITDA because they generally occur at irregular intervals and are not indicative of the Company’s ongoing operations.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Accretion of Contingent Consideration Liability and Other Fair Value Adjustments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impact of changes to the fair value of contingent consideration and accretion expense are excluded from adjusted net earnings and adjusted EBITDA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Share-based compensation expense is excluded from adjusted net earnings and adjusted EBITDA.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 Acquisition Related and Other Special Items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Costs related to restructuring, acquisition and integration activities and other actions are excluded from adjusted cost of sales, adjusted net earnings and adjusted EBITDA, as applicable. These amounts include items such as:</w:t>
      </w:r>
    </w:p>
    <w:p>
      <w:pPr>
        <w:spacing w:after="0" w:line="62" w:lineRule="exact"/>
        <w:rPr>
          <w:sz w:val="20"/>
          <w:szCs w:val="20"/>
          <w:color w:val="auto"/>
        </w:rPr>
      </w:pPr>
    </w:p>
    <w:p>
      <w:pPr>
        <w:ind w:left="980" w:right="540" w:hanging="324"/>
        <w:spacing w:after="0" w:line="263"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w:t>
      </w:r>
    </w:p>
    <w:p>
      <w:pPr>
        <w:spacing w:after="0" w:line="21" w:lineRule="exact"/>
        <w:rPr>
          <w:rFonts w:ascii="Arial" w:cs="Arial" w:eastAsia="Arial" w:hAnsi="Arial"/>
          <w:sz w:val="18"/>
          <w:szCs w:val="18"/>
          <w:color w:val="auto"/>
        </w:rPr>
      </w:pPr>
    </w:p>
    <w:p>
      <w:pPr>
        <w:ind w:left="980" w:hanging="324"/>
        <w:spacing w:after="0" w:line="25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acquisition related remediation and integration and planning costs, as well as other costs associated with acquisitions such as advisory and legal fees, certain financing related costs, certain reimbursements related to the Company’s obligation to reimburse Pfizer for certain financing and transaction related costs under the Business Combination Agreement and Separation and Distribution Agreement, certain other TSA related exit costs, and other business transformation and/or optimization initiatives, which are not part of a formal restructuring program, including employee separation and post-employment costs;</w:t>
      </w:r>
    </w:p>
    <w:p>
      <w:pPr>
        <w:spacing w:after="0" w:line="25"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pre-tax loss of the Company’s clean energy investments, whose activities qualify for income tax credits under the Code; only included in adjusted net earnings is the net tax effect of the entity’s activities;</w:t>
      </w:r>
    </w:p>
    <w:p>
      <w:pPr>
        <w:spacing w:after="0" w:line="8"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costs, incurred from time to time, related to certain special events or activities that lead to gains or losses, including, but not limited to, incremental manufacturing variances, asset write-downs, or liability adjustments;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costs to further develop and optimize our global enterprise resource planning systems, operations and supply chain; and</w:t>
      </w:r>
    </w:p>
    <w:p>
      <w:pPr>
        <w:spacing w:after="0" w:line="63" w:lineRule="exact"/>
        <w:rPr>
          <w:rFonts w:ascii="Arial" w:cs="Arial" w:eastAsia="Arial" w:hAnsi="Arial"/>
          <w:sz w:val="18"/>
          <w:szCs w:val="18"/>
          <w:color w:val="auto"/>
        </w:rPr>
      </w:pPr>
    </w:p>
    <w:p>
      <w:pPr>
        <w:ind w:left="980" w:right="120" w:hanging="324"/>
        <w:spacing w:after="0" w:line="263"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changes related to uncertain tax positions and certain impacts related to the Combination are excluded from adjusted net earnings. In addition, tax adjustments to adjusted earnings are recorded to present items on an after-tax basis consistent with the presentation of adjusted net earnings.</w:t>
      </w:r>
    </w:p>
    <w:p>
      <w:pPr>
        <w:spacing w:after="0" w:line="18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has undertaken restructurings and other optimization initiatives of differing types, scope and amount during the covered periods and, therefore, these charges should not be considered non-recurring; however, management</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9" w:name="page70"/>
    <w:bookmarkEnd w:id="6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excludes these amounts from adjusted net earnings and adjusted EBITDA because it believes it is helpful to understanding the underlying, ongoing operational performance of the business.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Litigation Settlements, Net</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 xml:space="preserve">Charges and gains related to legal matters, such as those discussed in Note 18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included in Part I, Item 1 of this Form 10-Q are generally excluded from adjusted net earnings and adjusted EBITDA. Normal, ongoing defense costs of the Company made in the normal course of our business are not excluded.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Reconciliation of U.S. GAAP Net (Loss) Earnings to Adjusted Net Earnings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between net (loss) earnings as reported under U.S. GAAP, and adjusted net earnings for the periods shown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88"/>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r>
      <w:tr>
        <w:trPr>
          <w:trHeight w:val="224"/>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GAAP net (loss) earnings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29"/>
        </w:trPr>
        <w:tc>
          <w:tcPr>
            <w:tcW w:w="6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Purchase accounting related amortization (primarily included in cost of sales) </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704.0</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settlements and other contingencies, net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w w:val="93"/>
              </w:rPr>
              <w:t>Interest expense (primarily amortization of premiums and discounts on long term debt)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Clean energy investments pre-tax loss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30"/>
        </w:trPr>
        <w:tc>
          <w:tcPr>
            <w:tcW w:w="6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Acquisition related costs (primarily included in SG&amp;A) </w:t>
            </w:r>
            <w:r>
              <w:rPr>
                <w:rFonts w:ascii="Arial" w:cs="Arial" w:eastAsia="Arial" w:hAnsi="Arial"/>
                <w:sz w:val="23"/>
                <w:szCs w:val="23"/>
                <w:color w:val="auto"/>
                <w:vertAlign w:val="superscript"/>
              </w:rPr>
              <w:t>(b)</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145.9</w:t>
            </w:r>
          </w:p>
        </w:tc>
      </w:tr>
      <w:tr>
        <w:trPr>
          <w:trHeight w:val="229"/>
        </w:trPr>
        <w:tc>
          <w:tcPr>
            <w:tcW w:w="6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Restructuring related costs </w:t>
            </w:r>
            <w:r>
              <w:rPr>
                <w:rFonts w:ascii="Arial" w:cs="Arial" w:eastAsia="Arial" w:hAnsi="Arial"/>
                <w:sz w:val="23"/>
                <w:szCs w:val="23"/>
                <w:color w:val="auto"/>
                <w:vertAlign w:val="superscript"/>
              </w:rPr>
              <w:t>(c)</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special items included in: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648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Cost of sales </w:t>
            </w:r>
            <w:r>
              <w:rPr>
                <w:rFonts w:ascii="Arial" w:cs="Arial" w:eastAsia="Arial" w:hAnsi="Arial"/>
                <w:sz w:val="23"/>
                <w:szCs w:val="23"/>
                <w:color w:val="auto"/>
                <w:vertAlign w:val="superscript"/>
              </w:rPr>
              <w:t>(d)</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215.7</w:t>
            </w:r>
          </w:p>
        </w:tc>
      </w:tr>
      <w:tr>
        <w:trPr>
          <w:trHeight w:val="230"/>
        </w:trPr>
        <w:tc>
          <w:tcPr>
            <w:tcW w:w="64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Research and development expense </w:t>
            </w:r>
            <w:r>
              <w:rPr>
                <w:rFonts w:ascii="Arial" w:cs="Arial" w:eastAsia="Arial" w:hAnsi="Arial"/>
                <w:sz w:val="23"/>
                <w:szCs w:val="23"/>
                <w:color w:val="auto"/>
                <w:vertAlign w:val="superscript"/>
              </w:rPr>
              <w:t>(e)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64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Tax effect of the above items and other income tax related items </w:t>
            </w:r>
            <w:r>
              <w:rPr>
                <w:rFonts w:ascii="Arial" w:cs="Arial" w:eastAsia="Arial" w:hAnsi="Arial"/>
                <w:sz w:val="23"/>
                <w:szCs w:val="23"/>
                <w:color w:val="auto"/>
                <w:vertAlign w:val="superscript"/>
              </w:rPr>
              <w:t>(f)</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earnings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1,041.5</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include the following:</w:t>
      </w:r>
    </w:p>
    <w:p>
      <w:pPr>
        <w:spacing w:after="0" w:line="63" w:lineRule="exact"/>
        <w:rPr>
          <w:sz w:val="20"/>
          <w:szCs w:val="20"/>
          <w:color w:val="auto"/>
        </w:rPr>
      </w:pPr>
    </w:p>
    <w:p>
      <w:pPr>
        <w:ind w:left="660" w:hanging="328"/>
        <w:spacing w:after="0" w:line="227" w:lineRule="auto"/>
        <w:tabs>
          <w:tab w:leader="none" w:pos="655"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For the three and six months ended June 30, 2021 includes amortization of the purchase accounting inventory fair value adjustment related to the Combination totaling approximately $477.3 million and $953.7 million, respectively.</w:t>
      </w:r>
    </w:p>
    <w:p>
      <w:pPr>
        <w:spacing w:after="0" w:line="40" w:lineRule="exact"/>
        <w:rPr>
          <w:rFonts w:ascii="Arial" w:cs="Arial" w:eastAsia="Arial" w:hAnsi="Arial"/>
          <w:sz w:val="23"/>
          <w:szCs w:val="23"/>
          <w:color w:val="auto"/>
          <w:vertAlign w:val="superscript"/>
        </w:rPr>
      </w:pPr>
    </w:p>
    <w:p>
      <w:pPr>
        <w:jc w:val="both"/>
        <w:ind w:left="660" w:hanging="328"/>
        <w:spacing w:after="0" w:line="234" w:lineRule="auto"/>
        <w:tabs>
          <w:tab w:leader="none" w:pos="648"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Acquisition related costs consist primarily of transaction costs including legal and consulting fees and integration activities. Refer to SG&amp;A discussion within the section “Three Months Ended June 30, 2021 Compared to Three Months Ended June 30, 2020” and “Six Months Ended June 30, 2021 Compared to Six Months Ended June 30, 2020”.</w:t>
      </w:r>
    </w:p>
    <w:p>
      <w:pPr>
        <w:spacing w:after="0" w:line="40" w:lineRule="exact"/>
        <w:rPr>
          <w:rFonts w:ascii="Arial" w:cs="Arial" w:eastAsia="Arial" w:hAnsi="Arial"/>
          <w:sz w:val="23"/>
          <w:szCs w:val="23"/>
          <w:color w:val="auto"/>
          <w:vertAlign w:val="superscript"/>
        </w:rPr>
      </w:pPr>
    </w:p>
    <w:p>
      <w:pPr>
        <w:jc w:val="both"/>
        <w:ind w:left="660" w:hanging="328"/>
        <w:spacing w:after="0" w:line="254" w:lineRule="auto"/>
        <w:tabs>
          <w:tab w:leader="none" w:pos="655" w:val="left"/>
        </w:tabs>
        <w:numPr>
          <w:ilvl w:val="0"/>
          <w:numId w:val="46"/>
        </w:numPr>
        <w:rPr>
          <w:rFonts w:ascii="Arial" w:cs="Arial" w:eastAsia="Arial" w:hAnsi="Arial"/>
          <w:sz w:val="22"/>
          <w:szCs w:val="22"/>
          <w:color w:val="auto"/>
          <w:vertAlign w:val="superscript"/>
        </w:rPr>
      </w:pPr>
      <w:r>
        <w:rPr>
          <w:rFonts w:ascii="Arial" w:cs="Arial" w:eastAsia="Arial" w:hAnsi="Arial"/>
          <w:sz w:val="17"/>
          <w:szCs w:val="17"/>
          <w:color w:val="auto"/>
        </w:rPr>
        <w:t xml:space="preserve">For the three months ended June 30, 2021 charges of approximately $78.7 million are included in cost of sales, approximately $10.2 million are included in R&amp;D, and approximately $165.8 million are included in SG&amp;A. For the six months ended June 30, 2021 charges of approximately $246.5 million are included in cost of sales, approximately $16.6 million are included in R&amp;D, and approximately $307.0 million are included in SG&amp;A. Refer to Note 15 </w:t>
      </w:r>
      <w:r>
        <w:rPr>
          <w:rFonts w:ascii="Arial" w:cs="Arial" w:eastAsia="Arial" w:hAnsi="Arial"/>
          <w:sz w:val="17"/>
          <w:szCs w:val="17"/>
          <w:i w:val="1"/>
          <w:iCs w:val="1"/>
          <w:color w:val="auto"/>
        </w:rPr>
        <w:t>Restructuring</w:t>
      </w:r>
      <w:r>
        <w:rPr>
          <w:rFonts w:ascii="Arial" w:cs="Arial" w:eastAsia="Arial" w:hAnsi="Arial"/>
          <w:sz w:val="17"/>
          <w:szCs w:val="17"/>
          <w:color w:val="auto"/>
        </w:rPr>
        <w:t xml:space="preserve"> included in Part I, Item 1 of this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60" w:hanging="328"/>
        <w:spacing w:after="0" w:line="259" w:lineRule="auto"/>
        <w:tabs>
          <w:tab w:leader="none" w:pos="648" w:val="left"/>
        </w:tabs>
        <w:numPr>
          <w:ilvl w:val="0"/>
          <w:numId w:val="47"/>
        </w:numPr>
        <w:rPr>
          <w:rFonts w:ascii="Arial" w:cs="Arial" w:eastAsia="Arial" w:hAnsi="Arial"/>
          <w:sz w:val="22"/>
          <w:szCs w:val="22"/>
          <w:color w:val="auto"/>
          <w:vertAlign w:val="superscript"/>
        </w:rPr>
      </w:pPr>
      <w:r>
        <w:rPr>
          <w:rFonts w:ascii="Arial" w:cs="Arial" w:eastAsia="Arial" w:hAnsi="Arial"/>
          <w:sz w:val="17"/>
          <w:szCs w:val="17"/>
          <w:color w:val="auto"/>
        </w:rPr>
        <w:t>Costs incurred during the three months and six months ended June 30, 2021 include incremental manufacturing variances and site remediation activities as a result of the activities at the Company’s Morgantown plant of approximately $44.1 million and $89.1 million, respectively. Costs incurred during the three and six months ended June 30, 2020 primarily relate to incremental manufacturing variances and site remediation activities as a result of the activities at the Company’s Morgantown plant of approximately $63.0 million and $121.8 million, respectively. In addition, the three and six months ended June 30, 2020 includes incremental manufacturing variances incurred as a result of the COVID-19 pandemic of approximately $15.0 million and $22.0 million, respectively. Also, the six months ended June 30, 2020 includes $25.0 million related to a special bonus for plant employees as a result of the COVID-19 pandemic.</w:t>
      </w:r>
    </w:p>
    <w:p>
      <w:pPr>
        <w:ind w:left="660" w:hanging="328"/>
        <w:spacing w:after="0"/>
        <w:tabs>
          <w:tab w:leader="none" w:pos="660"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Adjustments primarily relate to non-refundable payments related to development agreements.</w:t>
      </w:r>
    </w:p>
    <w:p>
      <w:pPr>
        <w:spacing w:after="0" w:line="55" w:lineRule="exact"/>
        <w:rPr>
          <w:rFonts w:ascii="Arial" w:cs="Arial" w:eastAsia="Arial" w:hAnsi="Arial"/>
          <w:sz w:val="23"/>
          <w:szCs w:val="23"/>
          <w:color w:val="auto"/>
          <w:vertAlign w:val="superscript"/>
        </w:rPr>
      </w:pPr>
    </w:p>
    <w:p>
      <w:pPr>
        <w:ind w:left="660" w:hanging="328"/>
        <w:spacing w:after="0" w:line="194" w:lineRule="auto"/>
        <w:tabs>
          <w:tab w:leader="none" w:pos="660"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Adjusted for changes for uncertain tax positions and for certain impacts of the Combination.</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Reconciliation of U.S. GAAP Net (Loss) Earnings to EBITDA and Adjusted EBITDA</w:t>
      </w:r>
    </w:p>
    <w:p>
      <w:pPr>
        <w:spacing w:after="0" w:line="15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Below is a reconciliation of U.S. GAAP net (loss) earnings to EBITDA and adjusted EBITDA for the three and six months ended June 30, 2021 compared to the prior year period: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24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88"/>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24"/>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GAAP net (loss) earnings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Add adjustments: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contribution attributable to equity method investments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30"/>
        </w:trPr>
        <w:tc>
          <w:tcPr>
            <w:tcW w:w="6120" w:type="dxa"/>
            <w:vAlign w:val="bottom"/>
          </w:tcPr>
          <w:p>
            <w:pPr>
              <w:ind w:left="220"/>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61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r>
      <w:tr>
        <w:trPr>
          <w:trHeight w:val="230"/>
        </w:trPr>
        <w:tc>
          <w:tcPr>
            <w:tcW w:w="612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(b)</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830.7</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w:t>
            </w:r>
          </w:p>
        </w:tc>
      </w:tr>
      <w:tr>
        <w:trPr>
          <w:trHeight w:val="230"/>
        </w:trPr>
        <w:tc>
          <w:tcPr>
            <w:tcW w:w="6120" w:type="dxa"/>
            <w:vAlign w:val="bottom"/>
          </w:tcPr>
          <w:p>
            <w:pPr>
              <w:ind w:left="140"/>
              <w:spacing w:after="0"/>
              <w:rPr>
                <w:sz w:val="20"/>
                <w:szCs w:val="20"/>
                <w:color w:val="auto"/>
              </w:rPr>
            </w:pPr>
            <w:r>
              <w:rPr>
                <w:rFonts w:ascii="Arial" w:cs="Arial" w:eastAsia="Arial" w:hAnsi="Arial"/>
                <w:sz w:val="18"/>
                <w:szCs w:val="18"/>
                <w:color w:val="auto"/>
              </w:rPr>
              <w:t>Add adjustments: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30"/>
        </w:trPr>
        <w:tc>
          <w:tcPr>
            <w:tcW w:w="6120" w:type="dxa"/>
            <w:vAlign w:val="bottom"/>
          </w:tcPr>
          <w:p>
            <w:pPr>
              <w:ind w:left="220"/>
              <w:spacing w:after="0"/>
              <w:rPr>
                <w:sz w:val="20"/>
                <w:szCs w:val="20"/>
                <w:color w:val="auto"/>
              </w:rPr>
            </w:pPr>
            <w:r>
              <w:rPr>
                <w:rFonts w:ascii="Arial" w:cs="Arial" w:eastAsia="Arial" w:hAnsi="Arial"/>
                <w:sz w:val="18"/>
                <w:szCs w:val="18"/>
                <w:color w:val="auto"/>
              </w:rPr>
              <w:t>Litigation settlements and other contingencies, net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61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Restructuring, acquisition related and other special items </w:t>
            </w:r>
            <w:r>
              <w:rPr>
                <w:rFonts w:ascii="Arial" w:cs="Arial" w:eastAsia="Arial" w:hAnsi="Arial"/>
                <w:sz w:val="23"/>
                <w:szCs w:val="23"/>
                <w:color w:val="auto"/>
                <w:vertAlign w:val="superscript"/>
              </w:rPr>
              <w:t>(c)</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1,675.4</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1,629.3</w:t>
            </w:r>
          </w:p>
        </w:tc>
      </w:tr>
      <w:tr>
        <w:trPr>
          <w:trHeight w:val="20"/>
        </w:trPr>
        <w:tc>
          <w:tcPr>
            <w:tcW w:w="6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580" w:hanging="248"/>
        <w:spacing w:after="0"/>
        <w:tabs>
          <w:tab w:leader="none" w:pos="580"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Includes amortization of premiums and discounts on long-term debt.</w:t>
      </w:r>
    </w:p>
    <w:p>
      <w:pPr>
        <w:spacing w:after="0" w:line="55" w:lineRule="exact"/>
        <w:rPr>
          <w:rFonts w:ascii="Arial" w:cs="Arial" w:eastAsia="Arial" w:hAnsi="Arial"/>
          <w:sz w:val="23"/>
          <w:szCs w:val="23"/>
          <w:color w:val="auto"/>
          <w:vertAlign w:val="superscript"/>
        </w:rPr>
      </w:pPr>
    </w:p>
    <w:p>
      <w:pPr>
        <w:ind w:left="580" w:hanging="248"/>
        <w:spacing w:after="0" w:line="194" w:lineRule="auto"/>
        <w:tabs>
          <w:tab w:leader="none" w:pos="580"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Includes purchase accounting related amortization.</w:t>
      </w:r>
    </w:p>
    <w:p>
      <w:pPr>
        <w:spacing w:after="0" w:line="56" w:lineRule="exact"/>
        <w:rPr>
          <w:rFonts w:ascii="Arial" w:cs="Arial" w:eastAsia="Arial" w:hAnsi="Arial"/>
          <w:sz w:val="23"/>
          <w:szCs w:val="23"/>
          <w:color w:val="auto"/>
          <w:vertAlign w:val="superscript"/>
        </w:rPr>
      </w:pPr>
    </w:p>
    <w:p>
      <w:pPr>
        <w:ind w:left="580" w:hanging="248"/>
        <w:spacing w:after="0" w:line="194" w:lineRule="auto"/>
        <w:tabs>
          <w:tab w:leader="none" w:pos="580"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See items detailed in the Reconciliation of U.S. GAAP Net (Loss) Earnings to Adjusted Net Earnings.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Our primary source of liquidity is net cash provided by operating activities, which was $1.41 billion for the six months ended June 30, 2021. We believe that net cash provided by operating activities and available liquidity will continue to allow us to meet our needs for working capital, capital expenditures, interest and principal payments on debt obligations, and dividend payments. Nevertheless, our ability to satisfy our working capital requirements and debt service obligations, fund planned capital expenditures, or dividend payments, will substantially depend upon our future operating performance (which will be affected by prevailing economic conditions), and financial, business and other factors, some of which are beyond our control.</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Net cash provided by operating activities increased by $737.6 million to $1.41 billion for the six months ended June 30, 2021, as compared to net cash provided by operating activities of $670.6 million for the six months ended June 30, 2020. Net cash provided by operating activities is derived from net (loss) earnings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-15875</wp:posOffset>
            </wp:positionV>
            <wp:extent cx="5143500" cy="17145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operating activities was favorably impacted in the current year period by higher operating earnings, after adjusting for non-cash items in both periods, of the combined company when compared to the prior year period. This increase was primarily offset by the negative impact of the timing of income tax payments and collections on accounts receivable balances.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cash from investing activities was $219.5 million for the six months ended June 30, 2021, as compared to net cash used in investing activities of $220.1 million for the six months ended June 30, 2020, a net increase of $439.6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-19050</wp:posOffset>
            </wp:positionV>
            <wp:extent cx="5143500" cy="17145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2021, significant items in investing activities included the following:</w:t>
      </w:r>
    </w:p>
    <w:p>
      <w:pPr>
        <w:spacing w:after="0" w:line="121" w:lineRule="exact"/>
        <w:rPr>
          <w:sz w:val="20"/>
          <w:szCs w:val="20"/>
          <w:color w:val="auto"/>
        </w:rPr>
      </w:pPr>
    </w:p>
    <w:p>
      <w:pPr>
        <w:ind w:left="980" w:right="34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cash received from acquisitions, net totaling approximately $277.0 million related to additional target cash balances received from Pfizer subsequent to the closing of the Combination;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proceeds from sale of assets of $83.4 million related to a group of OTC products in the U.S.;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80" w:right="20" w:hanging="324"/>
        <w:spacing w:after="0" w:line="263"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capital expenditures, primarily for equipment and facilities, totaling approximately $138.8 million. While there can be no assurance that current expectations will be realized, capital expenditures for the 2021 calendar year are expected to be approximately $500 million to $650 million.</w:t>
      </w:r>
    </w:p>
    <w:p>
      <w:pPr>
        <w:spacing w:after="0" w:line="75"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payments for product rights and other, net totaling approximately $17.3 million, primarily related to the acquisition of intellectual property rights and marketing authorizations;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2020, significant items in investing activities included the following:</w:t>
      </w:r>
    </w:p>
    <w:p>
      <w:pPr>
        <w:spacing w:after="0" w:line="121" w:lineRule="exact"/>
        <w:rPr>
          <w:sz w:val="20"/>
          <w:szCs w:val="20"/>
          <w:color w:val="auto"/>
        </w:rPr>
      </w:pPr>
    </w:p>
    <w:p>
      <w:pPr>
        <w:ind w:left="980" w:right="440" w:hanging="324"/>
        <w:spacing w:after="0" w:line="308" w:lineRule="auto"/>
        <w:tabs>
          <w:tab w:leader="none" w:pos="975" w:val="left"/>
        </w:tabs>
        <w:numPr>
          <w:ilvl w:val="0"/>
          <w:numId w:val="51"/>
        </w:numPr>
        <w:rPr>
          <w:rFonts w:ascii="Arial" w:cs="Arial" w:eastAsia="Arial" w:hAnsi="Arial"/>
          <w:sz w:val="17"/>
          <w:szCs w:val="17"/>
          <w:color w:val="auto"/>
        </w:rPr>
      </w:pPr>
      <w:r>
        <w:rPr>
          <w:rFonts w:ascii="Arial" w:cs="Arial" w:eastAsia="Arial" w:hAnsi="Arial"/>
          <w:sz w:val="17"/>
          <w:szCs w:val="17"/>
          <w:color w:val="auto"/>
        </w:rPr>
        <w:t>payments for product rights and other, net totaling approximately $76.4 million, primarily related to deferred non-contingent purchase payments for the acquisition of intellectual property rights and marketing authorizations in prior periods;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purchase of marketable securities and other investments of $90.2 million;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capital expenditures, primarily for equipment and facilities, totaling approximately $87.9 million.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Net cash used in financing activities was $1.79 billion for the six months ended June 30, 2021, as compared to $609.1 million for the six months ended June 30, 2020, a net increase of $1.18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134620</wp:posOffset>
            </wp:positionV>
            <wp:extent cx="5143500" cy="17145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2021, significant items in financing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long-term debt payments of $2.25 billion consisting of the redemption of the 3.150% Senior Notes due 2021;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long-term borrowings under the 2020 Revolving Facility of $900.0 million;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short-term borrowings of $199.7 million;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cash dividends paid of $133.0 million;</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deferred non-contingent payments for product rights totaling approximately $456.0 million primarily related to the acquisition of Aspen’s thrombosis product portfolio in Europe;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milestone payments totaling approximately $28.6 million related to the respiratory delivery platform contingent consideration.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2020, significant items in financing activities included the following:</w:t>
      </w:r>
    </w:p>
    <w:p>
      <w:pPr>
        <w:spacing w:after="0" w:line="121" w:lineRule="exact"/>
        <w:rPr>
          <w:sz w:val="20"/>
          <w:szCs w:val="20"/>
          <w:color w:val="auto"/>
        </w:rPr>
      </w:pPr>
    </w:p>
    <w:p>
      <w:pPr>
        <w:ind w:left="980" w:right="60" w:hanging="324"/>
        <w:spacing w:after="0" w:line="277" w:lineRule="auto"/>
        <w:tabs>
          <w:tab w:leader="none" w:pos="9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long-term debt payments of approximately $589.0 million consisting primarily of the redemption of $555.2 million principal amount of the 2020 Floating Rate Euro Notes; and</w:t>
      </w:r>
    </w:p>
    <w:p>
      <w:pPr>
        <w:spacing w:after="0" w:line="170" w:lineRule="exact"/>
        <w:rPr>
          <w:rFonts w:ascii="Arial" w:cs="Arial" w:eastAsia="Arial" w:hAnsi="Arial"/>
          <w:sz w:val="18"/>
          <w:szCs w:val="18"/>
          <w:color w:val="auto"/>
        </w:rPr>
      </w:pPr>
    </w:p>
    <w:p>
      <w:pPr>
        <w:ind w:left="980" w:right="20" w:hanging="324"/>
        <w:spacing w:after="0" w:line="263" w:lineRule="auto"/>
        <w:tabs>
          <w:tab w:leader="none" w:pos="9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payments totaling $43.6 million of the $52.3 million in milestone payments related to the respiratory delivery platform contingent consideration. The remaining payments related to the respiratory delivery platform contingent consideration are included as a component of other operating assets and liabilities, net within net cash from operating activities.</w:t>
      </w:r>
    </w:p>
    <w:p>
      <w:pPr>
        <w:sectPr>
          <w:pgSz w:w="11900" w:h="16838" w:orient="portrait"/>
          <w:cols w:equalWidth="0" w:num="1">
            <w:col w:w="11060"/>
          </w:cols>
          <w:pgMar w:left="320" w:top="118"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type w:val="continuous"/>
        </w:sectPr>
      </w:pPr>
    </w:p>
    <w:bookmarkStart w:id="73" w:name="page74"/>
    <w:bookmarkEnd w:id="7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cash and cash equivalents totaled $673.9 million at June 30, 2021, and the majority of these funds are held by our non-U.S. subsidiaries. The Company anticipates having sufficient liquidity, including existing borrowing capacity under the 2021 Revolving Facility, Commercial Paper Program and the Receivables Facility and the Note Securitization Facility combined with cash to be generated from operations, to fund foreseeable cash needs without requiring the repatriation of non-U.S. cash.</w:t>
      </w:r>
    </w:p>
    <w:p>
      <w:pPr>
        <w:spacing w:after="0" w:line="18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July 2021, Viatris entered into (i) the YEN Term Loan and (ii) the 2021 Revolving Facility with various syndicates of banks. The 2021 Revolving Facility amended and restated the 2020 Revolving Facility and proceeds from the 2021 Revolving Facility were used to repay outstanding obligations under the 2020 Revolving Facility. Proceeds from the YEN Term Loan and 2021 Revolving Facility were also used to repay the USD Term Loan in full and the USD Term Loan was terminated. The 2021 Revolving Facility and the YEN Term Loan have substantially identical terms to the 2020 Revolving Facility and USD Term Loan, respectively, with the following exceptions: 1) the maturity of both the YEN Term Loan and the 2021 Revolving Facility is July 2026, 2) the pricing was adjusted to reflect current market prices (which were generally more favorable) and 3) the maximum leverage ratio as of the end of any quarter was set at 4.25 to 1.00 for each quarter ending after June 30, 2021 through and including June 30, 2022, 4.0 to 1.00 for each quarter ending after June 30, 2022 through and including December 31, 2022 and 3.75 to 1.00 thereafter, except in circumstances as defined in the related credit agreement. The Company expects to designate the YEN Term Loan as a hedge of its investment in certain Yen-functional currency subsidiaries in order to manage foreign currency translation risk. Prior to July 2021, the maximum leverage ratio under the 2020 Revolving Facility was 4.25 to 1.00 for the first four full fiscal quarters following the close of the Combination.</w:t>
      </w:r>
    </w:p>
    <w:p>
      <w:pPr>
        <w:spacing w:after="0" w:line="182"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Company has access to $4.0 billion under the 2021 Revolving Facility which matures in July 2026. Up to $1.65 billion of the 2021 Revolving Facility may be used to support borrowings under our Commercial Paper Program. As of June 30, 2021, the Company had $900 million outstanding under the 2020 Revolving Facility prior to entering into the 2021 Revolving Facility, which amended and restated the 2020 Revolving Facility as described above, and $600 million outstanding under the USD Term Loan, which was replaced by the YEN Term Loan as described above.</w:t>
      </w:r>
    </w:p>
    <w:p>
      <w:pPr>
        <w:spacing w:after="0" w:line="157"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In addition to the 2021 Revolving Facility, MPI, a wholly owned subsidiary of the Company, has access to $400 million under the Receivables Facility, which expires in April 2022. As of June 30, 2021, the Company had $400 million outstanding under the Receivables Facility.</w:t>
      </w:r>
    </w:p>
    <w:p>
      <w:pPr>
        <w:spacing w:after="0" w:line="14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 August 2020, the Company entered into the Note Securitization Facility for borrowings up to $200 million, which was amended on July 1, 2021 to extend the term to August 2022. As of June 30, 2021, the Company had $200 million outstanding under the Note Securitization Facility.</w:t>
      </w:r>
    </w:p>
    <w:p>
      <w:pPr>
        <w:spacing w:after="0" w:line="146" w:lineRule="exact"/>
        <w:rPr>
          <w:sz w:val="20"/>
          <w:szCs w:val="20"/>
          <w:color w:val="auto"/>
        </w:rPr>
      </w:pPr>
    </w:p>
    <w:p>
      <w:pPr>
        <w:ind w:right="320" w:firstLine="648"/>
        <w:spacing w:after="0" w:line="286" w:lineRule="auto"/>
        <w:rPr>
          <w:sz w:val="20"/>
          <w:szCs w:val="20"/>
          <w:color w:val="auto"/>
        </w:rPr>
      </w:pPr>
      <w:r>
        <w:rPr>
          <w:rFonts w:ascii="Arial" w:cs="Arial" w:eastAsia="Arial" w:hAnsi="Arial"/>
          <w:sz w:val="16"/>
          <w:szCs w:val="16"/>
          <w:color w:val="auto"/>
        </w:rPr>
        <w:t>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a commercial paper rate plus 0.925% and under the Note Securitization Facility at a rate per annum quoted from time to time by MUFG Bank, Ltd. plus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1.00% (0.85% after the amendment of the Note Securitization Facility on July 1, 2021) and are included as a component of short-term borrowings, while the accounts receivable securing these obligations remain as a component of accounts receivable, net, in our condensed consolidated balance sheets. In addition, the agreements governing the Receivables Facility and Note Securitization Facility contain various customary affirmative and negative covenants, and customary default and termination provisions.</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and risk related to the receivables over to the buyers. Our factoring agreements do not allow for recourse in the event of uncollectibility, and we do not retain any interest in the underlying accounts receivable once sold. We derecognized $112.9 million and $153.0 million of accounts receivable as of June 30, 2021 and December 31, 2020 under these factoring arrangements, respectively.</w:t>
      </w:r>
    </w:p>
    <w:p>
      <w:pPr>
        <w:spacing w:after="0" w:line="18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At June 30, 2021, our long-term debt, including the current portion, totaled $23.07 billion, as compared to $24.69 billion at December 31, 2020. Total long-term debt is calculated net of deferred financing fees which were $44.7 million and $49.2 million at June 30, 2021 and December 31, 2020,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additional information regarding our debt and debt agreements refer to Note 12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Part I, Item 1 of this Form 10-Q.</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May 7, 2021, the Company’s Board of Directors declared an inaugural quarterly cash dividend of $0.11 per share on the Company’s issued and outstanding common stock. The first quarterly cash dividend was paid on June 16, 2021 to shareholders of record as of the close of business on May 24, 2021. On August 6, 2021, the Company’s Board of Directors declared its second quarterly cash dividend of $0.11 per share on the Company’s issued and outstanding common stock, which will be payable on September 16, 2021 to shareholders of record as of the close of business on August 24, 2021.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w:t>
      </w:r>
    </w:p>
    <w:p>
      <w:pPr>
        <w:spacing w:after="0" w:line="17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Also, on an ongoing basis, we review our operations including the evaluation of potential divestitures of products and businesses as part of our future strategy. Any divestitures could impact future liquidity. In addition, we plan to continue to explore various other ways to create, enhance or otherwise unlock the value of the Company’s unique global platform in order to create shareholder value.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Long-term Debt Maturity</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Mandatory minimum repayments remaining on the outstanding notional amount of long-term debt at June 30, 2021 was as follows for each of the periods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-19050</wp:posOffset>
            </wp:positionV>
            <wp:extent cx="5709285" cy="17145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0928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Company’s YEN Term Loan and 2021 Revolving Facility (and, prior to July 2021, the 2020 Revolving Facility and USD Term Loan)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in compliance with its covenants at June 30, 2021 and expects to remain in compliance for the next twelve months.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Supplemental Guarantor Financial Information</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Subsequent to the Combination, Utah Acquisition Sub Inc. is the issuer of the 3.150% Senior Notes due 2021, 3.950% Senior Notes due 2026 and 5.250% Senior Notes due 2046 (collectively, the “Utah Senior Notes”), which are fully and unconditionally guaranteed on a senior unsecured basis by Mylan Inc., Viatris Inc. and Mylan II B.V.</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Mylan Inc. is the issuer of the 4.200% Senior Notes due 2023, 4.550% Senior Notes due 2028, 5.400% Senior Notes due 2043 and 5.200% Senior Notes due 2048 (collectively, the “Mylan Inc. Senior Notes” and, together with the Utah Senior Notes, the “Senior Notes”), which are fully and unconditionally guaranteed on a senior unsecured basis by Mylan II B.V., Viatris Inc. and Utah Acquisition Sub Inc.</w:t>
      </w:r>
    </w:p>
    <w:p>
      <w:pPr>
        <w:spacing w:after="0" w:line="184"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 xml:space="preserve">The respective obligations of Viatris Inc., Mylan Inc., Utah Acquisition Sub Inc., and Mylan II B.V. as guarantors of the Senior Notes, as applicable, are senior unsecured obligations of the applicable guarantor and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 such guarantor’s existing and future senior unsecured obligations that are not expressly subordinated to</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such guarantor’s guarantee of the applicable series of Senior Notes, rank senior in right of payment to any future obligations of such guarantor that are expressly subordinated to such guarantor’s guarantee of the applicable series of Senior Notes, and are effectively subordinated to such guarantor’s existing and future secured obligations to the extent of the value of the collateral securing such obligations. The respective obligations of Viatris Inc., Mylan Inc., Utah Acquisition Sub Inc., and Mylan II B.V. as guarantors of the Senior Notes, as applicable, are structurally subordinated to all of the existing and future liabilities, including trade payables, of the existing and future subsidiaries of such guarantor that do not guarantee the applicable series of Senior Notes.</w:t>
      </w:r>
    </w:p>
    <w:p>
      <w:pPr>
        <w:spacing w:after="0" w:line="161" w:lineRule="exact"/>
        <w:rPr>
          <w:sz w:val="20"/>
          <w:szCs w:val="20"/>
          <w:color w:val="auto"/>
        </w:rPr>
      </w:pPr>
    </w:p>
    <w:p>
      <w:pPr>
        <w:ind w:right="380" w:firstLine="648"/>
        <w:spacing w:after="0" w:line="275" w:lineRule="auto"/>
        <w:rPr>
          <w:sz w:val="20"/>
          <w:szCs w:val="20"/>
          <w:color w:val="auto"/>
        </w:rPr>
      </w:pPr>
      <w:r>
        <w:rPr>
          <w:rFonts w:ascii="Arial" w:cs="Arial" w:eastAsia="Arial" w:hAnsi="Arial"/>
          <w:sz w:val="17"/>
          <w:szCs w:val="17"/>
          <w:color w:val="auto"/>
        </w:rPr>
        <w:t>The guarantees by Viatris Inc., Mylan Inc. and Mylan II B.V. of the Utah Senior Notes will terminate under the following customary circumstances: (1) a sale or disposition of Mylan Inc. in a transaction that complies with the applicable indenture such that Mylan Inc. ceases to be a subsidiary of Viatris Inc.; (2) legal defeasance or covenant defeasance, each as described in the applicable indenture, or if Utah Acquisition Sub Inc.’s obligations under the applicable indenture are discharged; or (3) the earlier to occur of (i) the release of their respective guarantees under all applicable Mylan Inc. debt and (ii) Mylan Inc. no longer having any obligations in respect of any Mylan Inc. debt.</w:t>
      </w:r>
    </w:p>
    <w:p>
      <w:pPr>
        <w:spacing w:after="0" w:line="17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guarantee obligations of Viatris Inc., Mylan Inc., Utah Acquisition Sub Inc., and Mylan II B.V. under the Senior Notes are subject to certain limitations and terms similar to those applicable to other guarantees of similar instruments, including that (i) the guarantees are subject to fraudulent transfer and conveyance laws and (ii) each guarantee is limited in amount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w:t>
      </w:r>
    </w:p>
    <w:p>
      <w:pPr>
        <w:spacing w:after="0" w:line="188"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following table presents unaudited summarized financial information of Viatris Inc., Mylan Inc., Utah Acquisition Sub Inc., and Mylan II B.V. on a combined basis as of and for the six months ended June 30, 2021 and as of and for the year ended December 31, 2020. All intercompany balances have been eliminated in consolidation. This unaudited combined summarized financial information is presented utilizing the equity method of accounting.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3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Combined Summarized Balance Sheet Information of</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5"/>
              </w:rPr>
              <w:t>Viatris Inc., Mylan Inc., Utah Acquisition Sub Inc.</w:t>
            </w:r>
          </w:p>
        </w:tc>
        <w:tc>
          <w:tcPr>
            <w:tcW w:w="0" w:type="dxa"/>
            <w:vAlign w:val="bottom"/>
          </w:tcPr>
          <w:p>
            <w:pPr>
              <w:spacing w:after="0"/>
              <w:rPr>
                <w:sz w:val="1"/>
                <w:szCs w:val="1"/>
                <w:color w:val="auto"/>
              </w:rPr>
            </w:pPr>
          </w:p>
        </w:tc>
      </w:tr>
      <w:tr>
        <w:trPr>
          <w:trHeight w:val="186"/>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8"/>
              </w:rPr>
              <w:t>and Mylan II B.V.</w:t>
            </w:r>
          </w:p>
        </w:tc>
        <w:tc>
          <w:tcPr>
            <w:tcW w:w="0" w:type="dxa"/>
            <w:vAlign w:val="bottom"/>
          </w:tcPr>
          <w:p>
            <w:pPr>
              <w:spacing w:after="0"/>
              <w:rPr>
                <w:sz w:val="1"/>
                <w:szCs w:val="1"/>
                <w:color w:val="auto"/>
              </w:rPr>
            </w:pPr>
          </w:p>
        </w:tc>
      </w:tr>
      <w:tr>
        <w:trPr>
          <w:trHeight w:val="26"/>
        </w:trPr>
        <w:tc>
          <w:tcPr>
            <w:tcW w:w="78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2021</w:t>
            </w:r>
          </w:p>
        </w:tc>
        <w:tc>
          <w:tcPr>
            <w:tcW w:w="120" w:type="dxa"/>
            <w:vAlign w:val="bottom"/>
          </w:tcPr>
          <w:p>
            <w:pPr>
              <w:spacing w:after="0"/>
              <w:rPr>
                <w:sz w:val="15"/>
                <w:szCs w:val="15"/>
                <w:color w:val="auto"/>
              </w:rPr>
            </w:pPr>
          </w:p>
        </w:tc>
        <w:tc>
          <w:tcPr>
            <w:tcW w:w="152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12"/>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60,417.1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61,272.4</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20,951.7</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17,383.3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17,844.2</w:t>
            </w:r>
          </w:p>
        </w:tc>
        <w:tc>
          <w:tcPr>
            <w:tcW w:w="0" w:type="dxa"/>
            <w:vAlign w:val="bottom"/>
          </w:tcPr>
          <w:p>
            <w:pPr>
              <w:spacing w:after="0"/>
              <w:rPr>
                <w:sz w:val="1"/>
                <w:szCs w:val="1"/>
                <w:color w:val="auto"/>
              </w:rPr>
            </w:pPr>
          </w:p>
        </w:tc>
      </w:tr>
      <w:tr>
        <w:trPr>
          <w:trHeight w:val="287"/>
        </w:trPr>
        <w:tc>
          <w:tcPr>
            <w:tcW w:w="7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3"/>
              </w:rPr>
              <w:t>Combined Summarized Income Statement</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6"/>
              </w:rPr>
              <w:t>Information of Viatris Inc., Mylan Inc., Utah</w:t>
            </w:r>
          </w:p>
        </w:tc>
        <w:tc>
          <w:tcPr>
            <w:tcW w:w="0" w:type="dxa"/>
            <w:vAlign w:val="bottom"/>
          </w:tcPr>
          <w:p>
            <w:pPr>
              <w:spacing w:after="0"/>
              <w:rPr>
                <w:sz w:val="1"/>
                <w:szCs w:val="1"/>
                <w:color w:val="auto"/>
              </w:rPr>
            </w:pPr>
          </w:p>
        </w:tc>
      </w:tr>
      <w:tr>
        <w:trPr>
          <w:trHeight w:val="186"/>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5"/>
              </w:rPr>
              <w:t>Acquisition Sub Inc. and Mylan II B.V.</w:t>
            </w:r>
          </w:p>
        </w:tc>
        <w:tc>
          <w:tcPr>
            <w:tcW w:w="0" w:type="dxa"/>
            <w:vAlign w:val="bottom"/>
          </w:tcPr>
          <w:p>
            <w:pPr>
              <w:spacing w:after="0"/>
              <w:rPr>
                <w:sz w:val="1"/>
                <w:szCs w:val="1"/>
                <w:color w:val="auto"/>
              </w:rPr>
            </w:pPr>
          </w:p>
        </w:tc>
      </w:tr>
      <w:tr>
        <w:trPr>
          <w:trHeight w:val="160"/>
        </w:trPr>
        <w:tc>
          <w:tcPr>
            <w:tcW w:w="78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Six-Months Ended June</w:t>
            </w:r>
          </w:p>
        </w:tc>
        <w:tc>
          <w:tcPr>
            <w:tcW w:w="120" w:type="dxa"/>
            <w:vAlign w:val="bottom"/>
          </w:tcPr>
          <w:p>
            <w:pPr>
              <w:spacing w:after="0"/>
              <w:rPr>
                <w:sz w:val="13"/>
                <w:szCs w:val="13"/>
                <w:color w:val="auto"/>
              </w:rPr>
            </w:pPr>
          </w:p>
        </w:tc>
        <w:tc>
          <w:tcPr>
            <w:tcW w:w="1520" w:type="dxa"/>
            <w:vAlign w:val="bottom"/>
          </w:tcPr>
          <w:p>
            <w:pPr>
              <w:jc w:val="center"/>
              <w:ind w:right="15"/>
              <w:spacing w:after="0"/>
              <w:rPr>
                <w:sz w:val="20"/>
                <w:szCs w:val="20"/>
                <w:color w:val="auto"/>
              </w:rPr>
            </w:pPr>
            <w:r>
              <w:rPr>
                <w:rFonts w:ascii="Arial" w:cs="Arial" w:eastAsia="Arial" w:hAnsi="Arial"/>
                <w:sz w:val="14"/>
                <w:szCs w:val="14"/>
                <w:b w:val="1"/>
                <w:bCs w:val="1"/>
                <w:color w:val="auto"/>
                <w:w w:val="92"/>
              </w:rPr>
              <w:t>Year Ended December</w:t>
            </w:r>
          </w:p>
        </w:tc>
        <w:tc>
          <w:tcPr>
            <w:tcW w:w="0" w:type="dxa"/>
            <w:vAlign w:val="bottom"/>
          </w:tcPr>
          <w:p>
            <w:pPr>
              <w:spacing w:after="0"/>
              <w:rPr>
                <w:sz w:val="1"/>
                <w:szCs w:val="1"/>
                <w:color w:val="auto"/>
              </w:rPr>
            </w:pPr>
          </w:p>
        </w:tc>
      </w:tr>
      <w:tr>
        <w:trPr>
          <w:trHeight w:val="186"/>
        </w:trPr>
        <w:tc>
          <w:tcPr>
            <w:tcW w:w="786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5"/>
              </w:rPr>
              <w:t>30, 2021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1"/>
              </w:rPr>
              <w:t>31, 2020</w:t>
            </w:r>
          </w:p>
        </w:tc>
        <w:tc>
          <w:tcPr>
            <w:tcW w:w="0" w:type="dxa"/>
            <w:vAlign w:val="bottom"/>
          </w:tcPr>
          <w:p>
            <w:pPr>
              <w:spacing w:after="0"/>
              <w:rPr>
                <w:sz w:val="1"/>
                <w:szCs w:val="1"/>
                <w:color w:val="auto"/>
              </w:rPr>
            </w:pPr>
          </w:p>
        </w:tc>
      </w:tr>
      <w:tr>
        <w:trPr>
          <w:trHeight w:val="226"/>
        </w:trPr>
        <w:tc>
          <w:tcPr>
            <w:tcW w:w="7860" w:type="dxa"/>
            <w:vAlign w:val="bottom"/>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(929.6)</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matters are often complex and have outcomes that are difficult to predict. We have approximately $455.6 million accrued for legal contingencies at June 30, 2021.</w:t>
      </w:r>
    </w:p>
    <w:p>
      <w:pPr>
        <w:spacing w:after="0" w:line="170"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5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conjunction with the Combination, Viatris entered into a TSA with Pfizer pursuant to which each party will provide certain limited transition services to the other party generally for an initial period of 24 months from the closing date of the Combination. In addition to the monthly service fees under the TSA, Viatris has agreed to reimburse Pfizer for fifty percent of the costs, up to the first $380 million incurred, to establish and wind down the TSA services. Viatris will be required to fully reimburse Pfizer for total costs in excess of $380 million. During the three and six months ended June 30, 2021, the Company has incurred approximately $10.0 million and $26.3 million, respectively, related to this provision of the TSA, and approximately $79.4 million during the period beginning on the closing date of the Combination and ended June 30, 2021.</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Application of Critical Accounting Policies</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There have been no changes to the Critical Accounting Policies disclosed in Viatris’ 2020 Form 10-K. The following discussion supplements our Critical Accounting Policy for Acquisitions, Intangible Assets, Goodwill and Contingent Consideration as it relates to the annual goodwill impairment test performed as of April 1, 2021.</w:t>
      </w:r>
    </w:p>
    <w:p>
      <w:pPr>
        <w:spacing w:after="0" w:line="184" w:lineRule="exact"/>
        <w:rPr>
          <w:sz w:val="20"/>
          <w:szCs w:val="20"/>
          <w:color w:val="auto"/>
        </w:rPr>
      </w:pPr>
    </w:p>
    <w:p>
      <w:pPr>
        <w:ind w:right="280" w:firstLine="648"/>
        <w:spacing w:after="0" w:line="272" w:lineRule="auto"/>
        <w:rPr>
          <w:sz w:val="20"/>
          <w:szCs w:val="20"/>
          <w:color w:val="auto"/>
        </w:rPr>
      </w:pPr>
      <w:r>
        <w:rPr>
          <w:rFonts w:ascii="Arial" w:cs="Arial" w:eastAsia="Arial" w:hAnsi="Arial"/>
          <w:sz w:val="17"/>
          <w:szCs w:val="17"/>
          <w:color w:val="auto"/>
        </w:rPr>
        <w:t>The Company has performed its annual goodwill impairment test as of April 1, 2021 on a quantitative basis for its five reporting units, North America, Europe, Emerging Markets, JANZ, and Greater China. Additionally, the net assets acquired as part of the Combination were included in the respective reporting units and in the annual impairment test for the first time. In estimating each reporting unit’s fair value, the Company performed an extensive valuation analysis, utilizing both income and market-based approaches.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w:t>
      </w:r>
    </w:p>
    <w:p>
      <w:pPr>
        <w:spacing w:after="0" w:line="17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April 1, 2021, the allocation of the Company’s total goodwill was as follows: North America $3.66 billion, Europe $5.15 billion, Emerging Markets $1.58 billion, JANZ $0.82 billion and Greater China $0.70 billion.</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April 1, 2021, the Company determined that the fair value of the North America, Emerging Markets and Greater China reporting units was substantially in excess of the respective unit’s carrying value.</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For the Europe reporting unit, the estimated fair value exceeded its carrying value by approximately $0.91 billion or 5.8% for the annual goodwill impairment test. As it relates to the income approach for the Europe reporting unit at April 1, 2021, the Company forecasted cash flows for the next 10 years. During the forecast period, the revenue compound annual growth rate was approximately 3.0%. A terminal year value was calculated with a 0.9% revenue growth rate applied. The discount rate utilized was 10.5% and the estimated tax rate was 19.0%. Under the market-based approach, we utilized an estimated range of market multiples of 7.5 to 8.5 times EBITDA plus a control premium of 15.0%. If all other assumptions are held constant, a reduction in the terminal value growth rate by 2.9% or an increase in discount rate by 1.5% would result in an impairment charge for the Europe reporting unit.</w:t>
      </w:r>
    </w:p>
    <w:p>
      <w:pPr>
        <w:spacing w:after="0" w:line="16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For the JANZ reporting unit, the estimated fair value exceeded its carrying value by approximately $0.23 billion or 7.0% for the annual goodwill impairment test. As it relates to the income approach for the JANZ reporting unit at April 1, 2021, the Company forecasted cash flows for the next 10 years. During the forecast period, the revenue compound annual growth rate was approximately negative 1.5%. A terminal year value was calculated with a 0.7% revenue growth rate applied. The discount rate utilized was 8.5% and the estimated tax rate was 30.5%. Under the market-based approach, we utilized an estimated market multiple of 6.0 times EBITDA plus a control premium of 15.0%. If all other assumptions are held constant, a reduction in the terminal value growth rate by 4.2% or an increase in discount rate by 2.0% would result in an impairment charge for the JANZ reporting unit.</w:t>
      </w:r>
    </w:p>
    <w:p>
      <w:pPr>
        <w:spacing w:after="0" w:line="164"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For a discussion of the Company’s market risk, see “Item 7A. Quantitative and Qualitative Disclosures about Market Risk” in Viatris’ 2020 Form 10-K.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June 30, 2021. Based upon that evaluation, the Principal Executive Officer and the Principal Financial Officer concluded that the Company’s disclosure controls and procedures were effective.</w:t>
      </w:r>
    </w:p>
    <w:p>
      <w:pPr>
        <w:spacing w:after="0" w:line="18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Management has not identified any changes in the Company’s internal control over financial reporting that occurred during the second quarter of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For information regarding legal proceedings, refer to Note 18 </w:t>
      </w:r>
      <w:r>
        <w:rPr>
          <w:rFonts w:ascii="Arial" w:cs="Arial" w:eastAsia="Arial" w:hAnsi="Arial"/>
          <w:sz w:val="16"/>
          <w:szCs w:val="16"/>
          <w:i w:val="1"/>
          <w:iCs w:val="1"/>
          <w:color w:val="auto"/>
        </w:rPr>
        <w:t>Litigation</w:t>
      </w:r>
      <w:r>
        <w:rPr>
          <w:rFonts w:ascii="Arial" w:cs="Arial" w:eastAsia="Arial" w:hAnsi="Arial"/>
          <w:sz w:val="16"/>
          <w:szCs w:val="16"/>
          <w:color w:val="auto"/>
        </w:rPr>
        <w:t>, in the accompanying Notes to interim financial statements in this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have been no material changes in the Company’s risk factors from those disclosed in Viatris’ 2020 Form 10-K.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80" w:name="page81"/>
    <w:bookmarkEnd w:id="8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20" w:type="dxa"/>
            <w:vAlign w:val="bottom"/>
            <w:gridSpan w:val="2"/>
          </w:tcPr>
          <w:p>
            <w:pPr>
              <w:jc w:val="right"/>
              <w:ind w:right="400"/>
              <w:spacing w:after="0"/>
              <w:rPr>
                <w:rFonts w:ascii="Arial" w:cs="Arial" w:eastAsia="Arial" w:hAnsi="Arial"/>
                <w:sz w:val="18"/>
                <w:szCs w:val="18"/>
                <w:color w:val="0000FF"/>
                <w:w w:val="85"/>
              </w:rPr>
            </w:pPr>
            <w:hyperlink r:id="rId11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10420" w:type="dxa"/>
            <w:vAlign w:val="bottom"/>
          </w:tcPr>
          <w:p>
            <w:pPr>
              <w:ind w:left="380"/>
              <w:spacing w:after="0"/>
              <w:rPr>
                <w:sz w:val="20"/>
                <w:szCs w:val="20"/>
                <w:color w:val="auto"/>
              </w:rPr>
            </w:pPr>
            <w:r>
              <w:rPr>
                <w:rFonts w:ascii="Arial" w:cs="Arial" w:eastAsia="Arial" w:hAnsi="Arial"/>
                <w:sz w:val="18"/>
                <w:szCs w:val="18"/>
                <w:color w:val="auto"/>
                <w:w w:val="95"/>
              </w:rPr>
              <w:t>Amended and Restated Revolving Credit Agreement, dated as of July 1, 2021, among Viatris, the guarantors from time to time party</w:t>
            </w:r>
          </w:p>
        </w:tc>
      </w:tr>
      <w:tr>
        <w:trPr>
          <w:trHeight w:val="168"/>
        </w:trPr>
        <w:tc>
          <w:tcPr>
            <w:tcW w:w="32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10420" w:type="dxa"/>
            <w:vAlign w:val="bottom"/>
          </w:tcPr>
          <w:p>
            <w:pPr>
              <w:ind w:left="380"/>
              <w:spacing w:after="0" w:line="168" w:lineRule="exact"/>
              <w:rPr>
                <w:sz w:val="20"/>
                <w:szCs w:val="20"/>
                <w:color w:val="auto"/>
              </w:rPr>
            </w:pPr>
            <w:r>
              <w:rPr>
                <w:rFonts w:ascii="Arial" w:cs="Arial" w:eastAsia="Arial" w:hAnsi="Arial"/>
                <w:sz w:val="18"/>
                <w:szCs w:val="18"/>
                <w:color w:val="auto"/>
                <w:w w:val="92"/>
              </w:rPr>
              <w:t>thereto, the lenders and issuing banks from time to time party thereto and Bank of America, N.A., as administrative agent, filed as Exhibit</w:t>
            </w:r>
          </w:p>
        </w:tc>
      </w:tr>
      <w:tr>
        <w:trPr>
          <w:trHeight w:val="230"/>
        </w:trPr>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10.1 to the Report on Form 8-K filed by Viatris Inc. with the SEC on July 1, 2021, and incorporated herein by reference.*</w:t>
            </w:r>
          </w:p>
        </w:tc>
      </w:tr>
      <w:tr>
        <w:trPr>
          <w:trHeight w:val="418"/>
        </w:trPr>
        <w:tc>
          <w:tcPr>
            <w:tcW w:w="720" w:type="dxa"/>
            <w:vAlign w:val="bottom"/>
            <w:gridSpan w:val="2"/>
          </w:tcPr>
          <w:p>
            <w:pPr>
              <w:jc w:val="right"/>
              <w:ind w:right="400"/>
              <w:spacing w:after="0"/>
              <w:rPr>
                <w:rFonts w:ascii="Arial" w:cs="Arial" w:eastAsia="Arial" w:hAnsi="Arial"/>
                <w:sz w:val="18"/>
                <w:szCs w:val="18"/>
                <w:color w:val="0000FF"/>
                <w:w w:val="85"/>
              </w:rPr>
            </w:pPr>
            <w:hyperlink r:id="rId11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10420" w:type="dxa"/>
            <w:vAlign w:val="bottom"/>
          </w:tcPr>
          <w:p>
            <w:pPr>
              <w:ind w:left="380"/>
              <w:spacing w:after="0"/>
              <w:rPr>
                <w:sz w:val="20"/>
                <w:szCs w:val="20"/>
                <w:color w:val="auto"/>
              </w:rPr>
            </w:pPr>
            <w:r>
              <w:rPr>
                <w:rFonts w:ascii="Arial" w:cs="Arial" w:eastAsia="Arial" w:hAnsi="Arial"/>
                <w:sz w:val="18"/>
                <w:szCs w:val="18"/>
                <w:color w:val="auto"/>
                <w:w w:val="90"/>
              </w:rPr>
              <w:t>Term Loan Credit Agreement, dated as of July 1, 2021, among Viatris, the guarantors from time to time party thereto, the lenders from time</w:t>
            </w:r>
          </w:p>
        </w:tc>
      </w:tr>
      <w:tr>
        <w:trPr>
          <w:trHeight w:val="168"/>
        </w:trPr>
        <w:tc>
          <w:tcPr>
            <w:tcW w:w="32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10420" w:type="dxa"/>
            <w:vAlign w:val="bottom"/>
          </w:tcPr>
          <w:p>
            <w:pPr>
              <w:ind w:left="380"/>
              <w:spacing w:after="0" w:line="168" w:lineRule="exact"/>
              <w:rPr>
                <w:sz w:val="20"/>
                <w:szCs w:val="20"/>
                <w:color w:val="auto"/>
              </w:rPr>
            </w:pPr>
            <w:r>
              <w:rPr>
                <w:rFonts w:ascii="Arial" w:cs="Arial" w:eastAsia="Arial" w:hAnsi="Arial"/>
                <w:sz w:val="18"/>
                <w:szCs w:val="18"/>
                <w:color w:val="auto"/>
                <w:w w:val="93"/>
              </w:rPr>
              <w:t>to time party thereto and Mizuho Bank, Ltd., as administrative agent, filed as Exhibit 10.2 to the Report on Form 8-K filed by Viatris Inc.</w:t>
            </w:r>
          </w:p>
        </w:tc>
      </w:tr>
      <w:tr>
        <w:trPr>
          <w:trHeight w:val="230"/>
        </w:trPr>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with the SEC on July 1, 2021, and incorporated herein by reference.*</w:t>
            </w:r>
          </w:p>
        </w:tc>
      </w:tr>
    </w:tbl>
    <w:p>
      <w:pPr>
        <w:spacing w:after="0" w:line="229" w:lineRule="exact"/>
        <w:rPr>
          <w:sz w:val="20"/>
          <w:szCs w:val="20"/>
          <w:color w:val="auto"/>
        </w:rPr>
      </w:pPr>
    </w:p>
    <w:p>
      <w:pPr>
        <w:ind w:left="1120" w:right="160" w:hanging="1094"/>
        <w:spacing w:after="0" w:line="235" w:lineRule="auto"/>
        <w:tabs>
          <w:tab w:leader="none" w:pos="1120" w:val="left"/>
        </w:tabs>
        <w:numPr>
          <w:ilvl w:val="0"/>
          <w:numId w:val="54"/>
        </w:numPr>
        <w:rPr>
          <w:rFonts w:ascii="Arial" w:cs="Arial" w:eastAsia="Arial" w:hAnsi="Arial"/>
          <w:sz w:val="18"/>
          <w:szCs w:val="18"/>
          <w:u w:val="single" w:color="auto"/>
          <w:color w:val="0000FF"/>
        </w:rPr>
      </w:pPr>
      <w:r>
        <w:rPr>
          <w:rFonts w:ascii="Arial" w:cs="Arial" w:eastAsia="Arial" w:hAnsi="Arial"/>
          <w:sz w:val="18"/>
          <w:szCs w:val="18"/>
          <w:color w:val="auto"/>
        </w:rPr>
        <w:t>List of Subsidiary Guarantors and Issuers of Guaranteed Securities, filed by Viatris Inc. as Exhibit 22 to the Form 10-K for the year ended December 31, 2020 and incorporated herein by reference.</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8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8260" w:type="dxa"/>
            <w:vAlign w:val="bottom"/>
          </w:tcPr>
          <w:p>
            <w:pPr>
              <w:ind w:left="780"/>
              <w:spacing w:after="0"/>
              <w:rPr>
                <w:sz w:val="20"/>
                <w:szCs w:val="20"/>
                <w:color w:val="auto"/>
              </w:rPr>
            </w:pPr>
            <w:r>
              <w:rPr>
                <w:rFonts w:ascii="Arial" w:cs="Arial" w:eastAsia="Arial" w:hAnsi="Arial"/>
                <w:sz w:val="18"/>
                <w:szCs w:val="18"/>
                <w:color w:val="auto"/>
                <w:w w:val="92"/>
              </w:rPr>
              <w:t>Certification of Principal Executive Officer pursuant to Section 302 of the Sarbanes-Oxley Act of 2002.</w:t>
            </w:r>
          </w:p>
        </w:tc>
      </w:tr>
      <w:tr>
        <w:trPr>
          <w:trHeight w:val="426"/>
        </w:trPr>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8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8260" w:type="dxa"/>
            <w:vAlign w:val="bottom"/>
          </w:tcPr>
          <w:p>
            <w:pPr>
              <w:ind w:left="780"/>
              <w:spacing w:after="0"/>
              <w:rPr>
                <w:sz w:val="20"/>
                <w:szCs w:val="20"/>
                <w:color w:val="auto"/>
              </w:rPr>
            </w:pPr>
            <w:r>
              <w:rPr>
                <w:rFonts w:ascii="Arial" w:cs="Arial" w:eastAsia="Arial" w:hAnsi="Arial"/>
                <w:sz w:val="18"/>
                <w:szCs w:val="18"/>
                <w:color w:val="auto"/>
                <w:w w:val="92"/>
              </w:rPr>
              <w:t>Certification of Principal Financial Officer pursuant to Section 302 of the Sarbanes-Oxley Act of 2002.</w:t>
            </w:r>
          </w:p>
        </w:tc>
      </w:tr>
    </w:tbl>
    <w:p>
      <w:pPr>
        <w:spacing w:after="0" w:line="242" w:lineRule="exact"/>
        <w:rPr>
          <w:sz w:val="20"/>
          <w:szCs w:val="20"/>
          <w:color w:val="auto"/>
        </w:rPr>
      </w:pPr>
    </w:p>
    <w:p>
      <w:pPr>
        <w:ind w:left="1120" w:hanging="1094"/>
        <w:spacing w:after="0"/>
        <w:tabs>
          <w:tab w:leader="none" w:pos="1120" w:val="left"/>
        </w:tabs>
        <w:numPr>
          <w:ilvl w:val="0"/>
          <w:numId w:val="55"/>
        </w:numPr>
        <w:rPr>
          <w:rFonts w:ascii="Arial" w:cs="Arial" w:eastAsia="Arial" w:hAnsi="Arial"/>
          <w:sz w:val="17"/>
          <w:szCs w:val="17"/>
          <w:u w:val="single" w:color="auto"/>
          <w:color w:val="0000FF"/>
        </w:rPr>
      </w:pPr>
      <w:r>
        <w:rPr>
          <w:rFonts w:ascii="Arial" w:cs="Arial" w:eastAsia="Arial" w:hAnsi="Arial"/>
          <w:sz w:val="17"/>
          <w:szCs w:val="17"/>
          <w:color w:val="auto"/>
        </w:rPr>
        <w:t>Certification of Principal Executive Officer and Principal Financial Officer pursuant to Section 906 of the Sarbanes-Oxley Act of 2002.</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Instance Document</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Taxonomy Extension Schema</w:t>
            </w:r>
          </w:p>
        </w:tc>
      </w:tr>
      <w:tr>
        <w:trPr>
          <w:trHeight w:val="446"/>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360" w:type="dxa"/>
            <w:vAlign w:val="bottom"/>
          </w:tcPr>
          <w:p>
            <w:pPr>
              <w:ind w:left="200"/>
              <w:spacing w:after="0"/>
              <w:rPr>
                <w:sz w:val="20"/>
                <w:szCs w:val="20"/>
                <w:color w:val="auto"/>
              </w:rPr>
            </w:pPr>
            <w:r>
              <w:rPr>
                <w:rFonts w:ascii="Arial" w:cs="Arial" w:eastAsia="Arial" w:hAnsi="Arial"/>
                <w:sz w:val="18"/>
                <w:szCs w:val="18"/>
                <w:color w:val="auto"/>
                <w:w w:val="94"/>
              </w:rPr>
              <w:t>Inline XBRL Taxonomy Extension Calculation Linkbase</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Taxonomy Definition Linkbase</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360" w:type="dxa"/>
            <w:vAlign w:val="bottom"/>
          </w:tcPr>
          <w:p>
            <w:pPr>
              <w:ind w:left="200"/>
              <w:spacing w:after="0"/>
              <w:rPr>
                <w:sz w:val="20"/>
                <w:szCs w:val="20"/>
                <w:color w:val="auto"/>
              </w:rPr>
            </w:pPr>
            <w:r>
              <w:rPr>
                <w:rFonts w:ascii="Arial" w:cs="Arial" w:eastAsia="Arial" w:hAnsi="Arial"/>
                <w:sz w:val="18"/>
                <w:szCs w:val="18"/>
                <w:color w:val="auto"/>
                <w:w w:val="91"/>
              </w:rPr>
              <w:t>Inline XBRL Taxonomy Extension Presentation Linkbase</w:t>
            </w:r>
          </w:p>
        </w:tc>
      </w:tr>
    </w:tbl>
    <w:p>
      <w:pPr>
        <w:spacing w:after="0" w:line="269" w:lineRule="exact"/>
        <w:rPr>
          <w:sz w:val="20"/>
          <w:szCs w:val="20"/>
          <w:color w:val="auto"/>
        </w:rPr>
      </w:pPr>
    </w:p>
    <w:p>
      <w:pPr>
        <w:ind w:left="1120" w:hanging="1094"/>
        <w:spacing w:after="0" w:line="235" w:lineRule="auto"/>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 (included in Exhibit 101).</w:t>
      </w:r>
    </w:p>
    <w:p>
      <w:pPr>
        <w:spacing w:after="0" w:line="270" w:lineRule="exact"/>
        <w:rPr>
          <w:sz w:val="20"/>
          <w:szCs w:val="20"/>
          <w:color w:val="auto"/>
        </w:rPr>
      </w:pPr>
    </w:p>
    <w:p>
      <w:pPr>
        <w:ind w:left="1120" w:right="1080" w:hanging="1094"/>
        <w:spacing w:after="0" w:line="274" w:lineRule="auto"/>
        <w:tabs>
          <w:tab w:leader="none" w:pos="11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Annexes, schedules and/or exhibits have been omitted pursuant to Item 601(a)(5) of Regulation S-K. Viatris agrees to furnish supplementally a copy of any omitted attachment to the SEC on a confidential basis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Viatris Inc.</w:t>
      </w:r>
    </w:p>
    <w:p>
      <w:pPr>
        <w:spacing w:after="0" w:line="29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Michael Goettler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9, 2021</w:t>
      </w:r>
    </w:p>
    <w:p>
      <w:pPr>
        <w:spacing w:after="0" w:line="26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Sanjeev Narula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August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720"/>
          </w:cols>
          <w:pgMar w:left="320" w:top="118" w:right="85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Michael Goettler, certify that:</w:t>
      </w:r>
    </w:p>
    <w:p>
      <w:pPr>
        <w:spacing w:after="0" w:line="171" w:lineRule="exact"/>
        <w:rPr>
          <w:sz w:val="20"/>
          <w:szCs w:val="20"/>
          <w:color w:val="auto"/>
        </w:rPr>
      </w:pPr>
    </w:p>
    <w:p>
      <w:pPr>
        <w:ind w:left="640" w:hanging="187"/>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Viatris Inc.;</w:t>
      </w:r>
    </w:p>
    <w:p>
      <w:pPr>
        <w:spacing w:after="0" w:line="157" w:lineRule="exact"/>
        <w:rPr>
          <w:rFonts w:ascii="Arial" w:cs="Arial" w:eastAsia="Arial" w:hAnsi="Arial"/>
          <w:sz w:val="18"/>
          <w:szCs w:val="18"/>
          <w:color w:val="auto"/>
        </w:rPr>
      </w:pPr>
    </w:p>
    <w:p>
      <w:pPr>
        <w:ind w:right="140" w:firstLine="453"/>
        <w:spacing w:after="0" w:line="430" w:lineRule="auto"/>
        <w:tabs>
          <w:tab w:leader="none" w:pos="625"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100" w:firstLine="453"/>
        <w:spacing w:after="0" w:line="355" w:lineRule="auto"/>
        <w:tabs>
          <w:tab w:leader="none" w:pos="625"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jc w:val="both"/>
        <w:ind w:right="80" w:firstLine="453"/>
        <w:spacing w:after="0" w:line="342" w:lineRule="auto"/>
        <w:tabs>
          <w:tab w:leader="none" w:pos="62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00" w:right="440" w:firstLine="480"/>
        <w:spacing w:after="0" w:line="342" w:lineRule="auto"/>
        <w:tabs>
          <w:tab w:leader="none" w:pos="1231"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500" w:right="200" w:firstLine="480"/>
        <w:spacing w:after="0" w:line="342" w:lineRule="auto"/>
        <w:tabs>
          <w:tab w:leader="none" w:pos="1241"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ind w:left="500" w:right="320" w:firstLine="480"/>
        <w:spacing w:after="0" w:line="422" w:lineRule="auto"/>
        <w:tabs>
          <w:tab w:leader="none" w:pos="1231"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00" w:right="280" w:firstLine="480"/>
        <w:spacing w:after="0" w:line="342" w:lineRule="auto"/>
        <w:tabs>
          <w:tab w:leader="none" w:pos="1241"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right="100" w:firstLine="453"/>
        <w:spacing w:after="0" w:line="390" w:lineRule="auto"/>
        <w:tabs>
          <w:tab w:leader="none" w:pos="622"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Arial" w:cs="Arial" w:eastAsia="Arial" w:hAnsi="Arial"/>
          <w:sz w:val="17"/>
          <w:szCs w:val="17"/>
          <w:color w:val="auto"/>
        </w:rPr>
      </w:pPr>
    </w:p>
    <w:p>
      <w:pPr>
        <w:ind w:left="500" w:right="540" w:firstLine="480"/>
        <w:spacing w:after="0" w:line="390" w:lineRule="auto"/>
        <w:tabs>
          <w:tab w:leader="none" w:pos="1221"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 w:lineRule="exact"/>
        <w:rPr>
          <w:rFonts w:ascii="Arial" w:cs="Arial" w:eastAsia="Arial" w:hAnsi="Arial"/>
          <w:sz w:val="17"/>
          <w:szCs w:val="17"/>
          <w:color w:val="auto"/>
        </w:rPr>
      </w:pPr>
    </w:p>
    <w:p>
      <w:pPr>
        <w:ind w:left="500" w:right="220" w:firstLine="480"/>
        <w:spacing w:after="0" w:line="336" w:lineRule="auto"/>
        <w:tabs>
          <w:tab w:leader="none" w:pos="1231"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31750</wp:posOffset>
            </wp:positionV>
            <wp:extent cx="24085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Michael Goettler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2021</w:t>
      </w:r>
    </w:p>
    <w:p>
      <w:pPr>
        <w:sectPr>
          <w:pgSz w:w="11900" w:h="16838" w:orient="portrait"/>
          <w:cols w:equalWidth="0" w:num="1">
            <w:col w:w="11240"/>
          </w:cols>
          <w:pgMar w:left="320" w:top="93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Sanjeev Narula, certify that:</w:t>
      </w:r>
    </w:p>
    <w:p>
      <w:pPr>
        <w:spacing w:after="0" w:line="171" w:lineRule="exact"/>
        <w:rPr>
          <w:sz w:val="20"/>
          <w:szCs w:val="20"/>
          <w:color w:val="auto"/>
        </w:rPr>
      </w:pPr>
    </w:p>
    <w:p>
      <w:pPr>
        <w:ind w:left="640" w:hanging="187"/>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Viatris Inc.;</w:t>
      </w:r>
    </w:p>
    <w:p>
      <w:pPr>
        <w:spacing w:after="0" w:line="157" w:lineRule="exact"/>
        <w:rPr>
          <w:rFonts w:ascii="Arial" w:cs="Arial" w:eastAsia="Arial" w:hAnsi="Arial"/>
          <w:sz w:val="18"/>
          <w:szCs w:val="18"/>
          <w:color w:val="auto"/>
        </w:rPr>
      </w:pPr>
    </w:p>
    <w:p>
      <w:pPr>
        <w:ind w:right="140" w:firstLine="453"/>
        <w:spacing w:after="0" w:line="430" w:lineRule="auto"/>
        <w:tabs>
          <w:tab w:leader="none" w:pos="625"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100" w:firstLine="453"/>
        <w:spacing w:after="0" w:line="355" w:lineRule="auto"/>
        <w:tabs>
          <w:tab w:leader="none" w:pos="625"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jc w:val="both"/>
        <w:ind w:right="80" w:firstLine="453"/>
        <w:spacing w:after="0" w:line="342" w:lineRule="auto"/>
        <w:tabs>
          <w:tab w:leader="none" w:pos="62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00" w:right="440" w:firstLine="480"/>
        <w:spacing w:after="0" w:line="342" w:lineRule="auto"/>
        <w:tabs>
          <w:tab w:leader="none" w:pos="1231"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500" w:right="200" w:firstLine="480"/>
        <w:spacing w:after="0" w:line="342" w:lineRule="auto"/>
        <w:tabs>
          <w:tab w:leader="none" w:pos="1241"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ind w:left="500" w:right="320" w:firstLine="480"/>
        <w:spacing w:after="0" w:line="422" w:lineRule="auto"/>
        <w:tabs>
          <w:tab w:leader="none" w:pos="1231"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00" w:right="280" w:firstLine="480"/>
        <w:spacing w:after="0" w:line="342" w:lineRule="auto"/>
        <w:tabs>
          <w:tab w:leader="none" w:pos="1241"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right="100" w:firstLine="453"/>
        <w:spacing w:after="0" w:line="390" w:lineRule="auto"/>
        <w:tabs>
          <w:tab w:leader="none" w:pos="622"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Arial" w:cs="Arial" w:eastAsia="Arial" w:hAnsi="Arial"/>
          <w:sz w:val="17"/>
          <w:szCs w:val="17"/>
          <w:color w:val="auto"/>
        </w:rPr>
      </w:pPr>
    </w:p>
    <w:p>
      <w:pPr>
        <w:ind w:left="500" w:right="540" w:firstLine="480"/>
        <w:spacing w:after="0" w:line="390" w:lineRule="auto"/>
        <w:tabs>
          <w:tab w:leader="none" w:pos="1221"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 w:lineRule="exact"/>
        <w:rPr>
          <w:rFonts w:ascii="Arial" w:cs="Arial" w:eastAsia="Arial" w:hAnsi="Arial"/>
          <w:sz w:val="17"/>
          <w:szCs w:val="17"/>
          <w:color w:val="auto"/>
        </w:rPr>
      </w:pPr>
    </w:p>
    <w:p>
      <w:pPr>
        <w:ind w:left="500" w:right="220" w:firstLine="480"/>
        <w:spacing w:after="0" w:line="336" w:lineRule="auto"/>
        <w:tabs>
          <w:tab w:leader="none" w:pos="1231"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31750</wp:posOffset>
            </wp:positionV>
            <wp:extent cx="24606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57"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Sanjeev Narula</w:t>
      </w:r>
    </w:p>
    <w:p>
      <w:pPr>
        <w:spacing w:after="0" w:line="6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160"/>
        <w:spacing w:after="0"/>
        <w:rPr>
          <w:sz w:val="20"/>
          <w:szCs w:val="20"/>
          <w:color w:val="auto"/>
        </w:rPr>
      </w:pPr>
      <w:r>
        <w:rPr>
          <w:rFonts w:ascii="Arial" w:cs="Arial" w:eastAsia="Arial" w:hAnsi="Arial"/>
          <w:sz w:val="18"/>
          <w:szCs w:val="18"/>
          <w:i w:val="1"/>
          <w:iCs w:val="1"/>
          <w:color w:val="auto"/>
        </w:rPr>
        <w:t>(Principal Financial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2021</w:t>
      </w:r>
    </w:p>
    <w:p>
      <w:pPr>
        <w:sectPr>
          <w:pgSz w:w="11900" w:h="16838" w:orient="portrait"/>
          <w:cols w:equalWidth="0" w:num="1">
            <w:col w:w="11240"/>
          </w:cols>
          <w:pgMar w:left="320" w:top="93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3" w:lineRule="exact"/>
        <w:rPr>
          <w:sz w:val="20"/>
          <w:szCs w:val="20"/>
          <w:color w:val="auto"/>
        </w:rPr>
      </w:pPr>
    </w:p>
    <w:p>
      <w:pPr>
        <w:ind w:right="140" w:firstLine="445"/>
        <w:spacing w:after="0" w:line="369" w:lineRule="auto"/>
        <w:rPr>
          <w:sz w:val="20"/>
          <w:szCs w:val="20"/>
          <w:color w:val="auto"/>
        </w:rPr>
      </w:pPr>
      <w:r>
        <w:rPr>
          <w:rFonts w:ascii="Arial" w:cs="Arial" w:eastAsia="Arial" w:hAnsi="Arial"/>
          <w:sz w:val="17"/>
          <w:szCs w:val="17"/>
          <w:color w:val="auto"/>
        </w:rPr>
        <w:t>In connection with the Quarterly Report on Form 10-Q of Viatris Inc. (the “Company”) for the period ended March 31, 2021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spacing w:after="0" w:line="43" w:lineRule="exact"/>
        <w:rPr>
          <w:sz w:val="20"/>
          <w:szCs w:val="20"/>
          <w:color w:val="auto"/>
        </w:rPr>
      </w:pPr>
    </w:p>
    <w:p>
      <w:pPr>
        <w:ind w:left="1080" w:hanging="181"/>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1080" w:hanging="181"/>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0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31750</wp:posOffset>
            </wp:positionV>
            <wp:extent cx="25031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5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Michael Goettler</w:t>
      </w:r>
    </w:p>
    <w:p>
      <w:pPr>
        <w:spacing w:after="0" w:line="6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31750</wp:posOffset>
            </wp:positionV>
            <wp:extent cx="25031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Sanjeev Narula</w:t>
      </w:r>
    </w:p>
    <w:p>
      <w:pPr>
        <w:spacing w:after="0" w:line="6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Financial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2021</w:t>
      </w:r>
    </w:p>
    <w:p>
      <w:pPr>
        <w:spacing w:after="0" w:line="239" w:lineRule="exact"/>
        <w:rPr>
          <w:sz w:val="20"/>
          <w:szCs w:val="20"/>
          <w:color w:val="auto"/>
        </w:rPr>
      </w:pPr>
    </w:p>
    <w:p>
      <w:pPr>
        <w:ind w:right="420" w:firstLine="445"/>
        <w:spacing w:after="0" w:line="35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7" w:lineRule="exact"/>
        <w:rPr>
          <w:sz w:val="20"/>
          <w:szCs w:val="20"/>
          <w:color w:val="auto"/>
        </w:rPr>
      </w:pPr>
    </w:p>
    <w:p>
      <w:pPr>
        <w:ind w:right="520" w:firstLine="445"/>
        <w:spacing w:after="0" w:line="355" w:lineRule="auto"/>
        <w:rPr>
          <w:sz w:val="20"/>
          <w:szCs w:val="20"/>
          <w:color w:val="auto"/>
        </w:rPr>
      </w:pPr>
      <w:r>
        <w:rPr>
          <w:rFonts w:ascii="Arial" w:cs="Arial" w:eastAsia="Arial" w:hAnsi="Arial"/>
          <w:sz w:val="18"/>
          <w:szCs w:val="18"/>
          <w:color w:val="auto"/>
        </w:rPr>
        <w:t>The foregoing certification is being furnished in accordance with Securities and Exchange Commission Release No. 34-47551 and shall not be considered filed as part of the Form 10-Q.</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2"/>
    </w:lvl>
  </w:abstractNum>
  <w:abstractNum w:abstractNumId="5">
    <w:nsid w:val="4516DDE9"/>
    <w:multiLevelType w:val="hybridMultilevel"/>
    <w:lvl w:ilvl="0">
      <w:lvlJc w:val="left"/>
      <w:lvlText w:val="(%1)"/>
      <w:numFmt w:val="lowerLetter"/>
      <w:start w:val="1"/>
    </w:lvl>
  </w:abstractNum>
  <w:abstractNum w:abstractNumId="6">
    <w:nsid w:val="3006C83E"/>
    <w:multiLevelType w:val="hybridMultilevel"/>
    <w:lvl w:ilvl="0">
      <w:lvlJc w:val="left"/>
      <w:lvlText w:val="%1."/>
      <w:numFmt w:val="decimal"/>
      <w:start w:val="3"/>
    </w:lvl>
  </w:abstractNum>
  <w:abstractNum w:abstractNumId="7">
    <w:nsid w:val="614FD4A1"/>
    <w:multiLevelType w:val="hybridMultilevel"/>
    <w:lvl w:ilvl="0">
      <w:lvlJc w:val="left"/>
      <w:lvlText w:val="%1."/>
      <w:numFmt w:val="decimal"/>
      <w:start w:val="4"/>
    </w:lvl>
  </w:abstractNum>
  <w:abstractNum w:abstractNumId="8">
    <w:nsid w:val="419AC241"/>
    <w:multiLevelType w:val="hybridMultilevel"/>
    <w:lvl w:ilvl="0">
      <w:lvlJc w:val="left"/>
      <w:lvlText w:val="(%1)"/>
      <w:numFmt w:val="lowerLetter"/>
      <w:start w:val="1"/>
    </w:lvl>
  </w:abstractNum>
  <w:abstractNum w:abstractNumId="9">
    <w:nsid w:val="5577F8E1"/>
    <w:multiLevelType w:val="hybridMultilevel"/>
    <w:lvl w:ilvl="0">
      <w:lvlJc w:val="left"/>
      <w:lvlText w:val="%1."/>
      <w:numFmt w:val="decimal"/>
      <w:start w:val="5"/>
    </w:lvl>
  </w:abstractNum>
  <w:abstractNum w:abstractNumId="10">
    <w:nsid w:val="440BADFC"/>
    <w:multiLevelType w:val="hybridMultilevel"/>
    <w:lvl w:ilvl="0">
      <w:lvlJc w:val="left"/>
      <w:lvlText w:val="%1."/>
      <w:numFmt w:val="decimal"/>
      <w:start w:val="6"/>
    </w:lvl>
  </w:abstractNum>
  <w:abstractNum w:abstractNumId="11">
    <w:nsid w:val="5072367"/>
    <w:multiLevelType w:val="hybridMultilevel"/>
    <w:lvl w:ilvl="0">
      <w:lvlJc w:val="left"/>
      <w:lvlText w:val="%1."/>
      <w:numFmt w:val="decimal"/>
      <w:start w:val="8"/>
    </w:lvl>
  </w:abstractNum>
  <w:abstractNum w:abstractNumId="12">
    <w:nsid w:val="3804823E"/>
    <w:multiLevelType w:val="hybridMultilevel"/>
    <w:lvl w:ilvl="0">
      <w:lvlJc w:val="left"/>
      <w:lvlText w:val="%1."/>
      <w:numFmt w:val="decimal"/>
      <w:start w:val="9"/>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12"/>
    </w:lvl>
  </w:abstractNum>
  <w:abstractNum w:abstractNumId="19">
    <w:nsid w:val="2D517796"/>
    <w:multiLevelType w:val="hybridMultilevel"/>
    <w:lvl w:ilvl="0">
      <w:lvlJc w:val="left"/>
      <w:lvlText w:val="(%1)"/>
      <w:numFmt w:val="lowerLetter"/>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1."/>
      <w:numFmt w:val="decimal"/>
      <w:start w:val="15"/>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lowerLetter"/>
      <w:start w:val="1"/>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1)"/>
      <w:numFmt w:val="lowerLetter"/>
      <w:start w:val="1"/>
    </w:lvl>
  </w:abstractNum>
  <w:abstractNum w:abstractNumId="46">
    <w:nsid w:val="520EEDD1"/>
    <w:multiLevelType w:val="hybridMultilevel"/>
    <w:lvl w:ilvl="0">
      <w:lvlJc w:val="left"/>
      <w:lvlText w:val="(%1)"/>
      <w:numFmt w:val="lowerLetter"/>
      <w:start w:val="4"/>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1"/>
      <w:numFmt w:val="decimal"/>
      <w:start w:val="22"/>
    </w:lvl>
  </w:abstractNum>
  <w:abstractNum w:abstractNumId="54">
    <w:nsid w:val="180115BE"/>
    <w:multiLevelType w:val="hybridMultilevel"/>
    <w:lvl w:ilvl="0">
      <w:lvlJc w:val="left"/>
      <w:lvlText w:val="%1"/>
      <w:numFmt w:val="decimal"/>
      <w:start w:val="32"/>
    </w:lvl>
  </w:abstractNum>
  <w:abstractNum w:abstractNumId="55">
    <w:nsid w:val="235BA861"/>
    <w:multiLevelType w:val="hybridMultilevel"/>
    <w:lvl w:ilvl="0">
      <w:lvlJc w:val="left"/>
      <w:lvlText w:val="%1"/>
      <w:numFmt w:val="decimal"/>
      <w:start w:val="104"/>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15" Type="http://schemas.openxmlformats.org/officeDocument/2006/relationships/hyperlink" Target="https://www.sec.gov/Archives/edgar/data/1792044/000119312521206477/d50384dex101.htm" TargetMode="External"/><Relationship Id="rId116" Type="http://schemas.openxmlformats.org/officeDocument/2006/relationships/hyperlink" Target="https://www.sec.gov/Archives/edgar/data/1792044/000119312521206477/d5038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2021-08-09T16:05:36Z</dcterms:created>
  <dcterms:modified xsi:type="dcterms:W3CDTF">2021-08-09T16:05:36Z</dcterms:modified>
</cp:coreProperties>
</file>