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UPJOHN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000-56114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43" w:lineRule="exact"/>
        <w:rPr>
          <w:sz w:val="24"/>
          <w:szCs w:val="24"/>
          <w:color w:val="auto"/>
        </w:rPr>
      </w:pPr>
    </w:p>
    <w:p>
      <w:pPr>
        <w:sectPr>
          <w:pgSz w:w="11900" w:h="16838" w:orient="portrait"/>
          <w:cols w:equalWidth="0" w:num="3">
            <w:col w:w="4464" w:space="720"/>
            <w:col w:w="2920" w:space="720"/>
            <w:col w:w="2200"/>
          </w:cols>
          <w:pgMar w:left="436" w:top="341" w:right="439" w:bottom="1440" w:gutter="0" w:footer="0" w:header="0"/>
          <w:type w:val="continuous"/>
        </w:sect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b w:val="1"/>
          <w:bCs w:val="1"/>
          <w:color w:val="auto"/>
        </w:rPr>
        <w:t>(IRS Employer of</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ind w:left="1984"/>
        <w:spacing w:after="0"/>
        <w:rPr>
          <w:sz w:val="20"/>
          <w:szCs w:val="20"/>
          <w:color w:val="auto"/>
        </w:rPr>
      </w:pPr>
      <w:r>
        <w:rPr>
          <w:rFonts w:ascii="Arial" w:cs="Arial" w:eastAsia="Arial" w:hAnsi="Arial"/>
          <w:sz w:val="16"/>
          <w:szCs w:val="16"/>
          <w:b w:val="1"/>
          <w:bCs w:val="1"/>
          <w:color w:val="auto"/>
        </w:rPr>
        <w:t>235 East 42nd Street</w:t>
      </w:r>
    </w:p>
    <w:p>
      <w:pPr>
        <w:spacing w:after="0" w:line="50" w:lineRule="exact"/>
        <w:rPr>
          <w:sz w:val="24"/>
          <w:szCs w:val="24"/>
          <w:color w:val="auto"/>
        </w:rPr>
      </w:pPr>
    </w:p>
    <w:p>
      <w:pPr>
        <w:ind w:left="1964"/>
        <w:spacing w:after="0"/>
        <w:rPr>
          <w:sz w:val="20"/>
          <w:szCs w:val="20"/>
          <w:color w:val="auto"/>
        </w:rPr>
      </w:pPr>
      <w:r>
        <w:rPr>
          <w:rFonts w:ascii="Arial" w:cs="Arial" w:eastAsia="Arial" w:hAnsi="Arial"/>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10017</w:t>
      </w:r>
    </w:p>
    <w:p>
      <w:pPr>
        <w:spacing w:after="0" w:line="61" w:lineRule="exact"/>
        <w:rPr>
          <w:sz w:val="24"/>
          <w:szCs w:val="24"/>
          <w:color w:val="auto"/>
        </w:rPr>
      </w:pPr>
    </w:p>
    <w:p>
      <w:pPr>
        <w:sectPr>
          <w:pgSz w:w="11900" w:h="16838" w:orient="portrait"/>
          <w:cols w:equalWidth="0" w:num="2">
            <w:col w:w="7404" w:space="720"/>
            <w:col w:w="2900"/>
          </w:cols>
          <w:pgMar w:left="436" w:top="341"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733-2323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4" w:right="2620" w:hanging="444"/>
        <w:spacing w:after="0" w:line="496" w:lineRule="auto"/>
        <w:tabs>
          <w:tab w:leader="none" w:pos="43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2"/>
                <w:szCs w:val="12"/>
                <w:color w:val="auto"/>
              </w:rPr>
            </w:pP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2"/>
                <w:szCs w:val="12"/>
                <w:color w:val="auto"/>
              </w:rPr>
            </w:pPr>
          </w:p>
        </w:tc>
        <w:tc>
          <w:tcPr>
            <w:tcW w:w="3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N/A</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6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240.12b-2).</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On June 16, 2020, Upjohn Inc. (“Upjohn” or “Newco”) entered into the Revolving Credit Agreement and the Term Loan Credit Agreement (in each case as defined and described below) in connection with the previously announced combination (the “Combination”) of Pfizer Inc.’s (“Pfizer’s”) global, primarily off-patent branded and generic established medicines business (the “Upjohn Business”) and Mylan N.V. (“Mylan”) in a Reverse Morris Trust transaction pursuant to the Business Combination Agreement, dated as of July 29, 2019, among Pfizer, Mylan, Upjohn and certain of their affiliates, as amended on May 29, 2020, and the Separation and Distribution Agreement (as defined below).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On June 16, 2020, Upjohn entered into a revolving credit agreement (the “Revolving Credit Agreement”), by and among Upjohn, certain lenders and issuing banks from time to time party thereto and Bank of America, N.A., as administrative agent (in such capacity, the “Revolving Administrative Agent”). The Revolving Credit Agreement contains a revolving credit facility (the “Revolving Credit Facility”) under which Upjohn may obtain extensions of credit in an aggregate principal amount not to exceed $4,000,000,000, in U.S. dollars or alternative currencies including Euro, Sterling, Yen and any other currency that is approved by the Revolving Administrative Agent and each lender under the Revolving Credit Facility. The total commitments under the senior unsecured 364-day bridge loan facility pursuant to that certain commitment letter dated as of July 29, 2019 (as amended, supplemented or otherwise modified from time to time, the “Bridge Commitment Letter”), by and among Upjohn, Goldman Sachs Bank USA, Goldman Sachs Lending Partners LLC and the other parties party thereto, were reduced concurrently with the effectiveness of the Revolving Credit Agreement by an amount equal to $1,500,000,000.</w:t>
      </w:r>
    </w:p>
    <w:p>
      <w:pPr>
        <w:spacing w:after="0" w:line="18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Up to $1.5 billion under the Revolving Credit Facility will be available to Upjohn in a single draw on the Revolver Closing Date for the sole purpose of funding a portion of the cash payment of $12.0 billion by Upjohn to Pfizer as partial consideration for Pfizer’s contribution of the Upjohn Business to Upjohn (the “Cash Payment”), as required by the Separation and Distribution Agreement, dated as of July 29, 2019, between Pfizer and Upjohn, as amended on February 18, 2020 and on May 29, 2020, and as further amended, restated or modified from time to time (the “Separation and Distribution Agreement”), upon (a) its delivery of a certificate certifying that (i) the conditions to the consummation of the Combination have been satisfied or waived or are expected to be satisfied or waived on the date of funding of such facility or within one business day thereafter and (ii) the distribution by Pfizer to its stockholders of its shares of Upjohn’s common stock, by way of either, at Pfizer’s option, a spin-off or a split-off, pursuant to the Separation and Distribution Agreement (the “Distribution”) is expected to be, the Combination is expected to be, and the contribution of the Upjohn Business to Upjohn (the “Contribution”) has been or is expected to be consummated on the Revolver Closing Date (as defined below) or within one business day thereafter (an “RMT Condition Certificate”) and (b) the satisfaction of certain customary conditions (the date such conditions are satisfied or waived being referred to as the “Revolver Closing Date”). Other extensions of credit are available from and after the consummation of the Combination, subject to the satisfaction of certain customary conditions.</w:t>
      </w:r>
    </w:p>
    <w:p>
      <w:pPr>
        <w:spacing w:after="0" w:line="179"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The Revolving Credit Agreement includes a $300,000,000 subfacility for the issuance of letters of credit and a $175,000,000 sublimit for swingline borrowings. The swingline borrowings will be made available in U.S. dollars only. Upjohn may seek additional commitments under the Revolving Credit Facility from lenders or other financial institutions designated by Upjohn up to an aggregate amount such that Upjohn would be in compliance with the financial covenant described below, after giving effect to such increase in the commitments and the application of proceeds therefrom. In determining pro forma compliance with the financial covenant described below, any indebtedness that is proposed to be incurred will be added to Upjohn’s consolidated total indebtedness, and if such indebtedness is incurred in connection with an acquisition, the consolidated EBITDA of the acquired business for the trailing four quarters will be added to (or, if negative, subtracted from) Upjohn’s consolidated EBITDA for the same period.</w:t>
      </w:r>
    </w:p>
    <w:p>
      <w:pPr>
        <w:sectPr>
          <w:pgSz w:w="11900" w:h="16838" w:orient="portrait"/>
          <w:cols w:equalWidth="0" w:num="1">
            <w:col w:w="11000"/>
          </w:cols>
          <w:pgMar w:left="440" w:top="297" w:right="459" w:bottom="1440" w:gutter="0" w:footer="0" w:header="0"/>
        </w:sectPr>
      </w:pPr>
    </w:p>
    <w:bookmarkStart w:id="2" w:name="page3"/>
    <w:bookmarkEnd w:id="2"/>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In addition to funding a portion of the Cash Payment, proceeds from the Revolving Credit Facility will be used for general lawful corporate purposes of Upjohn and its subsidiaries, including, without limitation, to repay outstanding obligations under Mylan Inc.’s existing $2,000,000,000 revolving credit facility, dated as of July 27, 2018 (as amended, restated or modified from time to time, the “Mylan Revolving Credit Facility”), among Mylan Inc., as borrower, Mylan, as a guarantor, certain lenders and issuing banks from time to time party thereto and Bank of America, N.A., as administrative agent.</w:t>
      </w:r>
    </w:p>
    <w:p>
      <w:pPr>
        <w:spacing w:after="0" w:line="18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Within one business day after the consummation of the Combination, the Revolving Credit Facility will be guaranteed by each affiliate or subsidiary of Upjohn, including Mylan Inc., that is an issuer or guarantor of the senior unsecured notes issued by Mylan or Mylan Inc., and each other subsidiary of Upjohn that guarantees (or is otherwise a co-obligor of) third party indebtedness in excess of $500,000,000 other than (i) any wholly owned subsidiary of Upjohn which engages in no activities other than in connection with the financing of receivables of the receivables sellers and which is designated as a receivables entity by Upjohn (“Receivables Entity”) and (ii) Upjohn Finance B.V., a private limited liability company (</w:t>
      </w:r>
      <w:r>
        <w:rPr>
          <w:rFonts w:ascii="Arial" w:cs="Arial" w:eastAsia="Arial" w:hAnsi="Arial"/>
          <w:sz w:val="16"/>
          <w:szCs w:val="16"/>
          <w:i w:val="1"/>
          <w:iCs w:val="1"/>
          <w:color w:val="auto"/>
        </w:rPr>
        <w:t>besloten</w:t>
      </w:r>
      <w:r>
        <w:rPr>
          <w:rFonts w:ascii="Arial" w:cs="Arial" w:eastAsia="Arial" w:hAnsi="Arial"/>
          <w:sz w:val="16"/>
          <w:szCs w:val="16"/>
          <w:color w:val="auto"/>
        </w:rPr>
        <w:t xml:space="preserve"> </w:t>
      </w:r>
      <w:r>
        <w:rPr>
          <w:rFonts w:ascii="Arial" w:cs="Arial" w:eastAsia="Arial" w:hAnsi="Arial"/>
          <w:sz w:val="16"/>
          <w:szCs w:val="16"/>
          <w:i w:val="1"/>
          <w:iCs w:val="1"/>
          <w:color w:val="auto"/>
        </w:rPr>
        <w:t>vennootschap met beperkte aansprakelijkheid</w:t>
      </w:r>
      <w:r>
        <w:rPr>
          <w:rFonts w:ascii="Arial" w:cs="Arial" w:eastAsia="Arial" w:hAnsi="Arial"/>
          <w:sz w:val="16"/>
          <w:szCs w:val="16"/>
          <w:color w:val="auto"/>
        </w:rPr>
        <w:t>) incorporated and existing under the laws of the Netherlands (“Finco”) so long as it (a) does not hold</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and together with its subsidiaries) more than de minimis assets (other than (x) any intercompany notes or receivables that relate to the repayment of principal and interest of any indebtedness of Finco issued after June 16, 2020 and on or prior to the Revolver Closing Date, the proceeds of which are used to fund, in full or in part, the Cash Payment and related transaction fees and expenses, or (y) any proceeds from any indebtedness of Finco (so long as such proceeds are intended to be distributed to Upjohn) or intercompany notes or receivables that relate to the distribution of such proceeds), (b) does not generate more than de minimis consolidated EBITDA and (c) does not at any time guarantee any third-party indebtedness of Upjohn. As of June 16, 2020, no subsidiary of Upjohn (including Finco) is required to provide a guarantee of the Revolving Credit Facility, but will automatically do so upon the occurrence of the above. The Revolving Credit Facility is unsecured.</w:t>
      </w:r>
    </w:p>
    <w:p>
      <w:pPr>
        <w:spacing w:after="0" w:line="17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Revolving Credit Facility will initially bear interest at the LIBO Rate (determined in accordance with the Revolving Credit Agreement) plus 1.70% per annum, if Upjohn chooses to make LIBO Rate borrowings, or at a base rate (determined in accordance with the Revolving Credit Agreement) plus 0.70% per annum. The Revolving Credit Facility has a facility fee, which currently accrues at 0.30% on the daily amount of the aggregate revolving commitments of the lenders. The applicable margins over the LIBO Rate and the base rate for the revolver can fluctuate based on the long-term unsecured senior, non-credit enhanced debt rating of Upjohn by S&amp;P Global Ratings, Moody’s Investors Service, Inc. and Fitch Ratings, Inc.</w:t>
      </w:r>
    </w:p>
    <w:p>
      <w:pPr>
        <w:spacing w:after="0" w:line="161"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The Revolving Credit Agreement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Upjohn’s lines of business. The Revolving Credit Agreement contains a financial covenant requiring maintenance of a leverage ratio no greater than 4.25 to 1.00 as of the last day of each of the first four full fiscal quarters ending after the Revolver Closing Date and 3.75 to 1.00 as of the last day of any fiscal quarter thereafter. Affirmative and negative covenants in the Revolving Credit Agreement are applicable only from and after the consummation of the Combination. The Upjohn Revolving Credit Facility is scheduled to expire on the date that is three years from the Revolver Closing Date.</w:t>
      </w:r>
    </w:p>
    <w:p>
      <w:pPr>
        <w:sectPr>
          <w:pgSz w:w="11900" w:h="16838" w:orient="portrait"/>
          <w:cols w:equalWidth="0" w:num="1">
            <w:col w:w="11000"/>
          </w:cols>
          <w:pgMar w:left="440" w:top="301" w:right="459" w:bottom="1440" w:gutter="0" w:footer="0" w:header="0"/>
        </w:sectPr>
      </w:pPr>
    </w:p>
    <w:bookmarkStart w:id="3" w:name="page4"/>
    <w:bookmarkEnd w:id="3"/>
    <w:p>
      <w:pPr>
        <w:ind w:right="10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Revolving Credit Agreement contains default provisions customary for facilities of this type, which are subject to customary grace periods and materiality thresholds, including, among others, defaults related to payment failures, failure to comply with covenants, material misrepresentations, defaults under other material indebtedness, the occurrence of a “change in control”, bankruptcy and related events, material judgments, certain events related to pension plans and the invalidity or revocation of any loan document or any guarantee agreement of Upjohn or any subsidiary that becomes a guarantor as described above. If an event of default occurs under the Revolving Credit Agreement, the lenders may, among other things, terminate their commitments and declare immediately payable all borrowings. The default provisions in the Revolving Credit Agreement are applicable only from and after the Revolver Closing Date.</w:t>
      </w:r>
    </w:p>
    <w:p>
      <w:pPr>
        <w:spacing w:after="0" w:line="19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Amounts drawn on the Revolving Credit Facility become due and payable on the date that is three years from the Revolver Closing Date. Amounts drawn on the Revolving Credit Facility may be voluntarily prepaid without penalty or premium, other than customary breakage costs related to prepayments of LIBO Rate borrowings.</w:t>
      </w:r>
    </w:p>
    <w:p>
      <w:pPr>
        <w:spacing w:after="0" w:line="184"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The foregoing summary of the Revolving Credit Agreement does not purport to be complete and is subject to, and qualified in its entirety by, the full text of the Revolving Credit Agreement, which is attached hereto as Exhibit 10.1 and is incorporated herein by reference.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Credit Agreement</w:t>
      </w:r>
    </w:p>
    <w:p>
      <w:pPr>
        <w:spacing w:after="0" w:line="11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On June 16, 2020, Upjohn entered into a delayed draw term loan credit agreement (the “Term Loan Credit Agreement”), by and among Upjohn, Mizuho Bank, Ltd. and MUFG Bank, Ltd., as administrative agent. The Term Loan Credit Agreement provides for an 18-month $600,000,000 principal amount delayed draw senior unsecured term loan facility (the “Term Loan Credit Facility”). The total commitments under the Bridge Commitment Letter were reduced concurrently with the effectiveness of the Term Loan Credit Agreement by an amount equal to $600 million.</w:t>
      </w:r>
    </w:p>
    <w:p>
      <w:pPr>
        <w:spacing w:after="0" w:line="15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Term Loan Credit Facility will be available to Upjohn upon its delivery of an RMT Condition Certificate and upon satisfaction of certain customary conditions (the date such conditions are satisfied or waived being referred to as the “Term Closing Date”). Upjohn intends to borrow the full $600 million aggregate principal amount available under the Term Loan Credit Facility in order to fund a portion of the Cash Payment to Pfizer and related transaction fees and expenses, as required by the Separation and Distribution Agreement.</w:t>
      </w:r>
    </w:p>
    <w:p>
      <w:pPr>
        <w:spacing w:after="0" w:line="18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Within one business day after the consummation of the Combination, the Term Loan Credit Facility will be guaranteed by each affiliate or subsidiary of Upjohn, including Mylan Inc., that is an issuer or guarantor of the senior unsecured notes issued by Mylan or Mylan Inc., and each other Subsidiary of Upjohn (other than Finco or a Receivables Entity) that guarantees (or is otherwise a co-obligor of) third party indebtedness in excess of $500,000,000 other than (i) any Receivables Entity and (ii) Finco so long as it (a) does not hold (directly, and together with its subsidiaries) more than de minimis assets (other than (x) any intercompany notes or receivables that relate to the repayment of principal and interest of any indebtedness of Finco issued after June 16, 2020 and on or prior to the Term Closing Date, the proceeds of which are used to fund, in full or in part, the Cash Payment and related transaction fees and expenses, or (y) any proceeds from any indebtedness of Finco (so long as such proceeds are intended to be distributed to Upjohn) or intercompany notes or receivables that relate to the distribution of such proceeds), (b) does not generate more than de minimis consolidated EBITDA and (c) does not at any time guarantee any third-party indebtedness of Upjohn, As of June 16, 2020, no subsidiary of Upjohn is required to provide a guarantee of the Term Loan Credit Facility, but will automatically do so upon the occurrence of the above. The Term Loan Credit Facility is unsecured.</w:t>
      </w:r>
    </w:p>
    <w:p>
      <w:pPr>
        <w:sectPr>
          <w:pgSz w:w="11900" w:h="16838" w:orient="portrait"/>
          <w:cols w:equalWidth="0" w:num="1">
            <w:col w:w="11000"/>
          </w:cols>
          <w:pgMar w:left="440" w:top="301" w:right="459" w:bottom="1440" w:gutter="0" w:footer="0" w:header="0"/>
        </w:sectPr>
      </w:pPr>
    </w:p>
    <w:bookmarkStart w:id="4" w:name="page5"/>
    <w:bookmarkEnd w:id="4"/>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Term Loan Credit Facility will bear interest at the LIBO Rate (determined in accordance with the Term Loan Credit Agreement) plus 1.625% per annum (or 1.875% per annum beginning on the date that is nine months after the Term Closing Date), if Upjohn chooses to make a LIBO Rate borrowing, or at a base rate (determined in accordance with the Term Loan Credit Agreement) plus 0.625% per annum (or 0.875% per annum beginning on the date that is nine months after the Term Closing Date).</w:t>
      </w:r>
    </w:p>
    <w:p>
      <w:pPr>
        <w:spacing w:after="0" w:line="18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The Term Loan Credit Agreement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Upjohn’s lines of business. The Term Loan Credit Agreement contains a financial covenant requiring maintenance of a leverage ratio no greater than 4.25 to 1.00 as of the last day of each of the first four fiscal quarters ending after the Term Closing Date and 3.75 to 1.00 as of the last day of any fiscal quarter thereafter. Affirmative and negative covenants in the Term Loan Credit Agreement are applicable only from and after the consummation of the Combination. The Term Loan Credit Facility is scheduled to expire on the date that is eighteen months from the Term Closing Date.</w:t>
      </w:r>
    </w:p>
    <w:p>
      <w:pPr>
        <w:spacing w:after="0" w:line="18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The Term Loan Credit Agreement contains default provisions customary for facilities of this type, which are subject to customary grace periods and materiality thresholds, including, among others, defaults related to payment failures, failure to comply with covenants, material misrepresentations, defaults under other material indebtedness, the occurrence of a “change in control”, bankruptcy and related events, material judgments, certain events related to pension plans and the invalidity or revocation of any loan document or any guarantee agreement of Upjohn or any subsidiary that becomes a guarantor as described above. If an event of default occurs under the Term Loan Credit Agreement, the lenders may, among other things, declare immediately payable all borrowings. The default provisions in the Term Loan Credit Agreement are applicable only from and after the Term Closing Date. Amounts drawn on the Term Loan Credit Facility become due and payable on the date that is eighteen months from the Term Closing Date.</w:t>
      </w:r>
    </w:p>
    <w:p>
      <w:pPr>
        <w:spacing w:after="0" w:line="166"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The foregoing summary of the Term Loan Credit Agreement does not purport to be complete and is subject to, and qualified in its entirety by, the full text of the Term Loan Credit Agreement, which is attached hereto as Exhibit 10.2 and is incorporated herein by reference.</w:t>
      </w:r>
    </w:p>
    <w:p>
      <w:pPr>
        <w:spacing w:after="0" w:line="25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information set forth in Item 1.01 of this Current Report on Form 8-K with respect to the Revolving Credit Agreement and Term Loan Credit Agreement is hereby incorporated by reference into this Item 2.03 of this Current Report on Form 8-K insofar as it relates to the creation of a direct financial obligation of Upjohn.</w:t>
      </w:r>
    </w:p>
    <w:p>
      <w:pPr>
        <w:sectPr>
          <w:pgSz w:w="11900" w:h="16838" w:orient="portrait"/>
          <w:cols w:equalWidth="0" w:num="1">
            <w:col w:w="10960"/>
          </w:cols>
          <w:pgMar w:left="440" w:top="301"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Forward-Looking Statements</w:t>
      </w:r>
    </w:p>
    <w:p>
      <w:pPr>
        <w:spacing w:after="0" w:line="121"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This communication contains “forward-looking statements”. Such forward-looking statements may include, without limitation, statements about the financing transactions (including statements regarding the terms thereof, the closing date thereof or the use of proceeds therefrom), the proposed combination of Newco and Mylan, which will immediately follow the proposed separation of the Upjohn Business from Pfizer (the “proposed combination”), the expected timetable for completing the proposed combination, the benefits and synergies of the proposed combination, future opportunities for the combined company and products and any other statements regarding Pfizer’s, Mylan’s, the Upjohn Business’s or the combined company’s future operations, financial or operating results, capital allocation, dividend policy, debt ratio, anticipated business levels, future earnings,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ongoing challenges and uncertainties posed by the COVID-19 pandemic for businesses and governments around the world; the parties’ ability to meet expectations regarding the timing, completion and accounting and tax treatments of the proposed combination; changes in relevant tax and other laws; the parties’ ability to consummate the proposed combination; the conditions to the completion of the proposed combination, including receipt of approval of Mylan’s shareholders, not being satisfied or waived on the anticipated timeframe or at all; the regulatory approvals required for the proposed combination not being obtained on the terms expected or on the anticipated schedule or at all; inherent uncertainties involved in the estimates and judgments used in the preparation of financial statements and the providing of estimates of financial measures, in accordance with U.S. GAAP and related standards, or on an adjusted basis; the integration of Mylan and the Upjohn Business being more difficult, time consuming or costly than expected; Mylan’s, the Upjohn Business’s and the combined company’s failure to achieve expected or targeted future financial and operating performance and results; the possibility that the combined company may be unable to achieve expected benefits, synergies and operating efficiencies in connection with the proposed combination within the expected time frames or at all or to successfully integrate Mylan and the Upjohn Business; customer loss and business disruption being greater than expected following the proposed combination; the retention of key employees being more difficult following the proposed combination; Mylan’s, the Upjohn Business’s or the combined company’s liquidity, capital resources and ability to obtain financing; any regulatory, legal or other impediments to Mylan’s, the Upjohn Business’s or the combined company’s ability to bring new products to market, including but not limited to where Mylan,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the Upjohn Business’s or the combined company’s ability to execute on new product opportunities; any changes in or difficulties with Mylan’s, the Upjohn Business’s or the combined company’s manufacturing facilities, including with respect to remediation and restructuring activities, supply chain or inventory or the ability to meet anticipated demand; the scope, timing and outcome of any ongoing legal proceedings, including government investigations, and the impact of any such proceedings on Mylan’s, the Upjohn Business’s or the combined company’s consolidated financial condition, results of operations and/or cash flows; Mylan’s, the Upjohn Business’s and the combined company’s ability to protect their respective intellectual property and preserve their respective intellectual property rights; the effect of any changes in customer and supplier relationships and customer purchasing patterns; the ability to attract and retain key personnel; changes in third-party relationships; actions and decisions of healthcare and pharmaceutical regulators; the impacts of competition; changes in the economic and financial conditions of the Upjohn Business or the business of Mylan or the combined company; the impact of outbreaks, epidemics or pandemics, such as the COVID-19 pandemic; uncertainties regarding future demand, pricing and reimbursement for Mylan’s, the Upjohn Business’s or the combined company’s products; and uncertainties and matters beyond the control of management and other factors described under “Risk Factors” in each of Pfizer’s, Mylan’s and Newco’s Annual Reports on Form 10-K, Quarterly Reports on Form 10-Q and other filings with the Securities and Exchange Commission (“SEC”). These risks, as well as other risks associated with Mylan, the Upjohn Business, the combined company and the proposed combination are also more fully discussed in the Registration Statement on Form S-4, as amended, which includes a proxy statement/prospectus (as amended, the “Form S-4”), which was filed by Newco with the SEC on October 25, 2019 and declared effective by the SEC on February 13, 2020, the Registration Statement on Form 10, as amended, which includes an information statement (the “Form 10”), which was filed by</w:t>
      </w:r>
    </w:p>
    <w:p>
      <w:pPr>
        <w:sectPr>
          <w:pgSz w:w="11900" w:h="16838" w:orient="portrait"/>
          <w:cols w:equalWidth="0" w:num="1">
            <w:col w:w="11000"/>
          </w:cols>
          <w:pgMar w:left="440" w:top="297" w:right="459" w:bottom="1440" w:gutter="0" w:footer="0" w:header="0"/>
        </w:sectPr>
      </w:pPr>
    </w:p>
    <w:bookmarkStart w:id="6" w:name="page7"/>
    <w:bookmarkEnd w:id="6"/>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t>Upjohn with the SEC on June 12, 2020 and has not yet been declared effective, a definitive proxy statement, which was filed by Mylan with the SEC on February 13, 2020 (the “Proxy Statement”), and a prospectus, which was filed by Newco with the SEC on February 13, 2020 (the “Prospectus”). You can access Pfizer’s, Mylan’s and Newco’s filings with the SEC through the SEC website at www.sec.gov. Except as required by applicable law, Pfizer, Mylan and Newco undertake no obligation to update any statements herein for revisions or changes after this communication is made.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in the proposed combination except by means of a prospectus meeting the requirements of Section 10 of the Securities Act of 1933, as amended. In connection with the proposed combination, Newco and Mylan have filed certain materials with the SEC, including, among other materials, the Form S-4, Form 10 and Prospectus filed by Newco and the Proxy Statement filed by Mylan. The Form S-4 was declared effective on February 13, 2020 and the Proxy Statement and the Prospectus were first mailed to shareholders of Mylan on or about February 14, 2020 to seek approval of the proposed combination. The Form 10 has not yet become effective. After the Form 10 is effective, a definitive information statement will be made available to Pfizer stockholders relating to the proposed combination. Newco and Mylan intend to file additional relevant materials with the SEC in connection with the proposed combination. INVESTORS AND SECURITY HOLDERS ARE URGED TO READ DOCUMENTS FILED WITH THE SEC CAREFULLY AND IN THEIR ENTIRETY BECAUSE THEY WILL CONTAIN IMPORTANT INFORMATION ABOUT MYLAN, NEWCO, AND THE PROPOSED COMBINATION. The documents relating to the proposed combination (when they are available) can be obtained free of charge from the SEC’s website at www.sec.gov. These documents (when they are available) can also be obtained free of charge from Mylan, upon written request to Mylan or by contacting Mylan at (724) 514-1813 or investor.relations@mylan.com or from Pfizer on Pfizer’s internet website at https://investors.Pfizer.com/financials/sec-filings/default.aspx or by contacting Pfizer’s Investor Relations Department at (212) 733-2323, as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This communication is not a solicitation of a proxy from any investor or security holder. However, Pfizer, Mylan, Newco and certain of their respective directors and executive officers may be deemed to be participants in the solicitation of proxies in connection with the proposed combination under the rules of the SEC. Information about the directors and executive officers of Newco following the completion of the proposed combination may be found in the Form 10, the Form S-4, the Proxy Statement and the Prospectus, and Pfizer’s Current Report on Form 8-K filed with the SEC on February 28, 2020. Information about the directors and executive officers of Pfizer may be found in its Annual Report on Form 10-K filed with the SEC on February 27, 2020 and its definitive proxy statement relating to its 2020 Annual Meeting filed with the SEC on March 13, 2020, as supplemented by its supplement to the proxy statement filed with the SEC on April 7, 2020. Information about the directors and executive officers of Mylan may be found in its Annual Report on Form 10-K filed with the SEC on February 28, 2020, as amended on April 29, 2020, and its definitive proxy statement relating to its 2020 Annual General Meeting filed with the SEC on June 8, 2020. Additional information regarding the interests of these participants can also be found in the Form S-4, the Proxy Statement and the Prospectus. These documents can be obtained free of charge from the sources indicated above.</w:t>
      </w:r>
    </w:p>
    <w:p>
      <w:pPr>
        <w:sectPr>
          <w:pgSz w:w="11900" w:h="16838" w:orient="portrait"/>
          <w:cols w:equalWidth="0" w:num="1">
            <w:col w:w="11020"/>
          </w:cols>
          <w:pgMar w:left="440" w:top="301" w:right="439" w:bottom="1440" w:gutter="0" w:footer="0" w:header="0"/>
        </w:sectPr>
      </w:pPr>
    </w:p>
    <w:bookmarkStart w:id="7" w:name="page8"/>
    <w:bookmarkEnd w:id="7"/>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60" w:type="dxa"/>
            <w:vAlign w:val="bottom"/>
          </w:tcPr>
          <w:p>
            <w:pPr>
              <w:jc w:val="center"/>
              <w:ind w:right="519"/>
              <w:spacing w:after="0"/>
              <w:rPr>
                <w:sz w:val="20"/>
                <w:szCs w:val="20"/>
                <w:color w:val="auto"/>
              </w:rPr>
            </w:pPr>
            <w:r>
              <w:rPr>
                <w:rFonts w:ascii="Arial" w:cs="Arial" w:eastAsia="Arial" w:hAnsi="Arial"/>
                <w:sz w:val="14"/>
                <w:szCs w:val="14"/>
                <w:b w:val="1"/>
                <w:bCs w:val="1"/>
                <w:color w:val="auto"/>
                <w:w w:val="98"/>
              </w:rPr>
              <w:t>Exhibit</w:t>
            </w:r>
          </w:p>
        </w:tc>
        <w:tc>
          <w:tcPr>
            <w:tcW w:w="9740" w:type="dxa"/>
            <w:vAlign w:val="bottom"/>
            <w:gridSpan w:val="3"/>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60" w:type="dxa"/>
            <w:vAlign w:val="bottom"/>
          </w:tcPr>
          <w:p>
            <w:pPr>
              <w:jc w:val="center"/>
              <w:ind w:right="519"/>
              <w:spacing w:after="0"/>
              <w:rPr>
                <w:sz w:val="20"/>
                <w:szCs w:val="20"/>
                <w:color w:val="auto"/>
              </w:rPr>
            </w:pPr>
            <w:r>
              <w:rPr>
                <w:rFonts w:ascii="Arial" w:cs="Arial" w:eastAsia="Arial" w:hAnsi="Arial"/>
                <w:sz w:val="14"/>
                <w:szCs w:val="14"/>
                <w:b w:val="1"/>
                <w:bCs w:val="1"/>
                <w:color w:val="auto"/>
                <w:w w:val="97"/>
              </w:rPr>
              <w:t>No.</w:t>
            </w:r>
          </w:p>
        </w:tc>
        <w:tc>
          <w:tcPr>
            <w:tcW w:w="97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060" w:type="dxa"/>
            <w:vAlign w:val="bottom"/>
          </w:tcPr>
          <w:p>
            <w:pPr>
              <w:jc w:val="center"/>
              <w:ind w:right="559"/>
              <w:spacing w:after="0"/>
              <w:rPr>
                <w:sz w:val="20"/>
                <w:szCs w:val="20"/>
                <w:color w:val="auto"/>
              </w:rPr>
            </w:pPr>
            <w:r>
              <w:rPr>
                <w:rFonts w:ascii="Arial" w:cs="Arial" w:eastAsia="Arial" w:hAnsi="Arial"/>
                <w:sz w:val="18"/>
                <w:szCs w:val="18"/>
                <w:color w:val="auto"/>
                <w:w w:val="85"/>
              </w:rPr>
              <w:t>10.1</w:t>
            </w:r>
          </w:p>
        </w:tc>
        <w:tc>
          <w:tcPr>
            <w:tcW w:w="97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Revolving Credit Agreement, dated as of June 16, 2020, among Upjohn, the guarantors from time to time party thereto, the lenders and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1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issuing banks from time to time party thereto and Bank of America, N.A., as administrative agent.*</w:t>
              </w:r>
            </w:hyperlink>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tcPr>
          <w:p>
            <w:pPr>
              <w:jc w:val="center"/>
              <w:ind w:right="559"/>
              <w:spacing w:after="0"/>
              <w:rPr>
                <w:sz w:val="20"/>
                <w:szCs w:val="20"/>
                <w:color w:val="auto"/>
              </w:rPr>
            </w:pPr>
            <w:r>
              <w:rPr>
                <w:rFonts w:ascii="Arial" w:cs="Arial" w:eastAsia="Arial" w:hAnsi="Arial"/>
                <w:sz w:val="18"/>
                <w:szCs w:val="18"/>
                <w:color w:val="auto"/>
                <w:w w:val="85"/>
              </w:rPr>
              <w:t>10.2</w:t>
            </w:r>
          </w:p>
        </w:tc>
        <w:tc>
          <w:tcPr>
            <w:tcW w:w="97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80">
              <w:r>
                <w:rPr>
                  <w:rFonts w:ascii="Arial" w:cs="Arial" w:eastAsia="Arial" w:hAnsi="Arial"/>
                  <w:sz w:val="18"/>
                  <w:szCs w:val="18"/>
                  <w:color w:val="0000EE"/>
                  <w:w w:val="90"/>
                </w:rPr>
                <w:t>Delayed Draw Term Loan Credit Agreement, dated as of June 16, 2020, among Upjohn, the guarantors from time to time party thereto,</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62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80">
              <w:r>
                <w:rPr>
                  <w:rFonts w:ascii="Arial" w:cs="Arial" w:eastAsia="Arial" w:hAnsi="Arial"/>
                  <w:sz w:val="18"/>
                  <w:szCs w:val="18"/>
                  <w:color w:val="0000EE"/>
                  <w:w w:val="91"/>
                </w:rPr>
                <w:t>the lenders from time to time party thereto and MUFG Bank, Ltd., as administrative agent.*</w:t>
              </w:r>
            </w:hyperlink>
          </w:p>
        </w:tc>
        <w:tc>
          <w:tcPr>
            <w:tcW w:w="3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64" w:hanging="1010"/>
        <w:spacing w:after="0"/>
        <w:tabs>
          <w:tab w:leader="none" w:pos="1064" w:val="left"/>
        </w:tabs>
        <w:numPr>
          <w:ilvl w:val="1"/>
          <w:numId w:val="4"/>
        </w:numPr>
        <w:rPr>
          <w:rFonts w:ascii="Arial" w:cs="Arial" w:eastAsia="Arial" w:hAnsi="Arial"/>
          <w:sz w:val="18"/>
          <w:szCs w:val="18"/>
          <w:color w:val="auto"/>
        </w:rPr>
      </w:pPr>
      <w:r>
        <w:rPr>
          <w:rFonts w:ascii="Arial" w:cs="Arial" w:eastAsia="Arial" w:hAnsi="Arial"/>
          <w:sz w:val="18"/>
          <w:szCs w:val="18"/>
          <w:color w:val="auto"/>
        </w:rPr>
        <w:t>Cover Page Interactive Data File—The cover page XBRL tags are embedded within the Inline XBRL Document.</w:t>
      </w:r>
    </w:p>
    <w:p>
      <w:pPr>
        <w:spacing w:after="0" w:line="225" w:lineRule="exact"/>
        <w:rPr>
          <w:rFonts w:ascii="Arial" w:cs="Arial" w:eastAsia="Arial" w:hAnsi="Arial"/>
          <w:sz w:val="18"/>
          <w:szCs w:val="18"/>
          <w:color w:val="auto"/>
        </w:rPr>
      </w:pPr>
    </w:p>
    <w:p>
      <w:pPr>
        <w:ind w:left="224" w:hanging="216"/>
        <w:spacing w:after="0" w:line="277" w:lineRule="auto"/>
        <w:rPr>
          <w:rFonts w:ascii="Arial" w:cs="Arial" w:eastAsia="Arial" w:hAnsi="Arial"/>
          <w:sz w:val="18"/>
          <w:szCs w:val="18"/>
          <w:color w:val="auto"/>
        </w:rPr>
      </w:pPr>
      <w:r>
        <w:rPr>
          <w:rFonts w:ascii="Arial" w:cs="Arial" w:eastAsia="Arial" w:hAnsi="Arial"/>
          <w:sz w:val="18"/>
          <w:szCs w:val="18"/>
          <w:color w:val="auto"/>
        </w:rPr>
        <w:t>* Annexes, schedules and/or exhibits have been omitted pursuant to Item 601(b)(2) of Regulation S-K. Upjohn agrees to furnish supplementally a copy of any omitted attachment to the SEC on a confidential basis upon request.</w:t>
      </w:r>
    </w:p>
    <w:p>
      <w:pPr>
        <w:sectPr>
          <w:pgSz w:w="11900" w:h="16838" w:orient="portrait"/>
          <w:cols w:equalWidth="0" w:num="1">
            <w:col w:w="10984"/>
          </w:cols>
          <w:pgMar w:left="436" w:top="297" w:right="47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June 16, 2020</w:t>
      </w:r>
      <w:r>
        <w:rPr>
          <w:sz w:val="20"/>
          <w:szCs w:val="20"/>
          <w:color w:val="auto"/>
        </w:rPr>
        <w:tab/>
      </w:r>
      <w:r>
        <w:rPr>
          <w:rFonts w:ascii="Arial" w:cs="Arial" w:eastAsia="Arial" w:hAnsi="Arial"/>
          <w:sz w:val="17"/>
          <w:szCs w:val="17"/>
          <w:color w:val="auto"/>
        </w:rPr>
        <w:t>By:  /s/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0880"/>
          </w:cols>
          <w:pgMar w:left="440" w:top="297" w:right="5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Deal CUSIP Number: 91532PAA8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Facility CUSIP Number: 91532PAB6</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REVOLVING 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JUNE 16,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UPJOHN INC. (to be renamed VIATRIS),</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Guarantors from time to time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and the Lenders and the Issuing Banks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GOLDMAN SACHS BANK USA,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ING BANK N.V., DUBLIN BRANCH,</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MORGAN STANLEY MUFG LOAN PARTNERS,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Lead Arrangers and Bookrunners</w:t>
      </w:r>
    </w:p>
    <w:p>
      <w:pPr>
        <w:sectPr>
          <w:pgSz w:w="11900" w:h="16838" w:orient="portrait"/>
          <w:cols w:equalWidth="0" w:num="1">
            <w:col w:w="10020"/>
          </w:cols>
          <w:pgMar w:left="1440" w:top="121"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8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80" w:type="dxa"/>
            <w:vAlign w:val="bottom"/>
            <w:gridSpan w:val="4"/>
            <w:vMerge w:val="restart"/>
          </w:tcPr>
          <w:p>
            <w:pPr>
              <w:spacing w:after="0"/>
              <w:rPr>
                <w:sz w:val="20"/>
                <w:szCs w:val="20"/>
                <w:color w:val="auto"/>
              </w:rPr>
            </w:pPr>
            <w:r>
              <w:rPr>
                <w:rFonts w:ascii="Arial" w:cs="Arial" w:eastAsia="Arial" w:hAnsi="Arial"/>
                <w:sz w:val="18"/>
                <w:szCs w:val="18"/>
                <w:color w:val="auto"/>
              </w:rPr>
              <w:t>ARTICLE I Definitions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0680" w:type="dxa"/>
            <w:vAlign w:val="bottom"/>
            <w:gridSpan w:val="4"/>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60" w:type="dxa"/>
            <w:vAlign w:val="bottom"/>
          </w:tcPr>
          <w:p>
            <w:pPr>
              <w:spacing w:after="0"/>
              <w:rPr>
                <w:sz w:val="20"/>
                <w:szCs w:val="20"/>
                <w:color w:val="auto"/>
              </w:rPr>
            </w:pPr>
            <w:r>
              <w:rPr>
                <w:rFonts w:ascii="Arial" w:cs="Arial" w:eastAsia="Arial" w:hAnsi="Arial"/>
                <w:sz w:val="18"/>
                <w:szCs w:val="18"/>
                <w:color w:val="auto"/>
              </w:rPr>
              <w:t>SECTION 1.01</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1.02   Classification of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1.03</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Terms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1.04   Accounting Terms; GAAP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1.05   Payments on Business Days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1.06</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Divisions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1.07</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Rounding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1.08   Additional Alternative Currencies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1.09   Change of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1.10</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Times of Day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1.11   Letter of Credit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0680" w:type="dxa"/>
            <w:vAlign w:val="bottom"/>
            <w:gridSpan w:val="4"/>
          </w:tcPr>
          <w:p>
            <w:pPr>
              <w:spacing w:after="0"/>
              <w:rPr>
                <w:sz w:val="20"/>
                <w:szCs w:val="20"/>
                <w:color w:val="auto"/>
              </w:rPr>
            </w:pPr>
            <w:r>
              <w:rPr>
                <w:rFonts w:ascii="Arial" w:cs="Arial" w:eastAsia="Arial" w:hAnsi="Arial"/>
                <w:sz w:val="18"/>
                <w:szCs w:val="18"/>
                <w:color w:val="auto"/>
              </w:rPr>
              <w:t>SECTION 1.12   Exchange Rates; Currency Equivalents; LIBO Rate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83"/>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ARTICLE II The Credits</w:t>
            </w:r>
          </w:p>
        </w:tc>
        <w:tc>
          <w:tcPr>
            <w:tcW w:w="88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30"/>
        </w:trPr>
        <w:tc>
          <w:tcPr>
            <w:tcW w:w="1260" w:type="dxa"/>
            <w:vAlign w:val="bottom"/>
          </w:tcPr>
          <w:p>
            <w:pPr>
              <w:spacing w:after="0"/>
              <w:rPr>
                <w:sz w:val="20"/>
                <w:szCs w:val="20"/>
                <w:color w:val="auto"/>
              </w:rPr>
            </w:pPr>
            <w:r>
              <w:rPr>
                <w:rFonts w:ascii="Arial" w:cs="Arial" w:eastAsia="Arial" w:hAnsi="Arial"/>
                <w:sz w:val="18"/>
                <w:szCs w:val="18"/>
                <w:color w:val="auto"/>
              </w:rPr>
              <w:t>SECTION 2.01</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2.02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2.03   Requests for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2.04</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Swingline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2.05</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Letters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2.06   Funding of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2.07   Market Disruption; Successor LIBOR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2.08   Termination and Reduction of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2.09   Repayment of Loans; Evidence of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2.10   Prepayment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2.11</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2.12</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2.13   Alternate Rate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2.14</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Increased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2.15   Break Funding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2.16</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2.17   Payments Generally; Pro Rata Treatment; Sharing of Setoffs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2.18   Mitigation Obligations; Replacement of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2.19</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Expansion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2.20</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Judgment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Arial" w:cs="Arial" w:eastAsia="Arial" w:hAnsi="Arial"/>
                <w:sz w:val="18"/>
                <w:szCs w:val="18"/>
                <w:color w:val="auto"/>
              </w:rPr>
              <w:t>SECTION 2.21   Extended Revolving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2.22</w:t>
            </w:r>
          </w:p>
        </w:tc>
        <w:tc>
          <w:tcPr>
            <w:tcW w:w="9420" w:type="dxa"/>
            <w:vAlign w:val="bottom"/>
            <w:gridSpan w:val="3"/>
          </w:tcPr>
          <w:p>
            <w:pPr>
              <w:ind w:left="140"/>
              <w:spacing w:after="0"/>
              <w:rPr>
                <w:sz w:val="20"/>
                <w:szCs w:val="20"/>
                <w:color w:val="auto"/>
              </w:rPr>
            </w:pPr>
            <w:r>
              <w:rPr>
                <w:rFonts w:ascii="Arial" w:cs="Arial" w:eastAsia="Arial" w:hAnsi="Arial"/>
                <w:sz w:val="18"/>
                <w:szCs w:val="18"/>
                <w:color w:val="auto"/>
              </w:rPr>
              <w:t>Defaulting Lender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0040" w:type="dxa"/>
            <w:vAlign w:val="bottom"/>
            <w:gridSpan w:val="6"/>
          </w:tcPr>
          <w:p>
            <w:pPr>
              <w:spacing w:after="0"/>
              <w:rPr>
                <w:sz w:val="20"/>
                <w:szCs w:val="20"/>
                <w:color w:val="auto"/>
              </w:rPr>
            </w:pPr>
            <w:r>
              <w:rPr>
                <w:rFonts w:ascii="Arial" w:cs="Arial" w:eastAsia="Arial" w:hAnsi="Arial"/>
                <w:sz w:val="18"/>
                <w:szCs w:val="18"/>
                <w:color w:val="auto"/>
              </w:rPr>
              <w:t>ARTICLE III Representations and Warranties</w:t>
            </w: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182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30"/>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3.01   Organization; Powers; Subsidiaries</w:t>
            </w: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3.02</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Authorization; Enforceability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3.03   Governmental Approvals; No Conflicts</w:t>
            </w: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3.04   Financial Statements; Financial Condition; No Material Adverse Change</w:t>
            </w: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3.05</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Properties</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3.06   Litigation and Environmental Matters</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3.07   Compliance with Laws and Agreements</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3.08   Investment Company Status</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3.09</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Taxes</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3.10</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Solvency</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3.11</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[Reserved]</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3.12</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Disclosure</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3.13   Federal Reserve Regulations</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3.14</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PATRIOT Act</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3.15</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OFAC</w:t>
            </w: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3.16   Beneficial Ownership Certification</w:t>
            </w: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0040" w:type="dxa"/>
            <w:vAlign w:val="bottom"/>
            <w:gridSpan w:val="6"/>
          </w:tcPr>
          <w:p>
            <w:pPr>
              <w:spacing w:after="0"/>
              <w:rPr>
                <w:sz w:val="20"/>
                <w:szCs w:val="20"/>
                <w:color w:val="auto"/>
              </w:rPr>
            </w:pPr>
            <w:r>
              <w:rPr>
                <w:rFonts w:ascii="Arial" w:cs="Arial" w:eastAsia="Arial" w:hAnsi="Arial"/>
                <w:sz w:val="18"/>
                <w:szCs w:val="18"/>
                <w:color w:val="auto"/>
              </w:rPr>
              <w:t>SECTION 3.17   Representations as to Foreign Obligors</w:t>
            </w: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83"/>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ARTICLE IV Conditions</w:t>
            </w:r>
          </w:p>
        </w:tc>
        <w:tc>
          <w:tcPr>
            <w:tcW w:w="822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30"/>
        </w:trPr>
        <w:tc>
          <w:tcPr>
            <w:tcW w:w="10040" w:type="dxa"/>
            <w:vAlign w:val="bottom"/>
            <w:gridSpan w:val="6"/>
          </w:tcPr>
          <w:p>
            <w:pPr>
              <w:spacing w:after="0"/>
              <w:rPr>
                <w:sz w:val="20"/>
                <w:szCs w:val="20"/>
                <w:color w:val="auto"/>
              </w:rPr>
            </w:pPr>
            <w:r>
              <w:rPr>
                <w:rFonts w:ascii="Arial" w:cs="Arial" w:eastAsia="Arial" w:hAnsi="Arial"/>
                <w:sz w:val="18"/>
                <w:szCs w:val="18"/>
                <w:color w:val="auto"/>
              </w:rPr>
              <w:t>SECTION 4.01   Conditions Precedent to Effectiveness</w:t>
            </w: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4.02   Conditions Precedent to Closing Date</w:t>
            </w: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4.03   Conditions Precedent to All Extensions of Credit on the Closing Date (Excluding The Certain Funds Draw)</w:t>
            </w: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0040" w:type="dxa"/>
            <w:vAlign w:val="bottom"/>
            <w:gridSpan w:val="6"/>
          </w:tcPr>
          <w:p>
            <w:pPr>
              <w:spacing w:after="0"/>
              <w:rPr>
                <w:sz w:val="20"/>
                <w:szCs w:val="20"/>
                <w:color w:val="auto"/>
              </w:rPr>
            </w:pPr>
            <w:r>
              <w:rPr>
                <w:rFonts w:ascii="Arial" w:cs="Arial" w:eastAsia="Arial" w:hAnsi="Arial"/>
                <w:sz w:val="18"/>
                <w:szCs w:val="18"/>
                <w:color w:val="auto"/>
              </w:rPr>
              <w:t>SECTION 4.04   Conditions Precedent to All Extensions of Credit After The Combination (Excluding The Certain Funds Draw)</w:t>
            </w: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83"/>
        </w:trPr>
        <w:tc>
          <w:tcPr>
            <w:tcW w:w="26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4"/>
              </w:rPr>
              <w:t>ARTICLE V Affirmative Covenants</w:t>
            </w:r>
          </w:p>
        </w:tc>
        <w:tc>
          <w:tcPr>
            <w:tcW w:w="742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30"/>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5.01   Financial Statements and Other Information</w:t>
            </w: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5.02   Notices of Material Events</w:t>
            </w: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5.03   Existence; Conduct of Business</w:t>
            </w: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5.04   Payment of Obligations</w:t>
            </w: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5.05   Maintenance of Properties; Insurance</w:t>
            </w: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5.06</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Inspection Rights</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5.07   Compliance with Laws</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5.08   Use of Proceeds and Letters of Credit</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5.09</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Guarantees</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83"/>
        </w:trPr>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ARTICLE VI Negative Covenants</w:t>
            </w:r>
          </w:p>
        </w:tc>
        <w:tc>
          <w:tcPr>
            <w:tcW w:w="756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30"/>
        </w:trPr>
        <w:tc>
          <w:tcPr>
            <w:tcW w:w="1260" w:type="dxa"/>
            <w:vAlign w:val="bottom"/>
          </w:tcPr>
          <w:p>
            <w:pPr>
              <w:spacing w:after="0"/>
              <w:rPr>
                <w:sz w:val="20"/>
                <w:szCs w:val="20"/>
                <w:color w:val="auto"/>
              </w:rPr>
            </w:pPr>
            <w:r>
              <w:rPr>
                <w:rFonts w:ascii="Arial" w:cs="Arial" w:eastAsia="Arial" w:hAnsi="Arial"/>
                <w:sz w:val="18"/>
                <w:szCs w:val="18"/>
                <w:color w:val="auto"/>
              </w:rPr>
              <w:t>SECTION 6.01</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Indebtedness</w:t>
            </w: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6.02</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Liens</w:t>
            </w: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6.03</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Fundamental Changes</w:t>
            </w: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6.04</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Restricted Payments</w:t>
            </w: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6.05</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Investments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rPr>
              <w:t>SECTION 6.06   Transactions with Affiliates</w:t>
            </w: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6.07</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Financial Covenant</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6.08</w:t>
            </w:r>
          </w:p>
        </w:tc>
        <w:tc>
          <w:tcPr>
            <w:tcW w:w="8780" w:type="dxa"/>
            <w:vAlign w:val="bottom"/>
            <w:gridSpan w:val="5"/>
          </w:tcPr>
          <w:p>
            <w:pPr>
              <w:ind w:left="140"/>
              <w:spacing w:after="0"/>
              <w:rPr>
                <w:sz w:val="20"/>
                <w:szCs w:val="20"/>
                <w:color w:val="auto"/>
              </w:rPr>
            </w:pPr>
            <w:r>
              <w:rPr>
                <w:rFonts w:ascii="Arial" w:cs="Arial" w:eastAsia="Arial" w:hAnsi="Arial"/>
                <w:sz w:val="18"/>
                <w:szCs w:val="18"/>
                <w:color w:val="auto"/>
              </w:rPr>
              <w:t>Lines of Business</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65"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ARTICLE VII Events of Default</w:t>
            </w:r>
          </w:p>
        </w:tc>
        <w:tc>
          <w:tcPr>
            <w:tcW w:w="6420" w:type="dxa"/>
            <w:vAlign w:val="bottom"/>
            <w:gridSpan w:val="3"/>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30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6"/>
              </w:rPr>
              <w:t>ARTICLE VIII The Administrative Agent</w:t>
            </w:r>
          </w:p>
        </w:tc>
        <w:tc>
          <w:tcPr>
            <w:tcW w:w="57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04"/>
        </w:trPr>
        <w:tc>
          <w:tcPr>
            <w:tcW w:w="8780" w:type="dxa"/>
            <w:vAlign w:val="bottom"/>
            <w:gridSpan w:val="7"/>
          </w:tcPr>
          <w:p>
            <w:pPr>
              <w:spacing w:after="0"/>
              <w:rPr>
                <w:sz w:val="20"/>
                <w:szCs w:val="20"/>
                <w:color w:val="auto"/>
              </w:rPr>
            </w:pPr>
            <w:r>
              <w:rPr>
                <w:rFonts w:ascii="Arial" w:cs="Arial" w:eastAsia="Arial" w:hAnsi="Arial"/>
                <w:sz w:val="18"/>
                <w:szCs w:val="18"/>
                <w:color w:val="auto"/>
              </w:rPr>
              <w:t>ARTICLE IX Miscellaneous</w:t>
            </w:r>
          </w:p>
        </w:tc>
        <w:tc>
          <w:tcPr>
            <w:tcW w:w="21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30"/>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SECTION 9.01</w:t>
            </w: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Notices</w:t>
            </w:r>
          </w:p>
        </w:tc>
        <w:tc>
          <w:tcPr>
            <w:tcW w:w="6720" w:type="dxa"/>
            <w:vAlign w:val="bottom"/>
            <w:gridSpan w:val="4"/>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9.02</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Waivers; Amendments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9.03</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Expenses; Indemnity; Damage Waiver</w:t>
            </w:r>
          </w:p>
        </w:tc>
        <w:tc>
          <w:tcPr>
            <w:tcW w:w="21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9.04</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Successors and Assigns</w:t>
            </w:r>
          </w:p>
        </w:tc>
        <w:tc>
          <w:tcPr>
            <w:tcW w:w="21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9.05</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Survival</w:t>
            </w:r>
          </w:p>
        </w:tc>
        <w:tc>
          <w:tcPr>
            <w:tcW w:w="21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9.06</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Counterparts; Integration; Effectiveness</w:t>
            </w:r>
          </w:p>
        </w:tc>
        <w:tc>
          <w:tcPr>
            <w:tcW w:w="2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9.07</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Severability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9.08</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Right of Setoff</w:t>
            </w:r>
          </w:p>
        </w:tc>
        <w:tc>
          <w:tcPr>
            <w:tcW w:w="2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9.09</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Governing Law; Jurisdiction; Consent to Service of Process</w:t>
            </w:r>
          </w:p>
        </w:tc>
        <w:tc>
          <w:tcPr>
            <w:tcW w:w="21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9.10</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WAIVER OF JURY TRIAL</w:t>
            </w:r>
          </w:p>
        </w:tc>
        <w:tc>
          <w:tcPr>
            <w:tcW w:w="21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9.11</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Headings</w:t>
            </w:r>
          </w:p>
        </w:tc>
        <w:tc>
          <w:tcPr>
            <w:tcW w:w="21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9.12</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Confidentiality</w:t>
            </w:r>
          </w:p>
        </w:tc>
        <w:tc>
          <w:tcPr>
            <w:tcW w:w="21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9.13</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USA PATRIOT Act</w:t>
            </w:r>
          </w:p>
        </w:tc>
        <w:tc>
          <w:tcPr>
            <w:tcW w:w="21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9.14</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Interest Rate Limitation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9.15</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No Fiduciary Duty</w:t>
            </w:r>
          </w:p>
        </w:tc>
        <w:tc>
          <w:tcPr>
            <w:tcW w:w="21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9.16</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Electronic Execution of this Agreement and Other Documents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9.17</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Joint and Several</w:t>
            </w:r>
          </w:p>
        </w:tc>
        <w:tc>
          <w:tcPr>
            <w:tcW w:w="21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9.18</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Enforcement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9.19</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Netherlands Loan Party Representation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9.20</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9.21</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Acknowledgement Regarding Any Supported QFCs</w:t>
            </w:r>
          </w:p>
        </w:tc>
        <w:tc>
          <w:tcPr>
            <w:tcW w:w="21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83"/>
        </w:trPr>
        <w:tc>
          <w:tcPr>
            <w:tcW w:w="8780" w:type="dxa"/>
            <w:vAlign w:val="bottom"/>
            <w:gridSpan w:val="7"/>
          </w:tcPr>
          <w:p>
            <w:pPr>
              <w:spacing w:after="0"/>
              <w:rPr>
                <w:sz w:val="20"/>
                <w:szCs w:val="20"/>
                <w:color w:val="auto"/>
              </w:rPr>
            </w:pPr>
            <w:r>
              <w:rPr>
                <w:rFonts w:ascii="Arial" w:cs="Arial" w:eastAsia="Arial" w:hAnsi="Arial"/>
                <w:sz w:val="18"/>
                <w:szCs w:val="18"/>
                <w:color w:val="auto"/>
              </w:rPr>
              <w:t>ARTICLE X Guarantee</w:t>
            </w:r>
          </w:p>
        </w:tc>
        <w:tc>
          <w:tcPr>
            <w:tcW w:w="2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1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30"/>
        </w:trPr>
        <w:tc>
          <w:tcPr>
            <w:tcW w:w="1300" w:type="dxa"/>
            <w:vAlign w:val="bottom"/>
          </w:tcPr>
          <w:p>
            <w:pPr>
              <w:spacing w:after="0"/>
              <w:rPr>
                <w:sz w:val="20"/>
                <w:szCs w:val="20"/>
                <w:color w:val="auto"/>
              </w:rPr>
            </w:pPr>
            <w:r>
              <w:rPr>
                <w:rFonts w:ascii="Arial" w:cs="Arial" w:eastAsia="Arial" w:hAnsi="Arial"/>
                <w:sz w:val="18"/>
                <w:szCs w:val="18"/>
                <w:color w:val="auto"/>
                <w:w w:val="98"/>
              </w:rPr>
              <w:t>SECTION 10.01</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Guarantee</w:t>
            </w:r>
          </w:p>
        </w:tc>
        <w:tc>
          <w:tcPr>
            <w:tcW w:w="2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10.02</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Right of Contribution</w:t>
            </w:r>
          </w:p>
        </w:tc>
        <w:tc>
          <w:tcPr>
            <w:tcW w:w="21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10.03</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No Subrogation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10.04</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Amendments, etc., with Respect to the Obligations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10.05</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Guarantee Absolute and Unconditional</w:t>
            </w:r>
          </w:p>
        </w:tc>
        <w:tc>
          <w:tcPr>
            <w:tcW w:w="2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10.06</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Reinstatement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10.07</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Obligations Independent</w:t>
            </w:r>
          </w:p>
        </w:tc>
        <w:tc>
          <w:tcPr>
            <w:tcW w:w="21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10.08</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Payments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10.09</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Subordination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10.10</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Stay of Acceleration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10.11</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Condition of Borrower</w:t>
            </w:r>
          </w:p>
        </w:tc>
        <w:tc>
          <w:tcPr>
            <w:tcW w:w="21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w w:val="98"/>
              </w:rPr>
              <w:t>SECTION 10.12</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Releases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27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ARTICLE XI Certain ERISA Matters</w:t>
            </w:r>
          </w:p>
        </w:tc>
        <w:tc>
          <w:tcPr>
            <w:tcW w:w="606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345"/>
        </w:trPr>
        <w:tc>
          <w:tcPr>
            <w:tcW w:w="1300" w:type="dxa"/>
            <w:vAlign w:val="bottom"/>
          </w:tcPr>
          <w:p>
            <w:pPr>
              <w:spacing w:after="0"/>
              <w:rPr>
                <w:sz w:val="20"/>
                <w:szCs w:val="20"/>
                <w:color w:val="auto"/>
              </w:rPr>
            </w:pPr>
            <w:r>
              <w:rPr>
                <w:rFonts w:ascii="Arial" w:cs="Arial" w:eastAsia="Arial" w:hAnsi="Arial"/>
                <w:sz w:val="18"/>
                <w:szCs w:val="18"/>
                <w:color w:val="auto"/>
                <w:w w:val="98"/>
              </w:rPr>
              <w:t>SECTION 11.01</w:t>
            </w:r>
          </w:p>
        </w:tc>
        <w:tc>
          <w:tcPr>
            <w:tcW w:w="7480" w:type="dxa"/>
            <w:vAlign w:val="bottom"/>
            <w:gridSpan w:val="6"/>
          </w:tcPr>
          <w:p>
            <w:pPr>
              <w:ind w:left="100"/>
              <w:spacing w:after="0"/>
              <w:rPr>
                <w:sz w:val="20"/>
                <w:szCs w:val="20"/>
                <w:color w:val="auto"/>
              </w:rPr>
            </w:pPr>
            <w:r>
              <w:rPr>
                <w:rFonts w:ascii="Arial" w:cs="Arial" w:eastAsia="Arial" w:hAnsi="Arial"/>
                <w:sz w:val="18"/>
                <w:szCs w:val="18"/>
                <w:color w:val="auto"/>
              </w:rPr>
              <w:t>Certain ERISA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365"/>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tcPr>
          <w:p>
            <w:pPr>
              <w:ind w:left="2320"/>
              <w:spacing w:after="0"/>
              <w:rPr>
                <w:sz w:val="20"/>
                <w:szCs w:val="20"/>
                <w:color w:val="auto"/>
              </w:rPr>
            </w:pPr>
            <w:r>
              <w:rPr>
                <w:rFonts w:ascii="Arial" w:cs="Arial" w:eastAsia="Arial" w:hAnsi="Arial"/>
                <w:sz w:val="18"/>
                <w:szCs w:val="18"/>
                <w:color w:val="auto"/>
              </w:rPr>
              <w:t>-iii-</w:t>
            </w:r>
          </w:p>
        </w:tc>
        <w:tc>
          <w:tcPr>
            <w:tcW w:w="2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6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SCHEDULES:</w:t>
            </w:r>
          </w:p>
        </w:tc>
        <w:tc>
          <w:tcPr>
            <w:tcW w:w="380" w:type="dxa"/>
            <w:vAlign w:val="bottom"/>
          </w:tcPr>
          <w:p>
            <w:pPr>
              <w:spacing w:after="0"/>
              <w:rPr>
                <w:sz w:val="20"/>
                <w:szCs w:val="20"/>
                <w:color w:val="auto"/>
              </w:rPr>
            </w:pPr>
          </w:p>
        </w:tc>
        <w:tc>
          <w:tcPr>
            <w:tcW w:w="9260" w:type="dxa"/>
            <w:vAlign w:val="bottom"/>
          </w:tcPr>
          <w:p>
            <w:pPr>
              <w:spacing w:after="0"/>
              <w:rPr>
                <w:sz w:val="20"/>
                <w:szCs w:val="20"/>
                <w:color w:val="auto"/>
              </w:rPr>
            </w:pPr>
          </w:p>
        </w:tc>
      </w:tr>
      <w:tr>
        <w:trPr>
          <w:trHeight w:val="323"/>
        </w:trPr>
        <w:tc>
          <w:tcPr>
            <w:tcW w:w="1340" w:type="dxa"/>
            <w:vAlign w:val="bottom"/>
          </w:tcPr>
          <w:p>
            <w:pPr>
              <w:spacing w:after="0"/>
              <w:rPr>
                <w:sz w:val="20"/>
                <w:szCs w:val="20"/>
                <w:color w:val="auto"/>
              </w:rPr>
            </w:pPr>
            <w:r>
              <w:rPr>
                <w:rFonts w:ascii="Arial" w:cs="Arial" w:eastAsia="Arial" w:hAnsi="Arial"/>
                <w:sz w:val="18"/>
                <w:szCs w:val="18"/>
                <w:color w:val="auto"/>
              </w:rPr>
              <w:t>Schedule 2.01</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Commitments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2.03</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Specified Litigation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2.05</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3.01</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Material Subsidiary Stocks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6"/>
              </w:rPr>
              <w:t>Schedule 3.04(b)</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Material Adverse Changes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3.06</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Disclosed Matters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3.07</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Compliance with Laws and Agreements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6.01</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Existing Indebtedness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6.02</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Existing Liens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6.04</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Restricted Payments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6"/>
              </w:rPr>
              <w:t>Schedule 6.05(e)</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Investments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6.06</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Affiliate Transactions</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Schedule 9.01</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Notices</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EXHIBITS:</w:t>
            </w:r>
          </w:p>
        </w:tc>
        <w:tc>
          <w:tcPr>
            <w:tcW w:w="38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A</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B</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Revolving Note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C</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Borrowing Request</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D</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Swingline Loan Notice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E</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F</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Guarantor Joinder Agreement</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G-1</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w w:val="95"/>
              </w:rPr>
              <w:t>Form of U.S. Tax Compliance Certificate (For Foreign Lenders That Are Not Partnerships For U.S. Federal Income Tax</w:t>
            </w:r>
          </w:p>
        </w:tc>
      </w:tr>
      <w:tr>
        <w:trPr>
          <w:trHeight w:val="216"/>
        </w:trPr>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Purposes)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G-2</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w w:val="92"/>
              </w:rPr>
              <w:t>Form of U.S. Tax Compliance Certificate (For Foreign Participants That Are Not Partnerships For U.S. Federal Income Tax</w:t>
            </w:r>
          </w:p>
        </w:tc>
      </w:tr>
      <w:tr>
        <w:trPr>
          <w:trHeight w:val="216"/>
        </w:trPr>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Purposes)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G-3</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w w:val="96"/>
              </w:rPr>
              <w:t>Form of U.S. Tax Compliance Certificate (For Foreign Participants That Are Partnerships For U.S. Federal Income Tax</w:t>
            </w:r>
          </w:p>
        </w:tc>
      </w:tr>
      <w:tr>
        <w:trPr>
          <w:trHeight w:val="216"/>
        </w:trPr>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Purposes)</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G-4</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w w:val="90"/>
              </w:rPr>
              <w:t>Form of U.S. Tax Compliance Certificate (For Foreign Lenders That Are Partnerships For U.S. Federal Income Tax Purposes)</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Exhibit H</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rPr>
              <w:t>Form of Solvency Certificate</w:t>
            </w:r>
          </w:p>
        </w:tc>
      </w:tr>
      <w:tr>
        <w:trPr>
          <w:trHeight w:val="365"/>
        </w:trPr>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60" w:type="dxa"/>
            <w:vAlign w:val="bottom"/>
          </w:tcPr>
          <w:p>
            <w:pPr>
              <w:ind w:left="3660"/>
              <w:spacing w:after="0"/>
              <w:rPr>
                <w:sz w:val="20"/>
                <w:szCs w:val="20"/>
                <w:color w:val="auto"/>
              </w:rPr>
            </w:pPr>
            <w:r>
              <w:rPr>
                <w:rFonts w:ascii="Arial" w:cs="Arial" w:eastAsia="Arial" w:hAnsi="Arial"/>
                <w:sz w:val="18"/>
                <w:szCs w:val="18"/>
                <w:color w:val="auto"/>
              </w:rPr>
              <w:t>-iv-</w:t>
            </w:r>
          </w:p>
        </w:tc>
      </w:tr>
    </w:tbl>
    <w:p>
      <w:pPr>
        <w:ind w:left="366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REVOLVING CREDIT AGREEMENT</w:t>
      </w:r>
    </w:p>
    <w:p>
      <w:pPr>
        <w:spacing w:after="0" w:line="229"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This REVOLVING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June 16, 2020 among UPJOHN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certain Affiliates and Subsidiaries of the Borrower from time to time party hereto as Guarantors, each Lender and Issuing Bank from time to time party hereto, and BANK OF AMERICA, N.A., as Administrative Agent.</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WHEREAS, pursuant to (i) the Separation and Distribution Agreement dated as of July 29, 2019 (as amended from time to time and including the exhibits, schedules and all related documents, collectively, the “</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by and among Pfizer Inc. (“</w:t>
      </w:r>
      <w:r>
        <w:rPr>
          <w:rFonts w:ascii="Arial" w:cs="Arial" w:eastAsia="Arial" w:hAnsi="Arial"/>
          <w:sz w:val="18"/>
          <w:szCs w:val="18"/>
          <w:u w:val="single" w:color="auto"/>
          <w:color w:val="auto"/>
        </w:rPr>
        <w:t>Pfizer</w:t>
      </w:r>
      <w:r>
        <w:rPr>
          <w:rFonts w:ascii="Arial" w:cs="Arial" w:eastAsia="Arial" w:hAnsi="Arial"/>
          <w:sz w:val="18"/>
          <w:szCs w:val="18"/>
          <w:color w:val="auto"/>
        </w:rPr>
        <w:t>”) and the Borrower and (ii) the Business Combination Agreement, dated as of July 29, 2019 (as amended from time to time and including the exhibits, schedules and all related documents, collectively,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by and among Pfizer, the Borrower, Mylan N.V. (“</w:t>
      </w:r>
      <w:r>
        <w:rPr>
          <w:rFonts w:ascii="Arial" w:cs="Arial" w:eastAsia="Arial" w:hAnsi="Arial"/>
          <w:sz w:val="18"/>
          <w:szCs w:val="18"/>
          <w:u w:val="single" w:color="auto"/>
          <w:color w:val="auto"/>
        </w:rPr>
        <w:t>Mylan</w:t>
      </w:r>
      <w:r>
        <w:rPr>
          <w:rFonts w:ascii="Arial" w:cs="Arial" w:eastAsia="Arial" w:hAnsi="Arial"/>
          <w:sz w:val="18"/>
          <w:szCs w:val="18"/>
          <w:color w:val="auto"/>
        </w:rPr>
        <w:t>”) and the other parties thereto, the following transactions will be consummated:</w:t>
      </w:r>
    </w:p>
    <w:p>
      <w:pPr>
        <w:spacing w:after="0" w:line="188" w:lineRule="exact"/>
        <w:rPr>
          <w:sz w:val="20"/>
          <w:szCs w:val="20"/>
          <w:color w:val="auto"/>
        </w:rPr>
      </w:pPr>
    </w:p>
    <w:p>
      <w:pPr>
        <w:ind w:right="260" w:firstLine="987"/>
        <w:spacing w:after="0" w:line="263" w:lineRule="auto"/>
        <w:tabs>
          <w:tab w:leader="none" w:pos="1371" w:val="left"/>
        </w:tabs>
        <w:numPr>
          <w:ilvl w:val="0"/>
          <w:numId w:val="5"/>
        </w:numPr>
        <w:rPr>
          <w:rFonts w:ascii="Arial" w:cs="Arial" w:eastAsia="Arial" w:hAnsi="Arial"/>
          <w:sz w:val="18"/>
          <w:szCs w:val="18"/>
          <w:color w:val="auto"/>
        </w:rPr>
      </w:pPr>
      <w:r>
        <w:rPr>
          <w:rFonts w:ascii="Arial" w:cs="Arial" w:eastAsia="Arial" w:hAnsi="Arial"/>
          <w:sz w:val="18"/>
          <w:szCs w:val="18"/>
          <w:color w:val="auto"/>
        </w:rPr>
        <w:t>Pfizer (and together with Pfizer’s subsidiaries, the “</w:t>
      </w:r>
      <w:r>
        <w:rPr>
          <w:rFonts w:ascii="Arial" w:cs="Arial" w:eastAsia="Arial" w:hAnsi="Arial"/>
          <w:sz w:val="18"/>
          <w:szCs w:val="18"/>
          <w:u w:val="single" w:color="auto"/>
          <w:color w:val="auto"/>
        </w:rPr>
        <w:t>Pfizer Business</w:t>
      </w:r>
      <w:r>
        <w:rPr>
          <w:rFonts w:ascii="Arial" w:cs="Arial" w:eastAsia="Arial" w:hAnsi="Arial"/>
          <w:sz w:val="18"/>
          <w:szCs w:val="18"/>
          <w:color w:val="auto"/>
        </w:rPr>
        <w:t>”) will separate certain businesses, operations and activities, including Pfizer’s global, primarily off-patent branded and generic established medicines business (the “</w:t>
      </w:r>
      <w:r>
        <w:rPr>
          <w:rFonts w:ascii="Arial" w:cs="Arial" w:eastAsia="Arial" w:hAnsi="Arial"/>
          <w:sz w:val="18"/>
          <w:szCs w:val="18"/>
          <w:u w:val="single" w:color="auto"/>
          <w:color w:val="auto"/>
        </w:rPr>
        <w:t>Upjohn Business</w:t>
      </w:r>
      <w:r>
        <w:rPr>
          <w:rFonts w:ascii="Arial" w:cs="Arial" w:eastAsia="Arial" w:hAnsi="Arial"/>
          <w:sz w:val="18"/>
          <w:szCs w:val="18"/>
          <w:color w:val="auto"/>
        </w:rPr>
        <w:t>”) from the Pfizer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60" w:firstLine="987"/>
        <w:spacing w:after="0" w:line="277" w:lineRule="auto"/>
        <w:tabs>
          <w:tab w:leader="none" w:pos="1381"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Separation, the Upjohn Business will be combined with Mylan (and together with Mylan’s subsidiaries, the “</w:t>
      </w:r>
      <w:r>
        <w:rPr>
          <w:rFonts w:ascii="Arial" w:cs="Arial" w:eastAsia="Arial" w:hAnsi="Arial"/>
          <w:sz w:val="18"/>
          <w:szCs w:val="18"/>
          <w:u w:val="single" w:color="auto"/>
          <w:color w:val="auto"/>
        </w:rPr>
        <w:t>Mylan</w:t>
      </w:r>
      <w:r>
        <w:rPr>
          <w:rFonts w:ascii="Arial" w:cs="Arial" w:eastAsia="Arial" w:hAnsi="Arial"/>
          <w:sz w:val="18"/>
          <w:szCs w:val="18"/>
          <w:color w:val="auto"/>
        </w:rPr>
        <w:t xml:space="preserve"> </w:t>
      </w:r>
      <w:r>
        <w:rPr>
          <w:rFonts w:ascii="Arial" w:cs="Arial" w:eastAsia="Arial" w:hAnsi="Arial"/>
          <w:sz w:val="18"/>
          <w:szCs w:val="18"/>
          <w:u w:val="single" w:color="auto"/>
          <w:color w:val="auto"/>
        </w:rPr>
        <w:t>Business</w:t>
      </w:r>
      <w:r>
        <w:rPr>
          <w:rFonts w:ascii="Arial" w:cs="Arial" w:eastAsia="Arial" w:hAnsi="Arial"/>
          <w:sz w:val="18"/>
          <w:szCs w:val="18"/>
          <w:color w:val="auto"/>
        </w:rPr>
        <w:t>”, and the Mylan Business, together with the Upjohn Business, the “</w:t>
      </w:r>
      <w:r>
        <w:rPr>
          <w:rFonts w:ascii="Arial" w:cs="Arial" w:eastAsia="Arial" w:hAnsi="Arial"/>
          <w:sz w:val="18"/>
          <w:szCs w:val="18"/>
          <w:u w:val="single" w:color="auto"/>
          <w:color w:val="auto"/>
        </w:rPr>
        <w:t>Combined Businesses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20" w:firstLine="987"/>
        <w:spacing w:after="0" w:line="277" w:lineRule="auto"/>
        <w:tabs>
          <w:tab w:leader="none" w:pos="1371" w:val="left"/>
        </w:tabs>
        <w:numPr>
          <w:ilvl w:val="0"/>
          <w:numId w:val="5"/>
        </w:numPr>
        <w:rPr>
          <w:rFonts w:ascii="Arial" w:cs="Arial" w:eastAsia="Arial" w:hAnsi="Arial"/>
          <w:sz w:val="18"/>
          <w:szCs w:val="18"/>
          <w:color w:val="auto"/>
        </w:rPr>
      </w:pPr>
      <w:r>
        <w:rPr>
          <w:rFonts w:ascii="Arial" w:cs="Arial" w:eastAsia="Arial" w:hAnsi="Arial"/>
          <w:sz w:val="18"/>
          <w:szCs w:val="18"/>
          <w:color w:val="auto"/>
        </w:rPr>
        <w:t>Pfizer, in order to effect the Separation, will contribute the Upjohn Business to the Borrower, which is and will be a wholly owned subsidiary of Pfizer prior to the Distribution (as defined below) (the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20" w:firstLine="987"/>
        <w:spacing w:after="0" w:line="277" w:lineRule="auto"/>
        <w:tabs>
          <w:tab w:leader="none" w:pos="1381"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the Separation and in partial consideration of the Contribution, the Borrower will make a cash payment to Pfizer in an aggregate amount of $12,000,000,000 (the “</w:t>
      </w:r>
      <w:r>
        <w:rPr>
          <w:rFonts w:ascii="Arial" w:cs="Arial" w:eastAsia="Arial" w:hAnsi="Arial"/>
          <w:sz w:val="18"/>
          <w:szCs w:val="18"/>
          <w:u w:val="single" w:color="auto"/>
          <w:color w:val="auto"/>
        </w:rPr>
        <w:t>Borrower Cash Distribution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40" w:firstLine="987"/>
        <w:spacing w:after="0" w:line="263" w:lineRule="auto"/>
        <w:tabs>
          <w:tab w:leader="none" w:pos="1371"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substantially concurrently with or within one Business Day following the Borrower Cash Distribution, Pfizer will distribute to the holders of Pfizer common stock all of the issued and outstanding shares of the common stock of the Borrower by way of either, at Pfizer’s option, a spin-off or a split-off (the “</w:t>
      </w:r>
      <w:r>
        <w:rPr>
          <w:rFonts w:ascii="Arial" w:cs="Arial" w:eastAsia="Arial" w:hAnsi="Arial"/>
          <w:sz w:val="18"/>
          <w:szCs w:val="18"/>
          <w:u w:val="single" w:color="auto"/>
          <w:color w:val="auto"/>
        </w:rPr>
        <w:t>Distribution</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right="200" w:firstLine="987"/>
        <w:spacing w:after="0" w:line="286" w:lineRule="auto"/>
        <w:tabs>
          <w:tab w:leader="none" w:pos="1351" w:val="left"/>
        </w:tabs>
        <w:numPr>
          <w:ilvl w:val="0"/>
          <w:numId w:val="5"/>
        </w:numPr>
        <w:rPr>
          <w:rFonts w:ascii="Arial" w:cs="Arial" w:eastAsia="Arial" w:hAnsi="Arial"/>
          <w:sz w:val="17"/>
          <w:szCs w:val="17"/>
          <w:color w:val="auto"/>
        </w:rPr>
      </w:pPr>
      <w:r>
        <w:rPr>
          <w:rFonts w:ascii="Arial" w:cs="Arial" w:eastAsia="Arial" w:hAnsi="Arial"/>
          <w:sz w:val="17"/>
          <w:szCs w:val="17"/>
          <w:color w:val="auto"/>
        </w:rPr>
        <w:t>immediately following the Distribution, the Borrower and Mylan will engage in a strategic business combination, following which Mylan (or its successor entity) shall become a wholly owned subsidiary of the Borrower (the “</w:t>
      </w:r>
      <w:r>
        <w:rPr>
          <w:rFonts w:ascii="Arial" w:cs="Arial" w:eastAsia="Arial" w:hAnsi="Arial"/>
          <w:sz w:val="17"/>
          <w:szCs w:val="17"/>
          <w:u w:val="single" w:color="auto"/>
          <w:color w:val="auto"/>
        </w:rPr>
        <w:t>Combination</w:t>
      </w:r>
      <w:r>
        <w:rPr>
          <w:rFonts w:ascii="Arial" w:cs="Arial" w:eastAsia="Arial" w:hAnsi="Arial"/>
          <w:sz w:val="17"/>
          <w:szCs w:val="17"/>
          <w:color w:val="auto"/>
        </w:rPr>
        <w:t>”, and together with the Separation, the Contribution, the Borrower Cash Distribution and the Distribution, collectively, the “</w:t>
      </w:r>
      <w:r>
        <w:rPr>
          <w:rFonts w:ascii="Arial" w:cs="Arial" w:eastAsia="Arial" w:hAnsi="Arial"/>
          <w:sz w:val="17"/>
          <w:szCs w:val="17"/>
          <w:u w:val="single" w:color="auto"/>
          <w:color w:val="auto"/>
        </w:rPr>
        <w:t>Combination Transactions</w:t>
      </w:r>
      <w:r>
        <w:rPr>
          <w:rFonts w:ascii="Arial" w:cs="Arial" w:eastAsia="Arial" w:hAnsi="Arial"/>
          <w:sz w:val="17"/>
          <w:szCs w:val="17"/>
          <w:color w:val="auto"/>
        </w:rPr>
        <w: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15" w:name="page16"/>
    <w:bookmarkEnd w:id="15"/>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 at the request of the Borrower, the Lenders have agreed to extend credit to the Borrower in the form of Loans and Letters of Credit at any time and from time to time on and after the Closing Date and prior to the Revolving Credit Maturity Date, in an aggregate principal amount not to exceed $4,000,000,000, subject to the terms and conditions hereinafter set forth;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premises and the mutual covenants contained in this Agreement, the parties hereto agree as follows: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SECTION 1.01 Defined Terms. As used in this Agreement, the following terms have the meanings specified below (capitalized terms used but not defined in this Section 1.01 have the meanings specified in the Preliminary Statements):</w:t>
      </w:r>
    </w:p>
    <w:p>
      <w:pPr>
        <w:spacing w:after="0" w:line="170"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means each Person, property, business or assets acquired by the Borrower or a Subsidiary, to the extent not subsequently sold, transferred or otherwise disposed of by the Borrower or such Subsidiary.</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Indebtedness</w:t>
      </w:r>
      <w:r>
        <w:rPr>
          <w:rFonts w:ascii="Arial" w:cs="Arial" w:eastAsia="Arial" w:hAnsi="Arial"/>
          <w:sz w:val="18"/>
          <w:szCs w:val="18"/>
          <w:color w:val="auto"/>
        </w:rPr>
        <w:t>” means any Indebtedness of the Loan Parties that has been issued for the purpose of financing, in part, the acquisition of an Acquired Entity or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has the meaning assigned in Section 9.13.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(or any of its designated branch offices or Affiliates), in its capacity as administrative agent for the Lenders hereunder, or any successor administrative agent.</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means, with respect to any currency, the Administrative Agent’s address and, as appropriate, account as set forth on Schedule 9.01 with respect to such currency, or such other address or account with respect to such currency as the Administrative Agent may from time to time notify the Borrower and the Lenders.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assigned in Section 9.01(c).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in the preamble hereto.</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Currencies</w:t>
      </w:r>
      <w:r>
        <w:rPr>
          <w:rFonts w:ascii="Arial" w:cs="Arial" w:eastAsia="Arial" w:hAnsi="Arial"/>
          <w:sz w:val="18"/>
          <w:szCs w:val="18"/>
          <w:color w:val="auto"/>
        </w:rPr>
        <w:t>” means (a) Euro, (b) Sterling, (c) Yen and (d) each other currency (other than Dollars) approved in accordance with Section 1.08.</w:t>
      </w:r>
    </w:p>
    <w:p>
      <w:pPr>
        <w:spacing w:after="0" w:line="170"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 Equivalent</w:t>
      </w:r>
      <w:r>
        <w:rPr>
          <w:rFonts w:ascii="Arial" w:cs="Arial" w:eastAsia="Arial" w:hAnsi="Arial"/>
          <w:sz w:val="16"/>
          <w:szCs w:val="16"/>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Currency</w:t>
      </w:r>
      <w:r>
        <w:rPr>
          <w:rFonts w:ascii="Arial" w:cs="Arial" w:eastAsia="Arial" w:hAnsi="Arial"/>
          <w:sz w:val="18"/>
          <w:szCs w:val="18"/>
          <w:color w:val="auto"/>
        </w:rPr>
        <w:t>” means Dollars or any Alternative Currency that bears interest at a rate based on LIBOR.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Foreign Obligor Documents</w:t>
      </w:r>
      <w:r>
        <w:rPr>
          <w:rFonts w:ascii="Arial" w:cs="Arial" w:eastAsia="Arial" w:hAnsi="Arial"/>
          <w:sz w:val="18"/>
          <w:szCs w:val="18"/>
          <w:color w:val="auto"/>
        </w:rPr>
        <w:t>” has the meaning assigned in Section 3.17(a).</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at any time, a percentage equal to a fraction the numerator of which is such Lender’s Revolving Commitment at that time and the denominator of which is the aggregate Revolving Commitments of all Revolving Lenders at that time (if the Revolving Commitments have terminated or expired, the Applicable Percentages shall be determined based upon such Lender’s share of the aggregate Revolving Credit Exposures at that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Debt Rating as set forth below:</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Applicable Margin for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Applicable Margin for</w:t>
            </w:r>
          </w:p>
        </w:tc>
        <w:tc>
          <w:tcPr>
            <w:tcW w:w="0" w:type="dxa"/>
            <w:vAlign w:val="bottom"/>
          </w:tcPr>
          <w:p>
            <w:pPr>
              <w:spacing w:after="0"/>
              <w:rPr>
                <w:sz w:val="1"/>
                <w:szCs w:val="1"/>
                <w:color w:val="auto"/>
              </w:rPr>
            </w:pPr>
          </w:p>
        </w:tc>
      </w:tr>
      <w:tr>
        <w:trPr>
          <w:trHeight w:val="148"/>
        </w:trPr>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6"/>
              </w:rPr>
              <w:t>Pricing</w:t>
            </w:r>
          </w:p>
        </w:tc>
        <w:tc>
          <w:tcPr>
            <w:tcW w:w="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Facility</w:t>
            </w:r>
          </w:p>
        </w:tc>
        <w:tc>
          <w:tcPr>
            <w:tcW w:w="246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Base Rate Revolving</w:t>
            </w:r>
          </w:p>
        </w:tc>
        <w:tc>
          <w:tcPr>
            <w:tcW w:w="0" w:type="dxa"/>
            <w:vAlign w:val="bottom"/>
          </w:tcPr>
          <w:p>
            <w:pPr>
              <w:spacing w:after="0"/>
              <w:rPr>
                <w:sz w:val="1"/>
                <w:szCs w:val="1"/>
                <w:color w:val="auto"/>
              </w:rPr>
            </w:pPr>
          </w:p>
        </w:tc>
      </w:tr>
      <w:tr>
        <w:trPr>
          <w:trHeight w:val="144"/>
        </w:trPr>
        <w:tc>
          <w:tcPr>
            <w:tcW w:w="4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Debt Rating</w:t>
            </w:r>
          </w:p>
        </w:tc>
        <w:tc>
          <w:tcPr>
            <w:tcW w:w="1100" w:type="dxa"/>
            <w:vAlign w:val="bottom"/>
            <w:gridSpan w:val="2"/>
            <w:vMerge w:val="continue"/>
          </w:tcPr>
          <w:p>
            <w:pPr>
              <w:spacing w:after="0"/>
              <w:rPr>
                <w:sz w:val="12"/>
                <w:szCs w:val="12"/>
                <w:color w:val="auto"/>
              </w:rPr>
            </w:pPr>
          </w:p>
        </w:tc>
        <w:tc>
          <w:tcPr>
            <w:tcW w:w="246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2"/>
              </w:rPr>
              <w:t>Eurocurrency Revolving Loans</w:t>
            </w: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Loans and Swingline</w:t>
            </w:r>
          </w:p>
        </w:tc>
        <w:tc>
          <w:tcPr>
            <w:tcW w:w="0" w:type="dxa"/>
            <w:vAlign w:val="bottom"/>
          </w:tcPr>
          <w:p>
            <w:pPr>
              <w:spacing w:after="0"/>
              <w:rPr>
                <w:sz w:val="1"/>
                <w:szCs w:val="1"/>
                <w:color w:val="auto"/>
              </w:rPr>
            </w:pPr>
          </w:p>
        </w:tc>
      </w:tr>
      <w:tr>
        <w:trPr>
          <w:trHeight w:val="182"/>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w:t>
            </w:r>
          </w:p>
        </w:tc>
        <w:tc>
          <w:tcPr>
            <w:tcW w:w="540" w:type="dxa"/>
            <w:vAlign w:val="bottom"/>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Fee</w:t>
            </w:r>
          </w:p>
        </w:tc>
        <w:tc>
          <w:tcPr>
            <w:tcW w:w="2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and Letter of Credit Fees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03"/>
        </w:trPr>
        <w:tc>
          <w:tcPr>
            <w:tcW w:w="4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540" w:type="dxa"/>
            <w:vAlign w:val="bottom"/>
            <w:tcBorders>
              <w:top w:val="single" w:sz="8" w:color="CCEEFF"/>
            </w:tcBorders>
            <w:shd w:val="clear" w:color="auto" w:fill="CCEEFF"/>
          </w:tcPr>
          <w:p>
            <w:pPr>
              <w:spacing w:after="0"/>
              <w:rPr>
                <w:sz w:val="17"/>
                <w:szCs w:val="17"/>
                <w:color w:val="auto"/>
              </w:rPr>
            </w:pPr>
          </w:p>
        </w:tc>
        <w:tc>
          <w:tcPr>
            <w:tcW w:w="3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&gt;A-/A3/A-</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0.175%</w:t>
            </w:r>
          </w:p>
        </w:tc>
        <w:tc>
          <w:tcPr>
            <w:tcW w:w="5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1.20%</w:t>
            </w:r>
          </w:p>
        </w:tc>
        <w:tc>
          <w:tcPr>
            <w:tcW w:w="5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0.20%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416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BBB+ / Baa1 / BBB+</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0.20%</w:t>
            </w:r>
          </w:p>
        </w:tc>
        <w:tc>
          <w:tcPr>
            <w:tcW w:w="5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1.30%</w:t>
            </w:r>
          </w:p>
        </w:tc>
        <w:tc>
          <w:tcPr>
            <w:tcW w:w="5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0.30%</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4"/>
              </w:rPr>
              <w:t>BBB / Baa2 / BBB</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c>
          <w:tcPr>
            <w:tcW w:w="52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w:t>
            </w: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416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BBB- / Baa3 / BBB-</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0.30%</w:t>
            </w:r>
          </w:p>
        </w:tc>
        <w:tc>
          <w:tcPr>
            <w:tcW w:w="5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1.70%</w:t>
            </w:r>
          </w:p>
        </w:tc>
        <w:tc>
          <w:tcPr>
            <w:tcW w:w="5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0.70</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4"/>
              </w:rPr>
              <w:t>£BB+ / Ba1 / BB+</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0.40%</w:t>
            </w:r>
          </w:p>
        </w:tc>
        <w:tc>
          <w:tcPr>
            <w:tcW w:w="52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Initially, the Applicable Rate shall be determined based upon Pricing Level 4. Thereafter, each change in the Applicable Rate resulting from a publicly announced change in the Debt Rating shall be effective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 w:name="page18"/>
    <w:bookmarkEnd w:id="17"/>
    <w:p>
      <w:pPr>
        <w:ind w:right="1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“Cash Equivalents.”</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Arrangers</w:t>
      </w:r>
      <w:r>
        <w:rPr>
          <w:rFonts w:ascii="Arial" w:cs="Arial" w:eastAsia="Arial" w:hAnsi="Arial"/>
          <w:sz w:val="16"/>
          <w:szCs w:val="16"/>
          <w:color w:val="auto"/>
        </w:rPr>
        <w:t>” means, collectively, BofA Securities, Inc., Barclays Bank PLC, BNP Paribas Securities Corp., Citibank, N.A., Deutsche Bank Securities Inc., DNB Markets, Inc., Goldman Sachs Bank USA, ING Bank N.V., Dublin Branch, JPMorgan Chase Bank, N.A., Mizuho Bank, Ltd., Morgan Stanley MUFG Loan Partners, LLC, PNC Capital Markets LLC and RBC Capital Markets, LLC, as lead arrangers and bookrunners.</w:t>
      </w:r>
    </w:p>
    <w:p>
      <w:pPr>
        <w:spacing w:after="0" w:line="149"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agreement entered into by a Lender and an assignee (with the consent of any party whose consent is required by Section 9.04 of this Agreement), and accepted by the Administrative Agent,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6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Receivables Indebtedness</w:t>
      </w:r>
      <w:r>
        <w:rPr>
          <w:rFonts w:ascii="Arial" w:cs="Arial" w:eastAsia="Arial" w:hAnsi="Arial"/>
          <w:sz w:val="18"/>
          <w:szCs w:val="18"/>
          <w:color w:val="auto"/>
        </w:rPr>
        <w:t>” at any time means the principal amount of Indebtedness which (i) if a Permitted Receivables Facility is structured as a secured lending agreement, would constitute the principal amount of such Indebtedness or (ii) if a Permitted Receivables Facility is structured as a purchase agreement, would be outstanding at such time under the Permitted Receivables Facility if the same were structured as a secured lending agreement rather than a purchase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has the meaning set forth in Section 2.05(b)(iii).</w:t>
      </w:r>
    </w:p>
    <w:p>
      <w:pPr>
        <w:spacing w:after="0" w:line="225"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means the period from and including the Closing Date to but excluding the earlier of (a) (i) with respect to Revolving Commitments made pursuant to Section 2.01, the initial Revolving Credit Maturity Date, (ii) with respect to any Revolving Extension Series, the applicable Revolving Credit Maturity Date and (iii) with respect to any Swingline Loans, the initial Revolving Credit Maturity Date or, to the extent the Commitment of the Swingline Lender has been extended pursuant to a Revolving Extension Series, the Latest Maturity Date and (b) with respect to any Class of Revolving Commitments or the commitment of the Swingline Lender to make Swingline Loans, the date such Class of Revolving Commitments or such commitment to make Swingline Loans, as the case may be, is terminated in accordance with the provisions of this Agreement.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8" w:name="page19"/>
    <w:bookmarkEnd w:id="1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permitted successors and assigns.</w:t>
      </w:r>
    </w:p>
    <w:p>
      <w:pPr>
        <w:spacing w:after="0" w:line="225"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of interest per annum equal to the highest of (a) the Federal Funds Effective Rate in effect on such day plus 1/2 of 1%, (b) the rate of interest in effect for such day as publicly announced from time to time by Bank of America as its “prime rate,” and (c) the LIBO Rate in effect on such day plus 1.00%,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“Base Rate,” when used in reference to any Loan or Borrowing, refers to whether such Loan, or the Loans comprising such Borrowing, are bearing interest at a rate determined by reference to the Base Rate.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Cash Distribution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set forth in Section 5.01.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19" w:name="page20"/>
    <w:bookmarkEnd w:id="19"/>
    <w:p>
      <w:pPr>
        <w:ind w:right="4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Type, made, converted or continued on the same date and, in the case of Eurocurrency Loans, as to which a single Interest Period is in effect or (b) a Swingline Loan.</w:t>
      </w:r>
    </w:p>
    <w:p>
      <w:pPr>
        <w:spacing w:after="0" w:line="170" w:lineRule="exact"/>
        <w:rPr>
          <w:sz w:val="20"/>
          <w:szCs w:val="20"/>
          <w:color w:val="auto"/>
        </w:rPr>
      </w:pPr>
    </w:p>
    <w:p>
      <w:pPr>
        <w:jc w:val="both"/>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Minimum</w:t>
      </w:r>
      <w:r>
        <w:rPr>
          <w:rFonts w:ascii="Arial" w:cs="Arial" w:eastAsia="Arial" w:hAnsi="Arial"/>
          <w:sz w:val="16"/>
          <w:szCs w:val="16"/>
          <w:color w:val="auto"/>
        </w:rPr>
        <w:t>” means, with respect to Eurocurrency Loans denominated in (i) Dollars, $5,000,000, (ii) Euros, €4,000,000, (iii) Sterling, £4,000,000, (iv) Yen, ¥500,000,000 and (v) any other Alternative Currency, such amount as may be specified by the Administrative Agent.</w:t>
      </w:r>
    </w:p>
    <w:p>
      <w:pPr>
        <w:spacing w:after="0" w:line="124"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Multiple</w:t>
      </w:r>
      <w:r>
        <w:rPr>
          <w:rFonts w:ascii="Arial" w:cs="Arial" w:eastAsia="Arial" w:hAnsi="Arial"/>
          <w:sz w:val="16"/>
          <w:szCs w:val="16"/>
          <w:color w:val="auto"/>
        </w:rPr>
        <w:t>” means, with respect to Eurocurrency Loans denominated in (i) Dollars, $1,000,000, (ii) Euros, €1,000,000, (iii) Sterling, £1,000,000, (iv) Yen, ¥100,000,000 and (v) any other Alternative Currency, such amount as may be specified by the Administrative Agent.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 2.03.</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Financing</w:t>
      </w:r>
      <w:r>
        <w:rPr>
          <w:rFonts w:ascii="Arial" w:cs="Arial" w:eastAsia="Arial" w:hAnsi="Arial"/>
          <w:sz w:val="18"/>
          <w:szCs w:val="18"/>
          <w:color w:val="auto"/>
        </w:rPr>
        <w:t>” means a senior unsecured 364-day bridge loan facility in an aggregate principal amount of up to $12,000,000,000 and having the terms set forth in the Bridge Financing Commitment Letter.</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Financing Commitment Letter</w:t>
      </w:r>
      <w:r>
        <w:rPr>
          <w:rFonts w:ascii="Arial" w:cs="Arial" w:eastAsia="Arial" w:hAnsi="Arial"/>
          <w:sz w:val="18"/>
          <w:szCs w:val="18"/>
          <w:color w:val="auto"/>
        </w:rPr>
        <w:t>” means that certain commitment letter dated as of July 29, 2019 (as amended, supplemented or otherwise modified from time to time) for the Bridge Financing by and among the Borrower, Goldman Sachs Bank USA, Goldman Sachs Lending Partners LLC and the other Persons parties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or the state of New York and:</w:t>
      </w:r>
    </w:p>
    <w:p>
      <w:pPr>
        <w:spacing w:after="0" w:line="76" w:lineRule="exact"/>
        <w:rPr>
          <w:sz w:val="20"/>
          <w:szCs w:val="20"/>
          <w:color w:val="auto"/>
        </w:rPr>
      </w:pPr>
    </w:p>
    <w:p>
      <w:pPr>
        <w:ind w:left="440" w:firstLine="419"/>
        <w:spacing w:after="0" w:line="259" w:lineRule="auto"/>
        <w:tabs>
          <w:tab w:leader="none" w:pos="124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Dollars, any fundings, disbursements, settlements and payments in Dollars in respect of any such Eurocurrency Loan, or any other dealings in Dollars to be carried out pursuant to this Agreement in respect of any such Eurocurrency Loan, means any such day on which dealings in deposits in Dollars are conducted by and between banks in the London interbank eurodollar market;</w:t>
      </w:r>
    </w:p>
    <w:p>
      <w:pPr>
        <w:spacing w:after="0" w:line="78" w:lineRule="exact"/>
        <w:rPr>
          <w:rFonts w:ascii="Arial" w:cs="Arial" w:eastAsia="Arial" w:hAnsi="Arial"/>
          <w:sz w:val="18"/>
          <w:szCs w:val="18"/>
          <w:color w:val="auto"/>
        </w:rPr>
      </w:pPr>
    </w:p>
    <w:p>
      <w:pPr>
        <w:ind w:left="440" w:right="500" w:firstLine="419"/>
        <w:spacing w:after="0" w:line="263" w:lineRule="auto"/>
        <w:tabs>
          <w:tab w:leader="none" w:pos="1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Euro, any fundings, disbursements, settlements and payments in Euro in respect of any such Eurocurrency Loan, or any other dealings in Euro to be carried out pursuant to this Agreement in respect of any such Eurocurrency Loan, means a TARGET Day;</w:t>
      </w:r>
    </w:p>
    <w:p>
      <w:pPr>
        <w:spacing w:after="0" w:line="75" w:lineRule="exact"/>
        <w:rPr>
          <w:rFonts w:ascii="Arial" w:cs="Arial" w:eastAsia="Arial" w:hAnsi="Arial"/>
          <w:sz w:val="18"/>
          <w:szCs w:val="18"/>
          <w:color w:val="auto"/>
        </w:rPr>
      </w:pPr>
    </w:p>
    <w:p>
      <w:pPr>
        <w:ind w:left="440" w:right="80" w:firstLine="419"/>
        <w:spacing w:after="0" w:line="263" w:lineRule="auto"/>
        <w:tabs>
          <w:tab w:leader="none" w:pos="124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20" w:name="page21"/>
    <w:bookmarkEnd w:id="20"/>
    <w:p>
      <w:pPr>
        <w:ind w:left="440" w:right="180" w:firstLine="419"/>
        <w:spacing w:after="0" w:line="301" w:lineRule="auto"/>
        <w:tabs>
          <w:tab w:leader="none" w:pos="1253"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such day relates to any fundings, disbursements, settlements and payments in a currency other than Dollars or Euro in respect of a Eurocurrency Loan denominated in a currency other than Dollars or Euro, or any other dealings in any currency other than Dollars or Euro to be carried out pursuant to this Agreement in respect of any such Eurocurrency Loan (other than any interest rate settings), means any such day on which banks are open for foreign exchange business in the principal financial center of the country of such currency.</w:t>
      </w:r>
    </w:p>
    <w:p>
      <w:pPr>
        <w:spacing w:after="0" w:line="15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 Closing Date, and the amount of such obligations as of any date shall be the capitalized amount thereof determined in accordance with GAAP as in effect on the Closing Date that would appear on a balance sheet of such Person prepared as of such date.</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American Triumvirate Insurance Company, a Vermont corporation or any successor thereto, so long as such Subsidiary is maintained as a special purpose self-insurance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obligations</w:t>
      </w:r>
      <w:r>
        <w:rPr>
          <w:rFonts w:ascii="Arial" w:cs="Arial" w:eastAsia="Arial" w:hAnsi="Arial"/>
          <w:sz w:val="18"/>
          <w:szCs w:val="18"/>
          <w:color w:val="auto"/>
        </w:rPr>
        <w:t>” means any Loan Party or any Subsidiary’s participation in commercial (or purchasing) card programs.</w:t>
      </w:r>
    </w:p>
    <w:p>
      <w:pPr>
        <w:spacing w:after="0" w:line="22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Administrative Agent, for the benefit of the applicable Issuing Bank and the Revolving Lenders, as collateral for the L/C Exposure, cash or deposit account balances pursuant to documentation in form and substance reasonably satisfactory to the Administrative Agent and such Issuing Bank (which documents are hereby consented to by the Revolving Lenders). Cash Collateral shall be maintained in blocked, non-interest bearing deposit accounts at Bank of America.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right="20" w:firstLine="436"/>
        <w:spacing w:after="0" w:line="277" w:lineRule="auto"/>
        <w:tabs>
          <w:tab w:leader="none" w:pos="8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evidence of Indebtedness issued or directly and fully guaranteed or insured by the government or any agency or instrumentality of (i) the United States, (ii) the United Kingdom or (iii) any member nation of the European Union;</w:t>
      </w:r>
    </w:p>
    <w:p>
      <w:pPr>
        <w:spacing w:after="0" w:line="170" w:lineRule="exact"/>
        <w:rPr>
          <w:rFonts w:ascii="Arial" w:cs="Arial" w:eastAsia="Arial" w:hAnsi="Arial"/>
          <w:sz w:val="18"/>
          <w:szCs w:val="18"/>
          <w:color w:val="auto"/>
        </w:rPr>
      </w:pPr>
    </w:p>
    <w:p>
      <w:pPr>
        <w:ind w:right="40" w:firstLine="436"/>
        <w:spacing w:after="0" w:line="259" w:lineRule="auto"/>
        <w:tabs>
          <w:tab w:leader="none" w:pos="83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 deposits, certificates of deposit, and bank notes of any financial institution that (i) is a Lender or (ii) is a member of the Federal Reserve System (or organized in any foreign country recognized by the United States) and whose senior unsecured debt is rated at least A-2, P-2, or F-2, short-term, or A or A2, long-term, by Moody’s, S&amp;P or Fitch (any such bank in the foregoing clause (i) or (ii)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Issues with only one short-term credit rating must have a minimum credit rating of A 1, P 1 or F 1;</w:t>
      </w:r>
    </w:p>
    <w:p>
      <w:pPr>
        <w:spacing w:after="0" w:line="186" w:lineRule="exact"/>
        <w:rPr>
          <w:rFonts w:ascii="Arial" w:cs="Arial" w:eastAsia="Arial" w:hAnsi="Arial"/>
          <w:sz w:val="18"/>
          <w:szCs w:val="18"/>
          <w:color w:val="auto"/>
        </w:rPr>
      </w:pPr>
    </w:p>
    <w:p>
      <w:pPr>
        <w:ind w:firstLine="436"/>
        <w:spacing w:after="0" w:line="277" w:lineRule="auto"/>
        <w:tabs>
          <w:tab w:leader="none" w:pos="83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 paper, including asset-backed commercial paper, and floating or fixed rate notes issued by an Approved Bank or a corporation or special purpose vehicle (other than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1" w:name="page22"/>
    <w:bookmarkEnd w:id="21"/>
    <w:p>
      <w:pPr>
        <w:ind w:righ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Affiliate or Subsidiary of the Borrower) organized and existing under the laws of the United States of America, any state thereof or the District of Columbia (or any foreign country recognized by the United States) and rated at least A 2 by S&amp;P and at least P 2 by Moody’s;</w:t>
      </w:r>
    </w:p>
    <w:p>
      <w:pPr>
        <w:spacing w:after="0" w:line="146" w:lineRule="exact"/>
        <w:rPr>
          <w:sz w:val="20"/>
          <w:szCs w:val="20"/>
          <w:color w:val="auto"/>
        </w:rPr>
      </w:pPr>
    </w:p>
    <w:p>
      <w:pPr>
        <w:ind w:left="820" w:hanging="384"/>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asset-backed securities rated AAA by Moody’s, S&amp;P, or Fitch, with weighted average lives of 3 years or less (measured to the next maturity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firstLine="436"/>
        <w:spacing w:after="0" w:line="263" w:lineRule="auto"/>
        <w:tabs>
          <w:tab w:leader="none" w:pos="8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repurchase agreements and reverse repurchase agreements relating to marketable direct obligations issued or unconditionally guaranteed or insured by the government or any agency or instrumentality of (i) the United States, (ii) the United Kingdom or (iii) any member nation of the European Union maturing within 365 days from the date of acquisition;</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money market funds which invest substantially all of their assets in assets described in the preceding clauses (1) through (5); and</w:t>
      </w:r>
    </w:p>
    <w:p>
      <w:pPr>
        <w:spacing w:after="0" w:line="236" w:lineRule="exact"/>
        <w:rPr>
          <w:rFonts w:ascii="Arial" w:cs="Arial" w:eastAsia="Arial" w:hAnsi="Arial"/>
          <w:sz w:val="17"/>
          <w:szCs w:val="17"/>
          <w:color w:val="auto"/>
        </w:rPr>
      </w:pPr>
    </w:p>
    <w:p>
      <w:pPr>
        <w:ind w:right="120" w:firstLine="436"/>
        <w:spacing w:after="0" w:line="259" w:lineRule="auto"/>
        <w:tabs>
          <w:tab w:leader="none" w:pos="8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(1) through (6) above denominated in any Alternative Currency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except in the case of clauses (4) and (5) above, the maximum maturity date of individual securities or deposits will be 3 years or less at the time of purchase or deposit.</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Certain Funds Draw</w:t>
      </w:r>
      <w:r>
        <w:rPr>
          <w:rFonts w:ascii="Arial" w:cs="Arial" w:eastAsia="Arial" w:hAnsi="Arial"/>
          <w:sz w:val="18"/>
          <w:szCs w:val="18"/>
          <w:color w:val="auto"/>
        </w:rPr>
        <w:t>” means a Borrowing of Revolving Loans in an aggregate principal amount not exceeding $1,500,000,000 in a single drawing on the Closing Date, subject to Section 4.02.</w:t>
      </w:r>
    </w:p>
    <w:p>
      <w:pPr>
        <w:spacing w:after="0" w:line="170"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acquisition after the Combination of beneficial ownership, directly or indirectly, by any Person or group (within the meaning of the Securities Exchange Act of 1934 and the rules of the SEC thereunder as in effect on the Effective Date) of Equity Interests representing more than 35% of the aggregate ordinary voting power represented by the issued and outstanding Equity Interests of the Borrower.</w:t>
      </w:r>
    </w:p>
    <w:p>
      <w:pPr>
        <w:spacing w:after="0" w:line="149"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any Issuing Bank (or, for purposes of Section 2.14(b), by any Lending Office of such Lender or by such Lender’s or such Issuing Bank’s holding company, if any) with any request, guideline or directive (whether or not having the force of law) of any Governmental Authority made or issued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Charges</w:t>
      </w:r>
      <w:r>
        <w:rPr>
          <w:rFonts w:ascii="Arial" w:cs="Arial" w:eastAsia="Arial" w:hAnsi="Arial"/>
          <w:sz w:val="18"/>
          <w:szCs w:val="18"/>
          <w:color w:val="auto"/>
        </w:rPr>
        <w:t>” shall have the meaning assigned to such term in Section 9.14.</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(a) when used with respect to Commitments, refers to whether such Commitment is a Revolving Commitment or an Extended Revolving Commitment of a given Revolving Extension Series, (b) when used with respect to Loans or a Borrowing, refers to whether such Loans, or the Loans comprising such Borrowing, are Loans under Revolving Commitments or Loans under Extended Revolving Commitments of a given Revolving Extension Series and (c) when used with respect to Lenders, refers to whether such Lender has a Loan or Commitment with respect to a particular Class of Loans or Commitments.</w:t>
      </w:r>
    </w:p>
    <w:p>
      <w:pPr>
        <w:spacing w:after="0" w:line="188" w:lineRule="exact"/>
        <w:rPr>
          <w:sz w:val="20"/>
          <w:szCs w:val="20"/>
          <w:color w:val="auto"/>
        </w:rPr>
      </w:pPr>
    </w:p>
    <w:p>
      <w:pPr>
        <w:ind w:right="6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means the date, on or after the Effective Date but not after the Commitment Termination Date, on which all the conditions specified in Section 4.02 of this Agreement are satisfied (or waived in accordance with Section 9.02 of this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Combination Transaction Representations</w:t>
      </w:r>
      <w:r>
        <w:rPr>
          <w:rFonts w:ascii="Arial" w:cs="Arial" w:eastAsia="Arial" w:hAnsi="Arial"/>
          <w:sz w:val="16"/>
          <w:szCs w:val="16"/>
          <w:color w:val="auto"/>
        </w:rPr>
        <w:t>” means the representations made by Pfizer with respect to the Borrower, the Spinco Subsidiaries (as defined in the Business Combination Agreement) or Spinco Sub (as defined in the Business Combination Agreement) in the Business Combination Agreement as are material to the interests of the Lenders and the Arrangers (in their capacities as such) (but only to the extent that Mylan has the right to terminate its obligation to consummate the Combination (or otherwise does not have an obligation to close) under the Business Combination Agreement as a result of a failure of such representations in the Business Combination Agreement to be accurate).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 Transactions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Businesses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Revolving Commitment.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the earliest of (a) the date of termination of all Commitments pursuant to Section 2.08 hereof, (b) the date of termination of Mylan’s obligation to consummate the Combination pursuant to the Business Combination Agreement and (c) December 31, 2020, if the Closing Date has not occurred prior to such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Consolidated Net Income plus, without duplication and, except in the case of clause (xii), to the extent deducted from revenues in determining Consolidated Net Income, (i) Consolidated Interest Expense and charges, deferred financing fees and milestone payments in connection with any investment or series of related investments, losses on hedging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3" w:name="page24"/>
    <w:bookmarkEnd w:id="23"/>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or other derivative instruments entered into for the purpose of hedging interest rate risk, net of gains on such hedging obligations, and costs of surety bonds in connection with financing activities, (ii) expense and provision for taxes paid or accrued, (iii) depreciation, (iv) amortization (including amortization of intangibles, including goodwill), (v) non-cash charges recorded in respect of purchase accounting or impairment of goodwill or assets and non-cash exchange, translation or performance losses relating to any foreign currency hedging transactions or currency fluctuations,</w:t>
      </w:r>
    </w:p>
    <w:p>
      <w:pPr>
        <w:spacing w:after="0" w:line="1" w:lineRule="exact"/>
        <w:rPr>
          <w:sz w:val="20"/>
          <w:szCs w:val="20"/>
          <w:color w:val="auto"/>
        </w:rPr>
      </w:pPr>
    </w:p>
    <w:p>
      <w:pPr>
        <w:ind w:left="4" w:right="140" w:hanging="4"/>
        <w:spacing w:after="0" w:line="281" w:lineRule="auto"/>
        <w:tabs>
          <w:tab w:leader="none" w:pos="3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any other non-cash items, (vii) any unusual, infrequent or extraordinary loss or charge (including the amount of any restructuring, integration, transition, executive severance, facility closing, unusual litigation and similar charges accrued during such period, including any charges to establish accruals and reserves or to make payments associated with the reassessment or realignment of the business and operations of the Borrower and its Subsidiaries, including the sale or closing of facilities, severance, stay bonuses and curtailments or modifications to pension and post-retirement employee benefit plans, asset write-downs or asset disposals (including leased facilities), write-downs for purchase and lease commitments, start-up costs for new facilities, writedowns of excess, obsolete or unbalanced inventories, relocation costs which are not otherwise capitalized and any related promotional costs of exiting products or product lines), (viii) non-recurring cash charges in connection with the litigation described on </w:t>
      </w:r>
      <w:r>
        <w:rPr>
          <w:rFonts w:ascii="Arial" w:cs="Arial" w:eastAsia="Arial" w:hAnsi="Arial"/>
          <w:sz w:val="16"/>
          <w:szCs w:val="16"/>
          <w:u w:val="single" w:color="auto"/>
          <w:color w:val="auto"/>
        </w:rPr>
        <w:t>Schedule 2.03</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4" w:hanging="4"/>
        <w:spacing w:after="0" w:line="281" w:lineRule="auto"/>
        <w:tabs>
          <w:tab w:leader="none" w:pos="3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income of any non-wholly owned Subsidiaries and deductions attributable to minority interests, (x) any non-cash costs or expenses incurred by the Borrower or any Subsidiary pursuant to any management equity plan or stock plan, (xi) expenses with respect to casualty events, (xii) the amount of net cost savings in connection with any acquisition of an Acquired Entity or Business or otherwise projected by the Borrower in good faith to be realized as a result of specified actions taken prior to the last day of such period (calculated on a pro forma basis as though such cost savings had been realized since the first day of such period),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connection with (1) the Combination Transactions, such actions have been taken within 24 months after the Closing Date and (2) any other acquisition of an Acquired Entity or Business, such actions have been taken within 12 months after the closing date of an acquisition of an Acquired Entity or Business and (B) no cost savings shall be added pursuant to this clause (xii) to the extent duplicative of any expenses or charges relating to such cost savings that are included in clause (vii) above with respect to such period, (xiii) expenses incurred in connection with any acquisition of an Acquired Entity or Business,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including transaction expenses incurred in connection therewith), (xiv) any contingent or deferred payments (including earn-out payments, non-compete payments and consulting payments but excluding ongoing royalty payments) made in connection with any acquisition of an Acquired Entity or Business, (xv) non-cash charges pursuant to ASC 715, </w:t>
      </w:r>
      <w:r>
        <w:rPr>
          <w:rFonts w:ascii="Arial" w:cs="Arial" w:eastAsia="Arial" w:hAnsi="Arial"/>
          <w:sz w:val="16"/>
          <w:szCs w:val="16"/>
          <w:u w:val="single" w:color="auto"/>
          <w:color w:val="auto"/>
        </w:rPr>
        <w:t>minus</w:t>
      </w:r>
      <w:r>
        <w:rPr>
          <w:rFonts w:ascii="Arial" w:cs="Arial" w:eastAsia="Arial" w:hAnsi="Arial"/>
          <w:sz w:val="16"/>
          <w:szCs w:val="16"/>
          <w:color w:val="auto"/>
        </w:rPr>
        <w:t>, to the extent included in Consolidated Net Income, the sum of (xvi) any unusual, infrequent or extraordinary income or gains, (xvii) any other non-cash income or gains (except to the extent representing</w:t>
      </w:r>
    </w:p>
    <w:p>
      <w:pPr>
        <w:spacing w:after="0" w:line="8" w:lineRule="exact"/>
        <w:rPr>
          <w:rFonts w:ascii="Arial" w:cs="Arial" w:eastAsia="Arial" w:hAnsi="Arial"/>
          <w:sz w:val="16"/>
          <w:szCs w:val="16"/>
          <w:color w:val="auto"/>
        </w:rPr>
      </w:pPr>
    </w:p>
    <w:p>
      <w:pPr>
        <w:jc w:val="both"/>
        <w:ind w:left="4" w:right="120" w:hanging="4"/>
        <w:spacing w:after="0" w:line="253"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an accrual for future cash income or in respect of which cash was received in a prior period or (y) the reversal of any cash reserves established in a prior period), and (xviii) any cash payment made with respect to any non-cash items added back in computing Consolidated EBITDA in a prior period pursuant to clause (vi) above), all calculated for the Borrower and its Subsidiaries (other than the Captive Insurance Subsidiary) in accordance with GAAP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included</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4"/>
          </w:cols>
          <w:pgMar w:left="436" w:top="274" w:right="519" w:bottom="1440" w:gutter="0" w:footer="0" w:header="0"/>
        </w:sectPr>
      </w:pPr>
    </w:p>
    <w:bookmarkStart w:id="24" w:name="page25"/>
    <w:bookmarkEnd w:id="24"/>
    <w:p>
      <w:pPr>
        <w:ind w:left="4"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Consolidated Net Income, (A) there shall be excluded in determining Consolidated EBITDA currency translation gains and losses related to currency remeasurements of Indebtedness (including the net loss or gain resulting from Swap Agreements for currency exchange risk) and (B) there shall be excluded in determining Consolidated EBITDA for any period any adjustments resulting from the application of SFAS 133.</w:t>
      </w:r>
    </w:p>
    <w:p>
      <w:pPr>
        <w:spacing w:after="0" w:line="165"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with reference to any period, the interest expense whether or not paid in cash (including interest expense under Capital Lease Obligations that is treated as interest in accordance with GAAP, but excluding, any (i) non-cash interest expense attributable to the movement in mark-to-market valuation under Swap Agreements or other derivative instruments, (ii) non-cash interest expense attributable to the amortization of gains or losses resulting from the termination of Swap Agreements prior to or reasonably contemporaneously with the Closing Date,</w:t>
      </w:r>
    </w:p>
    <w:p>
      <w:pPr>
        <w:spacing w:after="0" w:line="1" w:lineRule="exact"/>
        <w:rPr>
          <w:sz w:val="20"/>
          <w:szCs w:val="20"/>
          <w:color w:val="auto"/>
        </w:rPr>
      </w:pPr>
    </w:p>
    <w:p>
      <w:pPr>
        <w:ind w:left="4" w:right="300" w:hanging="4"/>
        <w:spacing w:after="0" w:line="281" w:lineRule="auto"/>
        <w:tabs>
          <w:tab w:leader="none" w:pos="319"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amortization of deferred financing fees and (iv) expensing of bridge or other financing fees) of the Borrower and its Subsidiaries (other than the Captive Insurance Subsidiary) calculated on a consolidated basis for such period in accordance with GAAP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(a) imputed interest attributable to Capital Lease Obligations of the Borrower and its Subsidiaries (other than the Captive Insurance Subsidiary) for such period,</w:t>
      </w:r>
    </w:p>
    <w:p>
      <w:pPr>
        <w:spacing w:after="0" w:line="1" w:lineRule="exact"/>
        <w:rPr>
          <w:rFonts w:ascii="Arial" w:cs="Arial" w:eastAsia="Arial" w:hAnsi="Arial"/>
          <w:sz w:val="16"/>
          <w:szCs w:val="16"/>
          <w:color w:val="auto"/>
        </w:rPr>
      </w:pPr>
    </w:p>
    <w:p>
      <w:pPr>
        <w:ind w:left="4" w:hanging="4"/>
        <w:spacing w:after="0" w:line="281" w:lineRule="auto"/>
        <w:tabs>
          <w:tab w:leader="none" w:pos="2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commissions, discounts and other fees and charges owed by the Borrower or any of its Subsidiaries (other than the Captive Insurance Subsidiary) with respect to letters of credit securing financial obligations, bankers’ acceptance financing and receivables financings for such period, (c) amortization or write-off of debt discount and debt issuance costs, premium, commissions, discounts and other fees and charges associated with Indebtedness of the Borrower and its Subsidiaries (other than the Captive Insurance Subsidiary) for such period, (d) cash contributions to any employee stock ownership plan or similar trust made by the Borrower or any of its Subsidiaries to the extent such contributions are used by such plan or trust to pay interest or fees to any Person (other than the Borrower or a wholly owned Subsidiary) in connection with Indebtedness incurred by such plan or trust for such period,</w:t>
      </w:r>
    </w:p>
    <w:p>
      <w:pPr>
        <w:spacing w:after="0" w:line="3" w:lineRule="exact"/>
        <w:rPr>
          <w:rFonts w:ascii="Arial" w:cs="Arial" w:eastAsia="Arial" w:hAnsi="Arial"/>
          <w:sz w:val="16"/>
          <w:szCs w:val="16"/>
          <w:color w:val="auto"/>
        </w:rPr>
      </w:pPr>
    </w:p>
    <w:p>
      <w:pPr>
        <w:ind w:left="4" w:right="120" w:hanging="4"/>
        <w:spacing w:after="0" w:line="281"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interest paid or payable with respect to discontinued operations of the Borrower or any of its Subsidiaries for such period, (f) the interest portion of any deferred payment obligations of the Borrower or any of its Subsidiaries (other than the Captive Insurance Subsidiary) for such period, (g) all interest on any Indebtedness of the Borrower or any of its Subsidiaries (other than the Captive Insurance Subsidiary) of the type described in clause</w:t>
      </w:r>
    </w:p>
    <w:p>
      <w:pPr>
        <w:spacing w:after="0" w:line="1" w:lineRule="exact"/>
        <w:rPr>
          <w:rFonts w:ascii="Arial" w:cs="Arial" w:eastAsia="Arial" w:hAnsi="Arial"/>
          <w:sz w:val="16"/>
          <w:szCs w:val="16"/>
          <w:color w:val="auto"/>
        </w:rPr>
      </w:pPr>
    </w:p>
    <w:p>
      <w:pPr>
        <w:ind w:left="4" w:hanging="4"/>
        <w:spacing w:after="0" w:line="260"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 (f) of the definition of “Indebtedness” for such period and (h) the interest component of all Attributable Receivables Indebtedness of the Borrower and its Subsidiaries (other than the Captive Insurance Subsidiary).</w:t>
      </w:r>
    </w:p>
    <w:p>
      <w:pPr>
        <w:spacing w:after="0" w:line="185"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for any Test Period, the ratio of (a) Consolidated Total Indebtedness net of Unrestricted Cash of the Borrower and its Subsidiaries in an amount not exceeding $1,000,000,000 as of the last day of such Test Period to (b) Consolidated EBITDA for such Test Period.</w:t>
      </w:r>
    </w:p>
    <w:p>
      <w:pPr>
        <w:spacing w:after="0" w:line="184" w:lineRule="exact"/>
        <w:rPr>
          <w:sz w:val="20"/>
          <w:szCs w:val="20"/>
          <w:color w:val="auto"/>
        </w:rPr>
      </w:pPr>
    </w:p>
    <w:p>
      <w:pPr>
        <w:ind w:left="4" w:right="3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with reference to any period, the net income (or loss) of the Borrower and its Subsidiaries calculated in accordance with GAAP on a consolidated basis (without duplication)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calculating Consolidated Net Income of the Borrower and its Subsidiaries for any period,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4" w:right="499" w:bottom="1440" w:gutter="0" w:footer="0" w:header="0"/>
        </w:sectPr>
      </w:pPr>
    </w:p>
    <w:bookmarkStart w:id="25" w:name="page26"/>
    <w:bookmarkEnd w:id="25"/>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has an ownership interest, except to the extent that any such income is actually received by the Borrower or such Subsidiary in the form of dividends or similar distributions, (c) the income or deficit of the Captive Insurance Subsidiary, (d) any fees and expenses incurred during such period, or any amortization thereof for such period, in connection with the consummation of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amortization of deferred charges resulting from the application of “Accounting Principles Board Opinion No. APB 14-1 — Accounting for Convertible Debt Instruments” that may be settled in cash upon conversion (including partial cash settlement) and (f) any income (loss) for such period attributable to the early extinguishment of Indebtedness, together with any related provision for taxes on any such income. There shall be excluded from Consolidated Net Income for any period (i) any gains or losses resulting from any reappraisal, revaluation or write-up or write-down of assets (including any gains and losses attributable to movement in the mark-to-market valuation of (1) any Permitted Convertible Indebtedness, (2) any Permitted Bond Hedge Transaction, (3) any Permitted Warrant Transaction and</w:t>
      </w:r>
    </w:p>
    <w:p>
      <w:pPr>
        <w:spacing w:after="0" w:line="4" w:lineRule="exact"/>
        <w:rPr>
          <w:sz w:val="20"/>
          <w:szCs w:val="20"/>
          <w:color w:val="auto"/>
        </w:rPr>
      </w:pPr>
    </w:p>
    <w:p>
      <w:pPr>
        <w:ind w:left="4" w:hanging="4"/>
        <w:spacing w:after="0" w:line="271" w:lineRule="auto"/>
        <w:tabs>
          <w:tab w:leader="none" w:pos="2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purchase options and related contingencies), (ii) any non-cash charges recorded in respect of intangible assets (but excluding scheduled amortization of intangible assets), and (iii) the purchase accounting effects of in process research and development expenses and adjustments to property, inventory and equipment, software and other intangible assets and deferred revenue and deferred expenses in component amounts required or permitted by GAAP and related authoritative pronouncements (including the effects of such adjustments pushed down to the Borrower and its Subsidiaries), as a result of any acquisition, or the amortization or write-off of any amounts thereof.</w:t>
      </w:r>
    </w:p>
    <w:p>
      <w:pPr>
        <w:spacing w:after="0" w:line="178"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Tangible Assets</w:t>
      </w:r>
      <w:r>
        <w:rPr>
          <w:rFonts w:ascii="Arial" w:cs="Arial" w:eastAsia="Arial" w:hAnsi="Arial"/>
          <w:sz w:val="18"/>
          <w:szCs w:val="18"/>
          <w:color w:val="auto"/>
        </w:rPr>
        <w:t>” means, with respect to the Borrower, the total amount of assets (less applicable reserves and other properly deductible items) after deducting all goodwill, tradenames, trademarks, patents, unamortized debt discount and expense and other like intangible assets, all as set forth on the most recent consolidated balance sheet of the Borrower and its Subsidiaries delivered pursuant to Section 5.01(a) or Section 5.01(b).</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means Subsidiaries that would be consolidated with the Borrower in accordance with GAAP.</w:t>
      </w:r>
    </w:p>
    <w:p>
      <w:pPr>
        <w:spacing w:after="0" w:line="225"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Borrower and its Subsidiaries calculated in accordance with GAAP on a consolidated basis as of such date.</w:t>
      </w:r>
    </w:p>
    <w:p>
      <w:pPr>
        <w:spacing w:after="0" w:line="170" w:lineRule="exact"/>
        <w:rPr>
          <w:sz w:val="20"/>
          <w:szCs w:val="20"/>
          <w:color w:val="auto"/>
        </w:rPr>
      </w:pPr>
    </w:p>
    <w:p>
      <w:pPr>
        <w:ind w:left="4" w:right="1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Indebtedness</w:t>
      </w:r>
      <w:r>
        <w:rPr>
          <w:rFonts w:ascii="Arial" w:cs="Arial" w:eastAsia="Arial" w:hAnsi="Arial"/>
          <w:sz w:val="18"/>
          <w:szCs w:val="18"/>
          <w:color w:val="auto"/>
        </w:rPr>
        <w:t xml:space="preserve">” means at any time the sum, without duplication, of (i) the aggregate principal amount of Indebtedness of the Borrower and its Subsidiaries (other than the Captive Insurance Subsidiary) outstanding as of such time calculated on a consolidated basis (other than Indebtedness described in clause (h), (i) or (j) of the definition of “Indebtedness” (provided that there shall be included in Consolidated Total Indebtedness, any Indebtedness (x) in respect of drawings under the items in such clauses (h) and (i) to the extent not reimbursed within two Business Days after the date of such drawing and (y) in respect of any Swap Agreement entered into for speculative purposes))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principal amount of any obligations of any</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4"/>
          </w:cols>
          <w:pgMar w:left="436" w:top="274" w:right="519" w:bottom="1440" w:gutter="0" w:footer="0" w:header="0"/>
        </w:sectPr>
      </w:pPr>
    </w:p>
    <w:bookmarkStart w:id="26" w:name="page27"/>
    <w:bookmarkEnd w:id="26"/>
    <w:p>
      <w:pPr>
        <w:ind w:left="4"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(other than the Borrower or any Subsidiary) of the type described in the foregoing clause (i) that are Guaranteed by the Borrower or any Subsidiary (whether or not reflected on a consolidated balance sheet of the Borrower). Notwithstanding the foregoing, solely for the purposes of determining Consolidated Total Indebtedness at any time on or prior to the consummation of the acquisition of an Acquired Entity or Business, the aggregate principal amount of Acquisition Indebtedness that would otherwise be included in “Consolidated Total Indebtedness” shall exclude any such Acquisition Indebtedness that includes a customary “special mandatory redemption” provision (or other similar provision) requiring a Loan Party (within a reasonable period of time following the occurrence of an event set forth in clause (a) or (b) below) to redeem such Acquisition Indebtedness if</w:t>
      </w:r>
    </w:p>
    <w:p>
      <w:pPr>
        <w:spacing w:after="0" w:line="4" w:lineRule="exact"/>
        <w:rPr>
          <w:sz w:val="20"/>
          <w:szCs w:val="20"/>
          <w:color w:val="auto"/>
        </w:rPr>
      </w:pPr>
    </w:p>
    <w:p>
      <w:pPr>
        <w:jc w:val="both"/>
        <w:ind w:left="4" w:right="280" w:hanging="4"/>
        <w:spacing w:after="0" w:line="255"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acquisition is not consummated within a number of days reasonably acceptable to the Administrative Agent or (b) the acquisition agreement related to such acquisition terminates in accordance with its terms. For avoidance of doubt, the exclusion in the immediately preceding sentence shall not apply after consummation of the applicable acquisition.</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Person, the power, directly or indirectly, to direct or cause the direction of the management and policies of such Person, whether by contract or otherwise.</w:t>
      </w:r>
    </w:p>
    <w:p>
      <w:pPr>
        <w:spacing w:after="0" w:line="170"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the Coronavirus Disease 2019, as defined by the International Committee on Taxonomy of Viruses and the World Health Organization.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means, as to any Lender at any time, such Lender’s Revolving Credit Exposure at such time.</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of any date of determination, the rating as determined by Fitch, S&amp;P and Moody’s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 xml:space="preserve">”) of the Borrower’s non-credit-enhanced, senior unsecured long-term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70" w:lineRule="exact"/>
        <w:rPr>
          <w:sz w:val="20"/>
          <w:szCs w:val="20"/>
          <w:color w:val="auto"/>
        </w:rPr>
      </w:pPr>
    </w:p>
    <w:p>
      <w:pPr>
        <w:ind w:left="1424" w:hanging="433"/>
        <w:spacing w:after="0"/>
        <w:tabs>
          <w:tab w:leader="none" w:pos="1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all three Debt Ratings are in effect, and two or more ratings are at the same Pricing Level, that Pricing Level will apply;</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all three Debt Ratings are in effect, each at a different Pricing Level, the Pricing Level of the middle Debt Rating shall apply;</w:t>
      </w:r>
    </w:p>
    <w:p>
      <w:pPr>
        <w:spacing w:after="0" w:line="236" w:lineRule="exact"/>
        <w:rPr>
          <w:rFonts w:ascii="Arial" w:cs="Arial" w:eastAsia="Arial" w:hAnsi="Arial"/>
          <w:sz w:val="17"/>
          <w:szCs w:val="17"/>
          <w:color w:val="auto"/>
        </w:rPr>
      </w:pPr>
    </w:p>
    <w:p>
      <w:pPr>
        <w:ind w:left="4" w:firstLine="987"/>
        <w:spacing w:after="0" w:line="263" w:lineRule="auto"/>
        <w:tabs>
          <w:tab w:leader="none" w:pos="13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only two Debt Ratings are in effect, the Pricing Level of the higher of such Debt Ratings shall apply (with the Debt Rating for Pricing Level 1 being the highest and the Debt Rating for Pricing Level 4 being the lowest), unless the ratings differential is two levels or more, in which case the Pricing Level that is one level lower than the Pricing Level of the higher Debt Rating shall apply;</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there exists only one Debt Rating, such Debt Rating shall apply; and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27" w:name="page28"/>
    <w:bookmarkEnd w:id="27"/>
    <w:p>
      <w:pPr>
        <w:ind w:left="98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sz w:val="20"/>
          <w:szCs w:val="20"/>
          <w:color w:val="auto"/>
        </w:rPr>
        <w:tab/>
      </w:r>
      <w:r>
        <w:rPr>
          <w:rFonts w:ascii="Arial" w:cs="Arial" w:eastAsia="Arial" w:hAnsi="Arial"/>
          <w:sz w:val="16"/>
          <w:szCs w:val="16"/>
          <w:color w:val="auto"/>
        </w:rPr>
        <w:t>if no Debt Rating is available, Pricing Level 5 shall apply.</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has the meaning set forth in Section 2.12(c).</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to (i) fund all or any portion of any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the Swingline Lender or any other Lender any other amount required to be paid by it hereunder (including in respect of its participation in Letters of Credit or Swingline Loans) within two Business Days of the date when due, (b) has notified the Borrower, the Administrative Agent or any Issuing Bank or Swingline Lender in writing that it does not intend to comply with its funding obligations hereunder or generally under other agreements in which it has committed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(d) has, or has a direct or indirect parent company that has, (i) become the subject of a proceeding under any Debtor Relief Law, (ii) had publicly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(e) has, or has a direct or indirect parent company that has, become the subject of a Bail-In Action. Any determination by the Administrative Agent that a Lender is a Defaulting Lender under any one or more of clauses (a) through (e) above shall be conclusive and binding absent manifest error, and such Lender shall be deemed to be a Defaulting Lender upon delivery of written notice of such determination to the Borrower, each Issuing Bank, the Swingline Lender and each Lender.</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 w:name="page29"/>
    <w:bookmarkEnd w:id="28"/>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Disclosed Matters</w:t>
      </w:r>
      <w:r>
        <w:rPr>
          <w:rFonts w:ascii="Arial" w:cs="Arial" w:eastAsia="Arial" w:hAnsi="Arial"/>
          <w:sz w:val="17"/>
          <w:szCs w:val="17"/>
          <w:color w:val="auto"/>
        </w:rPr>
        <w:t xml:space="preserve">” means the actions, suits and proceedings and the environmental matters disclosed (a) in any reports, schedules, forms, proxy statements, prospectuses (including prospectus supplements), registration statements and other information filed by the Borrower or Mylan with the SEC or furnished by the Borrower or Mylan to the SEC pursuant to the Securities Exchange Act, in each case, filed or furnished before the Effective Date and which are available to the Lenders before the Effective Date and (b) on </w:t>
      </w:r>
      <w:r>
        <w:rPr>
          <w:rFonts w:ascii="Arial" w:cs="Arial" w:eastAsia="Arial" w:hAnsi="Arial"/>
          <w:sz w:val="17"/>
          <w:szCs w:val="17"/>
          <w:u w:val="single" w:color="auto"/>
          <w:color w:val="auto"/>
        </w:rPr>
        <w:t>Schedule 3.06</w:t>
      </w:r>
      <w:r>
        <w:rPr>
          <w:rFonts w:ascii="Arial" w:cs="Arial" w:eastAsia="Arial" w:hAnsi="Arial"/>
          <w:sz w:val="17"/>
          <w:szCs w:val="17"/>
          <w:color w:val="auto"/>
        </w:rPr>
        <w:t>.</w:t>
      </w:r>
    </w:p>
    <w:p>
      <w:pPr>
        <w:spacing w:after="0" w:line="17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Interests</w:t>
      </w:r>
      <w:r>
        <w:rPr>
          <w:rFonts w:ascii="Arial" w:cs="Arial" w:eastAsia="Arial" w:hAnsi="Arial"/>
          <w:sz w:val="16"/>
          <w:szCs w:val="16"/>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public equity offering or asset sale so long as any rights of the holders thereof upon the occurrence of a change of control, public equity offering or asset sale event shall be subject to the prior repayment in full of the Loans and all other Obligations that are accrued and payable and the termination of the Commitments and the expiration, cancellation, termination or cash collateralization of any Letters of Credit in accordance with the terms hereof), (b) is redeemable at the option of the holder thereof (other than solely for Qualified Equity Interests and except as permitted in clause (a) above), in whole or in part, (c) requires the scheduled payments of dividends in cash (for this purpose, dividends shall not be considered required if the issuer has the option to permit them to accrue, cumulate, accrete or increase in liquidation preference or if the Borrower has the option to pay such dividends solely in Qualified Equity Interests), or (d) is or becomes convertible into or exchangeable for Indebtedness or any other Equity Interests that would constitute Disqualified Equity Interests, in each case, prior to the date that is 91 days after the Latest Maturity Date.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member state of the European Union, Iceland, Liechtenstein and Norway.</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all of the conditions specified in Section 4.01 shall have been satisfied.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Copy</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any Person that meets the requirements to be an assignee under Section 9.04(b)(iii), (v) and (vi) (subject to such consents, if any, as may be required under Section 9.04(b)(iii)).</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means the economic and monetary union in accordance with the Treaty of Rome 1957, as amended by the Single European Act 1986, the Maastricht Treaty of 1992 and the Amsterdam Treaty of 1998.</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imposing liability or standards of conduct concerning protection of the environment, preservation or reclamation of natural resources, the management, release or threatened release of any Hazardous Material or the effect of Hazardous Materials in the environment on health and safety matters.</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30" w:name="page31"/>
    <w:bookmarkEnd w:id="30"/>
    <w:p>
      <w:pPr>
        <w:ind w:left="4"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interests in a Person, and any warrants, options or other rights entitling the holder thereof to purchase or acquire any such equity interest (other than, prior to such conversion, Indebtedness that is convertible into any such equity interests).</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of any Loan Party or any of its ERISA Affiliates from any Plan or Multiemployer Plan; or (g) the receipt by any Loan Party or any ERISA Affiliate of any notice, or the receipt by any Multiemployer Plan from any Loan Party or any ERISA Affiliate of any notice, concerning the imposition upon any Loan Party or any of its ERISA Affiliates of Withdrawal Liability or a determination that a Multiemployer Plan is, or is expected to be, insolvent, within the meaning of Title IV of ERISA.</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EU/UK Listed Person</w:t>
      </w:r>
      <w:r>
        <w:rPr>
          <w:rFonts w:ascii="Arial" w:cs="Arial" w:eastAsia="Arial" w:hAnsi="Arial"/>
          <w:sz w:val="18"/>
          <w:szCs w:val="18"/>
          <w:color w:val="auto"/>
        </w:rPr>
        <w:t>” has the meaning assigned in Section 3.15(a).</w:t>
      </w:r>
    </w:p>
    <w:p>
      <w:pPr>
        <w:spacing w:after="0" w:line="22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LIBO Rate.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Finco</w:t>
      </w:r>
      <w:r>
        <w:rPr>
          <w:rFonts w:ascii="Arial" w:cs="Arial" w:eastAsia="Arial" w:hAnsi="Arial"/>
          <w:sz w:val="16"/>
          <w:szCs w:val="16"/>
          <w:color w:val="auto"/>
        </w:rPr>
        <w:t>” means Finco, so long as (i) it holds (directly, and together with its Subsidiaries), not more than de minimis assets (other than</w:t>
      </w:r>
    </w:p>
    <w:p>
      <w:pPr>
        <w:spacing w:after="0" w:line="46" w:lineRule="exact"/>
        <w:rPr>
          <w:sz w:val="20"/>
          <w:szCs w:val="20"/>
          <w:color w:val="auto"/>
        </w:rPr>
      </w:pPr>
    </w:p>
    <w:p>
      <w:pPr>
        <w:ind w:left="4" w:right="20" w:hanging="4"/>
        <w:spacing w:after="0" w:line="253"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intercompany notes or receivables that relate to the repayment of principal and interest of the Finco Designated Indebtedness or (y) any proceeds from any Indebtedness of Finco (so long as such proceeds are intended to be distributed to the Borrower) or intercompany notes or receivables that relate to the distribution of such proceeds to the Borrower), (ii) it does not generate more than de minimis Consolidated EBITDA and (iii) it does not at any time guarantee any third-party Indebtedness of the Borrower.</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1" w:name="page32"/>
    <w:bookmarkEnd w:id="31"/>
    <w:p>
      <w:pPr>
        <w:ind w:right="8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withholding Taxes imposed on amounts payable to or for the account of such Lender with respect to an applicable interest in a Loan or Commitment pursuant to a law in effect on the date of which (i) such Lender acquires such interest in the Loan or Commitment (other than pursuant to an assignment request by the Borrower under Section 2.18)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2.16(e), and (d) withholding Taxes imposed pursuant to FATCA.</w:t>
      </w:r>
    </w:p>
    <w:p>
      <w:pPr>
        <w:spacing w:after="0" w:line="18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means the Revolving Credit Agreement, dated as of July 27, 2018 (as amended, restated, supplemented or otherwise modified from time to time), among Mylan Inc., as the borrower, Mylan N.V., as the parent and a guarantor, the other guarantors from time to time party thereto, the lenders and issuing banks from time to time party thereto and Bank of America, N.A., as administrative agent.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the Letters of Credit listed on </w:t>
      </w:r>
      <w:r>
        <w:rPr>
          <w:rFonts w:ascii="Arial" w:cs="Arial" w:eastAsia="Arial" w:hAnsi="Arial"/>
          <w:sz w:val="18"/>
          <w:szCs w:val="18"/>
          <w:u w:val="single" w:color="auto"/>
          <w:color w:val="auto"/>
        </w:rPr>
        <w:t>Schedule 2.05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Revolver Tranche</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Commitments</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Revolving Lender</w:t>
      </w:r>
      <w:r>
        <w:rPr>
          <w:rFonts w:ascii="Arial" w:cs="Arial" w:eastAsia="Arial" w:hAnsi="Arial"/>
          <w:sz w:val="18"/>
          <w:szCs w:val="18"/>
          <w:color w:val="auto"/>
        </w:rPr>
        <w:t>” has the meaning assigned to such term in Section 2.21(b).</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32" w:name="page33"/>
    <w:bookmarkEnd w:id="32"/>
    <w:p>
      <w:pPr>
        <w:ind w:right="14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if the Federal Funds Effective Rate shall be less than zero, the Federal Funds Effective Rate shall be deemed zero for purposes of this Agreement.</w:t>
      </w:r>
    </w:p>
    <w:p>
      <w:pPr>
        <w:spacing w:after="0" w:line="178"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each of the fee letters entered into by and among the Borrower and any of the Arrangers (or any of their respective affiliates) and/or the Administrative Agent in connection with this Agreement.</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 or the relevant Loan Party,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Finco</w:t>
      </w:r>
      <w:r>
        <w:rPr>
          <w:rFonts w:ascii="Arial" w:cs="Arial" w:eastAsia="Arial" w:hAnsi="Arial"/>
          <w:sz w:val="18"/>
          <w:szCs w:val="18"/>
          <w:color w:val="auto"/>
        </w:rPr>
        <w:t>” means Upjohn Finance B.V., a wholly owned financing subsidiary of the Borrower.</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Finco Designated Indebtedness</w:t>
      </w:r>
      <w:r>
        <w:rPr>
          <w:rFonts w:ascii="Arial" w:cs="Arial" w:eastAsia="Arial" w:hAnsi="Arial"/>
          <w:sz w:val="18"/>
          <w:szCs w:val="18"/>
          <w:color w:val="auto"/>
        </w:rPr>
        <w:t>” means Indebtedness of Finco issued after the Effective Date and on or prior to the Closing Date, the proceeds of which are used to fund, in full or in part, the Borrower Cash Distribution and related transaction fees and expenses.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 or any successor to its rating agency business.</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Jurisdiction Deposit</w:t>
      </w:r>
      <w:r>
        <w:rPr>
          <w:rFonts w:ascii="Arial" w:cs="Arial" w:eastAsia="Arial" w:hAnsi="Arial"/>
          <w:sz w:val="18"/>
          <w:szCs w:val="18"/>
          <w:color w:val="auto"/>
        </w:rPr>
        <w:t>” means a deposit or Guarantee incurred in the ordinary course of business and required by any Governmental Authority in a foreign jurisdiction as a condition of doing business in such jurisdiction.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resident or organized under the laws of a jurisdiction other than that in which the Borrower is resident for tax purposes.</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resident or organized under the laws of a jurisdiction other than that in which the Borrower is resident, incorporated or organized.</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those set forth in the Financial Accounting Standards Board’s “Accounting Standards Codification” or in such other statements by such other entity as approved by a significant segment of the accounting profession.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33" w:name="page34"/>
    <w:bookmarkEnd w:id="33"/>
    <w:p>
      <w:pPr>
        <w:ind w:left="4" w:right="14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7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The amount of any Guarantee of any guaranteeing person shall be deemed to be the lower of</w:t>
      </w:r>
    </w:p>
    <w:p>
      <w:pPr>
        <w:spacing w:after="0" w:line="6" w:lineRule="exact"/>
        <w:rPr>
          <w:sz w:val="20"/>
          <w:szCs w:val="20"/>
          <w:color w:val="auto"/>
        </w:rPr>
      </w:pPr>
    </w:p>
    <w:p>
      <w:pPr>
        <w:ind w:left="244" w:hanging="244"/>
        <w:spacing w:after="0"/>
        <w:tabs>
          <w:tab w:leader="none" w:pos="24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amount equal to the stated or determinable amount of the primary obligation, or portion thereof, in respect of which such Guarantee is made and</w:t>
      </w:r>
    </w:p>
    <w:p>
      <w:pPr>
        <w:spacing w:after="0" w:line="32" w:lineRule="exact"/>
        <w:rPr>
          <w:rFonts w:ascii="Arial" w:cs="Arial" w:eastAsia="Arial" w:hAnsi="Arial"/>
          <w:sz w:val="16"/>
          <w:szCs w:val="16"/>
          <w:color w:val="auto"/>
        </w:rPr>
      </w:pPr>
    </w:p>
    <w:p>
      <w:pPr>
        <w:ind w:left="4" w:right="160" w:hanging="4"/>
        <w:spacing w:after="0" w:line="253"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amount for which such guaranteeing person may be liable pursuant to the terms of the instrument embodying such Guarantee, unless such primary obligation or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w:t>
      </w:r>
    </w:p>
    <w:p>
      <w:pPr>
        <w:spacing w:after="0" w:line="193" w:lineRule="exact"/>
        <w:rPr>
          <w:sz w:val="20"/>
          <w:szCs w:val="20"/>
          <w:color w:val="auto"/>
        </w:rPr>
      </w:pPr>
    </w:p>
    <w:p>
      <w:pPr>
        <w:ind w:left="4"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means the Guarantee set forth in Article X or other form of guarantee agreement reasonably acceptable to the Administrative Agent and the Borrower.</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from and after the consummation of the Combination, each Affiliate or Subsidiary of the Borrower (including each Mylan Guarantor), if any, that provides a guarantee of the Obligations pursuant to Section 5.09(a) or otherwise.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Joinder Agreement</w:t>
      </w:r>
      <w:r>
        <w:rPr>
          <w:rFonts w:ascii="Arial" w:cs="Arial" w:eastAsia="Arial" w:hAnsi="Arial"/>
          <w:sz w:val="18"/>
          <w:szCs w:val="18"/>
          <w:color w:val="auto"/>
        </w:rPr>
        <w:t>” has the meaning assigned in Section 5.09(a).</w:t>
      </w:r>
    </w:p>
    <w:p>
      <w:pPr>
        <w:spacing w:after="0" w:line="225" w:lineRule="exact"/>
        <w:rPr>
          <w:sz w:val="20"/>
          <w:szCs w:val="20"/>
          <w:color w:val="auto"/>
        </w:rPr>
      </w:pPr>
    </w:p>
    <w:p>
      <w:pPr>
        <w:jc w:val="both"/>
        <w:ind w:left="4"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(including infectious or medical wastes) of any nature regulated pursuant to any Environmental Law.</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has the meaning set forth in Section 2.05(c)(i).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has the meaning set forth in Section 2.13(a).</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4" w:name="page35"/>
    <w:bookmarkEnd w:id="3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Increased Commitments</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milestone payments incurred in connection with any investment or series of related investments, any earn-out obligation except to the extent such obligation is no longer contingent and appears as a liability on the balance sheet of such Person in accordance with GAAP and deferred or equity compensation arrangements payable to directors, officers or employees),</w:t>
      </w:r>
    </w:p>
    <w:p>
      <w:pPr>
        <w:spacing w:after="0" w:line="4" w:lineRule="exact"/>
        <w:rPr>
          <w:sz w:val="20"/>
          <w:szCs w:val="20"/>
          <w:color w:val="auto"/>
        </w:rPr>
      </w:pPr>
    </w:p>
    <w:p>
      <w:pPr>
        <w:ind w:left="4" w:right="140" w:hanging="4"/>
        <w:spacing w:after="0" w:line="281"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 but limited to the fair market value of such Property (except to the extent otherwise provided in this definition), (f) all Guarantees by such Person of Indebtedness of others,</w:t>
      </w:r>
    </w:p>
    <w:p>
      <w:pPr>
        <w:spacing w:after="0" w:line="1" w:lineRule="exact"/>
        <w:rPr>
          <w:rFonts w:ascii="Arial" w:cs="Arial" w:eastAsia="Arial" w:hAnsi="Arial"/>
          <w:sz w:val="16"/>
          <w:szCs w:val="16"/>
          <w:color w:val="auto"/>
        </w:rPr>
      </w:pPr>
    </w:p>
    <w:p>
      <w:pPr>
        <w:ind w:left="4" w:hanging="4"/>
        <w:spacing w:after="0" w:line="284" w:lineRule="auto"/>
        <w:tabs>
          <w:tab w:leader="none" w:pos="259"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all Capital Lease Obligations of such Person, (h) all obligations, contingent or otherwise, of such Person as an account party in respect of letters of credit and letters of guaranty, (i) all obligations, contingent or otherwise, of such Person in respect of bankers’ acceptances, (j) all obligations of such Person under any Swap Agreement (with the “principal” amount of any Swap Agreement on any date being equal to the early termination value thereof on such date) and (k) all Attributable Receivables Indebtedness. The Indebtedness of any Person shall (i) include the Indebtedness of any other entity (including any partnership in which such Person is a general partner) to the extent such Person is expressly liable therefor as a result of such Person’s ownership interest in or other relationship with such entity and pursuant to contractual arrangements, except to the extent the terms of such Indebtedness provide that such Person is not liable therefor and (ii) exclude (A) customer deposits and advances and interest payable thereon in the ordinary course of business in accordance with customary trade terms and other obligations incurred in the ordinary course of business through credit on an open account basis customarily extended to such Person, (B) obligations under customary overdraft arrangements with banks outside the United States incurred in the ordinary course of business to cover working capital needs and (C) bona fide indemnification, purchase price adjustment, earn-outs, holdback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time of closing, the amount of any such payment is not determinable or is contingent and, to the extent such payment thereafter becomes fixed and determined and no longer contingent, the amount is paid within 60 days thereafter and included as Indebtedness of such Person.</w:t>
      </w:r>
    </w:p>
    <w:p>
      <w:pPr>
        <w:spacing w:after="0" w:line="178" w:lineRule="exact"/>
        <w:rPr>
          <w:sz w:val="20"/>
          <w:szCs w:val="20"/>
          <w:color w:val="auto"/>
        </w:rPr>
      </w:pPr>
    </w:p>
    <w:p>
      <w:pPr>
        <w:ind w:left="4" w:right="4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9.03(b).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specified in Section 9.12.</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35" w:name="page36"/>
    <w:bookmarkEnd w:id="3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to convert or continue a Revolving Borrowing in accordance with Section 2.03.</w:t>
      </w:r>
    </w:p>
    <w:p>
      <w:pPr>
        <w:spacing w:after="0" w:line="23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Base Rate Loan (other than a Swingline Loan), the last day of each March, June, September and December,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(c) with respect to any Swingline Loan, the day that such Loan is required to be repaid.</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Eurocurrency Borrowing under any Class of Commitments, the period commencing on the date of such Borrowing and ending on the numerically corresponding day in the calendar month that is one, two, three or six months thereafter (in each case, subject to availability), or such other period that is twelve months or less requested by the Borrower and that is consented to by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Interest Period would end on a day other than a Business Day, such Interest Period shall be extended to the next succeeding Business Day unless, in the case of a Eurocurrency Borrowing only, such next succeeding Business Day would fall in the next calendar month, in which case such Interest Period shall end on the next preceding Business Day,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Revolving Credit Maturity Date with respect to such Class.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6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as to any Person, any direct or indirect acquisition or investment by such Person, whether by means of (a) the purchase or other acquisition of Equity Interests or debt or other securities of another Person or (b) a loan, advance or capital contribution to, Guarantee of Indebtedness of,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Section 6.05, (i) the amount of any Investment shall be the amount actually invested, without adjustment for subsequent increases or decreases in the value of such Investment, less any amount paid, repaid, returned, distributed or otherwise received in cash in respect of such Investment not to exceed the original amount of such Investment and (ii) in the event the Borrower or any Subsidiary (an “</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Investing Person</w:t>
      </w:r>
      <w:r>
        <w:rPr>
          <w:rFonts w:ascii="Arial" w:cs="Arial" w:eastAsia="Arial" w:hAnsi="Arial"/>
          <w:sz w:val="17"/>
          <w:szCs w:val="17"/>
          <w:color w:val="auto"/>
        </w:rPr>
        <w:t>”) transfers an amount of cash or other Property (the “</w:t>
      </w:r>
      <w:r>
        <w:rPr>
          <w:rFonts w:ascii="Arial" w:cs="Arial" w:eastAsia="Arial" w:hAnsi="Arial"/>
          <w:sz w:val="17"/>
          <w:szCs w:val="17"/>
          <w:u w:val="single" w:color="auto"/>
          <w:color w:val="auto"/>
        </w:rPr>
        <w:t>Invested Amount</w:t>
      </w:r>
      <w:r>
        <w:rPr>
          <w:rFonts w:ascii="Arial" w:cs="Arial" w:eastAsia="Arial" w:hAnsi="Arial"/>
          <w:sz w:val="17"/>
          <w:szCs w:val="17"/>
          <w:color w:val="auto"/>
        </w:rPr>
        <w:t>”) for purposes of permitting the Borrower or one or more other Subsidiaries to ultimately make an Investment of the Invested Amount in the Borrower, any Subsidiary or any other Person (the Person in which such Investment is ultimately made, the “</w:t>
      </w:r>
      <w:r>
        <w:rPr>
          <w:rFonts w:ascii="Arial" w:cs="Arial" w:eastAsia="Arial" w:hAnsi="Arial"/>
          <w:sz w:val="17"/>
          <w:szCs w:val="17"/>
          <w:u w:val="single" w:color="auto"/>
          <w:color w:val="auto"/>
        </w:rPr>
        <w:t>Subject Person</w:t>
      </w:r>
      <w:r>
        <w:rPr>
          <w:rFonts w:ascii="Arial" w:cs="Arial" w:eastAsia="Arial" w:hAnsi="Arial"/>
          <w:sz w:val="17"/>
          <w:szCs w:val="17"/>
          <w:color w:val="auto"/>
        </w:rPr>
        <w:t>”) through a series of substantially concurrent intermediate transfers of the Invested Amount to the Borrower or one or more other Subsidiaries other than the Subject Person (each an “</w:t>
      </w:r>
      <w:r>
        <w:rPr>
          <w:rFonts w:ascii="Arial" w:cs="Arial" w:eastAsia="Arial" w:hAnsi="Arial"/>
          <w:sz w:val="17"/>
          <w:szCs w:val="17"/>
          <w:u w:val="single" w:color="auto"/>
          <w:color w:val="auto"/>
        </w:rPr>
        <w:t>Intermediate Investing Person</w:t>
      </w:r>
      <w:r>
        <w:rPr>
          <w:rFonts w:ascii="Arial" w:cs="Arial" w:eastAsia="Arial" w:hAnsi="Arial"/>
          <w:sz w:val="17"/>
          <w:szCs w:val="17"/>
          <w:color w:val="auto"/>
        </w:rPr>
        <w:t>”), including through the incurrence or repayment of intercompany Indebtedness,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6" w:name="page37"/>
    <w:bookmarkEnd w:id="36"/>
    <w:p>
      <w:pPr>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capital contributions or redemptions of Equity Interests, then, for all purposes of Section 6.05, any transfers of the Invested Amount to Intermediate Investing Persons in connection therewith shall be disregarded and such transaction, taken as a whole, shall be deemed to have been solely an Investment of the Invested Amount by the Initial Investing Person in the Subject Person and not an Investment in any Intermediate Investing Person.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the applicable Issuing Bank and the Borrower (or any Subsidiary) or in favor of the applicable Issuing Bank and relating to such Letter of Credit.</w:t>
      </w:r>
    </w:p>
    <w:p>
      <w:pPr>
        <w:spacing w:after="0" w:line="184" w:lineRule="exact"/>
        <w:rPr>
          <w:sz w:val="20"/>
          <w:szCs w:val="20"/>
          <w:color w:val="auto"/>
        </w:rPr>
      </w:pPr>
    </w:p>
    <w:p>
      <w:pPr>
        <w:jc w:val="both"/>
        <w:ind w:righ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Bank of America, Goldman Sachs Bank USA and any other Lender (subject to such Lender’s consent) designated by the Borrower and consented to by the Administrative Agent (such consent not to be unreasonably withheld or delayed) that becomes an Issuing Bank, in each case in its capacity as an issuer of Letters of Credit hereunder, and any successors in such capacity as provided in Section 9.04. An Issuing Bank may, in its discretion, arrange for one or more Letters of Credit to be issued by Affiliates of such Issuing Bank, in which case the term “</w:t>
      </w:r>
      <w:r>
        <w:rPr>
          <w:rFonts w:ascii="Arial" w:cs="Arial" w:eastAsia="Arial" w:hAnsi="Arial"/>
          <w:sz w:val="17"/>
          <w:szCs w:val="17"/>
          <w:u w:val="single" w:color="auto"/>
          <w:color w:val="auto"/>
        </w:rPr>
        <w:t>Issuing Bank</w:t>
      </w:r>
      <w:r>
        <w:rPr>
          <w:rFonts w:ascii="Arial" w:cs="Arial" w:eastAsia="Arial" w:hAnsi="Arial"/>
          <w:sz w:val="17"/>
          <w:szCs w:val="17"/>
          <w:color w:val="auto"/>
        </w:rPr>
        <w:t>” shall include any such Affiliate with respect to Letters of Credit issued by such Affiliate.</w:t>
      </w:r>
    </w:p>
    <w:p>
      <w:pPr>
        <w:spacing w:after="0" w:line="17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determination, the latest Revolving Credit Maturity Date applicable to any Class of Loans or Commitments hereunder at such time, including the latest termination date of any Extended Revolving Commitment, as extended in accordance with this Agreement from time to time.</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guidelines, regulations, ordinances, codes and administrative or judicial precedents or authorities.</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Lender, such Revolving Lender’s funding of its participation in any L/C Borrowing in accordance with its Applicable Percentage. All L/C Advances shall be denominated in Dollars.</w:t>
      </w:r>
    </w:p>
    <w:p>
      <w:pPr>
        <w:spacing w:after="0" w:line="170"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Borrowing</w:t>
      </w:r>
      <w:r>
        <w:rPr>
          <w:rFonts w:ascii="Arial" w:cs="Arial" w:eastAsia="Arial" w:hAnsi="Arial"/>
          <w:sz w:val="17"/>
          <w:szCs w:val="17"/>
          <w:color w:val="auto"/>
        </w:rPr>
        <w:t>” means an extension of credit resulting from an L/C Disbursement under any Letter of Credit which has not been reimbursed on the date when made or refinanced as a Base Rate Revolving Borrowing. All L/C Borrowings shall be denominated in Dollars.</w:t>
      </w:r>
    </w:p>
    <w:p>
      <w:pPr>
        <w:spacing w:after="0" w:line="14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440" w:top="274" w:right="559" w:bottom="1440" w:gutter="0" w:footer="0" w:header="0"/>
        </w:sectPr>
      </w:pPr>
    </w:p>
    <w:bookmarkStart w:id="37" w:name="page38"/>
    <w:bookmarkEnd w:id="37"/>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Outstanding Amount of all Letters of Credit at such time plus (b) the aggregate Outstanding Amount of all L/C Disbursements, including Unreimbursed Amounts, that have not yet been reimbursed by or on behalf of the Borrower at such time. The L/C Exposure of any Revolving Lender at any time shall be its Applicable Percentage of the total L/C Exposure at such time. For purposes of computing the amount available to be drawn under any Letter of Credit, the amount of such Letter of Credit shall be determined in accordance with Section 1.11.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 Sublimit</w:t>
      </w:r>
      <w:r>
        <w:rPr>
          <w:rFonts w:ascii="Arial" w:cs="Arial" w:eastAsia="Arial" w:hAnsi="Arial"/>
          <w:sz w:val="18"/>
          <w:szCs w:val="18"/>
          <w:color w:val="auto"/>
        </w:rPr>
        <w:t xml:space="preserve">” means $300,000,000;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Letters of Credit for which Bank of America (together with its successors and assigns) acts as Issuing Bank shall not exceed $150,000,000 at any time (as such amount may be increased from time to time in the sole discretion of Bank of America, so long as such amount does not exceed the L/C Exposure Sublimit and notice of such increase is provided to the Administrative Agent) and (ii) the Letters of Credit for which Goldman Sachs Bank USA (together with its successors and assigns) acts as Issuing Bank shall not exceed $150,000,000 at any time (as such amount may be increased from time to time in the sole discretion of Goldman Sachs Bank USA, so long as such amount does not exceed the L/C Exposure Sublimit).</w:t>
      </w:r>
    </w:p>
    <w:p>
      <w:pPr>
        <w:spacing w:after="0" w:line="19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Lender hereunder pursuant to Section 2.19 or pursuant to an Assignment and Assumption, other than any such Person that ceases to be a party hereto pursuant to an Assignment and Assumption. Unless the context otherwise requires, the term “Lenders” includes the Swingline Lender.</w:t>
      </w:r>
    </w:p>
    <w:p>
      <w:pPr>
        <w:spacing w:after="0" w:line="184"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Parties</w:t>
      </w:r>
      <w:r>
        <w:rPr>
          <w:rFonts w:ascii="Arial" w:cs="Arial" w:eastAsia="Arial" w:hAnsi="Arial"/>
          <w:sz w:val="17"/>
          <w:szCs w:val="17"/>
          <w:color w:val="auto"/>
        </w:rPr>
        <w:t>” means, collectively, the Administrative Agent, the Lenders (including the Swingline Lender), the Issuing Banks and each co-agent or sub-agent appointed by the Administrative Agent from time to time pursuant to clause (e) of Article VIII.</w:t>
      </w:r>
    </w:p>
    <w:p>
      <w:pPr>
        <w:spacing w:after="0" w:line="14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Letter of Credit issued pursuant to Section 2.05.</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Issuing Bank.</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five Business Days prior to (a) the initial Revolving Credit Maturity Date or (b) if the Commitment of each applicable Issuing Bank is extended pursuant to a Revolving Extension Series, the Latest Maturity Date (or, in each case, if such day is not a Business Day, the next preceding Business Day).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LIBO Rate</w:t>
      </w:r>
      <w:r>
        <w:rPr>
          <w:rFonts w:ascii="Arial" w:cs="Arial" w:eastAsia="Arial" w:hAnsi="Arial"/>
          <w:sz w:val="18"/>
          <w:szCs w:val="18"/>
          <w:color w:val="auto"/>
        </w:rPr>
        <w:t>” means:</w:t>
      </w:r>
    </w:p>
    <w:p>
      <w:pPr>
        <w:spacing w:after="0" w:line="225" w:lineRule="exact"/>
        <w:rPr>
          <w:sz w:val="20"/>
          <w:szCs w:val="20"/>
          <w:color w:val="auto"/>
        </w:rPr>
      </w:pPr>
    </w:p>
    <w:p>
      <w:pPr>
        <w:ind w:left="1360" w:hanging="373"/>
        <w:spacing w:after="0"/>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With respect to any Credit Event:</w:t>
      </w:r>
    </w:p>
    <w:p>
      <w:pPr>
        <w:spacing w:after="0" w:line="117" w:lineRule="exact"/>
        <w:rPr>
          <w:rFonts w:ascii="Arial" w:cs="Arial" w:eastAsia="Arial" w:hAnsi="Arial"/>
          <w:sz w:val="18"/>
          <w:szCs w:val="18"/>
          <w:color w:val="auto"/>
        </w:rPr>
      </w:pPr>
    </w:p>
    <w:p>
      <w:pPr>
        <w:ind w:left="440" w:firstLine="419"/>
        <w:spacing w:after="0" w:line="257" w:lineRule="auto"/>
        <w:tabs>
          <w:tab w:leader="none" w:pos="12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Borrowing or Loan, denominated in any LIBOR Quoted Currency,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w:t>
      </w:r>
    </w:p>
    <w:p>
      <w:pPr>
        <w:spacing w:after="0" w:line="79" w:lineRule="exact"/>
        <w:rPr>
          <w:rFonts w:ascii="Arial" w:cs="Arial" w:eastAsia="Arial" w:hAnsi="Arial"/>
          <w:sz w:val="18"/>
          <w:szCs w:val="18"/>
          <w:color w:val="auto"/>
        </w:rPr>
      </w:pPr>
    </w:p>
    <w:p>
      <w:pPr>
        <w:jc w:val="both"/>
        <w:ind w:left="440" w:right="20" w:firstLine="419"/>
        <w:spacing w:after="0" w:line="263" w:lineRule="auto"/>
        <w:tabs>
          <w:tab w:leader="none" w:pos="12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Borrowing or Loan, denominated in any Non-LIBOR Quoted Currency, the rate per annum as designated with respect to such Alternative Currency at the time such Alternative Currency is approved by the Administrative Agent and the Revolving Lenders pursuant to Section 1.08(a); and</w:t>
      </w:r>
    </w:p>
    <w:p>
      <w:pPr>
        <w:spacing w:after="0" w:line="183" w:lineRule="exact"/>
        <w:rPr>
          <w:rFonts w:ascii="Arial" w:cs="Arial" w:eastAsia="Arial" w:hAnsi="Arial"/>
          <w:sz w:val="18"/>
          <w:szCs w:val="18"/>
          <w:color w:val="auto"/>
        </w:rPr>
      </w:pPr>
    </w:p>
    <w:p>
      <w:pPr>
        <w:ind w:right="320" w:firstLine="987"/>
        <w:spacing w:after="0" w:line="308" w:lineRule="auto"/>
        <w:tabs>
          <w:tab w:leader="none" w:pos="1381" w:val="left"/>
        </w:tabs>
        <w:numPr>
          <w:ilvl w:val="1"/>
          <w:numId w:val="25"/>
        </w:numPr>
        <w:rPr>
          <w:rFonts w:ascii="Arial" w:cs="Arial" w:eastAsia="Arial" w:hAnsi="Arial"/>
          <w:sz w:val="17"/>
          <w:szCs w:val="17"/>
          <w:color w:val="auto"/>
        </w:rPr>
      </w:pPr>
      <w:r>
        <w:rPr>
          <w:rFonts w:ascii="Arial" w:cs="Arial" w:eastAsia="Arial" w:hAnsi="Arial"/>
          <w:sz w:val="17"/>
          <w:szCs w:val="17"/>
          <w:color w:val="auto"/>
        </w:rPr>
        <w:t>for any rate calculation with respect to a Base Rate Loan on any date, the rate per annum equal to LIBOR, at or about 11:00 a.m., London time determined two Business Days prior to such date for Dollar deposits with a term of one month commencing that day;</w:t>
      </w:r>
    </w:p>
    <w:p>
      <w:pPr>
        <w:spacing w:after="0" w:line="146" w:lineRule="exact"/>
        <w:rPr>
          <w:rFonts w:ascii="Arial" w:cs="Arial" w:eastAsia="Arial" w:hAnsi="Arial"/>
          <w:sz w:val="17"/>
          <w:szCs w:val="17"/>
          <w:color w:val="auto"/>
        </w:rPr>
      </w:pPr>
    </w:p>
    <w:p>
      <w:pPr>
        <w:ind w:right="140" w:firstLine="987"/>
        <w:spacing w:after="0" w:line="277" w:lineRule="auto"/>
        <w:tabs>
          <w:tab w:leader="none" w:pos="137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LIBOR or the rate referred to in clause (a)(ii) shall be less than zero, such rate shall in each case be deemed zero for purposes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LIBO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Quoted Currency</w:t>
      </w:r>
      <w:r>
        <w:rPr>
          <w:rFonts w:ascii="Arial" w:cs="Arial" w:eastAsia="Arial" w:hAnsi="Arial"/>
          <w:sz w:val="18"/>
          <w:szCs w:val="18"/>
          <w:color w:val="auto"/>
        </w:rPr>
        <w:t>” means each of the following currencies: Dollars; Euro; Sterling; and Yen; in each case as long as there is a published LIBOR rate with respect thereto.</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deed of trust, lien, pledge, hypothecation, encumbrance, charge or security interest in, on or of such asset (or any capital lease having substantially the same economic effect as any of the foregoing).</w:t>
      </w:r>
    </w:p>
    <w:p>
      <w:pPr>
        <w:spacing w:after="0" w:line="170"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any Guarantee Agreement, any Guarantor Joinder Agreement, any Issuer Documents, any promissory notes executed and delivered pursuant to Section 2.09(e) and any amendments, waivers, supplements or other modifications to any of the foregoing.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the Guarantors from time to time party hereto, if any.</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 (including the loan made under the Certain Funds Draw).</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property or financial condition of the Borrower and its Subsidiaries taken as a whole or (b) the validity or enforceability of this Agreement or any and all other Loan Documents, or the rights and remedies of the Administrative Agent and the Lenders thereunder.</w:t>
      </w:r>
    </w:p>
    <w:p>
      <w:pPr>
        <w:spacing w:after="0" w:line="18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and Letters of Credit), of any one or more of the Loan Parties and their Subsidiaries in an aggregate principal amount exceeding $250,000,000.</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Guarantor or any Subsidiary (or group of Subsidiaries as to which a specified condition applies) that would be a “significant subsidiary” under Rule 1-02(w) of Regulation S-X.</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Guarantors</w:t>
      </w:r>
      <w:r>
        <w:rPr>
          <w:rFonts w:ascii="Arial" w:cs="Arial" w:eastAsia="Arial" w:hAnsi="Arial"/>
          <w:sz w:val="18"/>
          <w:szCs w:val="18"/>
          <w:color w:val="auto"/>
        </w:rPr>
        <w:t>” means each Affiliate or Subsidiary of the Borrower, including Mylan Inc., that, immediately following the consummation of the Combination, is an issuer or guarantor of any Mylan Notes or is otherwise required to provide a guarantee of the Obligations pursuant to Section 5.09(a).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Indentures</w:t>
      </w:r>
      <w:r>
        <w:rPr>
          <w:rFonts w:ascii="Arial" w:cs="Arial" w:eastAsia="Arial" w:hAnsi="Arial"/>
          <w:sz w:val="18"/>
          <w:szCs w:val="18"/>
          <w:color w:val="auto"/>
        </w:rPr>
        <w:t>” means the following:</w:t>
      </w:r>
    </w:p>
    <w:p>
      <w:pPr>
        <w:spacing w:after="0" w:line="225" w:lineRule="exact"/>
        <w:rPr>
          <w:sz w:val="20"/>
          <w:szCs w:val="20"/>
          <w:color w:val="auto"/>
        </w:rPr>
      </w:pPr>
    </w:p>
    <w:p>
      <w:pPr>
        <w:ind w:left="1360" w:hanging="373"/>
        <w:spacing w:after="0"/>
        <w:tabs>
          <w:tab w:leader="none" w:pos="1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Indenture dated as of December 21, 2012, among Mylan Inc., as issuer, the subsidiaries party thereto, and The Bank of New York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Mellon, as trustee;</w:t>
      </w:r>
    </w:p>
    <w:p>
      <w:pPr>
        <w:spacing w:after="0" w:line="210" w:lineRule="exact"/>
        <w:rPr>
          <w:rFonts w:ascii="Arial" w:cs="Arial" w:eastAsia="Arial" w:hAnsi="Arial"/>
          <w:sz w:val="16"/>
          <w:szCs w:val="16"/>
          <w:color w:val="auto"/>
        </w:rPr>
      </w:pPr>
    </w:p>
    <w:p>
      <w:pPr>
        <w:ind w:firstLine="987"/>
        <w:spacing w:after="0" w:line="277" w:lineRule="auto"/>
        <w:tabs>
          <w:tab w:leader="none" w:pos="13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as guarantor, and The Bank of New York Mellon, as trustee, to the indenture dated as of December 21, 2012;</w:t>
      </w:r>
    </w:p>
    <w:p>
      <w:pPr>
        <w:spacing w:after="0" w:line="170" w:lineRule="exact"/>
        <w:rPr>
          <w:rFonts w:ascii="Arial" w:cs="Arial" w:eastAsia="Arial" w:hAnsi="Arial"/>
          <w:sz w:val="18"/>
          <w:szCs w:val="18"/>
          <w:color w:val="auto"/>
        </w:rPr>
      </w:pPr>
    </w:p>
    <w:p>
      <w:pPr>
        <w:ind w:right="220" w:firstLine="987"/>
        <w:spacing w:after="0" w:line="277" w:lineRule="auto"/>
        <w:tabs>
          <w:tab w:leader="none" w:pos="13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as parent, and The Bank of New York Mellon, as trustee, to the indenture dated as of December 21, 2012;</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4" w:right="519" w:bottom="1440" w:gutter="0" w:footer="0" w:header="0"/>
        </w:sectPr>
      </w:pPr>
    </w:p>
    <w:bookmarkStart w:id="40" w:name="page41"/>
    <w:bookmarkEnd w:id="40"/>
    <w:p>
      <w:pPr>
        <w:ind w:left="1380" w:hanging="393"/>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November 29, 2013, by and between Mylan Inc., as issuer, and The Bank of New York Mellon, as trustee;</w:t>
      </w:r>
    </w:p>
    <w:p>
      <w:pPr>
        <w:spacing w:after="0" w:line="236" w:lineRule="exact"/>
        <w:rPr>
          <w:rFonts w:ascii="Arial" w:cs="Arial" w:eastAsia="Arial" w:hAnsi="Arial"/>
          <w:sz w:val="17"/>
          <w:szCs w:val="17"/>
          <w:color w:val="auto"/>
        </w:rPr>
      </w:pPr>
    </w:p>
    <w:p>
      <w:pPr>
        <w:ind w:right="460" w:firstLine="987"/>
        <w:spacing w:after="0" w:line="277" w:lineRule="auto"/>
        <w:tabs>
          <w:tab w:leader="none" w:pos="13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170" w:lineRule="exact"/>
        <w:rPr>
          <w:rFonts w:ascii="Arial" w:cs="Arial" w:eastAsia="Arial" w:hAnsi="Arial"/>
          <w:sz w:val="18"/>
          <w:szCs w:val="18"/>
          <w:color w:val="auto"/>
        </w:rPr>
      </w:pPr>
    </w:p>
    <w:p>
      <w:pPr>
        <w:ind w:right="280" w:firstLine="987"/>
        <w:spacing w:after="0" w:line="277" w:lineRule="auto"/>
        <w:tabs>
          <w:tab w:leader="none" w:pos="13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as guarantor, and The Bank of New York Mellon, as trustee, to the indenture dated as of November 29, 2013;</w:t>
      </w:r>
    </w:p>
    <w:p>
      <w:pPr>
        <w:spacing w:after="0" w:line="170" w:lineRule="exact"/>
        <w:rPr>
          <w:rFonts w:ascii="Arial" w:cs="Arial" w:eastAsia="Arial" w:hAnsi="Arial"/>
          <w:sz w:val="18"/>
          <w:szCs w:val="18"/>
          <w:color w:val="auto"/>
        </w:rPr>
      </w:pPr>
    </w:p>
    <w:p>
      <w:pPr>
        <w:ind w:right="20" w:firstLine="987"/>
        <w:spacing w:after="0" w:line="277" w:lineRule="auto"/>
        <w:tabs>
          <w:tab w:leader="none" w:pos="13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as parent, and The Bank of New York Mellon, as trustee, to the indenture dated as of November 29, 2013;</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Indenture dated as of December 9, 2015, among Mylan, as issuer, Mylan Inc., as guarantor, and The Bank of New York Mellon,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left="1340" w:hanging="353"/>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Indenture dated as of June 9, 2016, among Mylan, as issuer, Mylan Inc., as guarantor, and The Bank of New York Mellon, as trustee;</w:t>
      </w:r>
    </w:p>
    <w:p>
      <w:pPr>
        <w:spacing w:after="0" w:line="248" w:lineRule="exact"/>
        <w:rPr>
          <w:rFonts w:ascii="Arial" w:cs="Arial" w:eastAsia="Arial" w:hAnsi="Arial"/>
          <w:sz w:val="16"/>
          <w:szCs w:val="16"/>
          <w:color w:val="auto"/>
        </w:rPr>
      </w:pPr>
    </w:p>
    <w:p>
      <w:pPr>
        <w:ind w:left="1340" w:hanging="353"/>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Indenture dated as of November 22, 2016, among Mylan, as issuer, Mylan Inc., as guarantor, and Citibank, N.A., London Branch,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left="1380" w:hanging="393"/>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Indenture dated as of May 24, 2017, among Mylan, as issuer, Mylan Inc., as guarantor, and Citibank, N.A., London Branch,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trustee;</w:t>
      </w:r>
    </w:p>
    <w:p>
      <w:pPr>
        <w:spacing w:after="0" w:line="210" w:lineRule="exact"/>
        <w:rPr>
          <w:rFonts w:ascii="Arial" w:cs="Arial" w:eastAsia="Arial" w:hAnsi="Arial"/>
          <w:sz w:val="17"/>
          <w:szCs w:val="17"/>
          <w:color w:val="auto"/>
        </w:rPr>
      </w:pPr>
    </w:p>
    <w:p>
      <w:pPr>
        <w:ind w:left="1340" w:hanging="353"/>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Indenture dated as of April 9, 2018, by and between Mylan Inc., as issuer, Mylan, as guarantor, and The Bank of New York Mellon,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trustee; and</w:t>
      </w:r>
    </w:p>
    <w:p>
      <w:pPr>
        <w:spacing w:after="0" w:line="210" w:lineRule="exact"/>
        <w:rPr>
          <w:rFonts w:ascii="Arial" w:cs="Arial" w:eastAsia="Arial" w:hAnsi="Arial"/>
          <w:sz w:val="16"/>
          <w:szCs w:val="16"/>
          <w:color w:val="auto"/>
        </w:rPr>
      </w:pPr>
    </w:p>
    <w:p>
      <w:pPr>
        <w:ind w:left="1420" w:hanging="433"/>
        <w:spacing w:after="0"/>
        <w:tabs>
          <w:tab w:leader="none" w:pos="1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Indenture dated as of May 23, 2018, by and between Mylan Inc., as issuer, Mylan, as guarantor, and Citibank, N.A., London Branch,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trustee.</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Notes</w:t>
      </w:r>
      <w:r>
        <w:rPr>
          <w:rFonts w:ascii="Arial" w:cs="Arial" w:eastAsia="Arial" w:hAnsi="Arial"/>
          <w:sz w:val="18"/>
          <w:szCs w:val="18"/>
          <w:color w:val="auto"/>
        </w:rPr>
        <w:t>” means any senior notes issued by Mylan and Mylan Inc., as applicable, under the Mylan Indentures and that remain outstanding upon the consummation of the Combination.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has the meaning set forth in Section 2.05(b)(iii).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Non-LIBOR Quoted Currency</w:t>
      </w:r>
      <w:r>
        <w:rPr>
          <w:rFonts w:ascii="Arial" w:cs="Arial" w:eastAsia="Arial" w:hAnsi="Arial"/>
          <w:sz w:val="18"/>
          <w:szCs w:val="18"/>
          <w:color w:val="auto"/>
        </w:rPr>
        <w:t>” means any currency other than a LIBOR Quoted Currency.</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made by the Borrower in favor of a Lender evidencing Loans made by such Lender to the Borrower, substantially in the form of Exhibit B.</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41" w:name="page42"/>
    <w:bookmarkEnd w:id="41"/>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indebtedness (including interest accruing during the pendency of any bankruptcy, insolvency, receivership or other similar proceeding, regardless of whether allowed or allowable in such proceeding) and other monetary obligations of any of the Loan Parties to any of the Lenders, their Affiliates and the Administrative Agent, individually or collectively, existing on the Closing Date or arising thereafter (direct or indirect, joint or several, absolute or contingent, matured or unmatured, liquidated or unliquidated, secured or unsecured) arising or incurred under this Agreement or any of the other Loan Documents (including under any of the Loans made or reimbursement or other monetary obligations incurred or any of the Letters of Credit or other instruments at any time evidencing any thereof), in each case whether now existing or hereafter arising, whether all such obligations arise or accrue before or after the commencement of any bankruptcy, insolvency or receivership proceedings (and whether or not such claims, interest, costs, expenses or fees are allowed or allowable in any such proceeding).</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Countries</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Listed Person</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in Section 2.17(a).</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87"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(i) with respect to Loans on any date, the Dollar Equivalent amount of the aggregate outstanding principal amount thereof after giving effect to any borrowings and prepayments or repayments of such Loans occurring on such date; (ii) with respect to Swingline Loans on any date, the aggregate outstanding principal amount thereof after giving effect to any borrowings and prepayments or repayments of such Swingline Loans occurring on such date; and (iii) with respect to any L/C Exposure on any date, the Dollar Equivalent amount of the aggregate outstanding amount of such L/C Exposure on such date after giving effect to any L/C Credit Extension occurring on such date and any other changes in the aggregate amount of the L/C Exposure as of such date, including as a result of any reimbursements by the Borrower of Unreimbursed Amounts.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2" w:name="page43"/>
    <w:bookmarkEnd w:id="42"/>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Effective Rate and (ii) an overnight rate reasonably determined by the Administrative Agent, the applicable Issuing Bank, or the Swingline Lender, as the case may be, in accordance with banking industry rules on interbank compensation, and (b) with respect to any amount denominated in an Alternative Currency, an overnight rate reasonably determined by the Administrative Agent or the applicable Issuing Bank, as the case may be, in accordance with banking industry rules on interbank compensation.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Bond Hedge Transaction</w:t>
      </w:r>
      <w:r>
        <w:rPr>
          <w:rFonts w:ascii="Arial" w:cs="Arial" w:eastAsia="Arial" w:hAnsi="Arial"/>
          <w:sz w:val="17"/>
          <w:szCs w:val="17"/>
          <w:color w:val="auto"/>
        </w:rPr>
        <w:t xml:space="preserve">” means (a) any call option or capped call option (or substantively equivalent derivative transaction) on the Borrower’s common stock purchased by the Borrower in connection with an incurrence of Permitted Convertible Indebtedness and (b) any call option or capped call option (or substantively equivalent derivative transaction) replacing or refinancing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sum of (i) the purchase price for any Permitted Bond Hedge Transaction occurring after the Closing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purchase price for any Permitted Bond Hedge Transaction it is refinancing or replacing,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cash proceeds received upon the termination or the retirement of the Permitted Bond Hedge Transaction it is replacing or refinancing, if any, less (y) the sum of (i) the cash proceeds from the sale of the related Permitted Warrant Transaction plus (ii) the cash proceeds from the sale of any Permitted Warrant Transaction refinancing or replacing such related Permitted Warrant Transaction,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amount paid upon termination or retirement of such related Permitted Warrant Transaction, if any, does not exceed the net cash proceeds from the incurrence of the related Permitted Convertible Indebtedness.</w:t>
      </w:r>
    </w:p>
    <w:p>
      <w:pPr>
        <w:spacing w:after="0" w:line="18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Indebtedness</w:t>
      </w:r>
      <w:r>
        <w:rPr>
          <w:rFonts w:ascii="Arial" w:cs="Arial" w:eastAsia="Arial" w:hAnsi="Arial"/>
          <w:sz w:val="18"/>
          <w:szCs w:val="18"/>
          <w:color w:val="auto"/>
        </w:rPr>
        <w:t>” means Indebtedness of the Borrower or any Subsidiary (which may be Guaranteed by the Guarantors) that is (a) convertible into common stock of the Borrower (and cash in lieu of fractional shares) and/or cash (in an amount determined by reference to the price of such common stock) or (b) sold as units with call options, warrants, rights or obligations to purchase (or substantially equivalent derivative transactions) that are exercisable for common stock of the Borrower and/or cash (in an amount determined by reference to the price of such common stock).</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left="1240" w:hanging="381"/>
        <w:spacing w:after="0"/>
        <w:tabs>
          <w:tab w:leader="none" w:pos="12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Liens imposed by law for taxes, assessments or other governmental charges that are not overdue for a period of more than thirty</w:t>
      </w:r>
    </w:p>
    <w:p>
      <w:pPr>
        <w:spacing w:after="0" w:line="34" w:lineRule="exact"/>
        <w:rPr>
          <w:rFonts w:ascii="Arial" w:cs="Arial" w:eastAsia="Arial" w:hAnsi="Arial"/>
          <w:sz w:val="17"/>
          <w:szCs w:val="17"/>
          <w:color w:val="auto"/>
        </w:rPr>
      </w:pPr>
    </w:p>
    <w:p>
      <w:pPr>
        <w:ind w:left="780" w:hanging="344"/>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days or are being contested in compliance with Section 5.04;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3" w:name="page44"/>
    <w:bookmarkEnd w:id="43"/>
    <w:p>
      <w:pPr>
        <w:ind w:left="440" w:right="20" w:firstLine="419"/>
        <w:spacing w:after="0" w:line="263" w:lineRule="auto"/>
        <w:tabs>
          <w:tab w:leader="none" w:pos="1253"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carriers’, warehousemen’s, mechanics’, materialmen’s, repairmen’s, landlords’, workmen’s, suppliers’ and other Liens imposed by law, arising in the ordinary course of business and securing obligations that are not overdue by more than sixty (60) days or are being contested in compliance with Section 5.04;</w:t>
      </w:r>
    </w:p>
    <w:p>
      <w:pPr>
        <w:spacing w:after="0" w:line="75" w:lineRule="exact"/>
        <w:rPr>
          <w:rFonts w:ascii="Arial" w:cs="Arial" w:eastAsia="Arial" w:hAnsi="Arial"/>
          <w:sz w:val="18"/>
          <w:szCs w:val="18"/>
          <w:color w:val="auto"/>
        </w:rPr>
      </w:pPr>
    </w:p>
    <w:p>
      <w:pPr>
        <w:ind w:left="440" w:right="20" w:firstLine="419"/>
        <w:spacing w:after="0" w:line="257" w:lineRule="auto"/>
        <w:tabs>
          <w:tab w:leader="none" w:pos="12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(ii)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Borrower or any Subsidiary;</w:t>
      </w:r>
    </w:p>
    <w:p>
      <w:pPr>
        <w:spacing w:after="0" w:line="79" w:lineRule="exact"/>
        <w:rPr>
          <w:rFonts w:ascii="Arial" w:cs="Arial" w:eastAsia="Arial" w:hAnsi="Arial"/>
          <w:sz w:val="18"/>
          <w:szCs w:val="18"/>
          <w:color w:val="auto"/>
        </w:rPr>
      </w:pPr>
    </w:p>
    <w:p>
      <w:pPr>
        <w:jc w:val="both"/>
        <w:ind w:left="440" w:right="120" w:firstLine="419"/>
        <w:spacing w:after="0" w:line="263" w:lineRule="auto"/>
        <w:tabs>
          <w:tab w:leader="none" w:pos="12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or deposits to secure the performance of bids, trade contracts, governmental contracts, tenders, statutory bonds, leases, statutory obligations, surety, stay, customs, appeal and replevin bonds, performance bonds and other obligations of a like nature (including those to secure health, safety and environmental obligations), in each case in the ordinary course of business;</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in respect of judgments, decrees, attachments or awards that do not constitute an Event of Default under clause (k) of Article VII;</w:t>
      </w:r>
    </w:p>
    <w:p>
      <w:pPr>
        <w:spacing w:after="0" w:line="140" w:lineRule="exact"/>
        <w:rPr>
          <w:rFonts w:ascii="Arial" w:cs="Arial" w:eastAsia="Arial" w:hAnsi="Arial"/>
          <w:sz w:val="16"/>
          <w:szCs w:val="16"/>
          <w:color w:val="auto"/>
        </w:rPr>
      </w:pPr>
    </w:p>
    <w:p>
      <w:pPr>
        <w:ind w:left="440" w:right="220" w:firstLine="419"/>
        <w:spacing w:after="0" w:line="311" w:lineRule="auto"/>
        <w:tabs>
          <w:tab w:leader="none" w:pos="1223"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Borrower or any Subsidiary; and</w:t>
      </w:r>
    </w:p>
    <w:p>
      <w:pPr>
        <w:spacing w:after="0" w:line="40" w:lineRule="exact"/>
        <w:rPr>
          <w:rFonts w:ascii="Arial" w:cs="Arial" w:eastAsia="Arial" w:hAnsi="Arial"/>
          <w:sz w:val="16"/>
          <w:szCs w:val="16"/>
          <w:color w:val="auto"/>
        </w:rPr>
      </w:pPr>
    </w:p>
    <w:p>
      <w:pPr>
        <w:ind w:left="440" w:right="260" w:firstLine="419"/>
        <w:spacing w:after="0" w:line="277" w:lineRule="auto"/>
        <w:tabs>
          <w:tab w:leader="none" w:pos="12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licensor or sublicensor under any lease, sub-lease, license or sublicense entered into by the Borrower or any of its Subsidiaries as a part of its business and covering only the assets so leased;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w:t>
      </w:r>
    </w:p>
    <w:p>
      <w:pPr>
        <w:spacing w:after="0" w:line="225"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w:t>
      </w:r>
      <w:r>
        <w:rPr>
          <w:rFonts w:ascii="Arial" w:cs="Arial" w:eastAsia="Arial" w:hAnsi="Arial"/>
          <w:sz w:val="16"/>
          <w:szCs w:val="16"/>
          <w:color w:val="auto"/>
        </w:rPr>
        <w:t>” means any receivables facility or facilities created under the Permitted Receivables Facility Documents from time to time, providing for the sale or pledge by the Borrower and/or one or more other Receivables Sellers of Permitted Receivables Facility Assets (thereby providing financing to the Borrower and the Receivables Sellers) to the Receivables Entity (either directly or through another Receivables Seller), which in turn shall sell or pledge interests in the respective Permitted Receivables Facility Assets to third-party lenders or investors pursuant to the Permitted Receivables Facility Documents (with the Receivables Entity permitted to issue notes or other evidences of Indebtedness secured by Permitted Receivables Facility Assets or investor certificates, purchased interest certificates or other similar documentation evidencing interests in Permitted Receivables Facility Assets) in return for the cash used by the Receivables Entity to purchase Permitted Receivables Facility Assets from the Borrower and/or the respective Receivables Sellers, in each case as more fully set forth in the Permitted Receivables Facility Documents.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4" w:name="page45"/>
    <w:bookmarkEnd w:id="44"/>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Permitted Receivables Facility Assets</w:t>
      </w:r>
      <w:r>
        <w:rPr>
          <w:rFonts w:ascii="Arial" w:cs="Arial" w:eastAsia="Arial" w:hAnsi="Arial"/>
          <w:sz w:val="18"/>
          <w:szCs w:val="18"/>
          <w:color w:val="auto"/>
        </w:rPr>
        <w:t>” means (i) Receivables (whether now existing or arising in the future) of the Borrower and its Subsidiaries which are transferred or pledged to a Receivables Entity pursuant to the Permitted Receivables Facility and any related Permitted Receivables Related Assets which are also so transferred or pledged to a Receivables Entity and all proceeds thereof and (ii) loans to the Borrower and its Subsidiaries secured by Receivables (whether now existing or arising in the future) of the Borrower and its Subsidiaries which are made pursuant to a Permitted Receivables Facility.</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 Documents</w:t>
      </w:r>
      <w:r>
        <w:rPr>
          <w:rFonts w:ascii="Arial" w:cs="Arial" w:eastAsia="Arial" w:hAnsi="Arial"/>
          <w:sz w:val="16"/>
          <w:szCs w:val="16"/>
          <w:color w:val="auto"/>
        </w:rPr>
        <w:t>” means each of the documents and agreements entered into from time to time in connection with a Permitted Receivables Facility, including all documents and agreements relating to the issuance, funding and/or purchase of certificates and purchased interests, or the issuance of notes or other evidence of Indebtedness secured by such notes, all of which documents and agreements shall be in form and substance reasonably customary for transactions of this type, in each case as such documents and agreements may be amended, modified, supplemented, refinanced or replaced from time to time so long as (in the good faith determination of the Borrower) either (i) the terms as so amended, modified, supplemented, refinanced or replaced are reasonably customary for transactions of this type or (ii)(x) any such amendments, modifications, supplements, refinancings or replacements do not impose any conditions or requirements on the Borrower or any of its Subsidiaries that, taken as a whole, are more restrictive in any material respect than those in existence immediately prior to any such amendment, modification, supplement, refinancing or replacement as determined by the Borrower in good faith and (y) any such amendments, modifications, supplements, refinancings or replacements are not adverse in any material respect to the interests of the Lenders as determined by the Borrower in good faith.</w:t>
      </w:r>
    </w:p>
    <w:p>
      <w:pPr>
        <w:spacing w:after="0" w:line="16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Related Assets</w:t>
      </w:r>
      <w:r>
        <w:rPr>
          <w:rFonts w:ascii="Arial" w:cs="Arial" w:eastAsia="Arial" w:hAnsi="Arial"/>
          <w:sz w:val="18"/>
          <w:szCs w:val="18"/>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184"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means, with respect to any Person, any amendment, modification, refinancing, refunding, renewal, replacement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(in each case, provided that Indebtedness in respect of such existing unutilized commitments is then permitted under Section 6.01) (in each case, it being understood that incurrence of Indebtedness in excess of the principal amount (plus any unpaid accrued interest and premium thereon and other reasonable amounts paid, and fees and expenses reasonably incurred in connection therewith) of the Indebtedness so modified, refinanced, refunded, renewed, replaced or extended (including the amount equal to any existing commitments unutilized thereunder) shall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5" w:name="page46"/>
    <w:bookmarkEnd w:id="4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permitted if such excess amount is then permitted under Section 6.01 and reduces the otherwise permitted Indebtedness under Section 6.01), (b) other than with respect to Permitted Refinancing Indebtedness in respect of Indebtedness permitted pursuant to Section 6.01(d), such modification, refinancing, refunding, renewal, replacement or extension has a final maturity date equal to or later than the earlier of (x) the final maturity date of the Indebtedness so modified, refinanced, refunded, renewed, replaced or extended and (y) the date which is 91 days after the Latest Maturity Date, (c) other than with respect to Permitted Refinancing Indebtedness in respect of Indebtedness permitted pursuant to Section 6.01(d), such modification, refinancing, refunding, renewal, replacement or extension has a Weighted Average Life to Maturity equal to or greater than the shorter of (x) the remaining Weighted Average Life to Maturity of, the Indebtedness being modified, refinanced, refunded, renewed, replaced or extended and (y) the Weighted Average Life to Maturity of the portion of such Indebtedness being modified, refinanced, refunded, renewed, replaced or extended that matures on or prior to the Latest Maturity Date and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Borrower) as those contained in the documentation governing the Indebtedness being modified, refinanced, refunded, renewed, replaced or extended.</w:t>
      </w:r>
    </w:p>
    <w:p>
      <w:pPr>
        <w:spacing w:after="0" w:line="186"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Warrant Transaction</w:t>
      </w:r>
      <w:r>
        <w:rPr>
          <w:rFonts w:ascii="Arial" w:cs="Arial" w:eastAsia="Arial" w:hAnsi="Arial"/>
          <w:sz w:val="16"/>
          <w:szCs w:val="16"/>
          <w:color w:val="auto"/>
        </w:rPr>
        <w:t>” means any call options, warrants or rights to purchase (or substantively equivalent derivative transactions) on common stock of the Borrower purchased by the Borrower substantially concurrently with a Permitted Bond Hedge Transaction.</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Pfizer</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Pfizer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Post-Acquisition Period</w:t>
      </w:r>
      <w:r>
        <w:rPr>
          <w:rFonts w:ascii="Arial" w:cs="Arial" w:eastAsia="Arial" w:hAnsi="Arial"/>
          <w:sz w:val="18"/>
          <w:szCs w:val="18"/>
          <w:color w:val="auto"/>
        </w:rPr>
        <w:t>” means, with respect to (a) the Combination Transactions, the period beginning on the Closing Date and ending on the two-year anniversary of the Closing Date and (b) any other acquisition, the period beginning on the date such acquisition is consummated and ending on the one-year anniversary of the date on which such acquisition is consummated.</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Level</w:t>
      </w:r>
      <w:r>
        <w:rPr>
          <w:rFonts w:ascii="Arial" w:cs="Arial" w:eastAsia="Arial" w:hAnsi="Arial"/>
          <w:sz w:val="18"/>
          <w:szCs w:val="18"/>
          <w:color w:val="auto"/>
        </w:rPr>
        <w:t>” means the applicable pricing level under the column titled ‘Pricing Level’ in the table set forth in the definition of “Applicable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6" w:name="page47"/>
    <w:bookmarkEnd w:id="46"/>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Pro Forma Adjustment</w:t>
      </w:r>
      <w:r>
        <w:rPr>
          <w:rFonts w:ascii="Arial" w:cs="Arial" w:eastAsia="Arial" w:hAnsi="Arial"/>
          <w:sz w:val="17"/>
          <w:szCs w:val="17"/>
          <w:color w:val="auto"/>
        </w:rPr>
        <w:t xml:space="preserve">” means, for any applicable period of measurement that includes all or any part of a fiscal quarter included in the Post-Acquisition Period, with respect to the Consolidated EBITDA of the applicable Acquired Entity or Business or the Consolidated EBITDA of the Borrower, the pro forma increase or decrease in such Consolidated EBITDA, projected by the Borrower in good faith as a result of (a) actions that have been taken during such Post-Acquisition Period for the purposes of realizing reasonably identifiable and factually supportable cost savings or (b) any additional costs incurred during such Post-Acquisition Period, in each case in connection with the combination of the operations of such Acquired Entity or Business with the operations of the Borrower and its Subsidiaries and, in each case, which are expected to have a continuing impact on the consolidated financial results of the Borrower, calculated assuming that such actions had been taken on, or such costs had been incurred since, the first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pro forma increase or decrease to such Consolidated EBITDA shall be without duplication for cost savings or additional costs already included in such Consolidated EBITDA for such period of measurement.</w:t>
      </w:r>
    </w:p>
    <w:p>
      <w:pPr>
        <w:spacing w:after="0" w:line="181"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xml:space="preserve">” means with respect to compliance with any test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Equity Interests in any Subsidiary of the Borrower owned by the Borrower or any of its Subsidiaries or any division, product line, or facility used for operations of the Borrower or any of its Subsidiaries, shall be excluded, and (ii) in the case of an acquisition or Investment described in the definition of “Specified Transaction,” shall be included, (b) any retirement of Indebtedness and (c) any Indebtedness incurred or assumed by the Borrower or any of the Subsidiaries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application of the Pro Forma Adjustment pursuant to clause (A) above (but without duplication thereof), the foregoing pro forma adjustments may be applied to any such test or covenant solely to the extent that such adjustments are (x) consistent with the definition of Consolidated EBITDA and give effect to events (including operating expense reductions) that are in the good faith determination of the Borrower reasonably identifiable and factually supportable and (y) expected to have a continuing impact on the consolidated financial results of the Borrower and its Subsidiaries.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Prohibition</w:t>
      </w:r>
      <w:r>
        <w:rPr>
          <w:rFonts w:ascii="Arial" w:cs="Arial" w:eastAsia="Arial" w:hAnsi="Arial"/>
          <w:sz w:val="18"/>
          <w:szCs w:val="18"/>
          <w:color w:val="auto"/>
        </w:rPr>
        <w:t>” has the meaning assigned in Section 10.01.</w:t>
      </w:r>
    </w:p>
    <w:p>
      <w:pPr>
        <w:spacing w:after="0" w:line="225"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Equity Interests.</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assigned in Section 5.01.</w:t>
      </w:r>
    </w:p>
    <w:p>
      <w:pPr>
        <w:spacing w:after="0" w:line="225"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Acquisition</w:t>
      </w:r>
      <w:r>
        <w:rPr>
          <w:rFonts w:ascii="Arial" w:cs="Arial" w:eastAsia="Arial" w:hAnsi="Arial"/>
          <w:sz w:val="17"/>
          <w:szCs w:val="17"/>
          <w:color w:val="auto"/>
        </w:rPr>
        <w:t>” means the acquisition by the Borrower or a Subsidiary of an Acquired Entity or Business which acquisition has been designated to the Lenders by a Responsible Officer of the Borrower as a “Qualified Acquisition” so long as, on a Pro Forma Basis,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7" w:name="page48"/>
    <w:bookmarkEnd w:id="47"/>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Consolidated Leverage Ratio as of the last day of the most recently completed Test Period (for which financial statements have been delivered pursuant to Section 5.01(a) or (b)) prior to such acquisition would be at least 3.25 to 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designation may be made with respect to any acquisition prior to the end of the fourth full fiscal quarter following the completion of the most recently consummated Qualified Acquisition unless the Consolidated Leverage Ratio as of the last day of the most recently completed Test Period (for which financial statements have been delivered pursuant to Section 5.01(a) or (b)) prior to the consummation of such acquisition was no greater than 3.0 to 1.0.</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Borrower other than Disqualified Equity Interests.</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all accounts receivable (including all rights to payment created by or arising from sales of goods, leases of goods or the rendition of services rendered no matter how evidenced whether or not earned by performance).</w:t>
      </w:r>
    </w:p>
    <w:p>
      <w:pPr>
        <w:spacing w:after="0" w:line="170"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Entity</w:t>
      </w:r>
      <w:r>
        <w:rPr>
          <w:rFonts w:ascii="Arial" w:cs="Arial" w:eastAsia="Arial" w:hAnsi="Arial"/>
          <w:sz w:val="17"/>
          <w:szCs w:val="17"/>
          <w:color w:val="auto"/>
        </w:rPr>
        <w:t>” means a wholly owned Subsidiary of the Borrower which engages in no activities other than in connection with the financing of Receivables of the Receivables Sellers and which is designated (as provided below) as a “Receivables Entity”.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spacing w:after="0" w:line="17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Sellers</w:t>
      </w:r>
      <w:r>
        <w:rPr>
          <w:rFonts w:ascii="Arial" w:cs="Arial" w:eastAsia="Arial" w:hAnsi="Arial"/>
          <w:sz w:val="18"/>
          <w:szCs w:val="18"/>
          <w:color w:val="auto"/>
        </w:rPr>
        <w:t>” means the Borrower and those Subsidiaries (other than Receivables Entities) that are from time to time party to the Permitted Receivables Facility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and any Issuing Bank,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 of 1933, as amended.</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administrators of such Person and of such Person’s Affiliates.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set forth in clause (f)(ii)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Credit Exposure and unused Commitments representing more than 50% of the sum of the total Credit Exposure and unused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 of, and the portion of the Credit Exposure held or deemed held by, any Defaulting Lender shall be excluded for purposes of making a determination of Required Lenders.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set forth in clause (f)(i)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4" w:right="499" w:bottom="1440" w:gutter="0" w:footer="0" w:header="0"/>
        </w:sectPr>
      </w:pPr>
    </w:p>
    <w:bookmarkStart w:id="48" w:name="page49"/>
    <w:bookmarkEnd w:id="48"/>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(a) the chief executive officer, executive director, president, vice president, chief financial officer, treasurer, assistant treasurer or controller of the Borrower or another Loan Party, as context shall require, and (b) solely for purposes of notices given pursuant to Article II,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or another Loan Party shall be conclusively presumed to have been authorized by all necessary corporate, partnership and/or other action on the part of the Borrower or such Loan Party and such Responsible Officer shall be conclusively presumed to have acted on behalf of the Borrower or such Loan Party.</w:t>
      </w:r>
    </w:p>
    <w:p>
      <w:pPr>
        <w:spacing w:after="0" w:line="17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means, for any Person, any amount of cash of such Person that is contractually required to be set aside, segregated or otherwise reserved.</w:t>
      </w:r>
    </w:p>
    <w:p>
      <w:pPr>
        <w:spacing w:after="0" w:line="170" w:lineRule="exact"/>
        <w:rPr>
          <w:sz w:val="20"/>
          <w:szCs w:val="20"/>
          <w:color w:val="auto"/>
        </w:rPr>
      </w:pPr>
    </w:p>
    <w:p>
      <w:pPr>
        <w:ind w:right="4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Payments</w:t>
      </w:r>
      <w:r>
        <w:rPr>
          <w:rFonts w:ascii="Arial" w:cs="Arial" w:eastAsia="Arial" w:hAnsi="Arial"/>
          <w:sz w:val="16"/>
          <w:szCs w:val="16"/>
          <w:color w:val="auto"/>
        </w:rPr>
        <w:t>” means any dividend or other distribution (whether in cash, securities or other property (other than Qualified Equity Interests)), with respect to any Equity Interests in the Borrower, or any payment (whether in cash, securities or other property (other than Qualified Equity Interests)),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57"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means (a) with respect to any Loan, each of the following: (i) each date of a Borrowing of a Eurocurrency Loan denominated in an Alternative Currency, (ii) each date of a continuation of a Eurocurrency Loan denominated in an Alternative Currency, and (iii) 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(iii) each date of any payment by any Issuing Bank under any Letter of Credit denominated in an Alternative Currency, (iv) the first Business Day of each month following the issuance of a Letter of Credit and (v) such additional dates as the Administrative Agent or the Issuing Banks shall determine or the Required Lenders shall require.</w:t>
      </w:r>
    </w:p>
    <w:p>
      <w:pPr>
        <w:spacing w:after="0" w:line="17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Credit Exposure hereunder, as such commitment may be (a) reduced from time to time pursuant to Section 2.08, (b) increased from time to time pursuant to Section 2.19 and (c) reduced, increased or extended from time to time pursuant to (i) assignments by or to such Lender pursuant to Section 9.04 of this Agreement or (ii) a Revolving Extension Amendment. The initial amount of each Lender’s Revolving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shall have assumed its Revolving Commitment or any Revolving Extension Amendment to which it is a party, as applicable. The initial aggregate amount of the Lenders’ Revolving Commitments is $4,000,000,000.</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49" w:name="page50"/>
    <w:bookmarkEnd w:id="49"/>
    <w:p>
      <w:pPr>
        <w:ind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Dollar Equivalent of such Lender’s Revolving Loans, L/C Exposure and Swingline Exposure at such time.</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Maturity Date</w:t>
      </w:r>
      <w:r>
        <w:rPr>
          <w:rFonts w:ascii="Arial" w:cs="Arial" w:eastAsia="Arial" w:hAnsi="Arial"/>
          <w:sz w:val="17"/>
          <w:szCs w:val="17"/>
          <w:color w:val="auto"/>
        </w:rPr>
        <w:t>” means (i) with respect to the Revolving Commitments made pursuant to Section 2.01, the date that is three years from the Closing Date, or (ii) with respect to any Extended Revolving Commitments of any Revolving Extension Series, the maturity date set forth in the Revolving Extension Amendment with respect to such Revolving Extension Series; provided in each case that if such day is not a Business Day, the Revolving Credit Maturity Date shall be the Business Day immediately preceding such day.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 Amendment</w:t>
      </w:r>
      <w:r>
        <w:rPr>
          <w:rFonts w:ascii="Arial" w:cs="Arial" w:eastAsia="Arial" w:hAnsi="Arial"/>
          <w:sz w:val="18"/>
          <w:szCs w:val="18"/>
          <w:color w:val="auto"/>
        </w:rPr>
        <w:t>” has the meaning assigned to such term in Section 2.21(c).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 Request</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 Series</w:t>
      </w:r>
      <w:r>
        <w:rPr>
          <w:rFonts w:ascii="Arial" w:cs="Arial" w:eastAsia="Arial" w:hAnsi="Arial"/>
          <w:sz w:val="18"/>
          <w:szCs w:val="18"/>
          <w:color w:val="auto"/>
        </w:rPr>
        <w:t>” has the meaning assigned to such term in Section 2.21(e).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each Lender that has a Revolving Commitment or that holds Revolving Credit Exposure.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 (including the Loan made under the Certain Funds Draw).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any successor thereto.</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reasonably determined by the Administrative Agent or the Issuing Banks,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any successor thereto and any analogous Governmental Authority succeeding to any of its principal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SOFR-Based Rate</w:t>
      </w:r>
      <w:r>
        <w:rPr>
          <w:rFonts w:ascii="Arial" w:cs="Arial" w:eastAsia="Arial" w:hAnsi="Arial"/>
          <w:sz w:val="18"/>
          <w:szCs w:val="18"/>
          <w:color w:val="auto"/>
        </w:rPr>
        <w:t>” has the meaning assigned in Section 2.07(b).</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60"/>
          </w:cols>
          <w:pgMar w:left="440" w:top="274" w:right="599" w:bottom="1440" w:gutter="0" w:footer="0" w:header="0"/>
        </w:sectPr>
      </w:pPr>
    </w:p>
    <w:bookmarkStart w:id="50" w:name="page51"/>
    <w:bookmarkEnd w:id="50"/>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become absolute and matured and (d) such Person is not engaged in any business, as conducted on such date and as proposed to be conducted following such date,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currency</w:t>
      </w:r>
      <w:r>
        <w:rPr>
          <w:rFonts w:ascii="Arial" w:cs="Arial" w:eastAsia="Arial" w:hAnsi="Arial"/>
          <w:sz w:val="18"/>
          <w:szCs w:val="18"/>
          <w:color w:val="auto"/>
        </w:rPr>
        <w:t>” has the meaning assigned in Section 2.20.</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the representations and warranties with respect to the Borrower made by the Borrower set forth in the following sections of this Agreement:</w:t>
      </w:r>
    </w:p>
    <w:p>
      <w:pPr>
        <w:spacing w:after="0" w:line="170" w:lineRule="exact"/>
        <w:rPr>
          <w:sz w:val="20"/>
          <w:szCs w:val="20"/>
          <w:color w:val="auto"/>
        </w:rPr>
      </w:pPr>
    </w:p>
    <w:p>
      <w:pPr>
        <w:ind w:left="1360" w:hanging="373"/>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3.01(with respect to the incorporation or formation and status of the Borrower);</w:t>
      </w:r>
    </w:p>
    <w:p>
      <w:pPr>
        <w:spacing w:after="0" w:line="225" w:lineRule="exact"/>
        <w:rPr>
          <w:rFonts w:ascii="Arial" w:cs="Arial" w:eastAsia="Arial" w:hAnsi="Arial"/>
          <w:sz w:val="18"/>
          <w:szCs w:val="18"/>
          <w:color w:val="auto"/>
        </w:rPr>
      </w:pPr>
    </w:p>
    <w:p>
      <w:pPr>
        <w:ind w:right="80" w:firstLine="987"/>
        <w:spacing w:after="0" w:line="277" w:lineRule="auto"/>
        <w:tabs>
          <w:tab w:leader="none" w:pos="13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3.02 (in the case of the first sentence of Section 3.02, with respect to the organizational power and authority of the Borrower to enter into, deliver and perform this Agreement and the other Loan Documents);</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3.03(b)(i);</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3.03(b)(ii);</w:t>
      </w:r>
    </w:p>
    <w:p>
      <w:pPr>
        <w:spacing w:after="0" w:line="225" w:lineRule="exact"/>
        <w:rPr>
          <w:rFonts w:ascii="Arial" w:cs="Arial" w:eastAsia="Arial" w:hAnsi="Arial"/>
          <w:sz w:val="18"/>
          <w:szCs w:val="18"/>
          <w:color w:val="auto"/>
        </w:rPr>
      </w:pPr>
    </w:p>
    <w:p>
      <w:pPr>
        <w:ind w:firstLine="987"/>
        <w:spacing w:after="0" w:line="259" w:lineRule="auto"/>
        <w:tabs>
          <w:tab w:leader="none" w:pos="1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Section 3.03(c) (with respect to any indenture, agreement or other instrument binding on the Borrower or its assets with respect to indebtedness for borrowed money of the Borrower or its subsidiaries (after giving effect to the Combination Transactions) in a committed or outstanding principal amount of $500 million or more,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representation and warranty shall not be subject to the Material Adverse Effect proviso to Section 3.03);</w:t>
      </w:r>
    </w:p>
    <w:p>
      <w:pPr>
        <w:spacing w:after="0" w:line="186" w:lineRule="exact"/>
        <w:rPr>
          <w:rFonts w:ascii="Arial" w:cs="Arial" w:eastAsia="Arial" w:hAnsi="Arial"/>
          <w:sz w:val="18"/>
          <w:szCs w:val="18"/>
          <w:color w:val="auto"/>
        </w:rPr>
      </w:pPr>
    </w:p>
    <w:p>
      <w:pPr>
        <w:ind w:left="1400" w:hanging="413"/>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3.08;</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3.10(a);</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3.13;</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3.14 (with respect to the second sentence of Section 3.14 only);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51" w:name="page52"/>
    <w:bookmarkEnd w:id="51"/>
    <w:p>
      <w:pPr>
        <w:ind w:left="1340" w:hanging="353"/>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3.15(b).</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with respect to any Test Period, any of the following events occurring after the first day of such Test Period and prior to the applicable date of determination: (i) any Investment by the Borrower or any Subsidiary in any Person (including in connection with any acquisition) other than a Person that was a wholly-owned Subsidiary on the first day of such period involving consideration paid by the Borrower or such Subsidiary in excess of $50,000,000, (ii) any disposition outside the ordinary course of business of assets by the Borrower or any Subsidiary with a fair market value in excess of $50,000,000, (iii) any incurrence or repayment of Indebtedness (in each case, other than Revolving Loans, Swingline Loans and borrowings and repayments of Indebtedness in the ordinary course of business under revolving credit facilities except to the extent there is a reduction in the related Revolving Commitments or other revolving credit commitment) and (iv) any Restricted Payment involving consideration paid by the Borrower or any Subsidiary in excess of $50,000,000.</w:t>
      </w:r>
    </w:p>
    <w:p>
      <w:pPr>
        <w:spacing w:after="0" w:line="178"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or the applicable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the applicable Issuing Bank may obtain such spot rate from another financial institution designated by the Administrative Agent or the applicable Issuing Bank if the Person acting in such capacity does not have as of the date of determination a spot buying rate for any such currency;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applicable Issuing Bank may use such spot rate quoted on the date as of which the foreign exchange computation is made in the case of any Letter of Credit denominated in an Alternative Currency.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“parent”) at any date, any corporation, limited liability company, partnership, association or other entity of which securities or other ownership interests representing more than 50% of the ordinary voting power for the election of directors or other governing body are at the time beneficially owned, directly or indirectly, by the parent or one or more subsidiaries of the parent or by the parent and one or more subsidiaries of the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52" w:name="page53"/>
    <w:bookmarkEnd w:id="52"/>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Bank of America (through itself or through one of its designated Affiliates or branch offices), in its capacity as lender of Swingline Loans hereunder, or any successor swingline lender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2.04.</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Loan Notice</w:t>
      </w:r>
      <w:r>
        <w:rPr>
          <w:rFonts w:ascii="Arial" w:cs="Arial" w:eastAsia="Arial" w:hAnsi="Arial"/>
          <w:sz w:val="17"/>
          <w:szCs w:val="17"/>
          <w:color w:val="auto"/>
        </w:rPr>
        <w:t xml:space="preserve">” means a notice of a Swingline Loan Borrowing pursuant to Section 2.04, which, shall be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 Sublimit</w:t>
      </w:r>
      <w:r>
        <w:rPr>
          <w:rFonts w:ascii="Arial" w:cs="Arial" w:eastAsia="Arial" w:hAnsi="Arial"/>
          <w:sz w:val="18"/>
          <w:szCs w:val="18"/>
          <w:color w:val="auto"/>
        </w:rPr>
        <w:t>” means $175,000,000.</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4"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has the meaning assigned in Section 2.07(b).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the period of four fiscal quarters of the Borrower ending on a specified date.</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xml:space="preserve">” means the execution, delivery and performance by the Loan Parties of this Agreement and the other Loan Documents, the borrowing of Loans, the use of the proceeds thereof, the issuance of Letters of Credit hereunder and the payment of fees and expenses hereunder;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after the consummation of the Combination, “Transactions” shall also include the Combination Transactions and the payment of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thereto.</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Indebtedness</w:t>
      </w:r>
      <w:r>
        <w:rPr>
          <w:rFonts w:ascii="Arial" w:cs="Arial" w:eastAsia="Arial" w:hAnsi="Arial"/>
          <w:sz w:val="18"/>
          <w:szCs w:val="18"/>
          <w:color w:val="auto"/>
        </w:rPr>
        <w:t>” has the meaning assigned in Section 5.09(a).</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Eurocurrency or the Base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w:t>
      </w:r>
      <w:r>
        <w:rPr>
          <w:rFonts w:ascii="Arial" w:cs="Arial" w:eastAsia="Arial" w:hAnsi="Arial"/>
          <w:sz w:val="18"/>
          <w:szCs w:val="18"/>
          <w:color w:val="auto"/>
        </w:rPr>
        <w:t>” and “</w:t>
      </w:r>
      <w:r>
        <w:rPr>
          <w:rFonts w:ascii="Arial" w:cs="Arial" w:eastAsia="Arial" w:hAnsi="Arial"/>
          <w:sz w:val="18"/>
          <w:szCs w:val="18"/>
          <w:u w:val="single" w:color="auto"/>
          <w:color w:val="auto"/>
        </w:rPr>
        <w:t>United Kingdom</w:t>
      </w:r>
      <w:r>
        <w:rPr>
          <w:rFonts w:ascii="Arial" w:cs="Arial" w:eastAsia="Arial" w:hAnsi="Arial"/>
          <w:sz w:val="18"/>
          <w:szCs w:val="18"/>
          <w:color w:val="auto"/>
        </w:rPr>
        <w:t>” each mean the United Kingdom of Great Britain and Northern Ireland.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80"/>
          </w:cols>
          <w:pgMar w:left="440" w:top="274" w:right="579" w:bottom="1440" w:gutter="0" w:footer="0" w:header="0"/>
        </w:sectPr>
      </w:pPr>
    </w:p>
    <w:bookmarkStart w:id="53" w:name="page54"/>
    <w:bookmarkEnd w:id="53"/>
    <w:p>
      <w:pPr>
        <w:ind w:right="2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set forth in Section 2.16(e).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has the meaning set forth in Section 2.05(c)(i).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cash other than Restricted Cash.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Upjohn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when applied to any Indebtedness at any date, the number of years obtained by dividing (a) the then outstanding aggregate principal amount of such Indebtedness into (b) the sum of the total of the products obtained by multiplying (i) the amount of each then remaining scheduled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15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w:t>
      </w:r>
      <w:r>
        <w:rPr>
          <w:rFonts w:ascii="Arial" w:cs="Arial" w:eastAsia="Arial" w:hAnsi="Arial"/>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84"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Yen</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Japan.</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SECTION 1.02 Classification of Loans and Borrowings. For purposes of this Agreement, Loans and Borrowings may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refinanced, restated, replaced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290"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color w:val="auto"/>
        </w:rPr>
        <w:t>Accounting Terms; GAAP.</w:t>
      </w:r>
    </w:p>
    <w:p>
      <w:pPr>
        <w:spacing w:after="0" w:line="117" w:lineRule="exact"/>
        <w:rPr>
          <w:sz w:val="20"/>
          <w:szCs w:val="20"/>
          <w:color w:val="auto"/>
        </w:rPr>
      </w:pPr>
    </w:p>
    <w:p>
      <w:pPr>
        <w:ind w:right="60" w:firstLine="987"/>
        <w:spacing w:after="0" w:line="269" w:lineRule="auto"/>
        <w:tabs>
          <w:tab w:leader="none" w:pos="1371"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GAAP to the contrary, for purposes of all financial calculations hereunder, the amount of any Indebtedness outstanding at any time shall be the stated principal amount thereof (except to the extent such Indebtedness provides by its terms for the accretion of principal, in which case the amount of such Indebtedness at any time shall be its accreted amount at such time).</w:t>
      </w:r>
    </w:p>
    <w:p>
      <w:pPr>
        <w:spacing w:after="0" w:line="185" w:lineRule="exact"/>
        <w:rPr>
          <w:rFonts w:ascii="Arial" w:cs="Arial" w:eastAsia="Arial" w:hAnsi="Arial"/>
          <w:sz w:val="17"/>
          <w:szCs w:val="17"/>
          <w:color w:val="auto"/>
        </w:rPr>
      </w:pPr>
    </w:p>
    <w:p>
      <w:pPr>
        <w:ind w:firstLine="987"/>
        <w:spacing w:after="0" w:line="263" w:lineRule="auto"/>
        <w:tabs>
          <w:tab w:leader="none" w:pos="13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or the compliance with or availability of any basket contained in this Agreement, the Consolidated Leverage Ratio, Consolidated Total Assets and Consolidated Net Tangible Assets shall be calculated with respect to such period on a Pro Forma Basis.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5" w:name="page56"/>
    <w:bookmarkEnd w:id="55"/>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1.05 Payments on Business Days.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payment of interest on or principal of Eurocurrency Loans, if such extension would cause any such payment to be made in the next succeeding calendar month, such payment shall be made on the immediately preceding Business Day.</w:t>
      </w:r>
    </w:p>
    <w:p>
      <w:pPr>
        <w:spacing w:after="0" w:line="1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SECTION 1.06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Any reference herein and in the Loan Documents to a merger, transfer, consolidation, amalgamation, consolidation, assignment, sale, disposition or transfer, or similar term, shall be deemed to apply to a division or plan of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5"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SECTION 1.07 Rounding. Any financial ratios required to be maintained by the Borrower and its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57"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color w:val="auto"/>
        </w:rPr>
        <w:t>Additional Alternative Currencies.</w:t>
      </w:r>
    </w:p>
    <w:p>
      <w:pPr>
        <w:spacing w:after="0" w:line="117" w:lineRule="exact"/>
        <w:rPr>
          <w:sz w:val="20"/>
          <w:szCs w:val="20"/>
          <w:color w:val="auto"/>
        </w:rPr>
      </w:pPr>
    </w:p>
    <w:p>
      <w:pPr>
        <w:ind w:right="20" w:firstLine="987"/>
        <w:spacing w:after="0" w:line="255" w:lineRule="auto"/>
        <w:tabs>
          <w:tab w:leader="none" w:pos="13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Borrower may from time to time request that Eurocurrency Loans be made and/or Letters of Credit be issued in a currency other than Dollars and those specifically listed in the definition of “Alternative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requested currency is a lawful currency (other than Dollars) that is readily available and freely transferable and convertible into Dollars. In the case of any such request with respect to the making of Eurocurrency Loans, such request shall be subject to the approval of the Administrative Agent and each of the Revolving Lenders; and in the case of any such request with respect to the issuance of Letters of Credit, such request shall be subject to the approval of the Administrative Agent and the applicable Issuing Bank.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56" w:name="page57"/>
    <w:bookmarkEnd w:id="56"/>
    <w:p>
      <w:pPr>
        <w:ind w:left="4" w:right="40" w:firstLine="987"/>
        <w:spacing w:after="0" w:line="284" w:lineRule="auto"/>
        <w:tabs>
          <w:tab w:leader="none" w:pos="1375" w:val="left"/>
        </w:tabs>
        <w:numPr>
          <w:ilvl w:val="1"/>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such request shall be made to the Administrative Agent not later than 11:00 a.m., twenty (20) Business Days prior to the date of the desired Credit Event (or such other time or date as may be agreed by the Administrative Agent and, in the case of any such request pertaining to Letters of Credit, the Issuing Banks, in its or their sole discretion). In the case of any such request pertaining to Eurocurrency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Revolving Loans) or the applicable Issuing Bank (in the case of a request pertaining to Letters of Credit) shall notify the Administrative Agent, not later than 11:00 a.m., ten</w:t>
      </w:r>
    </w:p>
    <w:p>
      <w:pPr>
        <w:spacing w:after="0" w:line="4" w:lineRule="exact"/>
        <w:rPr>
          <w:rFonts w:ascii="Arial" w:cs="Arial" w:eastAsia="Arial" w:hAnsi="Arial"/>
          <w:sz w:val="16"/>
          <w:szCs w:val="16"/>
          <w:color w:val="auto"/>
        </w:rPr>
      </w:pPr>
    </w:p>
    <w:p>
      <w:pPr>
        <w:ind w:left="4" w:right="520" w:hanging="4"/>
        <w:spacing w:after="0" w:line="260" w:lineRule="auto"/>
        <w:tabs>
          <w:tab w:leader="none" w:pos="3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Days after receipt of such request whether it consents, in its sole discretion, to the making of Eurocurrency Loans or the issuance of Letters of Credit, as the case may be, in such requested currency.</w:t>
      </w:r>
    </w:p>
    <w:p>
      <w:pPr>
        <w:spacing w:after="0" w:line="185" w:lineRule="exact"/>
        <w:rPr>
          <w:rFonts w:ascii="Arial" w:cs="Arial" w:eastAsia="Arial" w:hAnsi="Arial"/>
          <w:sz w:val="18"/>
          <w:szCs w:val="18"/>
          <w:color w:val="auto"/>
        </w:rPr>
      </w:pPr>
    </w:p>
    <w:p>
      <w:pPr>
        <w:ind w:left="4" w:firstLine="987"/>
        <w:spacing w:after="0" w:line="287" w:lineRule="auto"/>
        <w:tabs>
          <w:tab w:leader="none" w:pos="136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failure by a Revolving Lender or an Issuing Bank, as the case may be, to respond to such request within the time period specified in the preceding sentence shall be deemed to be a refusal by such Revolving Lender or such Issuing Bank, as the case may be, to permit Eurocurrency Loans to be made or Letters of Credit to be issued in such requested currency. If the Administrative Agent and all the Revolving Lenders consent to making Eurocurrency Loans in such requested currency, the Administrative Agent shall so notify the Borrower and such currency shall thereupon be deemed for all purposes to be an Alternative Currency hereunder for purposes of any Borrowings of Eurocurrency Loans;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Section 1.08, the Administrative Agent shall promptly so notify the Borrower, and the Borrower may replace such non-consenting Lender, subject to Section 2.18(b).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spacing w:after="0" w:line="280"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color w:val="auto"/>
        </w:rPr>
        <w:t>Change of Currency.</w:t>
      </w:r>
    </w:p>
    <w:p>
      <w:pPr>
        <w:spacing w:after="0" w:line="117" w:lineRule="exact"/>
        <w:rPr>
          <w:sz w:val="20"/>
          <w:szCs w:val="20"/>
          <w:color w:val="auto"/>
        </w:rPr>
      </w:pPr>
    </w:p>
    <w:p>
      <w:pPr>
        <w:ind w:left="4" w:right="60" w:firstLine="987"/>
        <w:spacing w:after="0" w:line="272" w:lineRule="auto"/>
        <w:tabs>
          <w:tab w:leader="none" w:pos="13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77" w:lineRule="exact"/>
        <w:rPr>
          <w:rFonts w:ascii="Arial" w:cs="Arial" w:eastAsia="Arial" w:hAnsi="Arial"/>
          <w:sz w:val="17"/>
          <w:szCs w:val="17"/>
          <w:color w:val="auto"/>
        </w:rPr>
      </w:pPr>
    </w:p>
    <w:p>
      <w:pPr>
        <w:ind w:left="4" w:right="120" w:firstLine="987"/>
        <w:spacing w:after="0" w:line="263" w:lineRule="auto"/>
        <w:tabs>
          <w:tab w:leader="none" w:pos="1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4"/>
          </w:cols>
          <w:pgMar w:left="436" w:top="274" w:right="439" w:bottom="1440" w:gutter="0" w:footer="0" w:header="0"/>
        </w:sectPr>
      </w:pPr>
    </w:p>
    <w:bookmarkStart w:id="57" w:name="page58"/>
    <w:bookmarkEnd w:id="57"/>
    <w:p>
      <w:pPr>
        <w:ind w:firstLine="987"/>
        <w:spacing w:after="0" w:line="263" w:lineRule="auto"/>
        <w:tabs>
          <w:tab w:leader="none" w:pos="1371"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SECTION 1.10 Times of Day. Unless otherwise specified, all references herein to times of day shall be references to Eastern time (daylight or standard, as applicable).</w:t>
      </w:r>
    </w:p>
    <w:p>
      <w:pPr>
        <w:spacing w:after="0" w:line="170"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SECTION 1.11 Letter of Credit Amounts. Unless otherwise specified herein, the amount of a Letter of Credit at any time shall be deemed to be the Dollar Equivalent of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2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color w:val="auto"/>
        </w:rPr>
        <w:t>Exchange Rates; Currency Equivalents; LIBO Rate.</w:t>
      </w:r>
    </w:p>
    <w:p>
      <w:pPr>
        <w:spacing w:after="0" w:line="117" w:lineRule="exact"/>
        <w:rPr>
          <w:sz w:val="20"/>
          <w:szCs w:val="20"/>
          <w:color w:val="auto"/>
        </w:rPr>
      </w:pPr>
    </w:p>
    <w:p>
      <w:pPr>
        <w:ind w:right="140" w:firstLine="987"/>
        <w:spacing w:after="0" w:line="293" w:lineRule="auto"/>
        <w:tabs>
          <w:tab w:leader="none" w:pos="136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Administrative Agent or the applicable Issuing Bank, as applicable, shall determine the Spot Rates as of each Revaluation Date to be used for calculating Dollar Equivalent amounts of Credit Events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Issuing Bank, as applicable.</w:t>
      </w:r>
    </w:p>
    <w:p>
      <w:pPr>
        <w:spacing w:after="0" w:line="164" w:lineRule="exact"/>
        <w:rPr>
          <w:rFonts w:ascii="Arial" w:cs="Arial" w:eastAsia="Arial" w:hAnsi="Arial"/>
          <w:sz w:val="16"/>
          <w:szCs w:val="16"/>
          <w:color w:val="auto"/>
        </w:rPr>
      </w:pPr>
    </w:p>
    <w:p>
      <w:pPr>
        <w:ind w:right="40" w:firstLine="987"/>
        <w:spacing w:after="0" w:line="257" w:lineRule="auto"/>
        <w:tabs>
          <w:tab w:leader="none" w:pos="13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Loan or the issuance, amendment or extension of a Letter of Credit, an amount, such as a required minimum or multiple amount, is expressed in Dollars, but such Borrowing, Eurocurrency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187" w:lineRule="exact"/>
        <w:rPr>
          <w:rFonts w:ascii="Arial" w:cs="Arial" w:eastAsia="Arial" w:hAnsi="Arial"/>
          <w:sz w:val="18"/>
          <w:szCs w:val="18"/>
          <w:color w:val="auto"/>
        </w:rPr>
      </w:pPr>
    </w:p>
    <w:p>
      <w:pPr>
        <w:ind w:right="280" w:firstLine="987"/>
        <w:spacing w:after="0" w:line="259" w:lineRule="auto"/>
        <w:tabs>
          <w:tab w:leader="none" w:pos="1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“LIBO Rate” or with respect to any rate that is an alternative or replacement for or successor to any of such rate (including any LIBOR Successor Rate) or the effect of any of the foregoing, or of any LIBOR Successor Rate Conforming Changes.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Credits</w:t>
      </w:r>
    </w:p>
    <w:p>
      <w:pPr>
        <w:spacing w:after="0" w:line="22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Commitments.</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Subject to the terms and conditions set forth herein, each Revolving Lender severally agrees to make Revolving Loans to the Borrower in Dollars or Alternative Currencies from time to time during the Availability Period in an aggregate principal amount that will not result in (i) the Dollar Equivalent of such Lender’s Revolving Credit Exposure exceeding such Lender’s Revolving Commitment or (ii) subject to Section 1.12, the Dollar Equivalent of the total Revolving Credit Exposures exceeding the sum of the total Revolving Commitments. Within the foregoing limits and subject to the terms and conditions set forth herein, the Borrower may borrow, prepay and reborrow Revolving Loans.</w:t>
      </w:r>
    </w:p>
    <w:p>
      <w:pPr>
        <w:spacing w:after="0" w:line="2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Loans and Borrowings.</w:t>
      </w:r>
    </w:p>
    <w:p>
      <w:pPr>
        <w:spacing w:after="0" w:line="117" w:lineRule="exact"/>
        <w:rPr>
          <w:sz w:val="20"/>
          <w:szCs w:val="20"/>
          <w:color w:val="auto"/>
        </w:rPr>
      </w:pPr>
    </w:p>
    <w:p>
      <w:pPr>
        <w:ind w:right="100" w:firstLine="987"/>
        <w:spacing w:after="0" w:line="257" w:lineRule="auto"/>
        <w:tabs>
          <w:tab w:leader="none" w:pos="13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Each Loan (other than a Swingline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2.04.</w:t>
      </w:r>
    </w:p>
    <w:p>
      <w:pPr>
        <w:spacing w:after="0" w:line="187" w:lineRule="exact"/>
        <w:rPr>
          <w:rFonts w:ascii="Arial" w:cs="Arial" w:eastAsia="Arial" w:hAnsi="Arial"/>
          <w:sz w:val="18"/>
          <w:szCs w:val="18"/>
          <w:color w:val="auto"/>
        </w:rPr>
      </w:pPr>
    </w:p>
    <w:p>
      <w:pPr>
        <w:jc w:val="both"/>
        <w:ind w:firstLine="987"/>
        <w:spacing w:after="0" w:line="301" w:lineRule="auto"/>
        <w:tabs>
          <w:tab w:leader="none" w:pos="13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Subject to Section 2.13, each Borrowing shall be comprised entirely of Base Rate Loans or Eurocurrency Loans as the Borrower may request in accordance herewith. Each Base Rate Loan shall only be made in Dollars. Each Swingline Loan shall be a Base Rate Loan. Each Lender at its option may make any Eurocurrency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 to repay such Loan in accordance with the terms of this Agreement.</w:t>
      </w:r>
    </w:p>
    <w:p>
      <w:pPr>
        <w:spacing w:after="0" w:line="157" w:lineRule="exact"/>
        <w:rPr>
          <w:rFonts w:ascii="Arial" w:cs="Arial" w:eastAsia="Arial" w:hAnsi="Arial"/>
          <w:sz w:val="16"/>
          <w:szCs w:val="16"/>
          <w:color w:val="auto"/>
        </w:rPr>
      </w:pPr>
    </w:p>
    <w:p>
      <w:pPr>
        <w:ind w:firstLine="987"/>
        <w:spacing w:after="0" w:line="272" w:lineRule="auto"/>
        <w:tabs>
          <w:tab w:leader="none" w:pos="13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Each Borrowing of, conversion to or continuation of Eurocurrency Loans shall be in an aggregate amount that is an integral multiple of the Borrowing Multiple (or, if not an integral multiple, the entire available amount) and not less than the Borrowing Minimum. Each Borrowing of, conversion to or continuation of Base Rate Loans (other than Swingline Loans which shall be subject to Section 2.04) shall be in an aggregate amount that is an integral multiple of $1,000,000 and not less than $1,000,000;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Eurocurrency Loans and Base Rate Loans may be in an aggregate amount that is equal to the entire unused balance of the total Revolving Commitments or that is required to finance the reimbursement of an L/C Disbursement as contemplated by Section 2.05(c). Borrowings of more than one Type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twenty (20) Eurocurrency Borrowings outstanding.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59" w:name="page60"/>
    <w:bookmarkEnd w:id="59"/>
    <w:p>
      <w:pPr>
        <w:ind w:left="4" w:right="600" w:firstLine="987"/>
        <w:spacing w:after="0" w:line="277" w:lineRule="auto"/>
        <w:tabs>
          <w:tab w:leader="none" w:pos="1385"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other provision of this Agreement, the Borrower shall not be entitled to request, or to elect to convert or continue, any Borrowing if the Interest Period requested would end after the applicable Revolving Credit Maturity Date.</w:t>
      </w:r>
    </w:p>
    <w:p>
      <w:pPr>
        <w:spacing w:after="0" w:line="170"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 xml:space="preserve">SECTION 2.03 Requests for Borrowings. To request a Borrowing, a conversion of Loans from one Type to the other or a continuation of Eurocurrency Loans, the Borrower shall irrevocably notify the Administrative Agent of such request by (A) telephone or (B) a written Borrowing Request in a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 provided that any telephonic notice must be confirmed immediately by hand delivery or telecopy or transmission by electronic communication in accordance with Section 9.01(b) to the Administrative Agent of a written Borrowing Request. Each such Borrowing Request must be received by the Administrative Agent not later than noon (i) three Business Days prior to the requested date of any Borrowing of, conversion to or continuation of Eurocurrency Loans denominated in Dollars or of any conversion of Eurocurrency Loans denominated in Dollars to Base Rate Loans,</w:t>
      </w:r>
    </w:p>
    <w:p>
      <w:pPr>
        <w:spacing w:after="0" w:line="1" w:lineRule="exact"/>
        <w:rPr>
          <w:sz w:val="20"/>
          <w:szCs w:val="20"/>
          <w:color w:val="auto"/>
        </w:rPr>
      </w:pPr>
    </w:p>
    <w:p>
      <w:pPr>
        <w:ind w:left="4" w:hanging="4"/>
        <w:spacing w:after="0" w:line="285" w:lineRule="auto"/>
        <w:tabs>
          <w:tab w:leader="none" w:pos="2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four Business Days (or five Business Days in the case of a Special Notice Currency) prior to the requested date of any Borrowing or continuation of Eurocurrency Loans denominated in Alternative Currencies, and (iii) on the requested date of any Borrowing of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wishes to request Eurocurrency Loans having an Interest Period other than one, two, three or six months in duration as provided in the definition of “Interest Period,” the applicable notice must be received by the Administrative Agent not later than noon (i) four Business Days prior to the requested date of such Borrowing, conversion or continuation of Eurocurrency Loans denominated in Dollars, or (ii) five Business Days (or six Business Days in the case of a Special Notice Currency) prior to the requested date of such Borrowing, conversion or continuation of Eurocurrency Loans denominated in Alternative Currencies, whereupon the Administrative Agent shall give prompt notice to the applicable Lenders of such request and determine whether the requested Interest Period is acceptable to all of them. Not later than 11:00 a.m., (i) three Business Days before the requested date of such Borrowing, conversion or continuation of Eurocurrency Loans denominated in Dollars, or (ii) four Business Days (or five Business Days in the case of a Special Notice Currency) prior to the requested date of such Borrowing, conversion or continuation of Eurocurrency Loans denominated in Alternative Currencies, the Administrative Agent shall notify the Borrower (which notice may be by telephone) whether or not the requested Interest Period has been consented to by all the applicable Lenders. Each Borrowing Request shall specify the following information in compliance with Section 2.02:(i) the aggregate amount of the requested Borrowing, conversion or continuation;</w:t>
      </w:r>
    </w:p>
    <w:p>
      <w:pPr>
        <w:spacing w:after="0" w:line="61" w:lineRule="exact"/>
        <w:rPr>
          <w:rFonts w:ascii="Arial" w:cs="Arial" w:eastAsia="Arial" w:hAnsi="Arial"/>
          <w:sz w:val="16"/>
          <w:szCs w:val="16"/>
          <w:color w:val="auto"/>
        </w:rPr>
      </w:pPr>
    </w:p>
    <w:p>
      <w:pPr>
        <w:ind w:left="1264" w:hanging="401"/>
        <w:spacing w:after="0"/>
        <w:tabs>
          <w:tab w:leader="none" w:pos="12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date of such Borrowing, conversion or continuation, which shall be a Business Day;</w:t>
      </w:r>
    </w:p>
    <w:p>
      <w:pPr>
        <w:spacing w:after="0" w:line="117" w:lineRule="exact"/>
        <w:rPr>
          <w:rFonts w:ascii="Arial" w:cs="Arial" w:eastAsia="Arial" w:hAnsi="Arial"/>
          <w:sz w:val="18"/>
          <w:szCs w:val="18"/>
          <w:color w:val="auto"/>
        </w:rPr>
      </w:pPr>
    </w:p>
    <w:p>
      <w:pPr>
        <w:ind w:left="1304" w:hanging="441"/>
        <w:spacing w:after="0"/>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whether such Borrowing is a Certain Funds Draw;</w:t>
      </w:r>
    </w:p>
    <w:p>
      <w:pPr>
        <w:spacing w:after="0" w:line="117" w:lineRule="exact"/>
        <w:rPr>
          <w:rFonts w:ascii="Arial" w:cs="Arial" w:eastAsia="Arial" w:hAnsi="Arial"/>
          <w:sz w:val="18"/>
          <w:szCs w:val="18"/>
          <w:color w:val="auto"/>
        </w:rPr>
      </w:pPr>
    </w:p>
    <w:p>
      <w:pPr>
        <w:ind w:left="1304" w:hanging="441"/>
        <w:spacing w:after="0"/>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whether such Borrowing, conversion or continuation is to be a Base Rate Borrowing or a Eurocurrency Borrowing;</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60" w:name="page61"/>
    <w:bookmarkEnd w:id="60"/>
    <w:p>
      <w:pPr>
        <w:ind w:left="1240" w:hanging="38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currency in which such Borrowing is to be made, which shall be Dollars or an Alternative Currency;</w:t>
      </w:r>
    </w:p>
    <w:p>
      <w:pPr>
        <w:spacing w:after="0" w:line="117" w:lineRule="exact"/>
        <w:rPr>
          <w:rFonts w:ascii="Arial" w:cs="Arial" w:eastAsia="Arial" w:hAnsi="Arial"/>
          <w:sz w:val="18"/>
          <w:szCs w:val="18"/>
          <w:color w:val="auto"/>
        </w:rPr>
      </w:pPr>
    </w:p>
    <w:p>
      <w:pPr>
        <w:ind w:left="440" w:right="380" w:firstLine="419"/>
        <w:spacing w:after="0" w:line="277" w:lineRule="auto"/>
        <w:tabs>
          <w:tab w:leader="none" w:pos="130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a Eurocurrency Borrowing, the Interest Period to be applicable thereto, which shall be a period contemplated by the definition of the term “Interest Period”;</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 which shall comply with the requirements of Section 2.06;</w:t>
      </w:r>
    </w:p>
    <w:p>
      <w:pPr>
        <w:spacing w:after="0" w:line="62" w:lineRule="exact"/>
        <w:rPr>
          <w:rFonts w:ascii="Arial" w:cs="Arial" w:eastAsia="Arial" w:hAnsi="Arial"/>
          <w:sz w:val="18"/>
          <w:szCs w:val="18"/>
          <w:color w:val="auto"/>
        </w:rPr>
      </w:pPr>
    </w:p>
    <w:p>
      <w:pPr>
        <w:ind w:left="440" w:right="620" w:firstLine="419"/>
        <w:spacing w:after="0" w:line="277" w:lineRule="auto"/>
        <w:tabs>
          <w:tab w:leader="none" w:pos="140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Borrower is requesting a new Borrowing, a conversion of Loans from one Type to the other, or a continuation of Eurocurrency Loans; and</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Type of Loans to be borrowed or to which existing Loans are to be converted.</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no election as to the Type of Borrowing is specified, then, in the case of a Borrowing denominated in Dollars to the Borrower, the requested Revolving Borrowing shall be a Base Rate Borrowing. In the case of a failure to timely request a conversion or continuation of Eurocurrency Loans, such Loans shall be continued as Eurocurrency Loans in their original currency with an Interest Period of one month’s duration. If no Interest Period is specified with respect to any requested Eurocurrency Borrowing or conversion or continuation of Eurocurrency Loans, then the Borrower shall be deemed to have selected an Interest Period of one month’s duration. Any automatic conversion to Base Rate Loans shall be effective as of the last day of the Interest Period then in effect with respect to the applicable Eurocurrency Loans. Promptly following receipt of a Borrowing Request in accordance with this Section, the Administrative Agent shall advise each Lender of the details thereof and of the amount (and currency) of such Lender’s Loan to be made as part of the requested Borrowing. Except as otherwise provided herein, a Eurocurrency Loan may be continued or converted only on the last day of an Interest Period for such Eurocurrency Loan. During the existence of a Default, no Loans may be requested as, converted to or continued as Eurocurrency Loans (whether in Dollars or any Alternative Currency) without the consent of the Required Lenders, and the Required Lenders may demand that any or all of the then outstanding Eurocurrency Loans denominated in an Alternative Currency be prepaid, or redenominated into Dollars in the amount of the Dollar Equivalent thereof, on the last day of the then current Interest Period with respect thereto. No Loan may be converted into or continued as a Loan denominated in a different currency, but instead must be prepaid in the original currency of such Loan and reborrowed in the other currency.</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Swingline Loans.</w:t>
      </w:r>
    </w:p>
    <w:p>
      <w:pPr>
        <w:spacing w:after="0" w:line="117" w:lineRule="exact"/>
        <w:rPr>
          <w:sz w:val="20"/>
          <w:szCs w:val="20"/>
          <w:color w:val="auto"/>
        </w:rPr>
      </w:pPr>
    </w:p>
    <w:p>
      <w:pPr>
        <w:ind w:right="160" w:firstLine="987"/>
        <w:spacing w:after="0" w:line="257" w:lineRule="auto"/>
        <w:tabs>
          <w:tab w:leader="none" w:pos="13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the Swingline Lender agrees, in reliance upon the agreements of the other Lenders set forth in this Section 2.04, to make Swingline Loans in Dollars to the Borrower from time to time during the Availability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Swingline Loan shall be permitted if, after giving effect thereto, (i) the aggregate principal amount of outstanding Swingline Loans would exceed the Swingline Loan Sublimit, (ii) the aggregate Revolving Credit Exposures would exceed the total Revolving Commitments or (iii) such Swingline Lender’s Credit Exposure would exceed its Revolving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61" w:name="page62"/>
    <w:bookmarkEnd w:id="61"/>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Commitment;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Percentage times the amount of such Swingline Loan.</w:t>
      </w:r>
    </w:p>
    <w:p>
      <w:pPr>
        <w:spacing w:after="0" w:line="188" w:lineRule="exact"/>
        <w:rPr>
          <w:sz w:val="20"/>
          <w:szCs w:val="20"/>
          <w:color w:val="auto"/>
        </w:rPr>
      </w:pPr>
    </w:p>
    <w:p>
      <w:pPr>
        <w:ind w:firstLine="987"/>
        <w:spacing w:after="0" w:line="268" w:lineRule="auto"/>
        <w:tabs>
          <w:tab w:leader="none" w:pos="1378"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To request a Swingline Loan, the Borrower shall notify the Administrative Agent and Swingline Lender of such request, which may be given by (A) telephone or (B) by a Swingline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Swingline Lender and the Administrative Agent of a Swingline Loan Notice, and, in each case, such notice shall be irrevocable. Each such Swingline Loan Notice must be received by the Swingline Lender and the Administrative Agent not later than 1:00 p.m. on the requested borrowing date, and shall specify (i) the amount to be borrowed, which shall be a minimum of $100,000, and (ii) the requested borrowing date, which shall be a Business Day. Promptly after receipt by the Swingline Lender of any telephonic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Loan Borrowing (A) directing the Swingline Lender not to make such Swingline Loan as a result of the limitations set forth in Section 2.04(a), or (B) that one or more of the applicable conditions specified in Article IV is not then satisfied, then, the Swingline Lender shall make such Swingline Loan available to the Borrower by means of a credit to the general deposit account of the Borrower with the Swingline Lender (or, in the case of a Swingline Loan made to finance the reimbursement of an L/C Disbursement as provided in Section 2.05(c), by remittance to the relevant Issuing Bank) by 3:00 p.m. on the requested date of such Swingline Loan.</w:t>
      </w:r>
    </w:p>
    <w:p>
      <w:pPr>
        <w:spacing w:after="0" w:line="184" w:lineRule="exact"/>
        <w:rPr>
          <w:rFonts w:ascii="Arial" w:cs="Arial" w:eastAsia="Arial" w:hAnsi="Arial"/>
          <w:sz w:val="17"/>
          <w:szCs w:val="17"/>
          <w:color w:val="auto"/>
        </w:rPr>
      </w:pPr>
    </w:p>
    <w:p>
      <w:pPr>
        <w:ind w:right="60" w:firstLine="987"/>
        <w:spacing w:after="0" w:line="287" w:lineRule="auto"/>
        <w:tabs>
          <w:tab w:leader="none" w:pos="1371"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The Swingline Lender at any time in its sole and absolute discretion may request, on behalf of the Borrower (which hereby irrevocably authorizes the Swingline Lender to so request on its behalf), that each Revolving Lender make a Base Rate Loan in an amount equal to such Lender’s Applicable Percentage of the amount of the Swingline Loans then outstanding. Such request shall be made in writing (which written request shall be deemed to be a Borrowing Request for purposes hereof) and in accordance with the requirements of Section 2.02 and Section 2.03, without regard to the minimum and multiples specified therein for the principal amount of Base Rate Loans, but subject to the unutilized portion of the Revolving Commitments and the conditions set forth in Section 4.03 or Section 4.04, as applicable. The Swingline Lender shall furnish the Borrower with a copy of the applicable Borrowing Request promptly after delivering such notice to the Administrative Agent. Each Revolving Lender shall make an amount equal to its Applicable Percentage of the amount specified in such Borrowing Request available to the Administrative Agent in Same Day Funds for the account of the Swingline Lender at the Administrative Agent’s Office for Dollar-denominated payments not later than 1:00 p.m. on the day specified in such Borrowing Request, whereupon, subject to Section 2.04(c)(ii), each Lender that so makes funds available shall be deemed to have made a Base Rate Loan to the Borrower in such amount. The Administrative Agent shall remit the funds so received to the Swingline Lender.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62" w:name="page63"/>
    <w:bookmarkEnd w:id="62"/>
    <w:p>
      <w:pPr>
        <w:ind w:left="440" w:firstLine="419"/>
        <w:spacing w:after="0" w:line="286" w:lineRule="auto"/>
        <w:tabs>
          <w:tab w:leader="none" w:pos="1263"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for any reason any Swingline Loan cannot be refinanced by such Base Rate Loan in accordance with clause (i), the request for Base Rate Loans submitted by the Swingline Lender as set forth herein shall be deemed to be a request by the Swingline Lender that each of the Revolving Lenders fund its risk participation in the relevant Swingline Loan and such Revolving Lender’s payment to the Administrative Agent for the account of the Swingline Lender pursuant to Section 2.04(c)(i) shall be deemed payment in respect of such participation. If any Revolving Lender fails to make available to the Administrative Agent for the account of the Swingline Lender any amount required to be paid by such Revolving Lender pursuant to the foregoing provisions of this Section 2.04(c) by the time specified in Section 2.04(c)(i),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applicable Overnight Rate from time to time in effect, plus any administrative, processing or similar fees customarily charged by the Swingline Lender in connection with the foregoing. If such Revolving Lender pays such amount (with interest and fees as aforesaid), the amount so paid shall constitute such Revolving Lender’s Base Rate Loan included in the relevant Borrowing or funded participation in the relevant Swingline Loan, as the case may be. A certificate of the Swingline Lender submitted to any Revolving Lender (through the Administrative Agent) with respect to any amounts owing under this clause (ii) shall be conclusive absent manifest error.</w:t>
      </w:r>
    </w:p>
    <w:p>
      <w:pPr>
        <w:spacing w:after="0" w:line="65" w:lineRule="exact"/>
        <w:rPr>
          <w:rFonts w:ascii="Arial" w:cs="Arial" w:eastAsia="Arial" w:hAnsi="Arial"/>
          <w:sz w:val="16"/>
          <w:szCs w:val="16"/>
          <w:color w:val="auto"/>
        </w:rPr>
      </w:pPr>
    </w:p>
    <w:p>
      <w:pPr>
        <w:ind w:left="440" w:right="20" w:firstLine="419"/>
        <w:spacing w:after="0" w:line="272" w:lineRule="auto"/>
        <w:tabs>
          <w:tab w:leader="none" w:pos="1313"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Each Revolving Lender’s obligation to make Base Rate Loans or to purchase and fund risk participations in Swingline Loans pursuant to this Section 2.04(c)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Revolving Lender’s obligation to make Base Rate Loans pursuant to this Section 2.04(c) is subject to the conditions set forth in Section 4.03 or Section 4.04, as applicable. No such funding of risk participations shall relieve or otherwise impair the obligation of the Borrower to repay Swingline Loans, together with interest as provided herein.</w:t>
      </w:r>
    </w:p>
    <w:p>
      <w:pPr>
        <w:spacing w:after="0" w:line="177" w:lineRule="exact"/>
        <w:rPr>
          <w:sz w:val="20"/>
          <w:szCs w:val="20"/>
          <w:color w:val="auto"/>
        </w:rPr>
      </w:pPr>
    </w:p>
    <w:p>
      <w:pPr>
        <w:ind w:right="480" w:firstLine="987"/>
        <w:spacing w:after="0" w:line="263" w:lineRule="auto"/>
        <w:tabs>
          <w:tab w:leader="none" w:pos="1381" w:val="left"/>
        </w:tabs>
        <w:numPr>
          <w:ilvl w:val="1"/>
          <w:numId w:val="47"/>
        </w:numPr>
        <w:rPr>
          <w:rFonts w:ascii="Arial" w:cs="Arial" w:eastAsia="Arial" w:hAnsi="Arial"/>
          <w:sz w:val="18"/>
          <w:szCs w:val="18"/>
          <w:color w:val="auto"/>
        </w:rPr>
      </w:pPr>
      <w:r>
        <w:rPr>
          <w:rFonts w:ascii="Arial" w:cs="Arial" w:eastAsia="Arial" w:hAnsi="Arial"/>
          <w:sz w:val="18"/>
          <w:szCs w:val="18"/>
          <w:color w:val="auto"/>
        </w:rPr>
        <w:t>(i) At any time after any Revolving Lender has purchased and funded a risk participation in a Swingline Loan, if the Swingline Lender receives any payment on account of such Swingline Loan, the Swingline Lender will distribute to such Revolving Lender its Applicable Percentage thereof in the same funds as those received by the Swingline Lender.</w:t>
      </w:r>
    </w:p>
    <w:p>
      <w:pPr>
        <w:spacing w:after="0" w:line="75" w:lineRule="exact"/>
        <w:rPr>
          <w:rFonts w:ascii="Arial" w:cs="Arial" w:eastAsia="Arial" w:hAnsi="Arial"/>
          <w:sz w:val="18"/>
          <w:szCs w:val="18"/>
          <w:color w:val="auto"/>
        </w:rPr>
      </w:pPr>
    </w:p>
    <w:p>
      <w:pPr>
        <w:ind w:left="440" w:firstLine="419"/>
        <w:spacing w:after="0" w:line="257" w:lineRule="auto"/>
        <w:tabs>
          <w:tab w:leader="none" w:pos="12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any payment received by the Swingline Lender in respect of principal or interest on any Swingline Loan is required to be returned by the Swingline Lender under any of the circumstances described in Section 9.08 (including pursuant to any settlement entered into by the Swingline Lender in its discretion), each Revolving Lender shall pay to the Swingline Lender its Applicable Percentage thereof on demand of the Administrative Agent, plus interest thereon from the date of such demand to the date such amount is returned, at a rate per annum equal to the applicable Overnight Rate from time to time 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3" w:name="page64"/>
    <w:bookmarkEnd w:id="63"/>
    <w:p>
      <w:pPr>
        <w:ind w:left="420"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 The Administrative Agent will make such demand upon the request of the Swingline Lender. The obligations of the Revolving Lenders under this clause shall survive the payment in full of the Obligations and the termination of this Agreement.</w:t>
      </w:r>
    </w:p>
    <w:p>
      <w:pPr>
        <w:spacing w:after="0" w:line="170" w:lineRule="exact"/>
        <w:rPr>
          <w:sz w:val="20"/>
          <w:szCs w:val="20"/>
          <w:color w:val="auto"/>
        </w:rPr>
      </w:pPr>
    </w:p>
    <w:p>
      <w:pPr>
        <w:ind w:left="-20" w:right="160" w:firstLine="987"/>
        <w:spacing w:after="0" w:line="286" w:lineRule="auto"/>
        <w:tabs>
          <w:tab w:leader="none" w:pos="134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Swingline Lender shall be responsible for invoicing the Borrower for interest on the Swingline Loans. Until each Revolving Lender funds its Base Rate Loan or risk participation pursuant to this Section 2.04 to refinance such Revolving Lender’s Applicable Percentage of any Swingline Loan, interest in respect of such Applicable Percentage shall be solely for the account of the Swingline Lender.</w:t>
      </w:r>
    </w:p>
    <w:p>
      <w:pPr>
        <w:spacing w:after="0" w:line="165" w:lineRule="exact"/>
        <w:rPr>
          <w:rFonts w:ascii="Arial" w:cs="Arial" w:eastAsia="Arial" w:hAnsi="Arial"/>
          <w:sz w:val="17"/>
          <w:szCs w:val="17"/>
          <w:color w:val="auto"/>
        </w:rPr>
      </w:pPr>
    </w:p>
    <w:p>
      <w:pPr>
        <w:ind w:left="1320" w:hanging="353"/>
        <w:spacing w:after="0"/>
        <w:tabs>
          <w:tab w:leader="none" w:pos="1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Borrower shall make all payments of principal and interest in respect of its Swingline Loans directly to the Swingline Lender.</w:t>
      </w:r>
    </w:p>
    <w:p>
      <w:pPr>
        <w:spacing w:after="0" w:line="34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Letters of Credit.</w:t>
      </w:r>
    </w:p>
    <w:p>
      <w:pPr>
        <w:spacing w:after="0" w:line="117" w:lineRule="exact"/>
        <w:rPr>
          <w:sz w:val="20"/>
          <w:szCs w:val="20"/>
          <w:color w:val="auto"/>
        </w:rPr>
      </w:pPr>
    </w:p>
    <w:p>
      <w:pPr>
        <w:ind w:left="1220" w:hanging="381"/>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17" w:lineRule="exact"/>
        <w:rPr>
          <w:sz w:val="20"/>
          <w:szCs w:val="20"/>
          <w:color w:val="auto"/>
        </w:rPr>
      </w:pPr>
    </w:p>
    <w:p>
      <w:pPr>
        <w:ind w:left="420" w:firstLine="419"/>
        <w:spacing w:after="0" w:line="286" w:lineRule="auto"/>
        <w:tabs>
          <w:tab w:leader="none" w:pos="1193"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each Issuing Bank agrees, in reliance upon the agreements of the Revolving Lenders set forth in this Section 2.05, (1) from time to time on any Business Day during the period from the Closing Date until the Letter of Credit Expiration Date, to issue Letters of Credit denominated in Dollars or in one or more Alternative Currencies for the account of the Borrower or its Subsidiaries, and to amend or extend Letters of Credit previously issued by it, in accordance with subsection (b) below, and (2) to honor drawings under the Letters of Credit; and (B) the Revolving Lenders severally agree to participate in Letters of Credit issued for the account of the Borrower or its Subsidiaries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(x) the aggregate L/C Exposure shall not exceed the L/C Exposure Sublimit, (y) the total Revolving Credit Exposures shall not exceed the total Revolving Commitments, and (z) such Issuing Bank’s Credit Exposure shall not exceed its Revolving Commitment;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Goldman Sachs Bank USA (or any of its Affiliates) is an Issuing Bank for the purposes of this Agreement only in respect of standby Letters of Credit.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be Letters of Credit issued pursuant to this Agreement on the Closing Date and from and after the Closing Date shall be subject to and governed by the terms and conditions hereof.</w:t>
      </w:r>
    </w:p>
    <w:p>
      <w:pPr>
        <w:spacing w:after="0" w:line="59" w:lineRule="exact"/>
        <w:rPr>
          <w:rFonts w:ascii="Arial" w:cs="Arial" w:eastAsia="Arial" w:hAnsi="Arial"/>
          <w:sz w:val="16"/>
          <w:szCs w:val="16"/>
          <w:color w:val="auto"/>
        </w:rPr>
      </w:pPr>
    </w:p>
    <w:p>
      <w:pPr>
        <w:ind w:left="420" w:right="200" w:firstLine="419"/>
        <w:spacing w:after="0" w:line="259" w:lineRule="auto"/>
        <w:tabs>
          <w:tab w:leader="none" w:pos="12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Issuing Bank shall issue any Letter of Credit, if: (A) subject to Section 2.05(b)(iii), the expiry date of such requested Letter of Credit would occur more than twelve months after the date of issuance or last extension, unless the Required Lenders and the applicable Issuing Bank have approved such expiry date; or (B) the expiry date of such requested Letter of Credit would occur after the Letter of Credit Expiration Date, unless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60" w:top="274" w:right="459" w:bottom="1440" w:gutter="0" w:footer="0" w:header="0"/>
        </w:sectPr>
      </w:pPr>
    </w:p>
    <w:bookmarkStart w:id="64" w:name="page65"/>
    <w:bookmarkEnd w:id="64"/>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Administrative Agent and the applicable Issuing Bank have approved such expiry date (it being understood that in the event the expiry date of any requested Letter of Credit would occur after the Letter of Credit Expiration Date, from and after the Letter of Credit Expiration Date, the Borrower shall immediately Cash Collateralize the then Outstanding Amount of all L/C Exposure in accordance with Section 2.05(g)).</w:t>
      </w:r>
    </w:p>
    <w:p>
      <w:pPr>
        <w:spacing w:after="0" w:line="41" w:lineRule="exact"/>
        <w:rPr>
          <w:sz w:val="20"/>
          <w:szCs w:val="20"/>
          <w:color w:val="auto"/>
        </w:rPr>
      </w:pPr>
    </w:p>
    <w:p>
      <w:pPr>
        <w:ind w:left="860" w:hanging="441"/>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Issuing Bank shall be under any obligation to issue any Letter of Credit if:</w:t>
      </w:r>
    </w:p>
    <w:p>
      <w:pPr>
        <w:spacing w:after="0" w:line="117" w:lineRule="exact"/>
        <w:rPr>
          <w:sz w:val="20"/>
          <w:szCs w:val="20"/>
          <w:color w:val="auto"/>
        </w:rPr>
      </w:pPr>
    </w:p>
    <w:p>
      <w:pPr>
        <w:ind w:firstLine="419"/>
        <w:spacing w:after="0" w:line="272" w:lineRule="auto"/>
        <w:tabs>
          <w:tab w:leader="none" w:pos="85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w:t>
      </w:r>
    </w:p>
    <w:p>
      <w:pPr>
        <w:spacing w:after="0" w:line="69" w:lineRule="exact"/>
        <w:rPr>
          <w:rFonts w:ascii="Arial" w:cs="Arial" w:eastAsia="Arial" w:hAnsi="Arial"/>
          <w:sz w:val="17"/>
          <w:szCs w:val="17"/>
          <w:color w:val="auto"/>
        </w:rPr>
      </w:pPr>
    </w:p>
    <w:p>
      <w:pPr>
        <w:ind w:left="840" w:hanging="421"/>
        <w:spacing w:after="0"/>
        <w:tabs>
          <w:tab w:leader="none" w:pos="8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such Issuing Bank applicable to letters of credit generally;</w:t>
      </w:r>
    </w:p>
    <w:p>
      <w:pPr>
        <w:spacing w:after="0" w:line="140" w:lineRule="exact"/>
        <w:rPr>
          <w:rFonts w:ascii="Arial" w:cs="Arial" w:eastAsia="Arial" w:hAnsi="Arial"/>
          <w:sz w:val="16"/>
          <w:szCs w:val="16"/>
          <w:color w:val="auto"/>
        </w:rPr>
      </w:pPr>
    </w:p>
    <w:p>
      <w:pPr>
        <w:ind w:right="20" w:firstLine="419"/>
        <w:spacing w:after="0" w:line="277" w:lineRule="auto"/>
        <w:tabs>
          <w:tab w:leader="none" w:pos="8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Issuing Bank, such Letter of Credit is in an initial stated amount less than $100,000, in the case of a commercial Letter of Credit, or $500,000, in the case of a standby Letter of Credit;</w:t>
      </w:r>
    </w:p>
    <w:p>
      <w:pPr>
        <w:spacing w:after="0" w:line="62" w:lineRule="exact"/>
        <w:rPr>
          <w:rFonts w:ascii="Arial" w:cs="Arial" w:eastAsia="Arial" w:hAnsi="Arial"/>
          <w:sz w:val="18"/>
          <w:szCs w:val="18"/>
          <w:color w:val="auto"/>
        </w:rPr>
      </w:pPr>
    </w:p>
    <w:p>
      <w:pPr>
        <w:ind w:right="540" w:firstLine="419"/>
        <w:spacing w:after="0" w:line="277" w:lineRule="auto"/>
        <w:tabs>
          <w:tab w:leader="none" w:pos="8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Issuing Bank, such Letter of Credit is to be denominated in a currency other than Dollars or an Alternative Currency;</w:t>
      </w:r>
    </w:p>
    <w:p>
      <w:pPr>
        <w:spacing w:after="0" w:line="62" w:lineRule="exact"/>
        <w:rPr>
          <w:rFonts w:ascii="Arial" w:cs="Arial" w:eastAsia="Arial" w:hAnsi="Arial"/>
          <w:sz w:val="18"/>
          <w:szCs w:val="18"/>
          <w:color w:val="auto"/>
        </w:rPr>
      </w:pPr>
    </w:p>
    <w:p>
      <w:pPr>
        <w:ind w:left="820" w:hanging="401"/>
        <w:spacing w:after="0"/>
        <w:tabs>
          <w:tab w:leader="none" w:pos="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such Issuing Bank does not as of the issuance date of such requested Letter of Credit issue Letters of Credit in the requested currency;</w:t>
      </w:r>
    </w:p>
    <w:p>
      <w:pPr>
        <w:spacing w:after="0" w:line="140" w:lineRule="exact"/>
        <w:rPr>
          <w:rFonts w:ascii="Arial" w:cs="Arial" w:eastAsia="Arial" w:hAnsi="Arial"/>
          <w:sz w:val="16"/>
          <w:szCs w:val="16"/>
          <w:color w:val="auto"/>
        </w:rPr>
      </w:pPr>
    </w:p>
    <w:p>
      <w:pPr>
        <w:ind w:left="820" w:hanging="401"/>
        <w:spacing w:after="0"/>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 thereunder; or</w:t>
      </w:r>
    </w:p>
    <w:p>
      <w:pPr>
        <w:spacing w:after="0" w:line="128" w:lineRule="exact"/>
        <w:rPr>
          <w:rFonts w:ascii="Arial" w:cs="Arial" w:eastAsia="Arial" w:hAnsi="Arial"/>
          <w:sz w:val="17"/>
          <w:szCs w:val="17"/>
          <w:color w:val="auto"/>
        </w:rPr>
      </w:pPr>
    </w:p>
    <w:p>
      <w:pPr>
        <w:ind w:right="460" w:firstLine="419"/>
        <w:spacing w:after="0" w:line="311" w:lineRule="auto"/>
        <w:tabs>
          <w:tab w:leader="none" w:pos="853"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default of any Revolving Lender’s obligations to fund under Section 2.05(c) exists or any Revolving Lender is at such time a Defaulting Lender hereunder, unless such Issuing Bank has entered into satisfactory arrangements (in such Issuing Bank’s sole and absolute discretion) with the Borrower or such Revolving Lender to eliminate such Issuing Bank’s risk with respect to such Revolving Lender.</w:t>
      </w:r>
    </w:p>
    <w:p>
      <w:pPr>
        <w:spacing w:after="0" w:line="41" w:lineRule="exact"/>
        <w:rPr>
          <w:sz w:val="20"/>
          <w:szCs w:val="20"/>
          <w:color w:val="auto"/>
        </w:rPr>
      </w:pPr>
    </w:p>
    <w:p>
      <w:pPr>
        <w:ind w:right="280" w:firstLine="419"/>
        <w:spacing w:after="0" w:line="277" w:lineRule="auto"/>
        <w:tabs>
          <w:tab w:leader="none" w:pos="8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Issuing Bank shall amend any Letter of Credit if such Issuing Bank would not be permitted at such time to issue such Letter of Credit in its amended form under the terms hereof.</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20"/>
          </w:cols>
          <w:pgMar w:left="880" w:top="274" w:right="499" w:bottom="1440" w:gutter="0" w:footer="0" w:header="0"/>
        </w:sectPr>
      </w:pPr>
    </w:p>
    <w:bookmarkStart w:id="65" w:name="page66"/>
    <w:bookmarkEnd w:id="65"/>
    <w:p>
      <w:pPr>
        <w:ind w:right="60" w:firstLine="419"/>
        <w:spacing w:after="0" w:line="263" w:lineRule="auto"/>
        <w:tabs>
          <w:tab w:leader="none" w:pos="813"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Issuing Bank shall be under any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75" w:lineRule="exact"/>
        <w:rPr>
          <w:rFonts w:ascii="Arial" w:cs="Arial" w:eastAsia="Arial" w:hAnsi="Arial"/>
          <w:sz w:val="18"/>
          <w:szCs w:val="18"/>
          <w:color w:val="auto"/>
        </w:rPr>
      </w:pPr>
    </w:p>
    <w:p>
      <w:pPr>
        <w:ind w:right="40" w:firstLine="419"/>
        <w:spacing w:after="0" w:line="296" w:lineRule="auto"/>
        <w:tabs>
          <w:tab w:leader="none" w:pos="8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Issuing Bank shall act on behalf of the Revolving Lenders with respect to any Letters of Credit issued by it and the documents associated therewith, and each Issuing Bank shall have all of the benefits and immunities (A) provided to the Administrative Agent in Article VIII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such Issuing Bank.</w:t>
      </w:r>
    </w:p>
    <w:p>
      <w:pPr>
        <w:spacing w:after="0" w:line="269" w:lineRule="exact"/>
        <w:rPr>
          <w:sz w:val="20"/>
          <w:szCs w:val="20"/>
          <w:color w:val="auto"/>
        </w:rPr>
      </w:pPr>
    </w:p>
    <w:p>
      <w:pPr>
        <w:ind w:left="940" w:hanging="393"/>
        <w:spacing w:after="0"/>
        <w:tabs>
          <w:tab w:leader="none" w:pos="94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19"/>
        <w:spacing w:after="0" w:line="286" w:lineRule="auto"/>
        <w:tabs>
          <w:tab w:leader="none" w:pos="773"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delivered to the applicable Issuing Bank (with a 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noon at least two Business Days (or such later date and time as the applicable Issuing Bank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applicable Issuing Bank: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applicable Issuing Bank may require. In the case of a request for an amendment of any outstanding Letter of Credit, such Letter of Credit Application shall specify in form and detail satisfactory to the applicable Issuing Bank (A) the Letter of Credit to be amended; (B) the proposed date of amendment thereof (which shall be a Business Day); (C) the nature of the proposed amendment; and (D) such other matters as the applicable Issuing Bank may require. Additionally, the Borrower shall furnish to the applicable Issuing Bank and the Administrative Agent such other documents and information pertaining to such requested Letter of Credit issuance or amendment, including any Issuer Documents, as the applicable Issuing Bank or the Administrative Agent may reasonably require.</w:t>
      </w:r>
    </w:p>
    <w:p>
      <w:pPr>
        <w:spacing w:after="0" w:line="59" w:lineRule="exact"/>
        <w:rPr>
          <w:rFonts w:ascii="Arial" w:cs="Arial" w:eastAsia="Arial" w:hAnsi="Arial"/>
          <w:sz w:val="16"/>
          <w:szCs w:val="16"/>
          <w:color w:val="auto"/>
        </w:rPr>
      </w:pPr>
    </w:p>
    <w:p>
      <w:pPr>
        <w:ind w:firstLine="419"/>
        <w:spacing w:after="0" w:line="263" w:lineRule="auto"/>
        <w:tabs>
          <w:tab w:leader="none" w:pos="823"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60"/>
          </w:cols>
          <w:pgMar w:left="880" w:top="274" w:right="459" w:bottom="1440" w:gutter="0" w:footer="0" w:header="0"/>
        </w:sectPr>
      </w:pPr>
    </w:p>
    <w:bookmarkStart w:id="66" w:name="page67"/>
    <w:bookmarkEnd w:id="66"/>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copy thereof. Unless an Issuing Bank has received written notice from any Revolving Lender,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such Issuing Bank shall, on the requested date, issue a Letter of Credit for the account of the Borrower (or the applicable Subsidiary) or enter into the applicable amendment, as the case may be, in each case in accordance with such Issuing Bank’s usual and customary business practices. Immediately upon the issuance of each Letter of Credit by an Issuing Bank, each Revolving Lender shall be deemed to, and hereby irrevocably and unconditionally agrees to, purchase from such Issuing Bank a risk participation in such Letter of Credit in an amount equal to the product of such Lender’s Applicable Percentage times the amount of such Letter of Credit.</w:t>
      </w:r>
    </w:p>
    <w:p>
      <w:pPr>
        <w:spacing w:after="0" w:line="70" w:lineRule="exact"/>
        <w:rPr>
          <w:sz w:val="20"/>
          <w:szCs w:val="20"/>
          <w:color w:val="auto"/>
        </w:rPr>
      </w:pPr>
    </w:p>
    <w:p>
      <w:pPr>
        <w:ind w:firstLine="419"/>
        <w:spacing w:after="0" w:line="286" w:lineRule="auto"/>
        <w:tabs>
          <w:tab w:leader="none" w:pos="873"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applicable Issuing Bank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applicable Issuing Bank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applicable Issuing Bank, the Borrower shall not be required to make a specific request to an Issuing Bank for any such extension. Once an Auto-Extension Letter of Credit has been issued, the Lenders shall be deemed to have authorized (but may not require) the applicable Issuing Bank to permit the extension of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Issuing Bank shall permit any such extension if (A) such Issuing Bank has determined that it would not be permitted at such time to issue such Letter of Credit in its revised form (as extended) under the terms hereof (by reason of the provisions of clause (ii) or (iii) of Section 2.05(a) or otherwise), or (B) it has received notice (which may be by telephone or in writing) on or before the day that is ten Business Days before the Non-Extension Notice Date (1) from the Administrative Agent that the Required Lenders have elected not to permit such extension or (2) from the Administrative Agent, or any Revolving Lender or the Borrower that one or more of the applicable conditions specified in Section 4.03 or Section 4.04, as applicable, is not then satisfied, and in each such case directing such Issuing Bank not to permit such extension.</w:t>
      </w:r>
    </w:p>
    <w:p>
      <w:pPr>
        <w:spacing w:after="0" w:line="62" w:lineRule="exact"/>
        <w:rPr>
          <w:rFonts w:ascii="Arial" w:cs="Arial" w:eastAsia="Arial" w:hAnsi="Arial"/>
          <w:sz w:val="16"/>
          <w:szCs w:val="16"/>
          <w:color w:val="auto"/>
        </w:rPr>
      </w:pPr>
    </w:p>
    <w:p>
      <w:pPr>
        <w:ind w:firstLine="419"/>
        <w:spacing w:after="0" w:line="263" w:lineRule="auto"/>
        <w:tabs>
          <w:tab w:leader="none" w:pos="863"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291" w:lineRule="exact"/>
        <w:rPr>
          <w:rFonts w:ascii="Arial" w:cs="Arial" w:eastAsia="Arial" w:hAnsi="Arial"/>
          <w:sz w:val="18"/>
          <w:szCs w:val="18"/>
          <w:color w:val="auto"/>
        </w:rPr>
      </w:pPr>
    </w:p>
    <w:p>
      <w:pPr>
        <w:ind w:left="920" w:hanging="373"/>
        <w:spacing w:after="0"/>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63" w:lineRule="auto"/>
        <w:tabs>
          <w:tab w:leader="none" w:pos="773"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applicable Issuing Bank shall notify the Borrower and the Administrative Agent thereof. In the case of a Letter of Credit denominated in an Alternative Currency, the Borrower shall reimburse the applicable Issuing Bank in such</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60"/>
          </w:cols>
          <w:pgMar w:left="880" w:top="274" w:right="459" w:bottom="1440" w:gutter="0" w:footer="0" w:header="0"/>
        </w:sectPr>
      </w:pPr>
    </w:p>
    <w:bookmarkStart w:id="67" w:name="page68"/>
    <w:bookmarkEnd w:id="67"/>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 drawing under a Letter of Credit denominated in an Alternative Currency, the applicable Issuing Bank shall notify the Borrower of the Dollar Equivalent of the amount of the drawing promptly following the determination thereof. Not later than noon on the Business Day following any payment by an Issuing Bank under a Letter of Credit to be reimbursed in Dollars, or the Applicable Time on the Business Day following any payment by an Issuing Bank under a Letter of Credit to be reimbursed in an Alternative Currency (each such date, an “</w:t>
      </w:r>
      <w:r>
        <w:rPr>
          <w:rFonts w:ascii="Arial" w:cs="Arial" w:eastAsia="Arial" w:hAnsi="Arial"/>
          <w:sz w:val="17"/>
          <w:szCs w:val="17"/>
          <w:u w:val="single" w:color="auto"/>
          <w:color w:val="auto"/>
        </w:rPr>
        <w:t>Honor</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the Borrower shall reimburse such Issuing Bank through the Administrative Agent in an amount equal to the amount of such drawing and in the applicable currency. In the event that (A) a drawing denominated in an Alternative Currency is to be reimbursed in Dollars pursuant to the second sentence in this Section 2.05(c)(i) and (B) the Dollar amount paid by the Borrower on the date of payment by the Borrower (whether on or after the Honor Date) shall not be adequate on the date of such payment to purchase in accordance with normal banking procedures a sum denominated in the Alternative Currency equal to the drawing, the Borrower agrees, as a separate and independent obligation, to indemnify the applicable Issuing Bank for the loss resulting from its inability on that date to purchase the Alternative Currency in the full amount of the drawing. If the Borrower fails to so reimburse such Issuing Bank by such time, the Administrative Agent shall promptly notify each Revolving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and the amount of such Revolving Lender’s Applicable Percentage thereof. In such event, the Borrower shall be deemed to have requested a Revolving Credit Borrowing of Base Rate Loans to be disbursed on the Business Day following the Honor Date in an amount equal to the Unreimbursed Amount, without regard to the minimum and multiples specified in Section 2.02 for the principal amount of Base Rate Loans, but subject to the amount of the unutilized portion of the Revolving Commitments and the conditions set forth in Section 4.03 or Section 4.04, as applicable (other than the delivery of a Borrowing Request). Any notice given by the applicable Issuing Bank or the Administrative Agent pursuant to this Section 2.05(c)(i)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74" w:lineRule="exact"/>
        <w:rPr>
          <w:sz w:val="20"/>
          <w:szCs w:val="20"/>
          <w:color w:val="auto"/>
        </w:rPr>
      </w:pPr>
    </w:p>
    <w:p>
      <w:pPr>
        <w:ind w:firstLine="419"/>
        <w:spacing w:after="0" w:line="255" w:lineRule="auto"/>
        <w:tabs>
          <w:tab w:leader="none" w:pos="8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Revolving Lender shall upon any notice pursuant to Section 2.05(c)(i) make funds available to the Administrative Agent for the account of the applicable Issuing Bank, in Dollars, at the Administrative Agent’s office for Dollar-denominated payments in an amount equal to its Applicable Percentage of the Unreimbursed Amount not later than 2:00 p.m. on the Business Day specified in such notice by the Administrative Agent, whereupon, subject to the provisions of Section 2.05(c)(iii), such Revolving Lender that so makes funds available shall be deemed to have made a Base Rate Loan to the Borrower in such amount. The Administrative Agent shall remit the funds so received to the applicable Issuing Bank in Dollars.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60"/>
          </w:cols>
          <w:pgMar w:left="880" w:top="274" w:right="459" w:bottom="1440" w:gutter="0" w:footer="0" w:header="0"/>
        </w:sectPr>
      </w:pPr>
    </w:p>
    <w:bookmarkStart w:id="68" w:name="page69"/>
    <w:bookmarkEnd w:id="68"/>
    <w:p>
      <w:pPr>
        <w:ind w:left="4" w:right="20" w:firstLine="419"/>
        <w:spacing w:after="0" w:line="253" w:lineRule="auto"/>
        <w:tabs>
          <w:tab w:leader="none" w:pos="876" w:val="left"/>
        </w:tabs>
        <w:numPr>
          <w:ilvl w:val="1"/>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any drawing under any Letter of Credit is not reimbursed on the date of drawing, the Dollar Equivalent of the amount of such drawing shall accrue interest at the rate applicable to Base Rate Revolving Loans; provided that with respect to any Unreimbursed Amount in respect of a Letter of Credit that is not fully refinanced by a Revolving Borrowing of Base Rate Loans because the conditions set forth in Section 4.03 or Section 4.04, as applicable, cannot be satisfied or for any other reason, the Borrower shall be deemed to have incurred from the applicable Issuing Bank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applicable Issuing Bank pursuant to Section 2.05(c)(ii) shall be deemed payment in respect of its participation in such L/C Borrowing and shall constitute an L/C Advance from such Lender in satisfaction of its participation obligation under this Section 2.05.</w:t>
      </w:r>
    </w:p>
    <w:p>
      <w:pPr>
        <w:spacing w:after="0" w:line="88" w:lineRule="exact"/>
        <w:rPr>
          <w:rFonts w:ascii="Arial" w:cs="Arial" w:eastAsia="Arial" w:hAnsi="Arial"/>
          <w:sz w:val="18"/>
          <w:szCs w:val="18"/>
          <w:color w:val="auto"/>
        </w:rPr>
      </w:pPr>
    </w:p>
    <w:p>
      <w:pPr>
        <w:ind w:left="4" w:right="20" w:firstLine="419"/>
        <w:spacing w:after="0" w:line="263" w:lineRule="auto"/>
        <w:tabs>
          <w:tab w:leader="none" w:pos="866" w:val="left"/>
        </w:tabs>
        <w:numPr>
          <w:ilvl w:val="1"/>
          <w:numId w:val="61"/>
        </w:numPr>
        <w:rPr>
          <w:rFonts w:ascii="Arial" w:cs="Arial" w:eastAsia="Arial" w:hAnsi="Arial"/>
          <w:sz w:val="18"/>
          <w:szCs w:val="18"/>
          <w:color w:val="auto"/>
        </w:rPr>
      </w:pPr>
      <w:r>
        <w:rPr>
          <w:rFonts w:ascii="Arial" w:cs="Arial" w:eastAsia="Arial" w:hAnsi="Arial"/>
          <w:sz w:val="18"/>
          <w:szCs w:val="18"/>
          <w:color w:val="auto"/>
        </w:rPr>
        <w:t>Until each Revolving Lender funds its Revolving Loan or L/C Advance pursuant to this Section 2.05(c) to reimburse an Issuing Bank for any amount drawn under any Letter of Credit, interest in respect of such Lender’s Applicable Percentage of such amount shall be solely for the account of such Issuing Bank.</w:t>
      </w:r>
    </w:p>
    <w:p>
      <w:pPr>
        <w:spacing w:after="0" w:line="75" w:lineRule="exact"/>
        <w:rPr>
          <w:rFonts w:ascii="Arial" w:cs="Arial" w:eastAsia="Arial" w:hAnsi="Arial"/>
          <w:sz w:val="18"/>
          <w:szCs w:val="18"/>
          <w:color w:val="auto"/>
        </w:rPr>
      </w:pPr>
    </w:p>
    <w:p>
      <w:pPr>
        <w:ind w:left="4" w:right="160" w:firstLine="419"/>
        <w:spacing w:after="0" w:line="286" w:lineRule="auto"/>
        <w:tabs>
          <w:tab w:leader="none" w:pos="816" w:val="left"/>
        </w:tabs>
        <w:numPr>
          <w:ilvl w:val="1"/>
          <w:numId w:val="61"/>
        </w:numPr>
        <w:rPr>
          <w:rFonts w:ascii="Arial" w:cs="Arial" w:eastAsia="Arial" w:hAnsi="Arial"/>
          <w:sz w:val="16"/>
          <w:szCs w:val="16"/>
          <w:color w:val="auto"/>
        </w:rPr>
      </w:pPr>
      <w:r>
        <w:rPr>
          <w:rFonts w:ascii="Arial" w:cs="Arial" w:eastAsia="Arial" w:hAnsi="Arial"/>
          <w:sz w:val="16"/>
          <w:szCs w:val="16"/>
          <w:color w:val="auto"/>
        </w:rPr>
        <w:t>Each Revolving Lender’s obligation to make Revolving Loans or L/C Advances to reimburse each Issuing Bank for amounts drawn under Letters of Credit issued by it, as contemplated by this Section 2.05(c), shall be absolute and unconditional and shall not be affected by any circumstance, including (A) any setoff, counterclaim, recoupment, defense or other right which such Revolving Lender may have against such Issuing Bank, the Borrower, any Subsidiary or any other Person for any reason whatsoever; (B) the occurrence or continuance of a Default, or</w:t>
      </w:r>
    </w:p>
    <w:p>
      <w:pPr>
        <w:spacing w:after="0" w:line="1" w:lineRule="exact"/>
        <w:rPr>
          <w:rFonts w:ascii="Arial" w:cs="Arial" w:eastAsia="Arial" w:hAnsi="Arial"/>
          <w:sz w:val="16"/>
          <w:szCs w:val="16"/>
          <w:color w:val="auto"/>
        </w:rPr>
      </w:pPr>
    </w:p>
    <w:p>
      <w:pPr>
        <w:ind w:left="4" w:hanging="4"/>
        <w:spacing w:after="0" w:line="253" w:lineRule="auto"/>
        <w:tabs>
          <w:tab w:leader="none" w:pos="2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Lender’s obligation to make Revolving Loans pursuant to this Section 2.05(c) is subject to the conditions set forth in Section 4.03 or Section 4.04, as applicable (other than delivery by the Borrower of a Borrowing Request). No such making of an L/C Advance shall relieve or otherwise impair the obligation of the Borrower to reimburse an Issuing Bank for the amount of any payment made by such Issuing Bank under any Letter of Credit, together with interest as provided herein.</w:t>
      </w:r>
    </w:p>
    <w:p>
      <w:pPr>
        <w:spacing w:after="0" w:line="82" w:lineRule="exact"/>
        <w:rPr>
          <w:rFonts w:ascii="Arial" w:cs="Arial" w:eastAsia="Arial" w:hAnsi="Arial"/>
          <w:sz w:val="18"/>
          <w:szCs w:val="18"/>
          <w:color w:val="auto"/>
        </w:rPr>
      </w:pPr>
    </w:p>
    <w:p>
      <w:pPr>
        <w:ind w:left="4" w:right="20" w:firstLine="419"/>
        <w:spacing w:after="0" w:line="271" w:lineRule="auto"/>
        <w:tabs>
          <w:tab w:leader="none" w:pos="866"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any Revolving Lender fails to make available to the Administrative Agent for the account of an Issuing Bank any amount required to be paid by such Revolving Lender pursuant to the foregoing provisions of this Section 2.05(c) by the time specified in Section 2.05(c)(ii), then, without limiting the other provisions of this Agreement,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plus any administrative, processing or similar fees customarily charged by such Issuing Bank in connection with the foregoing. If such Revolving Lender pays such amount (with interest and fees as aforesaid), the amount so paid shall constitute such Revolving Lender’s Revolving Loan included in the relevant Borrowing or L/C</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64"/>
          </w:cols>
          <w:pgMar w:left="876" w:top="274" w:right="459" w:bottom="1440" w:gutter="0" w:footer="0" w:header="0"/>
        </w:sectPr>
      </w:pPr>
    </w:p>
    <w:bookmarkStart w:id="69" w:name="page70"/>
    <w:bookmarkEnd w:id="69"/>
    <w:p>
      <w:pPr>
        <w:ind w:left="420"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Advance in respect of the relevant L/C Borrowing, as the case may be. A certificate of an Issuing Bank submitted to any Lender (through the Administrative Agent) with respect to any amounts owing under this clause (vi) shall be conclusive absent manifest error.</w:t>
      </w:r>
    </w:p>
    <w:p>
      <w:pPr>
        <w:spacing w:after="0" w:line="254" w:lineRule="exact"/>
        <w:rPr>
          <w:sz w:val="20"/>
          <w:szCs w:val="20"/>
          <w:color w:val="auto"/>
        </w:rPr>
      </w:pPr>
    </w:p>
    <w:p>
      <w:pPr>
        <w:ind w:left="1360" w:hanging="393"/>
        <w:spacing w:after="0"/>
        <w:tabs>
          <w:tab w:leader="none" w:pos="136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419"/>
        <w:spacing w:after="0" w:line="296" w:lineRule="auto"/>
        <w:tabs>
          <w:tab w:leader="none" w:pos="118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any time after an Issuing Bank has made a payment under any Letter of Credit and has received from any Revolving Lender such Revolving Lender’s L/C Advance in respect of such payment in accordance with Section 2.05(c), if the Administrative Agent receives for the account of such Issuing Bank any payment in respect of the related Unreimbursed Amount or interest thereon (whether directly from the Borrower or otherwise, including proceeds of Cash Collateral applied thereto by the Administrative Agent), the Administrative Agent will distribute to such Revolving Lender its Applicable Percentage thereof in Dollars and in the same funds as those received by the Administrative Agent.</w:t>
      </w:r>
    </w:p>
    <w:p>
      <w:pPr>
        <w:spacing w:after="0" w:line="53" w:lineRule="exact"/>
        <w:rPr>
          <w:rFonts w:ascii="Arial" w:cs="Arial" w:eastAsia="Arial" w:hAnsi="Arial"/>
          <w:sz w:val="16"/>
          <w:szCs w:val="16"/>
          <w:color w:val="auto"/>
        </w:rPr>
      </w:pPr>
    </w:p>
    <w:p>
      <w:pPr>
        <w:ind w:left="420" w:firstLine="419"/>
        <w:spacing w:after="0" w:line="273" w:lineRule="auto"/>
        <w:tabs>
          <w:tab w:leader="none" w:pos="1243"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any payment received by the Administrative Agent for the account of an Issuing Bank pursuant to Section 2.05(c)(i) is required to be returned under any of the circumstances described in Section 9.08 (including pursuant to any settlement entered into by such Issuing Bank in its discretion), each Revolving Lender shall pay to the Administrative Agent for the account of such Issuing Bank its Applicable Percentage thereof on demand of the Administrative Agent, plus interest thereon from the date of such demand to the date such amount is returned by such Revolving Lender, at a rate per annum equal to the applicable Overnight Rate from time to time in effect. The obligations of the Revolving Lenders under this clause shall survive the payment in full of the Obligations and the termination of this Agreement.</w:t>
      </w:r>
    </w:p>
    <w:p>
      <w:pPr>
        <w:spacing w:after="0" w:line="177" w:lineRule="exact"/>
        <w:rPr>
          <w:rFonts w:ascii="Arial" w:cs="Arial" w:eastAsia="Arial" w:hAnsi="Arial"/>
          <w:sz w:val="17"/>
          <w:szCs w:val="17"/>
          <w:color w:val="auto"/>
        </w:rPr>
      </w:pPr>
    </w:p>
    <w:p>
      <w:pPr>
        <w:ind w:left="-20" w:right="80" w:firstLine="987"/>
        <w:spacing w:after="0" w:line="286" w:lineRule="auto"/>
        <w:tabs>
          <w:tab w:leader="none" w:pos="1351"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obligation of the Borrower to reimburse each Issuing Bank for each drawing under each Letter of Credit issued by it and to repay each L/C Borrowing shall be absolute, unconditional and irrevocable, and shall be paid strictly in accordance with the terms of this Agreement under all circumstances, including the following: (i) any lack of validity or enforceability of such Letter of Credit, this Agreement, or any other Loan Document; (ii) 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Issuing Bank or any other Person, whether in connection with this Agreement, the transactions contemplated hereby or by such Letter of Credit or any agreement or instrument relating thereto, or any unrelated transaction;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waiver by any Issuing Bank of any requirement that exists for such Issuing Bank’s protection and not the protection of any Loan Party or any Subsidiary or any waiver by any Issuing Bank which does not in fact materially prejudice the Borrower; (v) honor of a demand for payment presented electronically even if such Letter of Credit requires that demand be in the form of a draft; (vi) any payment made by the applicable Issuing Bank in respect of an otherwise complying item presented after the date specified as the expiration date of, or the date by which documents must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60" w:top="274" w:right="459" w:bottom="1440" w:gutter="0" w:footer="0" w:header="0"/>
        </w:sectPr>
      </w:pPr>
    </w:p>
    <w:bookmarkStart w:id="70" w:name="page71"/>
    <w:bookmarkEnd w:id="70"/>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received under, such Letter of Credit if presentation after such date is authorized by the UCC, the ISP or the UCP, as applicable; (vii) 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(viii) any adverse change in the relevant exchange rates or in the availability of the relevant Alternative Currency to the Borrower or any Subsidiary or in the relevant currency markets generally; or (ix) any other circumstance or happening whatsoever, whether or not similar to any of the foregoing, including any other circumstance that might otherwise constitute a defense available to, or a discharge of, the Borrower or any Subsidiary. 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the applicable Issuing Bank and its correspondents unless such notice is given as aforesaid.</w:t>
      </w:r>
    </w:p>
    <w:p>
      <w:pPr>
        <w:spacing w:after="0" w:line="172" w:lineRule="exact"/>
        <w:rPr>
          <w:sz w:val="20"/>
          <w:szCs w:val="20"/>
          <w:color w:val="auto"/>
        </w:rPr>
      </w:pPr>
    </w:p>
    <w:p>
      <w:pPr>
        <w:ind w:left="4" w:right="80" w:firstLine="987"/>
        <w:spacing w:after="0" w:line="284" w:lineRule="auto"/>
        <w:tabs>
          <w:tab w:leader="none" w:pos="1355"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Role of Issuing Banks</w:t>
      </w:r>
      <w:r>
        <w:rPr>
          <w:rFonts w:ascii="Arial" w:cs="Arial" w:eastAsia="Arial" w:hAnsi="Arial"/>
          <w:sz w:val="16"/>
          <w:szCs w:val="16"/>
          <w:color w:val="auto"/>
        </w:rPr>
        <w:t>. Each Revolving Lender and the Borrower agree that, in paying any drawing under any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any Issuing Bank shall be liable to any Lender for (i) any action taken or omitted in connection herewith at the request or with the approval of the Lenders or the Required Lenders, as applicable; (ii) any action taken or omitted in the absence of gross negligence or willful misconduct; or</w:t>
      </w:r>
    </w:p>
    <w:p>
      <w:pPr>
        <w:spacing w:after="0" w:line="4" w:lineRule="exact"/>
        <w:rPr>
          <w:rFonts w:ascii="Arial" w:cs="Arial" w:eastAsia="Arial" w:hAnsi="Arial"/>
          <w:sz w:val="16"/>
          <w:szCs w:val="16"/>
          <w:color w:val="auto"/>
        </w:rPr>
      </w:pPr>
    </w:p>
    <w:p>
      <w:pPr>
        <w:ind w:left="4" w:right="220" w:hanging="4"/>
        <w:spacing w:after="0" w:line="281" w:lineRule="auto"/>
        <w:tabs>
          <w:tab w:leader="none" w:pos="319"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assumption is not intended to, and shall not, preclude the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w:t>
      </w:r>
    </w:p>
    <w:p>
      <w:pPr>
        <w:spacing w:after="0" w:line="2" w:lineRule="exact"/>
        <w:rPr>
          <w:rFonts w:ascii="Arial" w:cs="Arial" w:eastAsia="Arial" w:hAnsi="Arial"/>
          <w:sz w:val="16"/>
          <w:szCs w:val="16"/>
          <w:color w:val="auto"/>
        </w:rPr>
      </w:pPr>
    </w:p>
    <w:p>
      <w:pPr>
        <w:ind w:left="4" w:hanging="4"/>
        <w:spacing w:after="0" w:line="268" w:lineRule="auto"/>
        <w:tabs>
          <w:tab w:leader="none" w:pos="219"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through (ix) of Section 2.05(e);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anything in such clauses to the contrary notwithstanding, the Borrower may have a claim against any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or such Issuing Bank’s willful failure to pay under any Letter of Credit after the presentation to it by the beneficiary of a sight draft and certificate(s) strictly complying with the terms and conditions of a Letter of Credit. In furtherance and not in limitation of the foregoing, each Issuing Bank may accept documents that appear on their face to be in order, without responsibility for further investigation, regardless of any notice or information to the contrary, and such Issuing Bank shall not be responsible for the validity or sufficiency of any instrument transferring or assigning or purporting to transfer or assign a Letter of Credit or the rights or benefits thereunder or proceeds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4"/>
          </w:cols>
          <w:pgMar w:left="436" w:top="274" w:right="479" w:bottom="1440" w:gutter="0" w:footer="0" w:header="0"/>
        </w:sectPr>
      </w:pPr>
    </w:p>
    <w:bookmarkStart w:id="71" w:name="page72"/>
    <w:bookmarkEnd w:id="71"/>
    <w:p>
      <w:pPr>
        <w:ind w:left="4"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thereof, in whole or in part, which may prove to be invalid or ineffective for any reason. The applicable Issuing Bank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292" w:lineRule="exact"/>
        <w:rPr>
          <w:sz w:val="20"/>
          <w:szCs w:val="20"/>
          <w:color w:val="auto"/>
        </w:rPr>
      </w:pPr>
    </w:p>
    <w:p>
      <w:pPr>
        <w:ind w:left="1384" w:hanging="393"/>
        <w:spacing w:after="0"/>
        <w:tabs>
          <w:tab w:leader="none" w:pos="1384"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60" w:firstLine="419"/>
        <w:spacing w:after="0" w:line="259" w:lineRule="auto"/>
        <w:tabs>
          <w:tab w:leader="none" w:pos="1217" w:val="left"/>
        </w:tabs>
        <w:numPr>
          <w:ilvl w:val="1"/>
          <w:numId w:val="69"/>
        </w:numPr>
        <w:rPr>
          <w:rFonts w:ascii="Arial" w:cs="Arial" w:eastAsia="Arial" w:hAnsi="Arial"/>
          <w:sz w:val="18"/>
          <w:szCs w:val="18"/>
          <w:color w:val="auto"/>
        </w:rPr>
      </w:pPr>
      <w:r>
        <w:rPr>
          <w:rFonts w:ascii="Arial" w:cs="Arial" w:eastAsia="Arial" w:hAnsi="Arial"/>
          <w:sz w:val="18"/>
          <w:szCs w:val="18"/>
          <w:color w:val="auto"/>
        </w:rPr>
        <w:t>Upon the request of the Administrative Agent, (A) if any Issuing Bank has honored any full or partial drawing request under any Letter of Credit and such drawing has resulted in an L/C Borrowing, or (B) if, as of the Letter of Credit Expiration Date, any L/C Exposure for any reason remains outstanding, the Borrower shall, in each case, immediately Cash Collateralize the then Outstanding Amount of all L/C Exposure attributable to the Letters of Credit issued for the benefit of the Borrower.</w:t>
      </w:r>
    </w:p>
    <w:p>
      <w:pPr>
        <w:spacing w:after="0" w:line="78" w:lineRule="exact"/>
        <w:rPr>
          <w:rFonts w:ascii="Arial" w:cs="Arial" w:eastAsia="Arial" w:hAnsi="Arial"/>
          <w:sz w:val="18"/>
          <w:szCs w:val="18"/>
          <w:color w:val="auto"/>
        </w:rPr>
      </w:pPr>
    </w:p>
    <w:p>
      <w:pPr>
        <w:ind w:left="1264" w:hanging="401"/>
        <w:spacing w:after="0"/>
        <w:tabs>
          <w:tab w:leader="none" w:pos="12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4" w:right="240" w:firstLine="419"/>
        <w:spacing w:after="0" w:line="277" w:lineRule="auto"/>
        <w:tabs>
          <w:tab w:leader="none" w:pos="1313"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Administrative Agent may, at any time and from time to time after the initial deposit of Cash Collateral, request that additional Cash Collateral be provided in order to protect against the results of exchange rate fluctuations.</w:t>
      </w:r>
    </w:p>
    <w:p>
      <w:pPr>
        <w:spacing w:after="0" w:line="62" w:lineRule="exact"/>
        <w:rPr>
          <w:rFonts w:ascii="Arial" w:cs="Arial" w:eastAsia="Arial" w:hAnsi="Arial"/>
          <w:sz w:val="18"/>
          <w:szCs w:val="18"/>
          <w:color w:val="auto"/>
        </w:rPr>
      </w:pPr>
    </w:p>
    <w:p>
      <w:pPr>
        <w:ind w:left="444" w:right="120" w:firstLine="419"/>
        <w:spacing w:after="0" w:line="277" w:lineRule="auto"/>
        <w:tabs>
          <w:tab w:leader="none" w:pos="13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event of an Event of Default, upon the request of the Required Lenders, the Borrower shall immediately Cash Collateralize the then L/C Exposure of all Revolving Lenders.</w:t>
      </w:r>
    </w:p>
    <w:p>
      <w:pPr>
        <w:spacing w:after="0" w:line="170" w:lineRule="exact"/>
        <w:rPr>
          <w:rFonts w:ascii="Arial" w:cs="Arial" w:eastAsia="Arial" w:hAnsi="Arial"/>
          <w:sz w:val="18"/>
          <w:szCs w:val="18"/>
          <w:color w:val="auto"/>
        </w:rPr>
      </w:pPr>
    </w:p>
    <w:p>
      <w:pPr>
        <w:ind w:left="4" w:right="60" w:firstLine="987"/>
        <w:spacing w:after="0" w:line="291" w:lineRule="auto"/>
        <w:tabs>
          <w:tab w:leader="none" w:pos="1385" w:val="left"/>
        </w:tabs>
        <w:numPr>
          <w:ilvl w:val="2"/>
          <w:numId w:val="69"/>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Issuing Banks and the Borrower when a Letter of Credit is issued (including any such agreement applicable to an Existing Letter of Credit), (i) the rules of the ISP shall apply to each standby Letter of Credit, and</w:t>
      </w:r>
    </w:p>
    <w:p>
      <w:pPr>
        <w:ind w:left="4" w:hanging="4"/>
        <w:spacing w:after="0" w:line="251" w:lineRule="auto"/>
        <w:tabs>
          <w:tab w:leader="none" w:pos="2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rules of the Uniform Customs and Practice for Documentary Credits, as most recently published by the International Chamber of Commerce at the time of issuance shall apply to each commercial Letter of Credit. Notwithstanding the foregoing, no Issuing Bank shall be responsible to the Borrower for, and each Issuing Bank’s rights and remedies against the Borrower shall not be impaired by, any action or inaction of such Issuing Bank required or permitted under any Law, order, or practice (which practice is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that is required or permitted to be applied to any Letter of Credit or this Agreement, including the Law or any order of a jurisdiction where such Issuing Bank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6" w:lineRule="exact"/>
        <w:rPr>
          <w:rFonts w:ascii="Arial" w:cs="Arial" w:eastAsia="Arial" w:hAnsi="Arial"/>
          <w:sz w:val="18"/>
          <w:szCs w:val="18"/>
          <w:color w:val="auto"/>
        </w:rPr>
      </w:pPr>
    </w:p>
    <w:p>
      <w:pPr>
        <w:ind w:left="4" w:right="380" w:firstLine="987"/>
        <w:spacing w:after="0" w:line="277" w:lineRule="auto"/>
        <w:tabs>
          <w:tab w:leader="none" w:pos="1345"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4" w:right="459" w:bottom="1440" w:gutter="0" w:footer="0" w:header="0"/>
        </w:sectPr>
      </w:pPr>
    </w:p>
    <w:bookmarkStart w:id="72" w:name="page73"/>
    <w:bookmarkEnd w:id="72"/>
    <w:p>
      <w:pPr>
        <w:ind w:right="20" w:firstLine="987"/>
        <w:spacing w:after="0" w:line="301" w:lineRule="auto"/>
        <w:tabs>
          <w:tab w:leader="none" w:pos="134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Letters of Credit Issued for Subsidiaries or the Borrower</w:t>
      </w:r>
      <w:r>
        <w:rPr>
          <w:rFonts w:ascii="Arial" w:cs="Arial" w:eastAsia="Arial" w:hAnsi="Arial"/>
          <w:sz w:val="16"/>
          <w:szCs w:val="16"/>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57" w:lineRule="exact"/>
        <w:rPr>
          <w:rFonts w:ascii="Arial" w:cs="Arial" w:eastAsia="Arial" w:hAnsi="Arial"/>
          <w:sz w:val="16"/>
          <w:szCs w:val="16"/>
          <w:color w:val="auto"/>
        </w:rPr>
      </w:pPr>
    </w:p>
    <w:p>
      <w:pPr>
        <w:ind w:firstLine="987"/>
        <w:spacing w:after="0" w:line="287" w:lineRule="auto"/>
        <w:tabs>
          <w:tab w:leader="none" w:pos="138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Release of Lenders’ Obligations</w:t>
      </w:r>
      <w:r>
        <w:rPr>
          <w:rFonts w:ascii="Arial" w:cs="Arial" w:eastAsia="Arial" w:hAnsi="Arial"/>
          <w:sz w:val="16"/>
          <w:szCs w:val="16"/>
          <w:color w:val="auto"/>
        </w:rPr>
        <w:t xml:space="preserve">. Notwithstanding anything to the contrary contained herein or in any other Loan Document, in the event that (i) an Issuing Bank shall have issued, in accordance with Section 2.05(a)(ii)(B), a Letter of Credit with an expiry date occurring after the Letter of Credit Expiration Date and (ii) the Borrower shall have Cash Collateralized the Outstanding Amount of all such L/C Exposure in respect of such Letter of Credit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then, upon the provision of such Cash Collateral and without any further action, each Lender hereunder shall be automatically released from any further obligation to the applicable Issuing Bank in respect of such Letter of Credit, including, any obligation of any such Lender to reimburse the applicable Issuing Bank for amounts drawn under such Letter of Credit or to purchase any risk participation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such obligations of each Lender hereunder to the applicable Issuing Bank in respect of such Letter of Credit shall be revived if any Cash Collateral provided by the Borrower in respect of such Letter of Credit is subsequently invalidated, declared to be fraudulent or preferential, set aside or required (including pursuant to any settlement entered into by the Administrative Agent or applicable Issuing Bank) to be repaid to a trustee, receiver or any other party, in connection with any proceeding under any Debtor Relief Laws or otherwise, all as if such Cash Collateral had not been provided. The obligations of the Lenders under this paragraph shall survive termination of this Agreement.</w:t>
      </w:r>
    </w:p>
    <w:p>
      <w:pPr>
        <w:spacing w:after="0" w:line="28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Funding of Borrowings.</w:t>
      </w:r>
    </w:p>
    <w:p>
      <w:pPr>
        <w:spacing w:after="0" w:line="117" w:lineRule="exact"/>
        <w:rPr>
          <w:sz w:val="20"/>
          <w:szCs w:val="20"/>
          <w:color w:val="auto"/>
        </w:rPr>
      </w:pPr>
    </w:p>
    <w:p>
      <w:pPr>
        <w:ind w:firstLine="987"/>
        <w:spacing w:after="0" w:line="289" w:lineRule="auto"/>
        <w:tabs>
          <w:tab w:leader="none" w:pos="1371"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Each Lender shall make each Loan to be made by it hereunder on the proposed date thereof by wire transfer in Same Day Funds (i) in the case of Loans denominated in Dollars by 2:00 p.m., New York City time, to the account of the Administrative Agent most recently designated by it for such purpose by notice to the Lenders in an amount equal to such Lender’s Applicable Percentage or other percentage provided for herein and (ii) in the case of each Loan denominated in an Alternative Currency by the Applicable Time specified by the Administrative Agent for such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Section 2.04. The Administrative Agent will make such Loans available to the Borrower by promptly crediting the amounts so received, in like funds, to (x) an account designated by the Borrower in the applicable Borrowing Request, in the case of Loans denominated in Dollars and (y) an account of the Borrower in the relevant jurisdiction and designated by the Borrower in the applicable Borrowing Request, in the case of Loans denominated in an Alternative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Base Rate Revolving Loans made to finance the reimbursement of an L/C Disbursement as provided in Section 2.05(c) shall be remitted by the Administrative Agent to the relevant Issuing Bank.</w:t>
      </w:r>
    </w:p>
    <w:p>
      <w:pPr>
        <w:spacing w:after="0" w:line="166" w:lineRule="exact"/>
        <w:rPr>
          <w:rFonts w:ascii="Arial" w:cs="Arial" w:eastAsia="Arial" w:hAnsi="Arial"/>
          <w:sz w:val="16"/>
          <w:szCs w:val="16"/>
          <w:color w:val="auto"/>
        </w:rPr>
      </w:pPr>
    </w:p>
    <w:p>
      <w:pPr>
        <w:ind w:right="340" w:firstLine="987"/>
        <w:spacing w:after="0" w:line="308" w:lineRule="auto"/>
        <w:tabs>
          <w:tab w:leader="none" w:pos="1381" w:val="left"/>
        </w:tabs>
        <w:numPr>
          <w:ilvl w:val="0"/>
          <w:numId w:val="72"/>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time of any Borrowing that such Lender will not make available to the Administrative Agent such Lender’s share of such Borrowing, the Administrative Agent may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3" w:name="page74"/>
    <w:bookmarkEnd w:id="7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Overnight Rate plus any administrative, processing or similar fees customarily charged by the Administrative Agent in connection with the foregoing or (ii) in the case of the Borrower, the interest rate applicable to Base Rate Loans. If such Lender pays such amount to the Administrative Agent, then such amount shall constitute such Lender’s Loan included in such Borrowing.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82"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SECTION 2.07 Market Disruption; Successor LIBOR. (a) Notwithstanding the satisfaction of all conditions referred to in Article II and Article IV with respect to any Revolving Borrowing to be effected in any Alternative Currency, if (i) there shall occur on or prior to the date of such Borrowing any change in national or international financial, political or economic conditions or currency exchange rates or exchange controls which would in the reasonable opinion of the Administrative Agent, the relevant Issuing Bank (if such Credit Event is a Letter of Credit) or the Required Lenders make it impracticable for the applicable Eurocurrency Borrowings or Letters of Credit comprising such Credit Event to be denominated in the Alternative Currency specified by the Borrower or (ii) the Dollar Equivalent of such currency is not readily calculable, then the Administrative Agent shall forthwith give notice thereof to the Borrower, the Lenders and, if such Credit Event is a Letter of Credit, the relevant Issuing Bank, and such Credit Events shall not be denominated in such Alternative Currency but shall, except as otherwise set forth in Section 2.06, be made on the date of such Credit Event in Dollars, (a) if such Credit Event is a Borrowing, in an aggregate principal amount equal to the Dollar Equivalent of the aggregate principal amount specified in the related Borrowing Request or Interest Election Request, as the case may be, unless the Borrower notifies the Administrative Agent at least one (1) Business Day before such date that (i) it elects not to borrow on such date or (ii) it elects to borrow on such date in a different Alternative Currency, as the case may be, in which the denomination of such Loans would, in the reasonable opinion of the Administrative Agent or the Required Lenders, as applicable, be practicable and in an aggregate principal amount equal to the Dollar Equivalent of the aggregate principal amount specified in the related Borrowing Request or Interest Election Request, as the case may be or (b) if such Credit Event is a Letter of Credit, in a face amount equal to the Dollar Equivalent of the face amount specified in the related request or application for such Letter of Credit, unless the Borrower notifies the Administrative Agent at least one (1) Business Day before such date that (i) it elects not to request the issuance of such Letter of Credit on such date or (ii) it elects to have such Letter of Credit issued on such date in a different currency, as the case may be, in which the denomination of such Letter of Credit would in the reasonable opinion of the relevant Issuing Bank, the Administrative Agent or the Required Lenders, as applicable, be practicable and in face amount equal to the Dollar Equivalent of the face amount specified in the related request or application for such Letter of Credit,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4" w:name="page75"/>
    <w:bookmarkEnd w:id="74"/>
    <w:p>
      <w:pPr>
        <w:ind w:left="4" w:right="20" w:firstLine="987"/>
        <w:spacing w:after="0" w:line="286" w:lineRule="auto"/>
        <w:tabs>
          <w:tab w:leader="none" w:pos="1385" w:val="left"/>
        </w:tabs>
        <w:numPr>
          <w:ilvl w:val="1"/>
          <w:numId w:val="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57" w:lineRule="exact"/>
        <w:rPr>
          <w:rFonts w:ascii="Arial" w:cs="Arial" w:eastAsia="Arial" w:hAnsi="Arial"/>
          <w:sz w:val="17"/>
          <w:szCs w:val="17"/>
          <w:color w:val="auto"/>
        </w:rPr>
      </w:pPr>
    </w:p>
    <w:p>
      <w:pPr>
        <w:ind w:left="444" w:right="180" w:firstLine="419"/>
        <w:spacing w:after="0" w:line="263" w:lineRule="auto"/>
        <w:tabs>
          <w:tab w:leader="none" w:pos="121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 Applicable Currency for any requested Interest Period, including because the LIBOR Screen Rate for such Applicable Currency is not available or published on a current basis and such circumstances are unlikely to be temporary; or</w:t>
      </w:r>
    </w:p>
    <w:p>
      <w:pPr>
        <w:spacing w:after="0" w:line="75" w:lineRule="exact"/>
        <w:rPr>
          <w:rFonts w:ascii="Arial" w:cs="Arial" w:eastAsia="Arial" w:hAnsi="Arial"/>
          <w:sz w:val="18"/>
          <w:szCs w:val="18"/>
          <w:color w:val="auto"/>
        </w:rPr>
      </w:pPr>
    </w:p>
    <w:p>
      <w:pPr>
        <w:ind w:left="444" w:right="120" w:firstLine="419"/>
        <w:spacing w:after="0" w:line="255" w:lineRule="auto"/>
        <w:tabs>
          <w:tab w:leader="none" w:pos="1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administrator of the LIBOR Screen Rate for an Applicable Currency or a Governmental Authority having jurisdiction over the Administrative Agent has made a public statement identifying a specific date after which LIBOR for an Applicable Currency or the LIBOR Screen Rate for an Applicable Currency shall no longer be made available, or used for determining the interest rate of loans denominated in such Applicable Currency, provided that, in each case, at the time of such statement, there is no successor administrator that is satisfactory to the Administrative Agent, that will continue to provide LIBOR for such for an Applicable Currency after such specific date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or</w:t>
      </w:r>
    </w:p>
    <w:p>
      <w:pPr>
        <w:spacing w:after="0" w:line="84" w:lineRule="exact"/>
        <w:rPr>
          <w:rFonts w:ascii="Arial" w:cs="Arial" w:eastAsia="Arial" w:hAnsi="Arial"/>
          <w:sz w:val="18"/>
          <w:szCs w:val="18"/>
          <w:color w:val="auto"/>
        </w:rPr>
      </w:pPr>
    </w:p>
    <w:p>
      <w:pPr>
        <w:jc w:val="both"/>
        <w:ind w:left="444" w:right="640" w:firstLine="419"/>
        <w:spacing w:after="0" w:line="342" w:lineRule="auto"/>
        <w:tabs>
          <w:tab w:leader="none" w:pos="1317" w:val="left"/>
        </w:tabs>
        <w:numPr>
          <w:ilvl w:val="0"/>
          <w:numId w:val="74"/>
        </w:numPr>
        <w:rPr>
          <w:rFonts w:ascii="Arial" w:cs="Arial" w:eastAsia="Arial" w:hAnsi="Arial"/>
          <w:sz w:val="16"/>
          <w:szCs w:val="16"/>
          <w:color w:val="auto"/>
        </w:rPr>
      </w:pPr>
      <w:r>
        <w:rPr>
          <w:rFonts w:ascii="Arial" w:cs="Arial" w:eastAsia="Arial" w:hAnsi="Arial"/>
          <w:sz w:val="16"/>
          <w:szCs w:val="16"/>
          <w:color w:val="auto"/>
        </w:rPr>
        <w:t>syndicated loans currently being executed, or that include language similar to that contained in this Section 2.07(b), are being executed or amended (as applicable) to incorporate or adopt a new benchmark interest rate to replace LIBOR for an Applicable Currency,</w:t>
      </w:r>
    </w:p>
    <w:p>
      <w:pPr>
        <w:spacing w:after="0" w:line="124"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then, reasonably promptly after such determination by the Administrative Agent or receipt by the Administrative Agent of such notice, as applicable, the Administrative Agent and the Borrower may amend this Agreement solely for the purpose of replacing LIBOR for the Applicable Currency in accordance with this Section 2.07(b) with (x) in the case of Dollars, one or more SOFR-Based Rates or (y) another alternate benchmark rate giving due consideration to any evolving or then existing convention for similar syndicated credit facilities syndicated in the U.S. and denominated in the Applicable Currency for such alternative benchmarks and, in each case, including any mathematical or other adjustments to such benchmark giving due consideration to any evolving or then existing convention for similar syndicated credit facilities syndicated in the U.S. and denominated in the Applicable Currency for such benchmarks, each of which adjustments or methods for calculating such adjustments shall be published on one or more information services as selected by the Administrative Agent from time to time in its reasonable discretion and may be periodically updated (each, an “</w:t>
      </w:r>
      <w:r>
        <w:rPr>
          <w:rFonts w:ascii="Arial" w:cs="Arial" w:eastAsia="Arial" w:hAnsi="Arial"/>
          <w:sz w:val="16"/>
          <w:szCs w:val="16"/>
          <w:u w:val="single" w:color="auto"/>
          <w:color w:val="auto"/>
        </w:rPr>
        <w:t>Adjustment</w:t>
      </w:r>
      <w:r>
        <w:rPr>
          <w:rFonts w:ascii="Arial" w:cs="Arial" w:eastAsia="Arial" w:hAnsi="Arial"/>
          <w:sz w:val="16"/>
          <w:szCs w:val="16"/>
          <w:color w:val="auto"/>
        </w:rPr>
        <w:t>;” and any such proposed rate, a “</w:t>
      </w:r>
      <w:r>
        <w:rPr>
          <w:rFonts w:ascii="Arial" w:cs="Arial" w:eastAsia="Arial" w:hAnsi="Arial"/>
          <w:sz w:val="16"/>
          <w:szCs w:val="16"/>
          <w:u w:val="single" w:color="auto"/>
          <w:color w:val="auto"/>
        </w:rPr>
        <w:t>LIBOR Successor Rate</w:t>
      </w:r>
      <w:r>
        <w:rPr>
          <w:rFonts w:ascii="Arial" w:cs="Arial" w:eastAsia="Arial" w:hAnsi="Arial"/>
          <w:sz w:val="16"/>
          <w:szCs w:val="16"/>
          <w:color w:val="auto"/>
        </w:rPr>
        <w:t>”), and any such amendment shall become effective at 5:00 p.m. (New York City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w:t>
      </w:r>
    </w:p>
    <w:p>
      <w:pPr>
        <w:spacing w:after="0" w:line="4" w:lineRule="exact"/>
        <w:rPr>
          <w:sz w:val="20"/>
          <w:szCs w:val="20"/>
          <w:color w:val="auto"/>
        </w:rPr>
      </w:pPr>
    </w:p>
    <w:p>
      <w:pPr>
        <w:ind w:left="4" w:right="340" w:hanging="4"/>
        <w:spacing w:after="0" w:line="255" w:lineRule="auto"/>
        <w:tabs>
          <w:tab w:leader="none" w:pos="299"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 the case of an amendment to replace LIBOR with respect to Eurocurrency Loans denominated in Dollars with a rate described in clause (x), object to any Adjustment; or (B) in the case of an amendment to replace LIBOR with respect to Eurocurrency Loans denominated in the Applicable Currency with a rate described in clause (y), object to such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4"/>
          </w:cols>
          <w:pgMar w:left="436" w:top="274" w:right="479" w:bottom="1440" w:gutter="0" w:footer="0" w:header="0"/>
        </w:sectPr>
      </w:pPr>
    </w:p>
    <w:bookmarkStart w:id="75" w:name="page76"/>
    <w:bookmarkEnd w:id="75"/>
    <w:p>
      <w:pPr>
        <w:ind w:left="4"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avoidance of doubt, in the case of clause (A), the Required Lenders shall not be entitled to object to any SOFR-Based Rate contained in any such amendment. Such LIBOR Successor Rate shall be applied in a manner consistent with market practice;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market practice is not administratively feasible for the Administrative Agent, such LIBOR Successor Rate for such Applicable Currency shall be applied in a manner as otherwise reasonably determined by the Administrative Agent after consultation with the Borrower.</w:t>
      </w:r>
    </w:p>
    <w:p>
      <w:pPr>
        <w:spacing w:after="0" w:line="171" w:lineRule="exact"/>
        <w:rPr>
          <w:sz w:val="20"/>
          <w:szCs w:val="20"/>
          <w:color w:val="auto"/>
        </w:rPr>
      </w:pPr>
    </w:p>
    <w:p>
      <w:pPr>
        <w:jc w:val="both"/>
        <w:ind w:left="4"/>
        <w:spacing w:after="0" w:line="291" w:lineRule="auto"/>
        <w:rPr>
          <w:sz w:val="20"/>
          <w:szCs w:val="20"/>
          <w:color w:val="auto"/>
        </w:rPr>
      </w:pPr>
      <w:r>
        <w:rPr>
          <w:rFonts w:ascii="Arial" w:cs="Arial" w:eastAsia="Arial" w:hAnsi="Arial"/>
          <w:sz w:val="16"/>
          <w:szCs w:val="16"/>
          <w:color w:val="auto"/>
        </w:rPr>
        <w:t>If no LIBOR Successor Rate for the Applicable Currency has been determined and the circumstances under clause (i) of this Section 2.07(b) exist or the Scheduled Unavailability Date has occurred (as applicable), the Administrative Agent will promptly so notify the Borrower and each Lender. Thereafter,</w:t>
      </w:r>
    </w:p>
    <w:p>
      <w:pPr>
        <w:ind w:left="4" w:hanging="4"/>
        <w:spacing w:after="0" w:line="267" w:lineRule="auto"/>
        <w:tabs>
          <w:tab w:leader="none" w:pos="259"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obligation of the Lenders to make or maintain Eurocurrency Loans in such Applicable Currency shall be suspended, (to the extent of the affected Eurocurrency Loans or Interest Periods), and (y) the Eurocurrency rate component shall no longer be utilized in determining the Base Rate. Upon receipt of such notice, (i) the Borrower may revoke any pending request for a Borrowing of, conversion to or continuation of Eurocurrency Loans in each such affected Applicable Currency (to the extent of the affected Eurocurrency Loans or Interest Periods) or, failing that, will be deemed to have converted each such request into a request for a Borrowing of Base Rate Loans (subject to the foregoing clause (y)) denominated in Dollars in the Dollar Equivalent of the amount specified therein and (ii) (A) any outstanding affected Eurocurrency Loans denominated in Dollars will be deemed to have been converted into Base Rate Loans at the end of the applicable Interest Period and (B) any outstanding affected Eurocurrency Loans denominated in an Alternative Currency, at the Borrower’s election, shall either (1) be converted into a Borrowing of Base Rate Loans denominated in Dollars in the Dollar Equivalent of the amount of such outstanding Eurocurrency Loan at the end of the applicable Interest Period or (2) be prepaid at the end of the applicable Interest Period in full;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election is made by the Borrower by the earlier of (x) the date that is three Business Days after receipt by the Borrower of such notice and (y) the last day of the current Interest Period for the applicable Eurocurrency Loan, the Borrower shall be deemed to have elected clause (1) above.</w:t>
      </w:r>
    </w:p>
    <w:p>
      <w:pPr>
        <w:spacing w:after="0" w:line="184"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Notwithstanding anything else herein, any definition of LIBOR Successor Rate for any currency shall provide that in no event shall such LIBOR Successor Rate be less than zero for purposes of this Agreement.</w:t>
      </w:r>
    </w:p>
    <w:p>
      <w:pPr>
        <w:spacing w:after="0" w:line="170"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In connection with the implementation of a LIBOR Successor Rate for any currency, the Administrative Agent will have the right to make LIBOR Successor Rate Conforming Changes with respect to such currency from time to time and, notwithstanding anything to the contrary herein or in any other Loan Document, any amendments implementing such LIBOR Successor Rate Conforming Changes will become effective without any further action or consent of any other party to this Agreement; provided that, with respect to any such amendment effected, the Administrative Agent shall post each such amendment implementing such LIBOR Successor Conforming Changes for the Applicable Currency to the Lenders reasonably promptly after such amendment becomes effective.</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above:</w:t>
      </w:r>
    </w:p>
    <w:p>
      <w:pPr>
        <w:spacing w:after="0" w:line="225" w:lineRule="exact"/>
        <w:rPr>
          <w:sz w:val="20"/>
          <w:szCs w:val="20"/>
          <w:color w:val="auto"/>
        </w:rPr>
      </w:pPr>
    </w:p>
    <w:p>
      <w:pPr>
        <w:ind w:left="4" w:right="2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Screen Rate</w:t>
      </w:r>
      <w:r>
        <w:rPr>
          <w:rFonts w:ascii="Arial" w:cs="Arial" w:eastAsia="Arial" w:hAnsi="Arial"/>
          <w:sz w:val="16"/>
          <w:szCs w:val="16"/>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76" w:name="page77"/>
    <w:bookmarkEnd w:id="76"/>
    <w:p>
      <w:pPr>
        <w:ind w:right="80"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LIBOR Successor Rate Conforming Changes</w:t>
      </w:r>
      <w:r>
        <w:rPr>
          <w:rFonts w:ascii="Arial" w:cs="Arial" w:eastAsia="Arial" w:hAnsi="Arial"/>
          <w:sz w:val="17"/>
          <w:szCs w:val="17"/>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reasonable discretion of the Administrative Agent in consultation with the Borrower,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reasonably determines in consultation with the Borrower).</w:t>
      </w:r>
    </w:p>
    <w:p>
      <w:pPr>
        <w:spacing w:after="0" w:line="17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8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SOFR-Based Rate</w:t>
      </w:r>
      <w:r>
        <w:rPr>
          <w:rFonts w:ascii="Arial" w:cs="Arial" w:eastAsia="Arial" w:hAnsi="Arial"/>
          <w:sz w:val="18"/>
          <w:szCs w:val="18"/>
          <w:color w:val="auto"/>
        </w:rPr>
        <w:t>” means SOFR or Term SOFR.</w:t>
      </w:r>
    </w:p>
    <w:p>
      <w:pPr>
        <w:spacing w:after="0" w:line="225"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Termination and Reduction of Commitments.</w:t>
      </w:r>
    </w:p>
    <w:p>
      <w:pPr>
        <w:spacing w:after="0" w:line="117" w:lineRule="exact"/>
        <w:rPr>
          <w:sz w:val="20"/>
          <w:szCs w:val="20"/>
          <w:color w:val="auto"/>
        </w:rPr>
      </w:pPr>
    </w:p>
    <w:p>
      <w:pPr>
        <w:jc w:val="both"/>
        <w:ind w:right="140" w:firstLine="987"/>
        <w:spacing w:after="0" w:line="263" w:lineRule="auto"/>
        <w:tabs>
          <w:tab w:leader="none" w:pos="13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Unless previously terminated, all Revolving Commitments of any Class shall terminate on the Revolving Credit Maturity Date with respect to such Class;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Closing Date has not occurred prior to the Commitment Termination Date, all Revolving Commitments shall terminate on the Commitment Termination Date.</w:t>
      </w:r>
    </w:p>
    <w:p>
      <w:pPr>
        <w:spacing w:after="0" w:line="183" w:lineRule="exact"/>
        <w:rPr>
          <w:rFonts w:ascii="Arial" w:cs="Arial" w:eastAsia="Arial" w:hAnsi="Arial"/>
          <w:sz w:val="18"/>
          <w:szCs w:val="18"/>
          <w:color w:val="auto"/>
        </w:rPr>
      </w:pPr>
    </w:p>
    <w:p>
      <w:pPr>
        <w:ind w:right="280" w:firstLine="987"/>
        <w:spacing w:after="0" w:line="257" w:lineRule="auto"/>
        <w:tabs>
          <w:tab w:leader="none" w:pos="13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Borrower (and, prior to the Combination, Mylan, acting together) may at any time terminate, or from time to time reduce,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Revolving Commitments shall be in an amount that is an integral multiple of $1,000,000 and not less than $1,000,000, (or, if less, the remaining amount of the Revolving Commitments), (ii) the Borrower shall not terminate or reduce the Revolving Commitments if, after giving effect to any concurrent prepayment of the Loans in accordance with Section 2.10, the total Revolving Credit Exposures would exceed the total Revolving Commitments.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77" w:name="page78"/>
    <w:bookmarkEnd w:id="77"/>
    <w:p>
      <w:pPr>
        <w:ind w:firstLine="987"/>
        <w:spacing w:after="0" w:line="270" w:lineRule="auto"/>
        <w:tabs>
          <w:tab w:leader="none" w:pos="1368" w:val="left"/>
        </w:tabs>
        <w:numPr>
          <w:ilvl w:val="0"/>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Borrower shall notify the Administrative Agent by telephone (confirmed by telecopy or transmission by electronic communication in accordance with Section 9.01(b)) of any election to terminate or reduce the Revolving Commitments under paragraph (b) of this Section not later than 12:00 p.m.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Revolving Commitments delivered by the Borrower may state that such notice is conditioned upon the effectiveness of other credit facilities or instruments of Indebtedness or the occurrence of any other specified event, in which case such notice may be revoked by the Borrower (by notice to the Administrative Agent on or prior to the specified effective date) if such condition is not satisfied. Any termination or reduction of the Revolving Commitments shall be permanent. Each reduction of the Commitments shall be made ratably among the Lenders in accordance with their respective Commitments.</w:t>
      </w:r>
    </w:p>
    <w:p>
      <w:pPr>
        <w:spacing w:after="0" w:line="28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color w:val="auto"/>
        </w:rPr>
        <w:t>Repayment of Loans; Evidence of Debt.</w:t>
      </w:r>
    </w:p>
    <w:p>
      <w:pPr>
        <w:spacing w:after="0" w:line="117" w:lineRule="exact"/>
        <w:rPr>
          <w:sz w:val="20"/>
          <w:szCs w:val="20"/>
          <w:color w:val="auto"/>
        </w:rPr>
      </w:pPr>
    </w:p>
    <w:p>
      <w:pPr>
        <w:ind w:right="60" w:firstLine="987"/>
        <w:spacing w:after="0" w:line="254" w:lineRule="auto"/>
        <w:tabs>
          <w:tab w:leader="none" w:pos="13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Borrower hereby unconditionally promises to pay (i) to the Administrative Agent for the account of each Lender the then unpaid principal amount of each Revolving Loan of any Class made to the Borrower on the Revolving Credit Maturity Date with respect to such Class in the currency of such Loan and (ii) to the Swingline Lender the then unpaid principal amount of each Swingline Loan on the earlier of the initial Revolving Credit Maturity Date (or such later Revolving Credit Maturity Date as agreed by the Swingline Lender in connection with any Revolving Extension Amendment) and the first date after such Swingline Loan is made that is the 15th or last day of a calendar month and is at least three (3)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Revolving Loan is made, the Borrower shall repay all Swingline Loans then outstanding.</w:t>
      </w:r>
    </w:p>
    <w:p>
      <w:pPr>
        <w:spacing w:after="0" w:line="194" w:lineRule="exact"/>
        <w:rPr>
          <w:rFonts w:ascii="Arial" w:cs="Arial" w:eastAsia="Arial" w:hAnsi="Arial"/>
          <w:sz w:val="18"/>
          <w:szCs w:val="18"/>
          <w:color w:val="auto"/>
        </w:rPr>
      </w:pPr>
    </w:p>
    <w:p>
      <w:pPr>
        <w:ind w:right="40" w:firstLine="987"/>
        <w:spacing w:after="0" w:line="263" w:lineRule="auto"/>
        <w:tabs>
          <w:tab w:leader="none" w:pos="1381"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right="20" w:firstLine="987"/>
        <w:spacing w:after="0" w:line="259" w:lineRule="auto"/>
        <w:tabs>
          <w:tab w:leader="none" w:pos="13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currency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right="160" w:firstLine="987"/>
        <w:spacing w:after="0" w:line="259" w:lineRule="auto"/>
        <w:tabs>
          <w:tab w:leader="none" w:pos="13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prima facie evidence of the existence and amounts of the obligations recorded therein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8" w:name="page79"/>
    <w:bookmarkEnd w:id="78"/>
    <w:p>
      <w:pPr>
        <w:ind w:right="60" w:firstLine="987"/>
        <w:spacing w:after="0" w:line="301" w:lineRule="auto"/>
        <w:tabs>
          <w:tab w:leader="none" w:pos="1361" w:val="left"/>
        </w:tabs>
        <w:numPr>
          <w:ilvl w:val="0"/>
          <w:numId w:val="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Lender may request that Loans made by it be evidenced by promissory notes. In such event, the Borrower shall prepare, execute and deliver to such Lender promissory notes payable to such Lender and its registered assigns and in a form approved by the Administrative Agent. Thereafter, the Loans evidenced by such promissory notes and interest thereon shall at all times (including after assignment pursuant to Section 9.04 of this Agreement) be represented by one or more promissory notes in such form payable to the payee named therein and its registered assigns.</w:t>
      </w:r>
    </w:p>
    <w:p>
      <w:pPr>
        <w:spacing w:after="0" w:line="2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Prepayment of Loans.</w:t>
      </w:r>
    </w:p>
    <w:p>
      <w:pPr>
        <w:spacing w:after="0" w:line="117" w:lineRule="exact"/>
        <w:rPr>
          <w:sz w:val="20"/>
          <w:szCs w:val="20"/>
          <w:color w:val="auto"/>
        </w:rPr>
      </w:pPr>
    </w:p>
    <w:p>
      <w:pPr>
        <w:ind w:firstLine="987"/>
        <w:spacing w:after="0" w:line="263" w:lineRule="auto"/>
        <w:tabs>
          <w:tab w:leader="none" w:pos="1371"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(i) The Borrower shall have the right at any time and from time to time to prepay any Borrowing in whole or in part, without premium or penalty, subject to prior notice given in accordance with paragraph (a)(ii) of this Section, or otherwise in form and substance reasonably acceptable to the Administrative Agent.</w:t>
      </w:r>
    </w:p>
    <w:p>
      <w:pPr>
        <w:spacing w:after="0" w:line="75" w:lineRule="exact"/>
        <w:rPr>
          <w:rFonts w:ascii="Arial" w:cs="Arial" w:eastAsia="Arial" w:hAnsi="Arial"/>
          <w:sz w:val="18"/>
          <w:szCs w:val="18"/>
          <w:color w:val="auto"/>
        </w:rPr>
      </w:pPr>
    </w:p>
    <w:p>
      <w:pPr>
        <w:ind w:left="440" w:right="80" w:firstLine="419"/>
        <w:spacing w:after="0" w:line="291" w:lineRule="auto"/>
        <w:tabs>
          <w:tab w:leader="none" w:pos="1259"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Borrower shall notify the Administrative Agent (and, in the case of prepayment of a Swingline Loan, the Swingline Lender) by telephone (confirmed by telecopy or transmission by electronic communication in accordance with Section 9.01(b)) of any prepayment hereunder</w:t>
      </w:r>
    </w:p>
    <w:p>
      <w:pPr>
        <w:ind w:left="440" w:hanging="4"/>
        <w:spacing w:after="0" w:line="267" w:lineRule="auto"/>
        <w:tabs>
          <w:tab w:leader="none" w:pos="6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(x) in the case of prepayment of a Eurocurrency Borrowing in Dollars, not later than 2:00 p.m., New York City time, three (3) Business Days before the date of prepayment, or (y) four Business Days (or five, in the case of prepayment of Loans denominated in Special Notice Currencies) prior to any date of prepayment of Eurocurrency Loans denominated in Alternative Currencies, (ii) in the case of prepayment of a Base Rate Borrowing, not later than noon, New York City time, on the date of prepayment or (iii) in the case of prepayment of a Swingline Loan, not later than 2:00 p.m., New York City time, on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Commitments as contemplated by Section 2.08, then such notice of prepayment may be revoked if such notice of termination is revoked in accordance with Section 2.08.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notice of prepayment. Prepayments pursuant to this Section 2.10(a) shall be accompanied by accrued interest to the extent required by Section 2.12 and shall be subject to Section 2.15.</w:t>
      </w:r>
    </w:p>
    <w:p>
      <w:pPr>
        <w:spacing w:after="0" w:line="292" w:lineRule="exact"/>
        <w:rPr>
          <w:rFonts w:ascii="Arial" w:cs="Arial" w:eastAsia="Arial" w:hAnsi="Arial"/>
          <w:sz w:val="17"/>
          <w:szCs w:val="17"/>
          <w:color w:val="auto"/>
        </w:rPr>
      </w:pPr>
    </w:p>
    <w:p>
      <w:pPr>
        <w:ind w:left="1380" w:hanging="393"/>
        <w:spacing w:after="0"/>
        <w:tabs>
          <w:tab w:leader="none" w:pos="1380" w:val="left"/>
        </w:tabs>
        <w:numPr>
          <w:ilvl w:val="2"/>
          <w:numId w:val="83"/>
        </w:numPr>
        <w:rPr>
          <w:rFonts w:ascii="Arial" w:cs="Arial" w:eastAsia="Arial" w:hAnsi="Arial"/>
          <w:sz w:val="18"/>
          <w:szCs w:val="18"/>
          <w:color w:val="auto"/>
        </w:rPr>
      </w:pPr>
      <w:r>
        <w:rPr>
          <w:rFonts w:ascii="Arial" w:cs="Arial" w:eastAsia="Arial" w:hAnsi="Arial"/>
          <w:sz w:val="18"/>
          <w:szCs w:val="18"/>
          <w:u w:val="single" w:color="auto"/>
          <w:color w:val="auto"/>
        </w:rPr>
        <w:t>Mandatory Prepayment</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308" w:lineRule="auto"/>
        <w:rPr>
          <w:sz w:val="20"/>
          <w:szCs w:val="20"/>
          <w:color w:val="auto"/>
        </w:rPr>
      </w:pPr>
      <w:r>
        <w:rPr>
          <w:rFonts w:ascii="Arial" w:cs="Arial" w:eastAsia="Arial" w:hAnsi="Arial"/>
          <w:sz w:val="17"/>
          <w:szCs w:val="17"/>
          <w:color w:val="auto"/>
        </w:rPr>
        <w:t>If the Administrative Agent notifies the Borrower at any time that the Revolving Credit Exposure at such time exceeds an amount equal to 105% of the Revolving Commitments then in effect, then, within two Business Days after receipt of such notice, the Borrower shall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9" w:name="page80"/>
    <w:bookmarkEnd w:id="7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prepay Loans and/or Cash Collateralize the L/C Exposure in an aggregate amount sufficient to reduce such Revolving Credit Exposure as of such date of payment to an amount not to exceed 100% of the Revolving Commitments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shall not be required to Cash Collateralize the L/C Exposures pursuant to this Section 2.10(b) unless after the prepayment in full of the Loans, the Revolving Credit Exposure exceeds the Revolving Commitments then in effect. The Administrative Agent may, at any time and from time to time after the initial deposit of such Cash Collateral for the L/C Exposure, reasonably request that additional Cash Collateral be provided in order to protect against the results of further material exchange rate fluctuations.</w:t>
      </w:r>
    </w:p>
    <w:p>
      <w:pPr>
        <w:spacing w:after="0" w:line="300"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color w:val="auto"/>
        </w:rPr>
        <w:t>Fees.</w:t>
      </w:r>
    </w:p>
    <w:p>
      <w:pPr>
        <w:spacing w:after="0" w:line="117" w:lineRule="exact"/>
        <w:rPr>
          <w:sz w:val="20"/>
          <w:szCs w:val="20"/>
          <w:color w:val="auto"/>
        </w:rPr>
      </w:pPr>
    </w:p>
    <w:p>
      <w:pPr>
        <w:ind w:right="60" w:firstLine="987"/>
        <w:spacing w:after="0" w:line="268" w:lineRule="auto"/>
        <w:tabs>
          <w:tab w:leader="none" w:pos="1368"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The Borrower agrees to pay to the Administrative Agent for the account of each Revolving Lender a facility fee, which shall accrue at the Applicable Rate on the daily amount of the Revolving Commitment of such Lender (whether used or unused) during the period from and including the Closing Date to but excluding the date on which such Commitment terminates;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Lender continues to have any Revolving Credit Exposure after its Revolving Commitment terminates, then such facility fee shall continue to accrue on the daily Dollar Equivalent of such Lender’s Revolving Credit Exposure from and including the date on which its Revolving Commitment terminates to but excluding the date on which such Lender ceases to have any Revolving Credit Exposure;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facility fee accrued with respect to the unutilized Revolving Commitment of a Defaulting Lender during the period prior to the time such Lender became a Defaulting Lender and unpaid at such time shall not be payable by the Borrower so long as such Lender shall be a Defaulting Lender except to the extent that such facility fee shall otherwise have been due and payable by the Borrower prior to such time;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facility fee shall accrue on the unutilized Revolving Commitment of a Defaulting Lender so long as such Lender shall be a Defaulting Lender. Accrued facility fees shall be payable in arrears on the last day of March, June, September and December of each year and on the date on which the Revolving Commitments terminate, commencing on the first such date to occur after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facility fees accruing after the date on which the Revolving Commitments terminate shall be payable on demand. All facility fees shall be computed on the basis of a year of 360 days and shall be payable for the actual number of days elapsed (including the first day but excluding the last day).</w:t>
      </w:r>
    </w:p>
    <w:p>
      <w:pPr>
        <w:spacing w:after="0" w:line="184" w:lineRule="exact"/>
        <w:rPr>
          <w:rFonts w:ascii="Arial" w:cs="Arial" w:eastAsia="Arial" w:hAnsi="Arial"/>
          <w:sz w:val="17"/>
          <w:szCs w:val="17"/>
          <w:color w:val="auto"/>
        </w:rPr>
      </w:pPr>
    </w:p>
    <w:p>
      <w:pPr>
        <w:ind w:right="20" w:firstLine="987"/>
        <w:spacing w:after="0" w:line="270" w:lineRule="auto"/>
        <w:tabs>
          <w:tab w:leader="none" w:pos="1378"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Borrower agrees to pay (i) to the Administrative Agent for the account of each Revolving Lender a participation fee with respect to its participations in Letters of Credit, which shall accrue at the same Applicable Rate used to determine the interest rate applicable to Eurocurrency Revolving Loans on the average daily Dollar Equivalent of such Lender’s L/C Exposure (excluding any portion thereof attributable to unreimbursed L/C Disbursements) during the period from and including the Closing Date to but excluding the later of the date on which such Lender’s Revolving Commitment terminates and the date on which such Lender ceases to have any L/C Exposure and (ii) to each Issuing Bank a fronting fee, which shall accrue at the rate of 0.125% per annum on the average daily Dollar Equivalent of the L/C Exposure (excluding any portion thereof attributable to unreimbursed L/C Disbursements) attributable to Letters of Credit issued by such Issuing Bank during the period from and including the Closing Date to but excluding the later of the date of termination of the Revolving Commitments and the date on which there ceases to be any L/C Exposure, as well as such Issuing Bank’s standard fees and commissions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80" w:name="page81"/>
    <w:bookmarkEnd w:id="8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(3rd) Business Day following such last day, commencing on the first such date to occur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66" w:lineRule="exact"/>
        <w:rPr>
          <w:sz w:val="20"/>
          <w:szCs w:val="20"/>
          <w:color w:val="auto"/>
        </w:rPr>
      </w:pPr>
    </w:p>
    <w:p>
      <w:pPr>
        <w:ind w:firstLine="987"/>
        <w:spacing w:after="0" w:line="273" w:lineRule="auto"/>
        <w:tabs>
          <w:tab w:leader="none" w:pos="136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the account of each Revolving Lender a ticking fee in an amount equal to the product of (i) 0.25% per annum multiplied by (ii) the average daily amount of the Revolving Commitment held by each Revolving Lender. The ticking fee shall accrue from and including the Effective Date until the earlier of (x) the Closing Date and (y) the termination or abandonment of the Business Combination Agreement, which ticking fee shall be due and payable on such earlier date. The ticking fee shall be computed on the basis of a year of 360 days and shall be payable for the actual number of days elapsed (including the first day but excluding the last day). For the avoidance of doubt, the ticking fee shall be payable irrespective of whether the Closing Date occurs or any Loans are made.</w:t>
      </w:r>
    </w:p>
    <w:p>
      <w:pPr>
        <w:spacing w:after="0" w:line="177" w:lineRule="exact"/>
        <w:rPr>
          <w:rFonts w:ascii="Arial" w:cs="Arial" w:eastAsia="Arial" w:hAnsi="Arial"/>
          <w:sz w:val="17"/>
          <w:szCs w:val="17"/>
          <w:color w:val="auto"/>
        </w:rPr>
      </w:pPr>
    </w:p>
    <w:p>
      <w:pPr>
        <w:ind w:right="60" w:firstLine="987"/>
        <w:spacing w:after="0" w:line="277" w:lineRule="auto"/>
        <w:tabs>
          <w:tab w:leader="none" w:pos="137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ind w:right="200" w:firstLine="987"/>
        <w:spacing w:after="0" w:line="263" w:lineRule="auto"/>
        <w:tabs>
          <w:tab w:leader="none" w:pos="1361"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and in Same Day Funds, to the Administrative Agent (or to the relevant Issuing Bank, in the case of fees payable to it) for distribution, in the case of facility fees, participation fees and ticking fees, to the Lenders. Fees paid shall not be refundable under any circumstances.</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color w:val="auto"/>
        </w:rPr>
        <w:t>Interest.</w:t>
      </w:r>
    </w:p>
    <w:p>
      <w:pPr>
        <w:spacing w:after="0" w:line="117" w:lineRule="exact"/>
        <w:rPr>
          <w:sz w:val="20"/>
          <w:szCs w:val="20"/>
          <w:color w:val="auto"/>
        </w:rPr>
      </w:pPr>
    </w:p>
    <w:p>
      <w:pPr>
        <w:ind w:right="100" w:firstLine="987"/>
        <w:spacing w:after="0" w:line="277" w:lineRule="auto"/>
        <w:tabs>
          <w:tab w:leader="none" w:pos="13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Loans comprising each Base Rate Borrowing (including each Swingline Loan) shall bear interest at the 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right="320" w:firstLine="987"/>
        <w:spacing w:after="0" w:line="277" w:lineRule="auto"/>
        <w:tabs>
          <w:tab w:leader="none" w:pos="1378"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Loans comprising each Eurocurrency Borrowing shall bear interest at the LIBO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right="240" w:firstLine="987"/>
        <w:spacing w:after="0" w:line="255" w:lineRule="auto"/>
        <w:tabs>
          <w:tab w:leader="none" w:pos="13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Notwithstanding the foregoing, at any time (x) an Event of Default has occurred and is continuing under clauses (h), (i) or (j) of Article VII or (y) if any principal of or interest on any Loan or any fee or other amount payable by the Borrower hereunder is not paid when due, whether at stated maturity, upon acceleration or otherwise, then such overdue amount shall bear interest, after as well as before judgment, at a rate per annum equal to (i) in the case of overdue principal of any Loan,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otherwise applicable to such Loan as provided in the preceding paragraphs of this Section or (ii) in the case of any other amount, upon the request of the Required Lenders, 2% plus the rate applicable to Base Rate Loans as provided in paragraph (a) of this Section (the “</w:t>
      </w: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81" w:name="page82"/>
    <w:bookmarkEnd w:id="81"/>
    <w:p>
      <w:pPr>
        <w:ind w:right="20" w:firstLine="987"/>
        <w:spacing w:after="0" w:line="273" w:lineRule="auto"/>
        <w:tabs>
          <w:tab w:leader="none" w:pos="1371" w:val="left"/>
        </w:tabs>
        <w:numPr>
          <w:ilvl w:val="0"/>
          <w:numId w:val="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paragraph (c) of this Section shall be payable on demand, (ii) in the event of any repayment or prepayment of any Loan (other than a prepayment of a Base Rate Revolving Loan prior to the end of the Availability Period or a Swingline Loan),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77" w:lineRule="exact"/>
        <w:rPr>
          <w:rFonts w:ascii="Arial" w:cs="Arial" w:eastAsia="Arial" w:hAnsi="Arial"/>
          <w:sz w:val="17"/>
          <w:szCs w:val="17"/>
          <w:color w:val="auto"/>
        </w:rPr>
      </w:pPr>
    </w:p>
    <w:p>
      <w:pPr>
        <w:ind w:firstLine="987"/>
        <w:spacing w:after="0" w:line="293" w:lineRule="auto"/>
        <w:tabs>
          <w:tab w:leader="none" w:pos="1361" w:val="left"/>
        </w:tabs>
        <w:numPr>
          <w:ilvl w:val="0"/>
          <w:numId w:val="87"/>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(i) computed by reference to the Base Rate shall be computed on the basis of a year of 365 days (or 366 days in a leap year), (ii) for Borrowings denominated in Sterling shall be computed on the basis of a year of 365 days, and in each case, shall be payable for the actual number of days elapsed (including the first day but excluding the last day) and (iii) in the case of interest in respect of Loans denominated in Alternative Currencies as to which market practice differs from the foregoing, shall be computed in accordance with such market practice. The applicable Base Rate or LIBO Rate shall be determined by the Administrative Agent in accordance with the provisions of this Agreement, and such determination shall be conclusive absent manifest error.</w:t>
      </w:r>
    </w:p>
    <w:p>
      <w:pPr>
        <w:spacing w:after="0" w:line="164"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color w:val="auto"/>
        </w:rPr>
        <w:t>Alternate Rate of Interest. If prior to the commencement of any Interest Period for a Eurocurrency Borrowing (whether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or an Alternative Currency):</w:t>
      </w:r>
    </w:p>
    <w:p>
      <w:pPr>
        <w:spacing w:after="0" w:line="211" w:lineRule="exact"/>
        <w:rPr>
          <w:sz w:val="20"/>
          <w:szCs w:val="20"/>
          <w:color w:val="auto"/>
        </w:rPr>
      </w:pPr>
    </w:p>
    <w:p>
      <w:pPr>
        <w:ind w:right="180" w:firstLine="987"/>
        <w:spacing w:after="0" w:line="293" w:lineRule="auto"/>
        <w:tabs>
          <w:tab w:leader="none" w:pos="137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shall be conclusive absent manifest error) that (x) deposits (whether in Dollars or an Alternative Currency) are not being offered to banks in the applicable offshore interbank eurodollar market for such currency for the applicable amount and Interest Period of such Eurocurrency Loan, (y) adequate and reasonable means do not exist for ascertaining the LIBO Rate for such Interest Period and the circumstances specified in Section 2.07(b)(i)(b) do not apply or (z) a fundamental change has occurred in the foreign exchange or interbank markets with respect to such Alternative Currency (including, without limitation, changes in national or international financial, political or economic conditions or currency exchange rates or exchange controls) (in each case with respect to clause (a), the “</w:t>
      </w:r>
      <w:r>
        <w:rPr>
          <w:rFonts w:ascii="Arial" w:cs="Arial" w:eastAsia="Arial" w:hAnsi="Arial"/>
          <w:sz w:val="16"/>
          <w:szCs w:val="16"/>
          <w:u w:val="single" w:color="auto"/>
          <w:color w:val="auto"/>
        </w:rPr>
        <w:t>Impacted Loans</w:t>
      </w:r>
      <w:r>
        <w:rPr>
          <w:rFonts w:ascii="Arial" w:cs="Arial" w:eastAsia="Arial" w:hAnsi="Arial"/>
          <w:sz w:val="16"/>
          <w:szCs w:val="16"/>
          <w:color w:val="auto"/>
        </w:rPr>
        <w:t>”); or</w:t>
      </w:r>
    </w:p>
    <w:p>
      <w:pPr>
        <w:spacing w:after="0" w:line="164" w:lineRule="exact"/>
        <w:rPr>
          <w:rFonts w:ascii="Arial" w:cs="Arial" w:eastAsia="Arial" w:hAnsi="Arial"/>
          <w:sz w:val="16"/>
          <w:szCs w:val="16"/>
          <w:color w:val="auto"/>
        </w:rPr>
      </w:pPr>
    </w:p>
    <w:p>
      <w:pPr>
        <w:ind w:right="300" w:firstLine="987"/>
        <w:spacing w:after="0" w:line="308" w:lineRule="auto"/>
        <w:tabs>
          <w:tab w:leader="none" w:pos="138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Administrative Agent is advised by the Required Lenders that the LIBO Rate for such Interest Period will not adequately and fairly reflect the cost to such Lenders of making or maintaining their Loans included in such Borrowing for such Interest Period;</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then the Administrative Agent shall give notice thereof to the Borrower and the Lenders by telephone or telecopy or transmission by electronic communication in accordance with Section 9.01 as promptly as practicable thereafter and, until the Administrative Agent notifies the Borrower and the Lenders that the circumstances giving rise to such notice no longer exist, (i) any Interest Election Request that requests the conversion of any Revolving Borrowing to,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440" w:top="274" w:right="499" w:bottom="1440" w:gutter="0" w:footer="0" w:header="0"/>
        </w:sectPr>
      </w:pPr>
    </w:p>
    <w:bookmarkStart w:id="82" w:name="page83"/>
    <w:bookmarkEnd w:id="8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continuation of any Revolving Borrowing as, a Eurocurrency Borrowing shall be ineffective and such Revolving Borrowing shall be converted to or continued on the last day of the Interest Period applicable thereto (A) if such Revolving Borrowing is denominated in Dollars, as a Base Rate Borrowing, or (B) if such Revolving Borrowing is denominated in an Alternative Currency, as a Revolving Borrowing bearing interest at such rate as the Administrative Agent and the Borrower may agree adequately reflects the costs to the Lenders of making or maintaining their Loans (or, in the absence of such agreement, such Revolving Borrowing shall be repaid as of the last day of the current Interest Period applicable thereto), (ii) if any Borrowing Request requests a Eurocurrency Revolving Borrowing denominated in Dollars, such Borrowing shall be made as a Base Rate Borrowing (or such Revolving Borrowing shall not be made if the Borrower revokes (and, in such circumstances, such Borrowing Request may be revoked notwithstanding any other provision of this Agreement) by telephone, confirmed promptly in writing, not later than one Business Day prior to the proposed date of such Borrowing) and (iii) if any Borrowing Request requests a Eurocurrency Revolving Borrowing in an Alternative Currency, such Borrowing shall be made as a Revolving Borrowing bearing interest at such rate as the Administrative Agent and the Borrower may agree adequately reflects the costs to the Lenders of making or maintaining their Loans or, in the absence of such agreement, such Borrowing Request shall be automatically revoked notwithstanding any other provision of this Agreement.</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Notwithstanding the foregoing, if the Administrative Agent has made the determination described in this section, the Administrative Agent, in consultation with the Borrower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 Upon the Administrative Agent’s election to establish an alternative rate of interest pursuant to this paragraph, the Borrower may revoke any pending request for a Borrowing of, conversion to or continuation of Eurocurrency Loans in the affected currency or currencies (to the extent of the affected Eurocurrency Rate Loans or Interest Periods) without payment of any amount specified in Section 2.15, provided that such repayment is effected promptly upon receipt of such notice.</w:t>
      </w:r>
    </w:p>
    <w:p>
      <w:pPr>
        <w:spacing w:after="0" w:line="27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5"/>
          <w:szCs w:val="15"/>
          <w:color w:val="auto"/>
        </w:rPr>
        <w:t>Increased Costs.</w:t>
      </w:r>
    </w:p>
    <w:p>
      <w:pPr>
        <w:spacing w:after="0" w:line="117" w:lineRule="exact"/>
        <w:rPr>
          <w:sz w:val="20"/>
          <w:szCs w:val="20"/>
          <w:color w:val="auto"/>
        </w:rPr>
      </w:pPr>
    </w:p>
    <w:p>
      <w:pPr>
        <w:ind w:left="1240" w:hanging="381"/>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7" w:lineRule="exact"/>
        <w:rPr>
          <w:sz w:val="20"/>
          <w:szCs w:val="20"/>
          <w:color w:val="auto"/>
        </w:rPr>
      </w:pPr>
    </w:p>
    <w:p>
      <w:pPr>
        <w:ind w:left="440" w:right="440" w:firstLine="419"/>
        <w:spacing w:after="0" w:line="277" w:lineRule="auto"/>
        <w:tabs>
          <w:tab w:leader="none" w:pos="1213"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 or any Issuing Bank;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83" w:name="page84"/>
    <w:bookmarkEnd w:id="83"/>
    <w:p>
      <w:pPr>
        <w:ind w:left="440" w:right="220" w:firstLine="419"/>
        <w:spacing w:after="0" w:line="308" w:lineRule="auto"/>
        <w:tabs>
          <w:tab w:leader="none" w:pos="1263" w:val="left"/>
        </w:tabs>
        <w:numPr>
          <w:ilvl w:val="0"/>
          <w:numId w:val="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38" w:lineRule="exact"/>
        <w:rPr>
          <w:rFonts w:ascii="Arial" w:cs="Arial" w:eastAsia="Arial" w:hAnsi="Arial"/>
          <w:sz w:val="17"/>
          <w:szCs w:val="17"/>
          <w:color w:val="auto"/>
        </w:rPr>
      </w:pPr>
    </w:p>
    <w:p>
      <w:pPr>
        <w:ind w:left="440" w:right="800" w:firstLine="419"/>
        <w:spacing w:after="0" w:line="277" w:lineRule="auto"/>
        <w:tabs>
          <w:tab w:leader="none" w:pos="1313"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affecting this Agreement or Eurocurrency Loans made by such Lender or any Letter of Credit or participation therein;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any Loan under this Agreement or of maintaining its obligation to make any such Loan (including pursuant to any conversion of any Borrowing denominated in any currency into a Borrowing denominated in any other currency) or to increase the cost to such Lender or such Issuing Bank of participating in, issuing or maintaining any Letter of Credit (including pursuant to any conversion of any Borrowing denominated in any currency into a Borrowing denominated in any other currency) or to reduce the amount of any sum received or receivable by such Lender or such Issuing Bank hereunder, whether of principal, interest or otherwise (including pursuant to any conversion of any Borrowing denominated in any currency into a Borrowing denominated in any other currency), in each case by an amount deemed by such Lender or such Issuing Bank to be material in the context of its making of, and participation in, extensions of credit under this Agreement, then, upon the request of such Lender or such Issuing Bank, the Borrower will pay to such Lender or such Issuing Bank, as the case may be, such additional amount or amounts as will compensate such Lender or such Issuing Bank, as the case may be, for such additional costs incurred or reduction suffered.</w:t>
      </w:r>
    </w:p>
    <w:p>
      <w:pPr>
        <w:spacing w:after="0" w:line="185" w:lineRule="exact"/>
        <w:rPr>
          <w:sz w:val="20"/>
          <w:szCs w:val="20"/>
          <w:color w:val="auto"/>
        </w:rPr>
      </w:pPr>
    </w:p>
    <w:p>
      <w:pPr>
        <w:ind w:right="20" w:firstLine="987"/>
        <w:spacing w:after="0" w:line="253" w:lineRule="auto"/>
        <w:tabs>
          <w:tab w:leader="none" w:pos="1381"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or liquidity), then from time to time, upon the request of such Lender or such Issuing Bank,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96" w:lineRule="exact"/>
        <w:rPr>
          <w:rFonts w:ascii="Arial" w:cs="Arial" w:eastAsia="Arial" w:hAnsi="Arial"/>
          <w:sz w:val="18"/>
          <w:szCs w:val="18"/>
          <w:color w:val="auto"/>
        </w:rPr>
      </w:pPr>
    </w:p>
    <w:p>
      <w:pPr>
        <w:ind w:right="220" w:firstLine="987"/>
        <w:spacing w:after="0" w:line="301" w:lineRule="auto"/>
        <w:tabs>
          <w:tab w:leader="none" w:pos="1361"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certificate of a Lender or an Issuing Bank setting forth in reasonable detail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 ten (10) days (or such later date as may be agreed by the applicable Lender) after receipt thereof.</w:t>
      </w:r>
    </w:p>
    <w:p>
      <w:pPr>
        <w:spacing w:after="0" w:line="157" w:lineRule="exact"/>
        <w:rPr>
          <w:rFonts w:ascii="Arial" w:cs="Arial" w:eastAsia="Arial" w:hAnsi="Arial"/>
          <w:sz w:val="16"/>
          <w:szCs w:val="16"/>
          <w:color w:val="auto"/>
        </w:rPr>
      </w:pPr>
    </w:p>
    <w:p>
      <w:pPr>
        <w:ind w:right="20" w:firstLine="987"/>
        <w:spacing w:after="0" w:line="277" w:lineRule="auto"/>
        <w:tabs>
          <w:tab w:leader="none" w:pos="1381" w:val="left"/>
        </w:tabs>
        <w:numPr>
          <w:ilvl w:val="0"/>
          <w:numId w:val="92"/>
        </w:numPr>
        <w:rPr>
          <w:rFonts w:ascii="Arial" w:cs="Arial" w:eastAsia="Arial" w:hAnsi="Arial"/>
          <w:sz w:val="18"/>
          <w:szCs w:val="18"/>
          <w:color w:val="auto"/>
        </w:rPr>
      </w:pPr>
      <w:r>
        <w:rPr>
          <w:rFonts w:ascii="Arial" w:cs="Arial" w:eastAsia="Arial" w:hAnsi="Arial"/>
          <w:sz w:val="18"/>
          <w:szCs w:val="18"/>
          <w:color w:val="auto"/>
        </w:rPr>
        <w:t>Failure or delay on the part of any Lender or any Issuing Bank to demand compensation pursuant to this Section shall not constitute a waiver of such Lender’s or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4" w:name="page85"/>
    <w:bookmarkEnd w:id="84"/>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an Issuing Bank pursuant to this Section for any increased costs or reductions incurred more than 135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Change in Law giving rise to such increased costs or reductions is retroactive, then the 135-day period referred to above shall be extended to include the period of retroactive effect thereof.</w:t>
      </w:r>
    </w:p>
    <w:p>
      <w:pPr>
        <w:spacing w:after="0" w:line="176" w:lineRule="exact"/>
        <w:rPr>
          <w:sz w:val="20"/>
          <w:szCs w:val="20"/>
          <w:color w:val="auto"/>
        </w:rPr>
      </w:pPr>
    </w:p>
    <w:p>
      <w:pPr>
        <w:ind w:right="280" w:firstLine="987"/>
        <w:spacing w:after="0" w:line="263" w:lineRule="auto"/>
        <w:tabs>
          <w:tab w:leader="none" w:pos="136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Lender’s or Issuing Bank’s claim for additional amounts pursuant to this Section 2.14 shall be generally consistent with such Lender’s or such Issuing Bank’s treatment of customers of such Lender or Issuing Bank that such Lender or Issuing Bank considers, in its reasonable discretion, to be similarly situated as the Borrower.</w:t>
      </w:r>
    </w:p>
    <w:p>
      <w:pPr>
        <w:spacing w:after="0" w:line="18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SECTION 2.15 Break Funding Payments. In the event of (a) the payment of any principal of any Eurocurrency Loan other than on the last day of an Interest Period applicable thereto (including as a result of an Event of Default or as a result of any prepayment pursuant to Section 2.10),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2.10 and is revoked in accordance therewith) or (d) the assignment of any Eurocurrency Loan other than on the last day of the Interest Period applicable thereto as a result of a request by the Borrower pursuant to Section 2.18, then, in any such event, the Borrower shall compensate each Lender for the loss, cost and expense (excluding loss of anticipated profit) attributable to such event. Such loss, cost or expense to any Lender may be deemed to include an amount determined by such Lender to be the excess, if any, of (i) the amount of interest which would have accrued on the principal amount of such Loan had such event not occurred, at the LIBO Rate that would have been applicable to such Loan (and excluding any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spacing w:after="0" w:line="284"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5"/>
          <w:szCs w:val="15"/>
          <w:color w:val="auto"/>
        </w:rPr>
        <w:t>Taxes.</w:t>
      </w:r>
    </w:p>
    <w:p>
      <w:pPr>
        <w:spacing w:after="0" w:line="117" w:lineRule="exact"/>
        <w:rPr>
          <w:sz w:val="20"/>
          <w:szCs w:val="20"/>
          <w:color w:val="auto"/>
        </w:rPr>
      </w:pPr>
    </w:p>
    <w:p>
      <w:pPr>
        <w:ind w:right="20" w:firstLine="987"/>
        <w:spacing w:after="0" w:line="259" w:lineRule="auto"/>
        <w:tabs>
          <w:tab w:leader="none" w:pos="137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Laws. If any Loan Party or the Administrative Agent shall be required by any applicable Laws (as determined in good faith by the Administrative Agent or Loan Party)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5" w:name="page86"/>
    <w:bookmarkEnd w:id="8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withhold or deduct any Taxes from any payment, then (A) such Loan Party or the Administrative Agent, as required by such Laws, shall withhold or make such deductions as are determined by it to be required,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Section 2.16) the applicable Recipient receives an amount equal to the sum it would have received had no such withholding or deduction been made.</w:t>
      </w:r>
    </w:p>
    <w:p>
      <w:pPr>
        <w:spacing w:after="0" w:line="164" w:lineRule="exact"/>
        <w:rPr>
          <w:sz w:val="20"/>
          <w:szCs w:val="20"/>
          <w:color w:val="auto"/>
        </w:rPr>
      </w:pPr>
    </w:p>
    <w:p>
      <w:pPr>
        <w:jc w:val="both"/>
        <w:ind w:right="120" w:firstLine="987"/>
        <w:spacing w:after="0" w:line="263" w:lineRule="auto"/>
        <w:tabs>
          <w:tab w:leader="none" w:pos="1381"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to the relevant Governmental Authority in accordance with applicable law, or at the option of the Administrative Agent timely reimburse it for the payment of, any Other Taxes.</w:t>
      </w:r>
    </w:p>
    <w:p>
      <w:pPr>
        <w:spacing w:after="0" w:line="291" w:lineRule="exact"/>
        <w:rPr>
          <w:rFonts w:ascii="Arial" w:cs="Arial" w:eastAsia="Arial" w:hAnsi="Arial"/>
          <w:sz w:val="18"/>
          <w:szCs w:val="18"/>
          <w:color w:val="auto"/>
        </w:rPr>
      </w:pPr>
    </w:p>
    <w:p>
      <w:pPr>
        <w:ind w:left="1360" w:hanging="373"/>
        <w:spacing w:after="0"/>
        <w:tabs>
          <w:tab w:leader="none" w:pos="136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0" w:firstLine="419"/>
        <w:spacing w:after="0" w:line="272" w:lineRule="auto"/>
        <w:tabs>
          <w:tab w:leader="none" w:pos="1213" w:val="left"/>
        </w:tabs>
        <w:numPr>
          <w:ilvl w:val="0"/>
          <w:numId w:val="96"/>
        </w:numPr>
        <w:rPr>
          <w:rFonts w:ascii="Arial" w:cs="Arial" w:eastAsia="Arial" w:hAnsi="Arial"/>
          <w:sz w:val="17"/>
          <w:szCs w:val="17"/>
          <w:color w:val="auto"/>
        </w:rPr>
      </w:pPr>
      <w:r>
        <w:rPr>
          <w:rFonts w:ascii="Arial" w:cs="Arial" w:eastAsia="Arial" w:hAnsi="Arial"/>
          <w:sz w:val="17"/>
          <w:szCs w:val="17"/>
          <w:color w:val="auto"/>
        </w:rPr>
        <w:t>Each of the Loan Parties shall indemnify each Recipient, and shall make payment in respect thereof within 10 days after demand therefor, for the full amount of any Indemnified Taxes (including Indemnified Taxes imposed or asserted on or attributable to amounts payable under this Section 2.16)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an Issuing Bank (with a copy to the Administrative Agent), or by the Administrative Agent on its own behalf or on behalf of a Lender or an Issuing Bank, shall be conclusive absent manifest error.</w:t>
      </w:r>
    </w:p>
    <w:p>
      <w:pPr>
        <w:spacing w:after="0" w:line="69" w:lineRule="exact"/>
        <w:rPr>
          <w:rFonts w:ascii="Arial" w:cs="Arial" w:eastAsia="Arial" w:hAnsi="Arial"/>
          <w:sz w:val="17"/>
          <w:szCs w:val="17"/>
          <w:color w:val="auto"/>
        </w:rPr>
      </w:pPr>
    </w:p>
    <w:p>
      <w:pPr>
        <w:ind w:left="440" w:firstLine="419"/>
        <w:spacing w:after="0" w:line="287" w:lineRule="auto"/>
        <w:tabs>
          <w:tab w:leader="none" w:pos="1263" w:val="left"/>
        </w:tabs>
        <w:numPr>
          <w:ilvl w:val="0"/>
          <w:numId w:val="96"/>
        </w:numPr>
        <w:rPr>
          <w:rFonts w:ascii="Arial" w:cs="Arial" w:eastAsia="Arial" w:hAnsi="Arial"/>
          <w:sz w:val="16"/>
          <w:szCs w:val="16"/>
          <w:color w:val="auto"/>
        </w:rPr>
      </w:pPr>
      <w:r>
        <w:rPr>
          <w:rFonts w:ascii="Arial" w:cs="Arial" w:eastAsia="Arial" w:hAnsi="Arial"/>
          <w:sz w:val="16"/>
          <w:szCs w:val="16"/>
          <w:color w:val="auto"/>
        </w:rPr>
        <w:t>Each Lender and each Issuing Bank shall, and does hereby, severally indemnify, and shall make payment in respect thereof within 10 days after written demand therefor, (x) the Administrative Agent against any Indemnified Taxes attributable to such Lender or such Issuing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Lender’s failure to comply with the provisions of Section 9.04(d) relating to the maintenance of a Participant Register and (z) the Administrative Agent and the Loan Party, as applicable, against any Excluded Taxes attributable to such Lender or such Issuing Bank,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as applicable, shall be conclusive absent manifest error. Each Lender and Issuing Bank hereby authorizes the Administrative Agent or any Loan Party, as applicable, to set off and apply any and all amounts at any time owing to</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440" w:top="274" w:right="519" w:bottom="1440" w:gutter="0" w:footer="0" w:header="0"/>
        </w:sectPr>
      </w:pPr>
    </w:p>
    <w:bookmarkStart w:id="86" w:name="page87"/>
    <w:bookmarkEnd w:id="86"/>
    <w:p>
      <w:pPr>
        <w:ind w:left="440"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Lender or such Issuing Bank, as the case may be, under this Agreement or any other Loan Document against any amount due to the Administrative Agent or any Loan Party, as applicable, under this clause (ii).</w:t>
      </w:r>
    </w:p>
    <w:p>
      <w:pPr>
        <w:spacing w:after="0" w:line="170" w:lineRule="exact"/>
        <w:rPr>
          <w:sz w:val="20"/>
          <w:szCs w:val="20"/>
          <w:color w:val="auto"/>
        </w:rPr>
      </w:pPr>
    </w:p>
    <w:p>
      <w:pPr>
        <w:ind w:firstLine="987"/>
        <w:spacing w:after="0" w:line="255" w:lineRule="auto"/>
        <w:tabs>
          <w:tab w:leader="none" w:pos="1381"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Upon request by the Borrower or the Administrative Agent, as the case may be, after any payment of Taxes on amounts payable under this Agreement or any other Loan Document by any Loan Party or by the Administrative Agent to a Governmental Authority as provided in this Section 2.16,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92" w:lineRule="exact"/>
        <w:rPr>
          <w:rFonts w:ascii="Arial" w:cs="Arial" w:eastAsia="Arial" w:hAnsi="Arial"/>
          <w:sz w:val="18"/>
          <w:szCs w:val="18"/>
          <w:color w:val="auto"/>
        </w:rPr>
      </w:pPr>
    </w:p>
    <w:p>
      <w:pPr>
        <w:ind w:left="1360" w:hanging="373"/>
        <w:spacing w:after="0"/>
        <w:tabs>
          <w:tab w:leader="none" w:pos="136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419"/>
        <w:spacing w:after="0" w:line="287" w:lineRule="auto"/>
        <w:tabs>
          <w:tab w:leader="none" w:pos="1203"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 or the taxing authorities of a jurisdiction pursuant to such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required pursuant to Sections 2.16(e)(ii)(A),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3" w:lineRule="exact"/>
        <w:rPr>
          <w:rFonts w:ascii="Arial" w:cs="Arial" w:eastAsia="Arial" w:hAnsi="Arial"/>
          <w:sz w:val="16"/>
          <w:szCs w:val="16"/>
          <w:color w:val="auto"/>
        </w:rPr>
      </w:pPr>
    </w:p>
    <w:p>
      <w:pPr>
        <w:ind w:left="1260" w:hanging="401"/>
        <w:spacing w:after="0"/>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80" w:right="40" w:firstLine="910"/>
        <w:spacing w:after="0" w:line="259" w:lineRule="auto"/>
        <w:tabs>
          <w:tab w:leader="none" w:pos="2357"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980" w:right="260" w:firstLine="910"/>
        <w:spacing w:after="0" w:line="263" w:lineRule="auto"/>
        <w:tabs>
          <w:tab w:leader="none" w:pos="2302"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thereafter upon the reasonable request of the Borrower or the Administrative Agent), whichever of the following is applicable:</w:t>
      </w:r>
    </w:p>
    <w:p>
      <w:pPr>
        <w:spacing w:after="0" w:line="131" w:lineRule="exact"/>
        <w:rPr>
          <w:sz w:val="20"/>
          <w:szCs w:val="20"/>
          <w:color w:val="auto"/>
        </w:rPr>
      </w:pPr>
    </w:p>
    <w:p>
      <w:pPr>
        <w:ind w:left="1420" w:hanging="433"/>
        <w:spacing w:after="0"/>
        <w:tabs>
          <w:tab w:leader="none" w:pos="14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w:t>
      </w:r>
    </w:p>
    <w:p>
      <w:pPr>
        <w:spacing w:after="0" w:line="34"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7"/>
          <w:szCs w:val="17"/>
          <w:color w:val="auto"/>
        </w:rPr>
        <w:t>(x) with respect to payments of interest under any Loan Document, executed copies of IRS Form W-8BEN or</w:t>
      </w:r>
    </w:p>
    <w:p>
      <w:pPr>
        <w:spacing w:after="0" w:line="21" w:lineRule="exact"/>
        <w:rPr>
          <w:sz w:val="20"/>
          <w:szCs w:val="20"/>
          <w:color w:val="auto"/>
        </w:rPr>
      </w:pPr>
    </w:p>
    <w:p>
      <w:pPr>
        <w:ind w:left="1420" w:right="80"/>
        <w:spacing w:after="0" w:line="295" w:lineRule="auto"/>
        <w:rPr>
          <w:sz w:val="20"/>
          <w:szCs w:val="20"/>
          <w:color w:val="auto"/>
        </w:rPr>
      </w:pPr>
      <w:r>
        <w:rPr>
          <w:rFonts w:ascii="Arial" w:cs="Arial" w:eastAsia="Arial" w:hAnsi="Arial"/>
          <w:sz w:val="16"/>
          <w:szCs w:val="16"/>
          <w:color w:val="auto"/>
        </w:rPr>
        <w:t>W-BEN-E (or successor form) establishing an exemption from, or reduction of, U.S. federal withholding Tax pursuant to the “interest” article of such tax treaty and (y) with respect to any other applicable payments under any Loan Document, IRS Form W-8BEN or W-8BEN-E (or successor form) establishing an exemption from, or reduction of, U.S. federal withholding Tax pursuant to the “business profits” or “other income” article of such tax treaty;</w:t>
      </w:r>
    </w:p>
    <w:p>
      <w:pPr>
        <w:spacing w:after="0" w:line="67" w:lineRule="exact"/>
        <w:rPr>
          <w:sz w:val="20"/>
          <w:szCs w:val="20"/>
          <w:color w:val="auto"/>
        </w:rPr>
      </w:pPr>
    </w:p>
    <w:p>
      <w:pPr>
        <w:ind w:left="1420" w:hanging="433"/>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30" w:lineRule="exact"/>
        <w:rPr>
          <w:rFonts w:ascii="Arial" w:cs="Arial" w:eastAsia="Arial" w:hAnsi="Arial"/>
          <w:sz w:val="18"/>
          <w:szCs w:val="18"/>
          <w:color w:val="auto"/>
        </w:rPr>
      </w:pPr>
    </w:p>
    <w:p>
      <w:pPr>
        <w:ind w:left="1420" w:hanging="433"/>
        <w:spacing w:after="0" w:line="269" w:lineRule="auto"/>
        <w:tabs>
          <w:tab w:leader="none" w:pos="1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 (c) of the Code, (x) a certificate substantially in the form of Exhibit G-1 to the effect that such Foreign Lender is not a “bank” within the meaning of Section 881(c)(3)(A) of the Code, a “10 percent shareholder” of the Borrower or any Affiliate within the meaning of Section 881(c)(3)(B) of the Code, or a “controlled foreign corporation” described in</w:t>
      </w:r>
    </w:p>
    <w:p>
      <w:pPr>
        <w:spacing w:after="0" w:line="1" w:lineRule="exact"/>
        <w:rPr>
          <w:rFonts w:ascii="Arial" w:cs="Arial" w:eastAsia="Arial" w:hAnsi="Arial"/>
          <w:sz w:val="17"/>
          <w:szCs w:val="17"/>
          <w:color w:val="auto"/>
        </w:rPr>
      </w:pPr>
    </w:p>
    <w:p>
      <w:pPr>
        <w:ind w:left="1420" w:right="60"/>
        <w:spacing w:after="0" w:line="260" w:lineRule="auto"/>
        <w:rPr>
          <w:rFonts w:ascii="Arial" w:cs="Arial" w:eastAsia="Arial" w:hAnsi="Arial"/>
          <w:sz w:val="17"/>
          <w:szCs w:val="17"/>
          <w:color w:val="auto"/>
        </w:rPr>
      </w:pPr>
      <w:r>
        <w:rPr>
          <w:rFonts w:ascii="Arial" w:cs="Arial" w:eastAsia="Arial" w:hAnsi="Arial"/>
          <w:sz w:val="18"/>
          <w:szCs w:val="18"/>
          <w:color w:val="auto"/>
        </w:rPr>
        <w:t>Section 881(c)(3)(C) of the Code (a “United States Tax Compliance Certificate”) and (y) executed copies of IRS Form W-8BEN or W-BEN-E (or successor form); or</w:t>
      </w:r>
    </w:p>
    <w:p>
      <w:pPr>
        <w:spacing w:after="0" w:line="90" w:lineRule="exact"/>
        <w:rPr>
          <w:rFonts w:ascii="Arial" w:cs="Arial" w:eastAsia="Arial" w:hAnsi="Arial"/>
          <w:sz w:val="17"/>
          <w:szCs w:val="17"/>
          <w:color w:val="auto"/>
        </w:rPr>
      </w:pPr>
    </w:p>
    <w:p>
      <w:pPr>
        <w:ind w:left="1420" w:right="20" w:hanging="433"/>
        <w:spacing w:after="0" w:line="254"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extent a Foreign Lender is not the beneficial owner, executed copies of IRS Form W-8IMY, accompanied by IRS Form W-8ECI, IRS Form W-8BEN or W-8BEN-E (or successor form), a United States Tax Compliance Certificate substantially in the form of Exhibit G-2 or Exhibit G-3,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United States Tax Compliance Certificate substantially in the form of Exhibit G-4 on behalf of each such direct and indirect partner;</w:t>
      </w:r>
    </w:p>
    <w:p>
      <w:pPr>
        <w:spacing w:after="0" w:line="12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020"/>
          </w:cols>
          <w:pgMar w:left="1420" w:top="274" w:right="459" w:bottom="1440" w:gutter="0" w:footer="0" w:header="0"/>
        </w:sectPr>
      </w:pPr>
    </w:p>
    <w:bookmarkStart w:id="88" w:name="page89"/>
    <w:bookmarkEnd w:id="88"/>
    <w:p>
      <w:pPr>
        <w:ind w:left="960" w:right="80" w:firstLine="910"/>
        <w:spacing w:after="0" w:line="293" w:lineRule="auto"/>
        <w:tabs>
          <w:tab w:leader="none" w:pos="2282" w:val="left"/>
        </w:tabs>
        <w:numPr>
          <w:ilvl w:val="2"/>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56" w:lineRule="exact"/>
        <w:rPr>
          <w:rFonts w:ascii="Arial" w:cs="Arial" w:eastAsia="Arial" w:hAnsi="Arial"/>
          <w:sz w:val="16"/>
          <w:szCs w:val="16"/>
          <w:color w:val="auto"/>
        </w:rPr>
      </w:pPr>
    </w:p>
    <w:p>
      <w:pPr>
        <w:ind w:left="960" w:firstLine="910"/>
        <w:spacing w:after="0" w:line="270" w:lineRule="auto"/>
        <w:tabs>
          <w:tab w:leader="none" w:pos="2292" w:val="left"/>
        </w:tabs>
        <w:numPr>
          <w:ilvl w:val="2"/>
          <w:numId w:val="101"/>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72" w:lineRule="exact"/>
        <w:rPr>
          <w:rFonts w:ascii="Arial" w:cs="Arial" w:eastAsia="Arial" w:hAnsi="Arial"/>
          <w:sz w:val="17"/>
          <w:szCs w:val="17"/>
          <w:color w:val="auto"/>
        </w:rPr>
      </w:pPr>
    </w:p>
    <w:p>
      <w:pPr>
        <w:ind w:left="420" w:right="220" w:firstLine="419"/>
        <w:spacing w:after="0" w:line="263" w:lineRule="auto"/>
        <w:tabs>
          <w:tab w:leader="none" w:pos="129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Lender agrees that if any form or certification it previously delivered pursuant to this Section 2.16(e) expires or becomes obsolete or inaccurate in any respect, it shall update such form or certification or promptly notify the Borrower and the Administrative Agent in writing of its legal inability to do so.</w:t>
      </w:r>
    </w:p>
    <w:p>
      <w:pPr>
        <w:spacing w:after="0" w:line="183" w:lineRule="exact"/>
        <w:rPr>
          <w:rFonts w:ascii="Arial" w:cs="Arial" w:eastAsia="Arial" w:hAnsi="Arial"/>
          <w:sz w:val="18"/>
          <w:szCs w:val="18"/>
          <w:color w:val="auto"/>
        </w:rPr>
      </w:pPr>
    </w:p>
    <w:p>
      <w:pPr>
        <w:ind w:left="-20" w:right="20" w:firstLine="987"/>
        <w:spacing w:after="0" w:line="290" w:lineRule="auto"/>
        <w:tabs>
          <w:tab w:leader="none" w:pos="1331"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Unless required by applicable Laws, at no time shall the Administrative Agent have any obligation to file for or otherwise pursue on behalf of a Lender or an Issuing Bank, or have any obligation to pay to any Lender or an Issuing Bank, any refund of Taxes withheld or deducted from funds paid for the account of such Lender or such Issuing Bank,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2.16, it shall pay to such Loan Party an amount equal to such refund (but only to the extent of indemnity payments made, or additional amounts paid, by a Loan Party under this Section 2.16 with respect to the Taxes giving rise to such refund), net of all out-of-pocket expenses (including Taxes) incurred by such Recipient, and without interest (other than any interest paid by the relevant Governmental Authority with respect to such refund), provided that each Loan Party, upon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460" w:top="274" w:right="459" w:bottom="1440" w:gutter="0" w:footer="0" w:header="0"/>
        </w:sectPr>
      </w:pPr>
    </w:p>
    <w:bookmarkStart w:id="89" w:name="page90"/>
    <w:bookmarkEnd w:id="89"/>
    <w:p>
      <w:pPr>
        <w:ind w:left="4"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Such Recipient shall, at the Borrower’s request, provide the Borrower with a copy of any notice of assessment or other evidence of the requirement to repay such refund received from the relevant Governmental Authority (provided that the Recipient may delete any information therein that Recipient deems confidential). This subsection shall not be construed to require any Recipient to make available its tax returns (or any other information relating to its taxes that it deems confidential) to any Loan Party or any other Person.</w:t>
      </w:r>
    </w:p>
    <w:p>
      <w:pPr>
        <w:spacing w:after="0" w:line="166" w:lineRule="exact"/>
        <w:rPr>
          <w:sz w:val="20"/>
          <w:szCs w:val="20"/>
          <w:color w:val="auto"/>
        </w:rPr>
      </w:pPr>
    </w:p>
    <w:p>
      <w:pPr>
        <w:ind w:left="4" w:right="160" w:firstLine="987"/>
        <w:spacing w:after="0" w:line="277" w:lineRule="auto"/>
        <w:tabs>
          <w:tab w:leader="none" w:pos="138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Treatment of Swingline Lender and Issuing Bank</w:t>
      </w:r>
      <w:r>
        <w:rPr>
          <w:rFonts w:ascii="Arial" w:cs="Arial" w:eastAsia="Arial" w:hAnsi="Arial"/>
          <w:sz w:val="18"/>
          <w:szCs w:val="18"/>
          <w:color w:val="auto"/>
        </w:rPr>
        <w:t>. For purposes of this Section 2.16, the term “Lender” shall include any Swingline Lender and any Issuing Bank and the term “applicable law” includes FATCA.</w:t>
      </w:r>
    </w:p>
    <w:p>
      <w:pPr>
        <w:spacing w:after="0" w:line="170" w:lineRule="exact"/>
        <w:rPr>
          <w:rFonts w:ascii="Arial" w:cs="Arial" w:eastAsia="Arial" w:hAnsi="Arial"/>
          <w:sz w:val="18"/>
          <w:szCs w:val="18"/>
          <w:color w:val="auto"/>
        </w:rPr>
      </w:pPr>
    </w:p>
    <w:p>
      <w:pPr>
        <w:jc w:val="both"/>
        <w:ind w:left="4" w:firstLine="987"/>
        <w:spacing w:after="0" w:line="263" w:lineRule="auto"/>
        <w:tabs>
          <w:tab w:leader="none" w:pos="138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survive the resignation or replacement of the Administrative Agent or any assignment of rights by, or the replacement of, a Lender or any Issuing Bank, the termination of the Commitments and the repayment, satisfaction or discharge of all other Obligations.</w:t>
      </w:r>
    </w:p>
    <w:p>
      <w:pPr>
        <w:spacing w:after="0" w:line="292"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color w:val="auto"/>
        </w:rPr>
        <w:t>Payments Generally; Pro Rata Treatment; Sharing of Setoffs.</w:t>
      </w:r>
    </w:p>
    <w:p>
      <w:pPr>
        <w:spacing w:after="0" w:line="117" w:lineRule="exact"/>
        <w:rPr>
          <w:sz w:val="20"/>
          <w:szCs w:val="20"/>
          <w:color w:val="auto"/>
        </w:rPr>
      </w:pPr>
    </w:p>
    <w:p>
      <w:pPr>
        <w:ind w:left="4" w:right="20" w:firstLine="987"/>
        <w:spacing w:after="0" w:line="284" w:lineRule="auto"/>
        <w:tabs>
          <w:tab w:leader="none" w:pos="137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Borrower shall make each payment required to be made by it hereunder (whether of principal, interest, fees or reimbursement of L/C Disbursements, or of amounts payable under Section 2.14, 2.15 or 2.16, or otherwise) without condition or deduction for any counterclaim, defense, recoupment or setoff prior to (i) in the case of payments by the Borrower denominated in Dollars, 2:00 p.m., New York City time and (ii) in the case of payments denominated in an Alternative Currency, 2:00 p.m., Applicable Time, in the city of the Administrative Agent’s Office for such currency, in each case on the date when due, in Same Day Funds.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Dollars, in Dollars) and</w:t>
      </w:r>
    </w:p>
    <w:p>
      <w:pPr>
        <w:spacing w:after="0" w:line="2" w:lineRule="exact"/>
        <w:rPr>
          <w:rFonts w:ascii="Arial" w:cs="Arial" w:eastAsia="Arial" w:hAnsi="Arial"/>
          <w:sz w:val="16"/>
          <w:szCs w:val="16"/>
          <w:color w:val="auto"/>
        </w:rPr>
      </w:pPr>
    </w:p>
    <w:p>
      <w:pPr>
        <w:ind w:left="4" w:right="80" w:hanging="4"/>
        <w:spacing w:after="0" w:line="270" w:lineRule="auto"/>
        <w:tabs>
          <w:tab w:leader="none" w:pos="26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the Administrative Agent at its offices for Dollar denominated Credit Events or, in the case of a Credit Event denominated in an Alternative Currency, the Administrative Agent’s Office for such currency, except payments to be made directly to an Issuing Bank or Swingline Lender as expressly provided herein and except that payments pursuant to Sections 2.14, 2.15, 2.16 and 9.03 shall be made directly to the Persons entitled thereto. Without limiting the generality of the foregoing, the Administrative Agent may require that any payments due under this Agreement be made in the United States. The Administrative Agent shall distribute any such payments denominated in the same currency received by it for the account of any other Person to the appropriate recipient promptly following receipt thereof. If any payment hereunder</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4"/>
          </w:cols>
          <w:pgMar w:left="436" w:top="274" w:right="459" w:bottom="1440" w:gutter="0" w:footer="0" w:header="0"/>
        </w:sectPr>
      </w:pPr>
    </w:p>
    <w:bookmarkStart w:id="90" w:name="page91"/>
    <w:bookmarkEnd w:id="90"/>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Alternative Currency, currency control or exchange regulations are imposed in the country which issues such currency with the result that the type of currency in which the Credit Event was made (the “</w:t>
      </w:r>
      <w:r>
        <w:rPr>
          <w:rFonts w:ascii="Arial" w:cs="Arial" w:eastAsia="Arial" w:hAnsi="Arial"/>
          <w:sz w:val="18"/>
          <w:szCs w:val="18"/>
          <w:u w:val="single" w:color="auto"/>
          <w:color w:val="auto"/>
        </w:rPr>
        <w:t>Original Currency</w:t>
      </w:r>
      <w:r>
        <w:rPr>
          <w:rFonts w:ascii="Arial" w:cs="Arial" w:eastAsia="Arial" w:hAnsi="Arial"/>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 all risks of the imposition of any such currency control or exchange regulations.</w:t>
      </w:r>
    </w:p>
    <w:p>
      <w:pPr>
        <w:spacing w:after="0" w:line="192" w:lineRule="exact"/>
        <w:rPr>
          <w:sz w:val="20"/>
          <w:szCs w:val="20"/>
          <w:color w:val="auto"/>
        </w:rPr>
      </w:pPr>
    </w:p>
    <w:p>
      <w:pPr>
        <w:ind w:right="140" w:firstLine="987"/>
        <w:spacing w:after="0" w:line="255" w:lineRule="auto"/>
        <w:tabs>
          <w:tab w:leader="none" w:pos="13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based on the Dollar Equivalent amount thereof among the parties entitled thereto in accordance with the amounts of interest and fees then due to such parties, and (ii) second, towards payment of principal and unreimbursed L/C Disbursements then due hereunder, ratably based on the Dollar Equivalent amount thereof among the parties entitled thereto in accordance with the amounts of principal and unreimbursed L/C Disbursements then due to such parties.</w:t>
      </w:r>
    </w:p>
    <w:p>
      <w:pPr>
        <w:spacing w:after="0" w:line="192" w:lineRule="exact"/>
        <w:rPr>
          <w:rFonts w:ascii="Arial" w:cs="Arial" w:eastAsia="Arial" w:hAnsi="Arial"/>
          <w:sz w:val="18"/>
          <w:szCs w:val="18"/>
          <w:color w:val="auto"/>
        </w:rPr>
      </w:pPr>
    </w:p>
    <w:p>
      <w:pPr>
        <w:ind w:firstLine="987"/>
        <w:spacing w:after="0" w:line="286" w:lineRule="auto"/>
        <w:tabs>
          <w:tab w:leader="none" w:pos="137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in accordance with Section 9.04.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91" w:name="page92"/>
    <w:bookmarkEnd w:id="91"/>
    <w:p>
      <w:pPr>
        <w:ind w:right="60" w:firstLine="987"/>
        <w:spacing w:after="0" w:line="253" w:lineRule="auto"/>
        <w:tabs>
          <w:tab w:leader="none" w:pos="13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the Administrative Agent shall have received notice from the Borrower prior to the date on which any payment is due to the Administrative Agent for the account of the Lenders or the relevant Issuing Bank hereunder that the Borrower will not make such payment, the Administrative Agent may assume that the Borrower has made such payment on such date in accordance herewith and may, in reliance upon such assumption, distribute to the Lenders or such Issuing Bank, as the case may be, the amount due. In such event, if the Borrower has not in fact made such payment, then each of the Lenders or the relevant Issuing Bank, as the case may be, severally agrees to repay to the Administrative Agent forthwith on demand the amount so distributed to such Lender or such Issuing Bank, in Same Day Funds with interest thereon, for each day from and including the date such amount is distributed to it to but excluding the date of payment to the Administrative Agent, at the Overnight Rate. A notice of the Administrative Agent to any Lender or the Borrower with respect to any amount owing under this subsection (d) shall be conclusive, absent manifest error.</w:t>
      </w:r>
    </w:p>
    <w:p>
      <w:pPr>
        <w:spacing w:after="0" w:line="196" w:lineRule="exact"/>
        <w:rPr>
          <w:rFonts w:ascii="Arial" w:cs="Arial" w:eastAsia="Arial" w:hAnsi="Arial"/>
          <w:sz w:val="18"/>
          <w:szCs w:val="18"/>
          <w:color w:val="auto"/>
        </w:rPr>
      </w:pPr>
    </w:p>
    <w:p>
      <w:pPr>
        <w:ind w:right="220" w:firstLine="987"/>
        <w:spacing w:after="0" w:line="272" w:lineRule="auto"/>
        <w:tabs>
          <w:tab w:leader="none" w:pos="137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pursuant to Section 2.04, 2.05, 2.06, 2.17 or 9.03,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The obligations of the Lenders hereunder to make Loans, to fund participations in Letters of Credit and Swingline Loans and to make payments are several and not joint. The failure of any Lender to make any Loan, to fund any such participation or to make any payment on any date required hereunder shall not relieve any other Lender of its corresponding obligation to do so on such date, and no Lender shall be responsible for the failure of any other Lender to so make its Loan, to purchase its participation or to make its payments.</w:t>
      </w:r>
    </w:p>
    <w:p>
      <w:pPr>
        <w:spacing w:after="0" w:line="28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color w:val="auto"/>
        </w:rPr>
        <w:t>Mitigation Obligations; Replacement of Lenders.</w:t>
      </w:r>
    </w:p>
    <w:p>
      <w:pPr>
        <w:spacing w:after="0" w:line="117" w:lineRule="exact"/>
        <w:rPr>
          <w:sz w:val="20"/>
          <w:szCs w:val="20"/>
          <w:color w:val="auto"/>
        </w:rPr>
      </w:pPr>
    </w:p>
    <w:p>
      <w:pPr>
        <w:ind w:firstLine="987"/>
        <w:spacing w:after="0" w:line="290" w:lineRule="auto"/>
        <w:tabs>
          <w:tab w:leader="none" w:pos="137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any Lender requests compensation under Section 2.14, or if the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2.14 or 2.16, as the case may be, in the future and (ii) would not subject such Lender to any unreimbursed cost or expense and would not otherwise be disadvantageous to such Lender. The Borrower hereby agrees to pay all reasonable out-of-pocket costs and expenses incurred by any Lender in connection with any such designation or assignment. Any Lender claiming reimbursement of such costs and expenses shall deliver to the Borrower a certificate setting forth such costs and expenses in reasonable detail which shall be conclusive absent manifest error.</w:t>
      </w:r>
    </w:p>
    <w:p>
      <w:pPr>
        <w:spacing w:after="0" w:line="165" w:lineRule="exact"/>
        <w:rPr>
          <w:rFonts w:ascii="Arial" w:cs="Arial" w:eastAsia="Arial" w:hAnsi="Arial"/>
          <w:sz w:val="16"/>
          <w:szCs w:val="16"/>
          <w:color w:val="auto"/>
        </w:rPr>
      </w:pPr>
    </w:p>
    <w:p>
      <w:pPr>
        <w:ind w:right="40" w:firstLine="987"/>
        <w:spacing w:after="0" w:line="259" w:lineRule="auto"/>
        <w:tabs>
          <w:tab w:leader="none" w:pos="13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(1) any Lender requests compensation under Section 2.14, (2) the Borrower is required to pay any additional amount to any Lender or any Governmental Authority for the account of any Lender pursuant to Section 2.16, (3) any Lender is a Defaulting Lender, (4) any Lender fails to grant a consent in connection with any proposed change, waiver, discharge or termination of the provisions of this Agreement as contemplated by Section 9.02 for which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92" w:name="page93"/>
    <w:bookmarkEnd w:id="92"/>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consent of each Lender or each affected Lender is required but the consent of the Required Lenders is obtained, (5) if any Lender is prohibited under applicable Law from making Loans or Letters of Credit denominated in one or more Alternative Currencies to the Borrower in accordance with the terms of this Agreement, and at such time the Required Lenders are permitted under applicable Law (and have agreed) to make such Loans and Letters of Credit in such Alternative Currencies, or (6)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but excluding the consents required by, Section 9.04),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57" w:lineRule="exact"/>
        <w:rPr>
          <w:sz w:val="20"/>
          <w:szCs w:val="20"/>
          <w:color w:val="auto"/>
        </w:rPr>
      </w:pPr>
    </w:p>
    <w:p>
      <w:pPr>
        <w:ind w:left="440" w:right="120" w:firstLine="419"/>
        <w:spacing w:after="0" w:line="277" w:lineRule="auto"/>
        <w:tabs>
          <w:tab w:leader="none" w:pos="121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specified in Section 9.04 (unless otherwise agreed by the Administrative Agent);</w:t>
      </w:r>
    </w:p>
    <w:p>
      <w:pPr>
        <w:spacing w:after="0" w:line="62" w:lineRule="exact"/>
        <w:rPr>
          <w:rFonts w:ascii="Arial" w:cs="Arial" w:eastAsia="Arial" w:hAnsi="Arial"/>
          <w:sz w:val="18"/>
          <w:szCs w:val="18"/>
          <w:color w:val="auto"/>
        </w:rPr>
      </w:pPr>
    </w:p>
    <w:p>
      <w:pPr>
        <w:ind w:left="440" w:right="20" w:firstLine="419"/>
        <w:spacing w:after="0" w:line="259" w:lineRule="auto"/>
        <w:tabs>
          <w:tab w:leader="none" w:pos="126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Loans and L/C Disbursements, accrued interest thereon, accrued fees and all other amounts payable to it hereunder and under the other Loan Documents (including any amounts under Section 2.15) from the assignee (to the extent of such outstanding principal and accrued interest and fees) or the Borrower (in the case of all other amounts);</w:t>
      </w:r>
    </w:p>
    <w:p>
      <w:pPr>
        <w:spacing w:after="0" w:line="78" w:lineRule="exact"/>
        <w:rPr>
          <w:rFonts w:ascii="Arial" w:cs="Arial" w:eastAsia="Arial" w:hAnsi="Arial"/>
          <w:sz w:val="18"/>
          <w:szCs w:val="18"/>
          <w:color w:val="auto"/>
        </w:rPr>
      </w:pPr>
    </w:p>
    <w:p>
      <w:pPr>
        <w:ind w:left="440" w:right="440" w:firstLine="419"/>
        <w:spacing w:after="0" w:line="308" w:lineRule="auto"/>
        <w:tabs>
          <w:tab w:leader="none" w:pos="131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the case of any such assignment resulting from a claim for compensation under Section 2.14 or payments required to be made pursuant to Section 2.16, such assignment will result in a reduction in such compensation or payments thereafter;</w:t>
      </w:r>
    </w:p>
    <w:p>
      <w:pPr>
        <w:spacing w:after="0" w:line="38" w:lineRule="exact"/>
        <w:rPr>
          <w:rFonts w:ascii="Arial" w:cs="Arial" w:eastAsia="Arial" w:hAnsi="Arial"/>
          <w:sz w:val="17"/>
          <w:szCs w:val="17"/>
          <w:color w:val="auto"/>
        </w:rPr>
      </w:pPr>
    </w:p>
    <w:p>
      <w:pPr>
        <w:ind w:left="440" w:right="40" w:firstLine="419"/>
        <w:spacing w:after="0" w:line="263" w:lineRule="auto"/>
        <w:tabs>
          <w:tab w:leader="none" w:pos="130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an assignment resulting from an event described in clause (4) above, (A) the applicable assignee shall have consented to the applicable amendment, waiver or consent and (B) after giving effect to such assignment (and any other assignments made in connection therewith), each Lender shall have consented to the applicable amendment, waiver or consent;</w:t>
      </w:r>
    </w:p>
    <w:p>
      <w:pPr>
        <w:spacing w:after="0" w:line="75" w:lineRule="exact"/>
        <w:rPr>
          <w:rFonts w:ascii="Arial" w:cs="Arial" w:eastAsia="Arial" w:hAnsi="Arial"/>
          <w:sz w:val="18"/>
          <w:szCs w:val="18"/>
          <w:color w:val="auto"/>
        </w:rPr>
      </w:pPr>
    </w:p>
    <w:p>
      <w:pPr>
        <w:ind w:left="440" w:firstLine="419"/>
        <w:spacing w:after="0" w:line="301" w:lineRule="auto"/>
        <w:tabs>
          <w:tab w:leader="none" w:pos="125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the case of an assignment resulting from a circumstance described in clause (5) above, (A) the applicable assignee shall be permitted under Law to make Loans and Letters of Credit in all Alternative Currencies to the Borrower in accordance with the terms of this Agreement and the other Loan Documents, and (B) after giving effect to such assignment (and any other assignments made in connection therewith), each Lender shall be permitted under applicable Law to make Loans to and Letters of Credit to the Borrower in all Alternative Currencies;</w:t>
      </w:r>
    </w:p>
    <w:p>
      <w:pPr>
        <w:spacing w:after="0" w:line="49" w:lineRule="exact"/>
        <w:rPr>
          <w:rFonts w:ascii="Arial" w:cs="Arial" w:eastAsia="Arial" w:hAnsi="Arial"/>
          <w:sz w:val="16"/>
          <w:szCs w:val="16"/>
          <w:color w:val="auto"/>
        </w:rPr>
      </w:pPr>
    </w:p>
    <w:p>
      <w:pPr>
        <w:ind w:left="440" w:right="240" w:firstLine="419"/>
        <w:spacing w:after="0" w:line="301" w:lineRule="auto"/>
        <w:tabs>
          <w:tab w:leader="none" w:pos="130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the case of an assignment resulting from a circumstance described in clause (6) above, (A) the applicable assignee shall be permitted under Law and licensed to make Loans and other applicable extensions of credit to the Borrower in accordance with the terms of this Agreement and (B) after giving effect to such assignment (and to any other assignments made in connection therewith), each Lender shall be permitted under applicable Law and licensed to make such Loans and other applicable extensions of credit under this Agreement; and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40" w:top="274" w:right="479" w:bottom="1440" w:gutter="0" w:footer="0" w:header="0"/>
        </w:sectPr>
      </w:pPr>
    </w:p>
    <w:bookmarkStart w:id="93" w:name="page94"/>
    <w:bookmarkEnd w:id="93"/>
    <w:p>
      <w:pPr>
        <w:ind w:left="860"/>
        <w:spacing w:after="0"/>
        <w:tabs>
          <w:tab w:leader="none" w:pos="1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(vii)</w:t>
      </w:r>
      <w:r>
        <w:rPr>
          <w:sz w:val="20"/>
          <w:szCs w:val="20"/>
          <w:color w:val="auto"/>
        </w:rPr>
        <w:tab/>
      </w:r>
      <w:r>
        <w:rPr>
          <w:rFonts w:ascii="Arial" w:cs="Arial" w:eastAsia="Arial" w:hAnsi="Arial"/>
          <w:sz w:val="16"/>
          <w:szCs w:val="16"/>
          <w:color w:val="auto"/>
        </w:rPr>
        <w:t>such assignment does not conflict with applicable Laws.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78"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color w:val="auto"/>
        </w:rPr>
        <w:t>Expansion Option.</w:t>
      </w:r>
    </w:p>
    <w:p>
      <w:pPr>
        <w:spacing w:after="0" w:line="158" w:lineRule="exact"/>
        <w:rPr>
          <w:sz w:val="20"/>
          <w:szCs w:val="20"/>
          <w:color w:val="auto"/>
        </w:rPr>
      </w:pPr>
    </w:p>
    <w:p>
      <w:pPr>
        <w:ind w:firstLine="987"/>
        <w:spacing w:after="0" w:line="284" w:lineRule="auto"/>
        <w:tabs>
          <w:tab w:leader="none" w:pos="141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Borrower may from time to time after the Closing Date elect to increase the Revolving Commitments (“</w:t>
      </w:r>
      <w:r>
        <w:rPr>
          <w:rFonts w:ascii="Arial" w:cs="Arial" w:eastAsia="Arial" w:hAnsi="Arial"/>
          <w:sz w:val="16"/>
          <w:szCs w:val="16"/>
          <w:u w:val="single" w:color="auto"/>
          <w:color w:val="auto"/>
        </w:rPr>
        <w:t>Increased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Commitments</w:t>
      </w:r>
      <w:r>
        <w:rPr>
          <w:rFonts w:ascii="Arial" w:cs="Arial" w:eastAsia="Arial" w:hAnsi="Arial"/>
          <w:sz w:val="16"/>
          <w:szCs w:val="16"/>
          <w:color w:val="auto"/>
        </w:rPr>
        <w:t>”) in an aggregate principal amount of not less than $25,000,000. The Borrower may arrange for any such increase to be provided by one or more Lenders (each Lender so agreeing to an increase in its Revolving Commitment,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or by one or more new banks, financial institutions or other entities (each such new bank, financial institution or other entity, an “</w:t>
      </w:r>
      <w:r>
        <w:rPr>
          <w:rFonts w:ascii="Arial" w:cs="Arial" w:eastAsia="Arial" w:hAnsi="Arial"/>
          <w:sz w:val="16"/>
          <w:szCs w:val="16"/>
          <w:u w:val="single" w:color="auto"/>
          <w:color w:val="auto"/>
        </w:rPr>
        <w:t>Augmenting Lender</w:t>
      </w:r>
      <w:r>
        <w:rPr>
          <w:rFonts w:ascii="Arial" w:cs="Arial" w:eastAsia="Arial" w:hAnsi="Arial"/>
          <w:sz w:val="16"/>
          <w:szCs w:val="16"/>
          <w:color w:val="auto"/>
        </w:rPr>
        <w:t xml:space="preserve">”), to increase their existing Revolving Commitments or to participate in such Revolving Commitments,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Augmenting Lender (and, in the case of an Increased Commitment, each Increasing Lender) shall be subject to the approval of the Borrower, the Administrative Agent, each Issuing Bank and Swingline Lender (such consents not to be unreasonably withheld or delayed). Without the consent of any Lenders other than the relevant Increasing Lenders or Augmenting Lenders, this Agreement and the other Loan Documents may be amended pursuant to an Additional Credit Extension Amendment as may be necessary or appropriate, in the reasonable opinion of the Administrative Agent and the Borrower, to effect the provisions of this Section 2.19. Increases of Revolving Commitments shall become effective on the date agreed by the Borrower, the Administrative Agent and the relevant Increasing Lenders or Augmenting Lenders and the Administrative Agent shall notify each Lender thereof. Notwithstanding the foregoing, no increase in the Revolving Commitments shall be permitted under this paragraph unless on the proposed date of the effectiveness of such increase in the Revolving Commitments, (i) the conditions set forth in paragraphs (a) and (b) of Section 4.04 shall be satisfied or waived by the Required Lenders and the Administrative Agent, (ii) after giving effect to such increase in the Revolving Commitments, the Borrower shall be in compliance, on a Pro Forma Basis, with the Consolidated Leverage Ratio (determined as of the most recently ended fiscal quarter and assuming that the entire amount of such increase had been borrowed as of such quarter end), and (iii) the Administrative Agent shall have received a certificate confirming (and, as applicable, setting forth reasonably detailed calculations demonstrating) compliance with each of the requirements set forth in clauses (i) and (ii) above, dated such date and executed by a Financial Officer of the Borrower. On the effective date of any increase in the Revolving Commitments, (i) each relevant Increasing Lender and Augmenting Lender shall make available to the Administrative Agent such amounts in Same Day Funds as the Administrative Agent shall determine, for the benefit of the other Lenders, as being required in order to cause, after giving effect to such increase and the use of such amounts to make payments to such other Lenders, each Lender’s portion of the outstanding Loans of all the Lenders to equal its Applicable Percentage of such outstanding Loans, and (ii) if, on the date of such increase, there are any Revolving Loans outstanding, such Revolving Loans shall on or prior to the effectiveness of such Increased Commitments be prepaid to the extent necessary from the proceeds of additional Revolving Loans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4" w:name="page95"/>
    <w:bookmarkEnd w:id="9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made hereunder by the Increasing Lenders and Augmenting Lenders, so that, after giving effect to such prepayments and any borrowings on such date of all or any portion of such Increased Commitments, the principal balance of all outstanding Revolving Loans owing to each Lender is equal to such Lender’s pro rata share (after giving effect to any nonratable Increased Commitment pursuant to this Section 2.19) of all then outstanding Revolving Loans. The Administrative Agent and the Lenders hereby agree that the Borrowing Request, minimum borrowing, pro rata borrowing and pro rata payment requirements contained elsewhere in this Agreement shall not apply to the transactions effected pursuant to the immediately preceding sentence. The deemed payments made pursuant to clause (ii) of the second preceding sentence shall be accompanied by payment of all accrued interest on the amount prepaid and, in respect of each Eurocurrency Loan, shall be subject to indemnification by the Borrower pursuant to the provisions of Section 2.15 if the deemed payment occurs other than on the last day of the related Interest Periods. For the avoidance of doubt, no Lender shall have any obligation to provide any Increased Commitment.</w:t>
      </w:r>
    </w:p>
    <w:p>
      <w:pPr>
        <w:spacing w:after="0" w:line="181"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This Section 2.19 shall override any provisions in Section 9.02 to the contrary.</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SECTION 2.20 Judgment Currency. If for the purposes of obtaining judgment in any court it is necessary to convert a sum due from the Borrower hereunder in the currency expressed to be payable herein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2.17, such Lender or the Administrative Agent, as the case may be, agrees to remit such excess to the Borrower.</w:t>
      </w:r>
    </w:p>
    <w:p>
      <w:pPr>
        <w:spacing w:after="0" w:line="279"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6"/>
          <w:szCs w:val="16"/>
          <w:color w:val="auto"/>
        </w:rPr>
        <w:t>Extended Revolving Commitments.</w:t>
      </w:r>
    </w:p>
    <w:p>
      <w:pPr>
        <w:spacing w:after="0" w:line="117" w:lineRule="exact"/>
        <w:rPr>
          <w:sz w:val="20"/>
          <w:szCs w:val="20"/>
          <w:color w:val="auto"/>
        </w:rPr>
      </w:pPr>
    </w:p>
    <w:p>
      <w:pPr>
        <w:ind w:right="140" w:firstLine="987"/>
        <w:spacing w:after="0" w:line="259" w:lineRule="auto"/>
        <w:tabs>
          <w:tab w:leader="none" w:pos="137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Request for Extended Revolving Commitments</w:t>
      </w:r>
      <w:r>
        <w:rPr>
          <w:rFonts w:ascii="Arial" w:cs="Arial" w:eastAsia="Arial" w:hAnsi="Arial"/>
          <w:sz w:val="18"/>
          <w:szCs w:val="18"/>
          <w:color w:val="auto"/>
        </w:rPr>
        <w:t>. The Borrower may at any time and from time to time after the Closing Date, upon written request to and the consent of the Administrative Agent (each, a “</w:t>
      </w:r>
      <w:r>
        <w:rPr>
          <w:rFonts w:ascii="Arial" w:cs="Arial" w:eastAsia="Arial" w:hAnsi="Arial"/>
          <w:sz w:val="18"/>
          <w:szCs w:val="18"/>
          <w:u w:val="single" w:color="auto"/>
          <w:color w:val="auto"/>
        </w:rPr>
        <w:t>Revolving Extension Request</w:t>
      </w:r>
      <w:r>
        <w:rPr>
          <w:rFonts w:ascii="Arial" w:cs="Arial" w:eastAsia="Arial" w:hAnsi="Arial"/>
          <w:sz w:val="18"/>
          <w:szCs w:val="18"/>
          <w:color w:val="auto"/>
        </w:rPr>
        <w:t>”), request that an aggregate principal amount of not less than $300,000,000 of the then existing Commitments of any Class (each, an “</w:t>
      </w:r>
      <w:r>
        <w:rPr>
          <w:rFonts w:ascii="Arial" w:cs="Arial" w:eastAsia="Arial" w:hAnsi="Arial"/>
          <w:sz w:val="18"/>
          <w:szCs w:val="18"/>
          <w:u w:val="single" w:color="auto"/>
          <w:color w:val="auto"/>
        </w:rPr>
        <w:t>Existing Revolver Tranche</w:t>
      </w:r>
      <w:r>
        <w:rPr>
          <w:rFonts w:ascii="Arial" w:cs="Arial" w:eastAsia="Arial" w:hAnsi="Arial"/>
          <w:sz w:val="18"/>
          <w:szCs w:val="18"/>
          <w:color w:val="auto"/>
        </w:rPr>
        <w:t>”) be amended to, among other things, extend the applicable Revolving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95" w:name="page96"/>
    <w:bookmarkEnd w:id="9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Credit Maturity Date with respect thereto (the “</w:t>
      </w:r>
      <w:r>
        <w:rPr>
          <w:rFonts w:ascii="Arial" w:cs="Arial" w:eastAsia="Arial" w:hAnsi="Arial"/>
          <w:sz w:val="16"/>
          <w:szCs w:val="16"/>
          <w:u w:val="single" w:color="auto"/>
          <w:color w:val="auto"/>
        </w:rPr>
        <w:t>Existing Maturity Date</w:t>
      </w:r>
      <w:r>
        <w:rPr>
          <w:rFonts w:ascii="Arial" w:cs="Arial" w:eastAsia="Arial" w:hAnsi="Arial"/>
          <w:sz w:val="16"/>
          <w:szCs w:val="16"/>
          <w:color w:val="auto"/>
        </w:rPr>
        <w:t>”) to a date that is no earlier than the then Latest Maturity Date of any other Commitment hereunder (any such Revolving Commitments so amended, “</w:t>
      </w:r>
      <w:r>
        <w:rPr>
          <w:rFonts w:ascii="Arial" w:cs="Arial" w:eastAsia="Arial" w:hAnsi="Arial"/>
          <w:sz w:val="16"/>
          <w:szCs w:val="16"/>
          <w:u w:val="single" w:color="auto"/>
          <w:color w:val="auto"/>
        </w:rPr>
        <w:t>Extended Revolving Commitments</w:t>
      </w:r>
      <w:r>
        <w:rPr>
          <w:rFonts w:ascii="Arial" w:cs="Arial" w:eastAsia="Arial" w:hAnsi="Arial"/>
          <w:sz w:val="16"/>
          <w:szCs w:val="16"/>
          <w:color w:val="auto"/>
        </w:rPr>
        <w:t xml:space="preserve">”); provided that (i) after giving effect to any Extended Revolving Commitment under this Section 2.21, there shall be no more than three (3) Classes of Commitments outstanding at any time and (ii) any such Extended Revolving Commitments shall be offered on the same terms (including as to the proposed interest rates and fees) to each Revolving Lender under the applicable Existing Revolver Tranche on a ratable basis. Promptly after receipt of any Revolving Extension Request, the Administrative Agent shall provide a copy of such request to each of the Revolving Credit Lenders under the applicable Existing Revolver Tranche to be amended, which request shall set forth the proposed terms (which shall be determined in consultation with the Administrative Agent) of the Extended Revolving Commitments to be established. Each Revolving Extension Request shall specify (A) the applicable Class of Commitments and Loans hereunder to be extended, (B) the date to which the applicable maturity date is sought to be extended, (C) the changes, if any, to the Applicable Rate to be applied in determining the interest payable on the Loans of, and fees payable hereunder to, Extending Revolving Lenders (as defined below) in respect of that portion of their Commitments and Loans extended to such new maturity date and the time as of which such changes will become effective (which may be prior to the Existing Maturity Date) and (D) any other amendments or modifications to this Agreement applicable to such Extended Revolving Commitments,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such changes or modifications pursuant to this clause (D) shall become effective prior to the then Latest Maturity Date. At the time of sending such notice, the Borrower (in consultation with the Administrative Agent) shall specify the time period within which each applicable Revolving Lender is requested to respond to such request (which shall in no event be less than fifteen (15) calendar days (or such shorter period as may be agreed by the Administrative Agent) from the date of delivery of such notice to such Revolving Lenders) and shall agree to such procedures, if any, as may be established by, or reasonably acceptable to, the Administrative Agent to accomplish the purposes of this Section 2.21.</w:t>
      </w:r>
    </w:p>
    <w:p>
      <w:pPr>
        <w:spacing w:after="0" w:line="174" w:lineRule="exact"/>
        <w:rPr>
          <w:sz w:val="20"/>
          <w:szCs w:val="20"/>
          <w:color w:val="auto"/>
        </w:rPr>
      </w:pPr>
    </w:p>
    <w:p>
      <w:pPr>
        <w:ind w:right="20" w:firstLine="987"/>
        <w:spacing w:after="0" w:line="269" w:lineRule="auto"/>
        <w:tabs>
          <w:tab w:leader="none" w:pos="1381"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Election to Extend</w:t>
      </w:r>
      <w:r>
        <w:rPr>
          <w:rFonts w:ascii="Arial" w:cs="Arial" w:eastAsia="Arial" w:hAnsi="Arial"/>
          <w:sz w:val="17"/>
          <w:szCs w:val="17"/>
          <w:color w:val="auto"/>
        </w:rPr>
        <w:t>. Any Revolving Lender wishing to have all or a portion of its Revolving Commitments under the Existing Revolving Tranche amended into Extended Revolving Commitments (each, an “</w:t>
      </w:r>
      <w:r>
        <w:rPr>
          <w:rFonts w:ascii="Arial" w:cs="Arial" w:eastAsia="Arial" w:hAnsi="Arial"/>
          <w:sz w:val="17"/>
          <w:szCs w:val="17"/>
          <w:u w:val="single" w:color="auto"/>
          <w:color w:val="auto"/>
        </w:rPr>
        <w:t>Extending Revolving Lender</w:t>
      </w:r>
      <w:r>
        <w:rPr>
          <w:rFonts w:ascii="Arial" w:cs="Arial" w:eastAsia="Arial" w:hAnsi="Arial"/>
          <w:sz w:val="17"/>
          <w:szCs w:val="17"/>
          <w:color w:val="auto"/>
        </w:rPr>
        <w:t>”) specified in the Revolving Extension Request shall notify the Administrative Agent on or prior to the response date specified in such Revolving Extension Request of the amount of its Revolving Commitments it has elected to be amended (subject to any minimum denomination requirements imposed by the Administrative Agent not to exceed $50,000,000). No Revolving Lender shall have any obligation to agree to provide any Extended Revolving Commitment pursuant to any Revolving Extension Request. Any Revolving Lender not responding on or prior to such response date shall be deemed to have declined such Revolving Extension Request. The Administrative Agent shall notify the Borrower and each Revolving Lender under the applicable Existing Revolver Tranche of responses to such Revolving Extension Request. In the event that the aggregate principal amount of existing Revolving Commitments that the Extending Revolving Lenders have elected to amend pursuant to the relevant Revolving Extension Request exceeds the amount of Extended Revolving Commitments requested by the Borrower, the principal amount of Extended Revolving Commitments requested by the Borrower shall be allocated to each Extending Revolving Lender in such manner and in such amounts as may be agreed by Administrative Agent and the Borrower, in their sole discretion.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96" w:name="page97"/>
    <w:bookmarkEnd w:id="96"/>
    <w:p>
      <w:pPr>
        <w:ind w:left="984"/>
        <w:spacing w:after="0"/>
        <w:tabs>
          <w:tab w:leader="none" w:pos="13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sz w:val="20"/>
          <w:szCs w:val="20"/>
          <w:color w:val="auto"/>
        </w:rPr>
        <w:tab/>
      </w:r>
      <w:r>
        <w:rPr>
          <w:rFonts w:ascii="Arial" w:cs="Arial" w:eastAsia="Arial" w:hAnsi="Arial"/>
          <w:sz w:val="16"/>
          <w:szCs w:val="16"/>
          <w:u w:val="single" w:color="auto"/>
          <w:color w:val="auto"/>
        </w:rPr>
        <w:t>Revolving Extension Amendment</w:t>
      </w:r>
      <w:r>
        <w:rPr>
          <w:rFonts w:ascii="Arial" w:cs="Arial" w:eastAsia="Arial" w:hAnsi="Arial"/>
          <w:sz w:val="16"/>
          <w:szCs w:val="16"/>
          <w:color w:val="auto"/>
        </w:rPr>
        <w:t>. Extended Revolving Commitments shall be established pursuant to an amendment (each, 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Extension Amendment</w:t>
      </w:r>
      <w:r>
        <w:rPr>
          <w:rFonts w:ascii="Arial" w:cs="Arial" w:eastAsia="Arial" w:hAnsi="Arial"/>
          <w:sz w:val="16"/>
          <w:szCs w:val="16"/>
          <w:color w:val="auto"/>
        </w:rPr>
        <w:t>”) to this Agreement among the Borrower, the Administrative Agent and each Extending Revolving Lender, if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providing an Extended Revolving Commitment thereunder, which shall be consistent with the provisions set forth in Sections 2.21(a), (b) and (d) (but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which shall not require the consent of any other Lender). The effectiveness of any Revolving Extension Amendment shall be subject to the satisfaction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on the date thereof of each of the conditions set forth in Section 4.04 (with all references in such Sections to a Borrowing being deemed to be references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such Revolving Extension Request) and receipt of a certificate to that effect and, any other condition as may be agreed among the Borrower,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Administrative Agent and the Extending Revolving Lenders. The Administrative Agent shall promptly notify each Revolving Lender as to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effectiveness of each Revolving Extension Amendment and the matters specified therein. Each of the parties hereto hereby agrees that this Agreement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the other Loan Documents may be amended pursuant to a Revolving Extension Amendment, without the consent of any other Lender, to the extent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(but only to the extent) necessary to (i) reflect the existence and terms of the Extended Revolving Commitments incurred pursuant thereto, and (ii) effect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such other amendments to this Agreement and the other Loan Documents as may be necessary or appropriate, in the reasonable opinion of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Administrative Agent and the Borrower, to effect the provisions of this Section 2.21, in each case, in a manner consistent with the terms of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2.21 and the Required Lenders hereby expressly authorize the Administrative Agent to enter into any such Revolving Extension Amendment.</w:t>
      </w:r>
    </w:p>
    <w:p>
      <w:pPr>
        <w:spacing w:after="0" w:line="234" w:lineRule="exact"/>
        <w:rPr>
          <w:sz w:val="20"/>
          <w:szCs w:val="20"/>
          <w:color w:val="auto"/>
        </w:rPr>
      </w:pPr>
    </w:p>
    <w:p>
      <w:pPr>
        <w:ind w:left="4" w:right="120" w:firstLine="987"/>
        <w:spacing w:after="0" w:line="283" w:lineRule="auto"/>
        <w:tabs>
          <w:tab w:leader="none" w:pos="1385"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Terms of Extended Revolving Commitments</w:t>
      </w:r>
      <w:r>
        <w:rPr>
          <w:rFonts w:ascii="Arial" w:cs="Arial" w:eastAsia="Arial" w:hAnsi="Arial"/>
          <w:sz w:val="16"/>
          <w:szCs w:val="16"/>
          <w:color w:val="auto"/>
        </w:rPr>
        <w:t>. Except as expressly provided herein, all Extended Revolving Commitments effected pursuant to any Revolving Extension Request and Revolving Extension Amendment shall be subject to the same terms (including borrowing terms, interest terms and payment terms), and shall be subject to the same conditions as the then existing Revolving Commitments (it being understood that customary arrangement or commitment fees payable to one or more Arrangers (or their Affiliates) or one or more Extending Revolving Lenders, as the case may be, may be different than those paid with respect to the existing Revolving Lenders under the then existing Revolving Commitments on or prior to the Closing Date or with respect to any other Extending Revolving Lenders in connection with any other Extended Revolving Commitments effected pursuant to this Section 2.21); provided, however, that at the election of the Borrower (in consultation with the Administrative Agent), the Borrower may offer to effect Extended Revolving Commitments with (i) interest and fees at different rates applicable solely with respect to such Extended Revolving Commitments (and related outstandings), which may take effect as of the date of the Revolving Extension Amendment, and</w:t>
      </w:r>
    </w:p>
    <w:p>
      <w:pPr>
        <w:spacing w:after="0" w:line="5" w:lineRule="exact"/>
        <w:rPr>
          <w:rFonts w:ascii="Arial" w:cs="Arial" w:eastAsia="Arial" w:hAnsi="Arial"/>
          <w:sz w:val="16"/>
          <w:szCs w:val="16"/>
          <w:color w:val="auto"/>
        </w:rPr>
      </w:pPr>
    </w:p>
    <w:p>
      <w:pPr>
        <w:ind w:left="4" w:right="300" w:hanging="4"/>
        <w:spacing w:after="0" w:line="251" w:lineRule="auto"/>
        <w:tabs>
          <w:tab w:leader="none" w:pos="26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other covenants and terms, which in the case of this clause (ii), apply to any period after the Latest Maturity Date that is in effect on the effective date of the Revolving Extension Amendment related thereto (immediately prior to the establishment of such Extended Revolving Commitments). After giving effect to any Extended Revolving Commitment, all borrowings under the Revolving Commitments (including any such Extended Revolving Commitments) and repayments thereunder shall be made on a pro rata basis (except for (x) any payments of interest and fees at different rates on any Revolving Extension Series (and related Loans thereunder) and (y) repayments required upon the applicable Revolving Credit Maturity Date of other Revolving Commitments). If a Revolving Extension Amendment has become effective hereunder, not later than the fifth Business Day prior to the Existing Maturity Date the Borrower shall make prepayments of Revolving Loans and shall Cash Collateralize Letters of Credit, such that, after</w:t>
      </w:r>
    </w:p>
    <w:p>
      <w:pPr>
        <w:spacing w:after="0" w:line="1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4"/>
          </w:cols>
          <w:pgMar w:left="436" w:top="274" w:right="479" w:bottom="1440" w:gutter="0" w:footer="0" w:header="0"/>
        </w:sectPr>
      </w:pPr>
    </w:p>
    <w:bookmarkStart w:id="97" w:name="page98"/>
    <w:bookmarkEnd w:id="97"/>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giving effect to such prepayments and such provision of cash collateral, the aggregate Revolving Credit Exposure as of such date will not exceed the aggregate Extended Revolving Commitments of the Extended Revolving Lenders extended pursuant to this Section 2.21 (and the Borrower shall not be permitted thereafter to request any Revolving Loan or any issuance, amendment, renewal or extension of a Letter of Credit if, after giving effect thereto, the aggregate Revolving Credit Exposure would exceed the aggregate amount of the Extended Revolving Commitments then in effect).</w:t>
      </w:r>
    </w:p>
    <w:p>
      <w:pPr>
        <w:spacing w:after="0" w:line="157" w:lineRule="exact"/>
        <w:rPr>
          <w:sz w:val="20"/>
          <w:szCs w:val="20"/>
          <w:color w:val="auto"/>
        </w:rPr>
      </w:pPr>
    </w:p>
    <w:p>
      <w:pPr>
        <w:ind w:right="100" w:firstLine="987"/>
        <w:spacing w:after="0" w:line="301" w:lineRule="auto"/>
        <w:tabs>
          <w:tab w:leader="none" w:pos="1371"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Revolving Extension Series</w:t>
      </w:r>
      <w:r>
        <w:rPr>
          <w:rFonts w:ascii="Arial" w:cs="Arial" w:eastAsia="Arial" w:hAnsi="Arial"/>
          <w:sz w:val="16"/>
          <w:szCs w:val="16"/>
          <w:color w:val="auto"/>
        </w:rPr>
        <w:t>. Any Extended Revolving Commitments effected pursuant to a Revolving Extension Request shall be designated a series (each, a “</w:t>
      </w:r>
      <w:r>
        <w:rPr>
          <w:rFonts w:ascii="Arial" w:cs="Arial" w:eastAsia="Arial" w:hAnsi="Arial"/>
          <w:sz w:val="16"/>
          <w:szCs w:val="16"/>
          <w:u w:val="single" w:color="auto"/>
          <w:color w:val="auto"/>
        </w:rPr>
        <w:t>Revolving Extension Series</w:t>
      </w:r>
      <w:r>
        <w:rPr>
          <w:rFonts w:ascii="Arial" w:cs="Arial" w:eastAsia="Arial" w:hAnsi="Arial"/>
          <w:sz w:val="16"/>
          <w:szCs w:val="16"/>
          <w:color w:val="auto"/>
        </w:rPr>
        <w:t>”) of Extended Revolving Commitments for all purposes of this Agreement; provided that any Extended Revolving Commitments effected from an Existing Revolver Tranche may, to the extent provided in the applicable Revolving Extension Amendment, be designated as an increase in any previously established Revolving Extension Series with respect to such Existing Revolver Tranche.</w:t>
      </w:r>
    </w:p>
    <w:p>
      <w:pPr>
        <w:spacing w:after="0" w:line="2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6"/>
          <w:szCs w:val="16"/>
          <w:color w:val="auto"/>
        </w:rPr>
        <w:t>Defaulting Lender.</w:t>
      </w:r>
    </w:p>
    <w:p>
      <w:pPr>
        <w:spacing w:after="0" w:line="117" w:lineRule="exact"/>
        <w:rPr>
          <w:sz w:val="20"/>
          <w:szCs w:val="20"/>
          <w:color w:val="auto"/>
        </w:rPr>
      </w:pPr>
    </w:p>
    <w:p>
      <w:pPr>
        <w:ind w:right="320" w:firstLine="987"/>
        <w:spacing w:after="0" w:line="342" w:lineRule="auto"/>
        <w:tabs>
          <w:tab w:leader="none" w:pos="1371"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23" w:lineRule="exact"/>
        <w:rPr>
          <w:rFonts w:ascii="Arial" w:cs="Arial" w:eastAsia="Arial" w:hAnsi="Arial"/>
          <w:sz w:val="16"/>
          <w:szCs w:val="16"/>
          <w:color w:val="auto"/>
        </w:rPr>
      </w:pPr>
    </w:p>
    <w:p>
      <w:pPr>
        <w:ind w:firstLine="1428"/>
        <w:spacing w:after="0" w:line="267" w:lineRule="auto"/>
        <w:tabs>
          <w:tab w:leader="none" w:pos="1827"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on a pro rata basis of any amounts owing by such Defaulting Lender to any Issuing Bank or Swingline Lender 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Cash Collateralize the Issuing Banks’ L/C Exposure with respect to such Defaulting Lender in accordance with Section 2.05(g);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Section 2.05(g);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the Issuing Banks or Swingline Lenders as a result of any judgment of a court of competent jurisdiction obtained by any Lender, the Issuing Banks or Swingline Lenders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so long as no Default or Event of Default exists, to the payment of any amounts owing to the Borrower as a result of any judgment of a court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4" w:right="499" w:bottom="1440" w:gutter="0" w:footer="0" w:header="0"/>
        </w:sectPr>
      </w:pPr>
    </w:p>
    <w:bookmarkStart w:id="98" w:name="page99"/>
    <w:bookmarkEnd w:id="9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the principal amount of any Loans or L/C Disbursements in respect of which such Defaulting Lender has not fully funded its appropriate share, and (y) such Loans were made or the related Letters of Credit were issued at a time when the conditions set forth in Section 4.02, Section 4.03 and/or Section 4.04, as applicable,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Disbursements and Swingline Loans are held by the Lenders pro rata in accordance with the Commitments without giving effect to Section 2.22(a)(ii). Any payments, prepayments or other amounts paid or payable to a Defaulting Lender that are applied (or held) to pay amounts owed by a Defaulting Lender or to post Cash Collateral pursuant to this Section 2.22(a)(i) shall be deemed paid to and redirected by such Defaulting Lender, and each Lender irrevocably consents hereto.</w:t>
      </w:r>
    </w:p>
    <w:p>
      <w:pPr>
        <w:spacing w:after="0" w:line="165" w:lineRule="exact"/>
        <w:rPr>
          <w:sz w:val="20"/>
          <w:szCs w:val="20"/>
          <w:color w:val="auto"/>
        </w:rPr>
      </w:pPr>
    </w:p>
    <w:p>
      <w:pPr>
        <w:ind w:right="60" w:firstLine="1428"/>
        <w:spacing w:after="0" w:line="254" w:lineRule="auto"/>
        <w:tabs>
          <w:tab w:leader="none" w:pos="1877"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All or any part of such Defaulting Lender’s participation in L/C Disbursements and Swingline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Revolving Commitment. Subject to Section 9.20,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4" w:lineRule="exact"/>
        <w:rPr>
          <w:rFonts w:ascii="Arial" w:cs="Arial" w:eastAsia="Arial" w:hAnsi="Arial"/>
          <w:sz w:val="18"/>
          <w:szCs w:val="18"/>
          <w:color w:val="auto"/>
        </w:rPr>
      </w:pPr>
    </w:p>
    <w:p>
      <w:pPr>
        <w:ind w:right="20" w:firstLine="1428"/>
        <w:spacing w:after="0" w:line="259" w:lineRule="auto"/>
        <w:tabs>
          <w:tab w:leader="none" w:pos="1927"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If the reallocation described in Section 2.22(a)(ii) above cannot, or can only partially, be effected, the Borrower shall, without prejudice to any right or remedy available to it hereunder or under law, (x) first, prepay Swingline Loans in an amount equal to the Swingline Lenders’ Swingline Exposure and (y) second, Cash Collateralize the Issuing Banks’ L/C Exposure in accordance with the procedures set forth in Section 2.05(g).</w:t>
      </w:r>
    </w:p>
    <w:p>
      <w:pPr>
        <w:spacing w:after="0" w:line="186" w:lineRule="exact"/>
        <w:rPr>
          <w:rFonts w:ascii="Arial" w:cs="Arial" w:eastAsia="Arial" w:hAnsi="Arial"/>
          <w:sz w:val="18"/>
          <w:szCs w:val="18"/>
          <w:color w:val="auto"/>
        </w:rPr>
      </w:pPr>
    </w:p>
    <w:p>
      <w:pPr>
        <w:ind w:firstLine="987"/>
        <w:spacing w:after="0" w:line="269" w:lineRule="auto"/>
        <w:tabs>
          <w:tab w:leader="none" w:pos="1381"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and each Swingline Lender and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Commitments (without giving effect to Section 2.22(a)(ii)),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99" w:name="page100"/>
    <w:bookmarkEnd w:id="99"/>
    <w:p>
      <w:pPr>
        <w:ind w:right="40" w:firstLine="987"/>
        <w:spacing w:after="0" w:line="257" w:lineRule="auto"/>
        <w:tabs>
          <w:tab w:leader="none" w:pos="137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New Swingline Loans/Letters of Credit</w:t>
      </w:r>
      <w:r>
        <w:rPr>
          <w:rFonts w:ascii="Arial" w:cs="Arial" w:eastAsia="Arial" w:hAnsi="Arial"/>
          <w:sz w:val="18"/>
          <w:szCs w:val="18"/>
          <w:color w:val="auto"/>
        </w:rPr>
        <w:t>. So long as any Lender is a Defaulting Lender, the Swingline Lender shall not be required to fund any Swingline Loan and no Issuing Bank shall be required to issue, amend or increase any Letter of Credit, unless it is satisfied that, after giving effect to such Swingline Loan or Letter of Credit and the reallocation of all Defaulting Lenders’ participation therein pursuant to Section 2.22(a)(ii), the aggregate Revolving Credit Exposure of all non-Defaulting Lenders does not exceed the aggregate Revolving Commitments of all non-Defaulting Lenders.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The Borrower represents and warrants to the Administrative Agent, the Lenders and the Issuing Banks that (x) as of the Effective Date, the Specified Representations are true and correct in all material respects (except that any Specified Representation that is qualified by “materiality”, “material adverse effect” or a similar term shall be true and correct in all respects) and (y) (a) as of the Closing Date, after giving effect to the Transactions, (b) immediately following consummation of the Combination, after giving effect to the Combination Transactions and (c) except as to representations and warranties made as of a date certain, as of the date such representations and warranties are deemed to be made under Article IV of this Agreement (it being understood, in each case in the foregoing clauses (x) and (y), that no representations or warranties relating to the Mylan Business shall be made prior to the consummation of the Combination Transactions), that:</w:t>
      </w:r>
    </w:p>
    <w:p>
      <w:pPr>
        <w:spacing w:after="0" w:line="17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SECTION 3.01 Organization; Powers; Subsidiaries. The Borrower and its Material Subsidiaries are duly organized, validly existing and in good standing (to the extent such concept is applicable in the relevant jurisdiction) under the laws of the jurisdiction of its organization, have all requisite power and authority to carry on their respective business as now conducted and, except where the failure to do so, individually or in the aggregate, would not reasonably be expected to result in a Material Adverse Effect, are qualified to do business in, and are in good standing (to the extent such concept is applicable) in, every jurisdiction where such qualification is required. All of the outstanding shares of capital stock and other equity interests on the Closing Date, to the extent owned by the Borrower or any Subsidiary, of each Material Subsidiary are validly issued and outstanding and fully paid and nonassessable (if applicable) and all such shares and other equity interests are owned, beneficially and of record, by the Borrower or such other Subsidiary on the Closing Date free and clear of all Liens, other than Liens permitted under Section 6.02; provided that any untruth, misstatement or inaccuracy of the foregoing representation in this sentence shall only be deemed a breach of such representation to the extent such untruth, misstatement or inaccuracy is material to the interests of the Lenders. As of the Closing Date, there are no outstanding commitments or other obligations of the Borrower or any Subsidiary to issue, and no options, warrants or other rights of any Person other than the Borrower or any Subsidiary to acquire, any shares of any class of capital stock or other equity interests of any Material Subsidiary, except as disclosed on Schedule 3.01.</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40" w:top="274" w:right="499" w:bottom="1440" w:gutter="0" w:footer="0" w:header="0"/>
        </w:sectPr>
      </w:pPr>
    </w:p>
    <w:bookmarkStart w:id="100" w:name="page101"/>
    <w:bookmarkEnd w:id="100"/>
    <w:p>
      <w:pPr>
        <w:ind w:right="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3.02 Authorization; Enforceability. The Transactions are within each Loan Party’s corporate, limited liability company or partnership powers and have been duly authorized by all necessary corporate or other organizational and, if required, stockholder action. The Loan Documents have been duly executed and delivered by each Loan Party party thereto and constitute a legal, valid and binding obligation of each Loan Party party thereto, enforceable against such Loan Party in accordance with their terms, subject to applicable bankruptcy, insolvency, reorganization, moratorium or other Debtor Relief Laws and subject to general principles of equity, regardless of whether considered in a proceeding in equity or at law.</w:t>
      </w:r>
    </w:p>
    <w:p>
      <w:pPr>
        <w:spacing w:after="0" w:line="161"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SECTION 3.03 Governmental Approvals; No Conflicts. The Transactions (a) do not require any consent or approval of, registration or filing with, or any other action by, any Governmental Authority, except for (A) the approvals, consents, registrations, actions and filings which have been duly obtained, taken, given or made and are in full force and effect and (B) those approvals, consents, registrations or other actions or filings, the failure of which to obtain or make would not reasonably be expected to have a Material Adverse Effect, (b) will not violate (i) any applicable law or regulation or order of any Governmental Authority or (ii) the charter, by-laws or other organizational documents of any Loan Party, (c) will not violate or result in a default under any indenture, agreement or other instrument binding upon any Loan Party or its assets, or give rise to a right thereunder to require any payment to be made by any Loan Party, and (d) will not result in the creation or imposition of any Lien on any material asset of any Loan Party (other than pursuant to the Loan Documents and Liens permitted by Section 6.02); except with respect to any violation or default referred to in clause (b)(i) or (c) above, to the extent that such violation or default would not reasonably be expected to have a Material Adverse Effect.</w:t>
      </w:r>
    </w:p>
    <w:p>
      <w:pPr>
        <w:spacing w:after="0" w:line="27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Financial Statements; Financial Condition; No Material Adverse Change.</w:t>
      </w:r>
    </w:p>
    <w:p>
      <w:pPr>
        <w:spacing w:after="0" w:line="117" w:lineRule="exact"/>
        <w:rPr>
          <w:sz w:val="20"/>
          <w:szCs w:val="20"/>
          <w:color w:val="auto"/>
        </w:rPr>
      </w:pPr>
    </w:p>
    <w:p>
      <w:pPr>
        <w:ind w:right="20" w:firstLine="987"/>
        <w:spacing w:after="0" w:line="293" w:lineRule="auto"/>
        <w:tabs>
          <w:tab w:leader="none" w:pos="136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Borrower has heretofore furnished to the Lenders (x) the combined balance sheets as of December 31, 2018 and December 31, 2019 of the Upjohn Business and combined statements of income, equity and cash flows of the Upjohn Business for each of the three fiscal years ended December 31, 2017, December 31, 2018 and December 31, 2019, in each case, reported on by KPMG LLP and (y) the unaudited financial statements as of, and for the fiscal quarter ended, March 29, 2020 and the other unaudited financial statements required to be delivered under Section 4.02(e), in each case certified by its chief financial officer which financial statements present fairly, in all material respects, the consolidated financial position and results of operations and cash flows of the Upjohn Business as of such dates and for such periods in accordance with GAAP.</w:t>
      </w:r>
    </w:p>
    <w:p>
      <w:pPr>
        <w:spacing w:after="0" w:line="164" w:lineRule="exact"/>
        <w:rPr>
          <w:rFonts w:ascii="Arial" w:cs="Arial" w:eastAsia="Arial" w:hAnsi="Arial"/>
          <w:sz w:val="16"/>
          <w:szCs w:val="16"/>
          <w:color w:val="auto"/>
        </w:rPr>
      </w:pPr>
    </w:p>
    <w:p>
      <w:pPr>
        <w:ind w:firstLine="987"/>
        <w:spacing w:after="0" w:line="293" w:lineRule="auto"/>
        <w:tabs>
          <w:tab w:leader="none" w:pos="138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3.04(b)</w:t>
      </w:r>
      <w:r>
        <w:rPr>
          <w:rFonts w:ascii="Arial" w:cs="Arial" w:eastAsia="Arial" w:hAnsi="Arial"/>
          <w:sz w:val="16"/>
          <w:szCs w:val="16"/>
          <w:color w:val="auto"/>
        </w:rPr>
        <w:t xml:space="preserve">, since December 31, 2019, there has been no material adverse change in the business, assets, properties or financial condition of the Borrower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period from the Effective Date through December 31, 2020, the impacts of the novel coronavirus COVID-19 pandemic on the business, assets, properties or financial condition of the Borrower and its Subsidiaries, taken as a whole, (i) that occurred prior to the Effective Date and that were publicly disclosed by the Borrower in its securities filings or disclosed to the Administrative Agent and the Lenders in writing prior to the Effective Date or (ii) that were reasonably foreseeable (in consequence and duration) as of the Effective Date in light of any event, development or circumstance described in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274" w:right="479" w:bottom="1440" w:gutter="0" w:footer="0" w:header="0"/>
        </w:sectPr>
      </w:pPr>
    </w:p>
    <w:bookmarkStart w:id="101" w:name="page102"/>
    <w:bookmarkEnd w:id="101"/>
    <w:p>
      <w:pPr>
        <w:ind w:left="4"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clause (i)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impacts described in this clause (ii) do not have a disproportionate impact on the Borrower and its Subsidiaries when compared to other comparably situated companies), will, in each case, be disregarded.</w:t>
      </w:r>
    </w:p>
    <w:p>
      <w:pPr>
        <w:spacing w:after="0" w:line="27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color w:val="auto"/>
        </w:rPr>
        <w:t>Properties.</w:t>
      </w:r>
    </w:p>
    <w:p>
      <w:pPr>
        <w:spacing w:after="0" w:line="117" w:lineRule="exact"/>
        <w:rPr>
          <w:sz w:val="20"/>
          <w:szCs w:val="20"/>
          <w:color w:val="auto"/>
        </w:rPr>
      </w:pPr>
    </w:p>
    <w:p>
      <w:pPr>
        <w:ind w:left="4" w:right="40" w:firstLine="987"/>
        <w:spacing w:after="0" w:line="259" w:lineRule="auto"/>
        <w:tabs>
          <w:tab w:leader="none" w:pos="13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Loan Party has good and marketable title to, or valid leasehold interests in, all its material real and personal property material to its business, except for minor defects in title that do not interfere with its ability to conduct its business as currently conducted or to utilize such properties for their intended purposes and except where the failure to have such title or interest would not reasonably be expected to have a Material Adverse Effect.</w:t>
      </w:r>
    </w:p>
    <w:p>
      <w:pPr>
        <w:spacing w:after="0" w:line="186" w:lineRule="exact"/>
        <w:rPr>
          <w:rFonts w:ascii="Arial" w:cs="Arial" w:eastAsia="Arial" w:hAnsi="Arial"/>
          <w:sz w:val="18"/>
          <w:szCs w:val="18"/>
          <w:color w:val="auto"/>
        </w:rPr>
      </w:pPr>
    </w:p>
    <w:p>
      <w:pPr>
        <w:jc w:val="both"/>
        <w:ind w:left="4" w:right="140" w:firstLine="987"/>
        <w:spacing w:after="0" w:line="279" w:lineRule="auto"/>
        <w:tabs>
          <w:tab w:leader="none" w:pos="138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Borrower and its Subsidiaries own, or are licensed or possesses the right to use, all trademarks, tradenames, copyrights, patents and other intellectual property material to the operation of the business of the Borrower and its Subsidiaries, taken as a whole, and, to the knowledge of the Borrower, the use thereof by the Borrower and its Subsidiaries does not infringe upon the rights of any other Person, except for any such infringements that, individually or in the aggregate, would not reasonably be expected to result in a Material Adverse Effect.</w:t>
      </w:r>
    </w:p>
    <w:p>
      <w:pPr>
        <w:spacing w:after="0" w:line="171"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Litigation and Environmental Matters.</w:t>
      </w:r>
    </w:p>
    <w:p>
      <w:pPr>
        <w:spacing w:after="0" w:line="117" w:lineRule="exact"/>
        <w:rPr>
          <w:sz w:val="20"/>
          <w:szCs w:val="20"/>
          <w:color w:val="auto"/>
        </w:rPr>
      </w:pPr>
    </w:p>
    <w:p>
      <w:pPr>
        <w:ind w:left="4" w:firstLine="987"/>
        <w:spacing w:after="0" w:line="275" w:lineRule="auto"/>
        <w:tabs>
          <w:tab w:leader="none" w:pos="1372"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There are no actions, suits or proceedings by or before any arbitrator or Governmental Authority pending against or, to the knowledge of the Borrower, threatened against or affecting the Borrower or any of its Subsidiaries as to which there is a reasonable possibility of an adverse determination that would reasonably be expected, individually or in the aggregate, to result in a Material Adverse Effect (other than the Disclosed Matters). There are no labor controversies pending against or, to the knowledge of the Borrower, threatened against or affecting the Borrower or any of its Subsidiaries which would reasonably be expected, individually or in the aggregate, to result in a Material Adverse Effect.</w:t>
      </w:r>
    </w:p>
    <w:p>
      <w:pPr>
        <w:spacing w:after="0" w:line="176" w:lineRule="exact"/>
        <w:rPr>
          <w:rFonts w:ascii="Arial" w:cs="Arial" w:eastAsia="Arial" w:hAnsi="Arial"/>
          <w:sz w:val="17"/>
          <w:szCs w:val="17"/>
          <w:color w:val="auto"/>
        </w:rPr>
      </w:pPr>
    </w:p>
    <w:p>
      <w:pPr>
        <w:ind w:left="4" w:right="460" w:firstLine="987"/>
        <w:spacing w:after="0" w:line="287" w:lineRule="auto"/>
        <w:tabs>
          <w:tab w:leader="none" w:pos="138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Except for the Disclosed Matters and except with respect to any other matters that, individually or in the aggregate, would not reasonably be expected to result in a Material Adverse Effect, neither the Borrower nor any of its Subsidiaries (i) has failed to comply with any applicable Environmental Law or to obtain, maintain or comply with any permit, license or other approval required under any Environmental Law,</w:t>
      </w:r>
    </w:p>
    <w:p>
      <w:pPr>
        <w:spacing w:after="0" w:line="2" w:lineRule="exact"/>
        <w:rPr>
          <w:rFonts w:ascii="Arial" w:cs="Arial" w:eastAsia="Arial" w:hAnsi="Arial"/>
          <w:sz w:val="16"/>
          <w:szCs w:val="16"/>
          <w:color w:val="auto"/>
        </w:rPr>
      </w:pPr>
    </w:p>
    <w:p>
      <w:pPr>
        <w:ind w:left="4" w:right="500" w:hanging="4"/>
        <w:spacing w:after="0" w:line="260" w:lineRule="auto"/>
        <w:tabs>
          <w:tab w:leader="none" w:pos="26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has become subject to any pending or known Environmental Liability, (iii) has received notice of any claim with respect to any Environmental Liability or (iv) knows of any basis for any Environmental Liability.</w:t>
      </w:r>
    </w:p>
    <w:p>
      <w:pPr>
        <w:spacing w:after="0" w:line="18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SECTION 3.07 Compliance with Laws and Agreements. Except as set forth on </w:t>
      </w:r>
      <w:r>
        <w:rPr>
          <w:rFonts w:ascii="Arial" w:cs="Arial" w:eastAsia="Arial" w:hAnsi="Arial"/>
          <w:sz w:val="18"/>
          <w:szCs w:val="18"/>
          <w:u w:val="single" w:color="auto"/>
          <w:color w:val="auto"/>
        </w:rPr>
        <w:t>Schedule 3.07</w:t>
      </w:r>
      <w:r>
        <w:rPr>
          <w:rFonts w:ascii="Arial" w:cs="Arial" w:eastAsia="Arial" w:hAnsi="Arial"/>
          <w:sz w:val="18"/>
          <w:szCs w:val="18"/>
          <w:color w:val="auto"/>
        </w:rPr>
        <w:t>, each of the Borrower and its Subsidiaries is in compliance with all laws, regulations and orders of any Governmental Authority applicable to it or its property and all agreements and other instruments (excluding agreements governing Indebtedness) binding upon it or its property, except where the failure to do so, individually or in the aggregate, would not reasonably be expected to result in a Material Adverse Effect.</w:t>
      </w:r>
    </w:p>
    <w:p>
      <w:pPr>
        <w:spacing w:after="0" w:line="18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SECTION 3.08 Investment Company Status. Neither the Borrower nor any other Loan Party is required to register as an “investment company” as defined in the Investment Company Act of 1940.</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4"/>
          </w:cols>
          <w:pgMar w:left="436" w:top="274" w:right="439" w:bottom="1440" w:gutter="0" w:footer="0" w:header="0"/>
        </w:sectPr>
      </w:pPr>
    </w:p>
    <w:bookmarkStart w:id="102" w:name="page103"/>
    <w:bookmarkEnd w:id="102"/>
    <w:p>
      <w:pPr>
        <w:ind w:left="4" w:right="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3.09 Taxes. Each of the Borrower and its Subsidiaries has filed or caused to be filed all Tax returns and reports required to have been filed and has paid or caused to be paid all Taxes (including any Taxes in the capacity of a withholding agent) required to have been paid by it, except</w:t>
      </w:r>
    </w:p>
    <w:p>
      <w:pPr>
        <w:jc w:val="both"/>
        <w:ind w:left="4" w:right="200" w:hanging="4"/>
        <w:spacing w:after="0" w:line="255"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Taxes that are being contested in good faith by appropriate proceedings and for which the Borrower or such Subsidiary, as applicable, has set aside on its books reserves to the extent required by GAAP or (b) to the extent that the failure to do so would not reasonably be expected, individually or in the aggregate, to result in a Material Adverse Effect.</w:t>
      </w:r>
    </w:p>
    <w:p>
      <w:pPr>
        <w:spacing w:after="0" w:line="190"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SECTION 3.10 Solvency. (a) On the Closing Date after giving effect to the Transactions, the Contribution, the Borrower Cash Distribution and the Distribution (but prior to the Combination), the Borrower and its Subsidiaries, on a consolidated basis, are Solvent and (b) from and after, as applicable, consummation of the Combination, after giving effect to the Combination Transactions, the Borrower and its Subsidiaries, on a consolidated basis, are Solvent.</w:t>
      </w:r>
    </w:p>
    <w:p>
      <w:pPr>
        <w:spacing w:after="0" w:line="187" w:lineRule="exact"/>
        <w:rPr>
          <w:sz w:val="20"/>
          <w:szCs w:val="20"/>
          <w:color w:val="auto"/>
        </w:rPr>
      </w:pPr>
    </w:p>
    <w:p>
      <w:pPr>
        <w:ind w:left="444"/>
        <w:spacing w:after="0"/>
        <w:tabs>
          <w:tab w:leader="none" w:pos="1704"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SECTION 3.12 Disclosure. None of the reports, financial statements, certificates or other written information (excluding any financial projections or pro forma financial information and information of a general economic or general industry nature) furnished by or on behalf of the Borrower to the Administrative Agent or any Lender in connection with the negotiation of this Agreement or delivered hereunder (as modified or supplemented by other information so furnished), when taken as a whole and when taken together with the Borrower’s SEC filings at such time, contains as of the date such statement, information, document or certificate was so furnished any material misstatement of fact or omits to state any material fact necessary to make the statements therein, in the light of the circumstances under which they were made, not misleading. The projections and pro forma financial information contained in the materials referenced above have been prepared in good faith based upon assumptions believed by management of the Borrower to be reasonable at the time made, it being recognized by the Lenders that such financial information is not to be viewed as fact and that actual results during the period or periods covered by such financial information may differ from the projected results set forth therein by a material amount.</w:t>
      </w:r>
    </w:p>
    <w:p>
      <w:pPr>
        <w:spacing w:after="0" w:line="19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SECTION 3.13 Federal Reserve Regulations. No part of the proceeds of any Loan have been used or will be used, whether directly or indirectly, for any purpose that entails a violation of any of the Regulations of the Board, including Regulations T, U and X.</w:t>
      </w:r>
    </w:p>
    <w:p>
      <w:pPr>
        <w:spacing w:after="0" w:line="170"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SECTION 3.14 PATRIOT Act. Each of the Loan Parties and each of their respective Subsidiaries are in compliance, in all material respects, with the Act. No part of the proceeds of the Loans will be used, directly or, to the knowledge of the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4"/>
          </w:cols>
          <w:pgMar w:left="436" w:top="274" w:right="459" w:bottom="1440" w:gutter="0" w:footer="0" w:header="0"/>
        </w:sectPr>
      </w:pPr>
    </w:p>
    <w:bookmarkStart w:id="103" w:name="page104"/>
    <w:bookmarkEnd w:id="103"/>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3.15</w:t>
      </w:r>
      <w:r>
        <w:rPr>
          <w:sz w:val="20"/>
          <w:szCs w:val="20"/>
          <w:color w:val="auto"/>
        </w:rPr>
        <w:tab/>
      </w:r>
      <w:r>
        <w:rPr>
          <w:rFonts w:ascii="Arial" w:cs="Arial" w:eastAsia="Arial" w:hAnsi="Arial"/>
          <w:sz w:val="16"/>
          <w:szCs w:val="16"/>
          <w:color w:val="auto"/>
        </w:rPr>
        <w:t>OFAC.</w:t>
      </w:r>
    </w:p>
    <w:p>
      <w:pPr>
        <w:spacing w:after="0" w:line="117" w:lineRule="exact"/>
        <w:rPr>
          <w:sz w:val="20"/>
          <w:szCs w:val="20"/>
          <w:color w:val="auto"/>
        </w:rPr>
      </w:pPr>
    </w:p>
    <w:p>
      <w:pPr>
        <w:ind w:right="180" w:firstLine="987"/>
        <w:spacing w:after="0" w:line="272" w:lineRule="auto"/>
        <w:tabs>
          <w:tab w:leader="none" w:pos="137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Neither the Borrower, nor any Subsidiary is (i) a Person whose name appears on the list of Specially Designated Nationals and Blocked Persons published by OFAC (an “</w:t>
      </w:r>
      <w:r>
        <w:rPr>
          <w:rFonts w:ascii="Arial" w:cs="Arial" w:eastAsia="Arial" w:hAnsi="Arial"/>
          <w:sz w:val="17"/>
          <w:szCs w:val="17"/>
          <w:u w:val="single" w:color="auto"/>
          <w:color w:val="auto"/>
        </w:rPr>
        <w:t>OFAC Listed Person</w:t>
      </w:r>
      <w:r>
        <w:rPr>
          <w:rFonts w:ascii="Arial" w:cs="Arial" w:eastAsia="Arial" w:hAnsi="Arial"/>
          <w:sz w:val="17"/>
          <w:szCs w:val="17"/>
          <w:color w:val="auto"/>
        </w:rPr>
        <w:t>”) or a Person sanctioned by the United States of America pursuant to any of the regulations administered or enforced by OFAC (31 C.F.R., Subtitle B, Chapter V, as amended) or a Person whose name appears on any economic sanctions list administered by the European Union or Her Majesty’s Treasury (an “</w:t>
      </w:r>
      <w:r>
        <w:rPr>
          <w:rFonts w:ascii="Arial" w:cs="Arial" w:eastAsia="Arial" w:hAnsi="Arial"/>
          <w:sz w:val="17"/>
          <w:szCs w:val="17"/>
          <w:u w:val="single" w:color="auto"/>
          <w:color w:val="auto"/>
        </w:rPr>
        <w:t>EU/UK Listed Person</w:t>
      </w:r>
      <w:r>
        <w:rPr>
          <w:rFonts w:ascii="Arial" w:cs="Arial" w:eastAsia="Arial" w:hAnsi="Arial"/>
          <w:sz w:val="17"/>
          <w:szCs w:val="17"/>
          <w:color w:val="auto"/>
        </w:rPr>
        <w:t>”) or a Person that is the target of European Union or United Kingdom economic sanctions; or (ii) a department, agency or instrumentality of, or is otherwise controlled by or acting on behalf of, directly or indirectly, (x) any OFAC Listed Person or any EU/UK Listed Person, or (y) the government of a country the subject of comprehensive U.S. economic sanctions administered by OFAC (collectively, “</w:t>
      </w:r>
      <w:r>
        <w:rPr>
          <w:rFonts w:ascii="Arial" w:cs="Arial" w:eastAsia="Arial" w:hAnsi="Arial"/>
          <w:sz w:val="17"/>
          <w:szCs w:val="17"/>
          <w:u w:val="single" w:color="auto"/>
          <w:color w:val="auto"/>
        </w:rPr>
        <w:t>OFAC Countries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140" w:firstLine="987"/>
        <w:spacing w:after="0" w:line="254" w:lineRule="auto"/>
        <w:tabs>
          <w:tab w:leader="none" w:pos="13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represents and covenants that no Loan, nor the proceeds from any Loan, has been or will be used, directly or, to the knowledge of the Borrower, indirectly, to lend, contribute, provide or has otherwise been made or will otherwise be made available for the purpose of funding any activity or business in any OFAC Countries or for the purpose of funding any prohibited activity or business of any Person located, organized or residing in any OFAC Country or who is an OFAC Listed Person or an EU/UK Listed Person, absent valid and effective license and permits issued by the government of the United States or otherwise in accordance with applicable Laws, or in any other manner that will result in any material violation by any Lender, any Arranger or the Administrative Agent of the sanctions administered or enforced by OFAC (31 C.F.R., Subtitle B, Chapter V, as amended).</w:t>
      </w:r>
    </w:p>
    <w:p>
      <w:pPr>
        <w:spacing w:after="0" w:line="19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SECTION 3.16 Beneficial Ownership Certification. The information included in the Beneficial Ownership Certification, if applicable, is true and correct in all respects, as of the date such Beneficial Ownership Certification is delivered.</w:t>
      </w:r>
    </w:p>
    <w:p>
      <w:pPr>
        <w:spacing w:after="0" w:line="17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color w:val="auto"/>
        </w:rPr>
        <w:t>Representations as to Foreign Obligors. Each Foreign Obligor represents and warrants to the Administrative Agent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211" w:lineRule="exact"/>
        <w:rPr>
          <w:sz w:val="20"/>
          <w:szCs w:val="20"/>
          <w:color w:val="auto"/>
        </w:rPr>
      </w:pPr>
    </w:p>
    <w:p>
      <w:pPr>
        <w:ind w:firstLine="987"/>
        <w:spacing w:after="0" w:line="254" w:lineRule="auto"/>
        <w:tabs>
          <w:tab w:leader="none" w:pos="137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Such Foreign Obligor is subject to civil and commercial Laws with respect to its obligations under this Agreement and the other Loan Documents to which it is a party (collectively as to such Foreign Obligor, the “Applicable Foreign Obligor Documents”), and the execution, delivery and performance by such Foreign Obligor of the Applicable Foreign Obligor Documents constitute and will constitute private and commercial acts and not public or governmental acts. Neither such Foreign Obligor nor any of its property (other than, in case of a Foreign Obligor organized under the laws of the Netherlands, assets located in the Netherlands that are destined for public service and books and records)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91" w:lineRule="exact"/>
        <w:rPr>
          <w:rFonts w:ascii="Arial" w:cs="Arial" w:eastAsia="Arial" w:hAnsi="Arial"/>
          <w:sz w:val="18"/>
          <w:szCs w:val="18"/>
          <w:color w:val="auto"/>
        </w:rPr>
      </w:pPr>
    </w:p>
    <w:p>
      <w:pPr>
        <w:jc w:val="both"/>
        <w:ind w:right="540" w:firstLine="987"/>
        <w:spacing w:after="0" w:line="263" w:lineRule="auto"/>
        <w:tabs>
          <w:tab w:leader="none" w:pos="137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4" w:name="page105"/>
    <w:bookmarkEnd w:id="10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92" w:lineRule="exact"/>
        <w:rPr>
          <w:sz w:val="20"/>
          <w:szCs w:val="20"/>
          <w:color w:val="auto"/>
        </w:rPr>
      </w:pPr>
    </w:p>
    <w:p>
      <w:pPr>
        <w:ind w:right="20" w:firstLine="987"/>
        <w:spacing w:after="0" w:line="279" w:lineRule="auto"/>
        <w:tabs>
          <w:tab w:leader="none" w:pos="136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SECTION 4.01 Conditions Precedent to Effectiveness. This Agreement shall become effective on and as of the first date on which the following conditions precedent have been satisfied:</w:t>
      </w:r>
    </w:p>
    <w:p>
      <w:pPr>
        <w:spacing w:after="0" w:line="170"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Administrative Agent (or its counsel) shall have received a counterpart of this Agreement duly executed and delivered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right="100" w:firstLine="987"/>
        <w:spacing w:after="0" w:line="277" w:lineRule="auto"/>
        <w:tabs>
          <w:tab w:leader="none" w:pos="13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total commitments for the Bridge Financing under the Bridge Financing Commitment Letter shall be reduced concurrently with the effectiveness of this Agreement by an amount equal to $1,500,000,000.</w:t>
      </w:r>
    </w:p>
    <w:p>
      <w:pPr>
        <w:spacing w:after="0" w:line="170" w:lineRule="exact"/>
        <w:rPr>
          <w:rFonts w:ascii="Arial" w:cs="Arial" w:eastAsia="Arial" w:hAnsi="Arial"/>
          <w:sz w:val="18"/>
          <w:szCs w:val="18"/>
          <w:color w:val="auto"/>
        </w:rPr>
      </w:pPr>
    </w:p>
    <w:p>
      <w:pPr>
        <w:ind w:right="20" w:firstLine="987"/>
        <w:spacing w:after="0" w:line="311" w:lineRule="auto"/>
        <w:tabs>
          <w:tab w:leader="none" w:pos="136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Specified Representations shall be true and correct in all material respects (except that any Specified Representation that is qualified by “materiality”, “material adverse effect” or a similar term shall be true and correct in all respects) as of the Effective Date. For the avoidance of doubt, no representations or warranties relating to the Mylan Business shall be made prior to the consummation of the Combination Transactions;</w:t>
      </w:r>
    </w:p>
    <w:p>
      <w:pPr>
        <w:spacing w:after="0" w:line="148" w:lineRule="exact"/>
        <w:rPr>
          <w:rFonts w:ascii="Arial" w:cs="Arial" w:eastAsia="Arial" w:hAnsi="Arial"/>
          <w:sz w:val="16"/>
          <w:szCs w:val="16"/>
          <w:color w:val="auto"/>
        </w:rPr>
      </w:pPr>
    </w:p>
    <w:p>
      <w:pPr>
        <w:ind w:right="720" w:firstLine="987"/>
        <w:spacing w:after="0" w:line="277" w:lineRule="auto"/>
        <w:tabs>
          <w:tab w:leader="none" w:pos="13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Administrative Agent shall have received the executed legal opinion letter of Cravath, Swaine &amp; Moore LLP, in a form reasonably satisfactory to the Administrative Agent;</w:t>
      </w:r>
    </w:p>
    <w:p>
      <w:pPr>
        <w:spacing w:after="0" w:line="170" w:lineRule="exact"/>
        <w:rPr>
          <w:rFonts w:ascii="Arial" w:cs="Arial" w:eastAsia="Arial" w:hAnsi="Arial"/>
          <w:sz w:val="18"/>
          <w:szCs w:val="18"/>
          <w:color w:val="auto"/>
        </w:rPr>
      </w:pPr>
    </w:p>
    <w:p>
      <w:pPr>
        <w:ind w:right="140" w:firstLine="987"/>
        <w:spacing w:after="0" w:line="263" w:lineRule="auto"/>
        <w:tabs>
          <w:tab w:leader="none" w:pos="136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customary closing documents and certificates as the Administrative Agent or its counsel may reasonably request relating to the organization, existence and good standing of the Borrower, the authorization of the Transactions and incumbency, all in form and substance reasonably satisfactory to the Administrative Agent and its counsel;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0"/>
          </w:cols>
          <w:pgMar w:left="440" w:top="274" w:right="479" w:bottom="1440" w:gutter="0" w:footer="0" w:header="0"/>
        </w:sectPr>
      </w:pPr>
    </w:p>
    <w:bookmarkStart w:id="105" w:name="page106"/>
    <w:bookmarkEnd w:id="105"/>
    <w:p>
      <w:pPr>
        <w:ind w:right="240" w:firstLine="987"/>
        <w:spacing w:after="0" w:line="259" w:lineRule="auto"/>
        <w:tabs>
          <w:tab w:leader="none" w:pos="13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shall have received at least three Business Days prior to the Effective Date all documentation and other information regarding the Borrower required by bank regulatory authorities under applicable “know-your-customer” and anti-money laundering rules and regulations, including the PATRIOT Act and the Beneficial Ownership Regulation, in each case to the extent reasonably requested at least ten Business Days prior to the Effective Date; and</w:t>
      </w:r>
    </w:p>
    <w:p>
      <w:pPr>
        <w:spacing w:after="0" w:line="186" w:lineRule="exact"/>
        <w:rPr>
          <w:rFonts w:ascii="Arial" w:cs="Arial" w:eastAsia="Arial" w:hAnsi="Arial"/>
          <w:sz w:val="18"/>
          <w:szCs w:val="18"/>
          <w:color w:val="auto"/>
        </w:rPr>
      </w:pPr>
    </w:p>
    <w:p>
      <w:pPr>
        <w:ind w:right="80" w:firstLine="987"/>
        <w:spacing w:after="0" w:line="311" w:lineRule="auto"/>
        <w:tabs>
          <w:tab w:leader="none" w:pos="137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All costs, fees, expenses (including legal fees and expenses) to the extent invoiced at least two Business Days prior to the Effective Date and the fees contemplated by the Fee Letters payable to the Arrangers, the Administrative Agent or the Lenders shall have been paid on or prior to the Effective Date, in each case, to the extent required by the Fee Letters or the Loan Documents to be paid on or prior to the Effective Date.</w:t>
      </w:r>
    </w:p>
    <w:p>
      <w:pPr>
        <w:spacing w:after="0" w:line="149"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Without limiting the generality of the provisions of the sub-clause (e)(v) of clause (c) of Article VIII,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88"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SECTION 4.02 Conditions Precedent to Closing Date. The occurrence of the Closing Date and the obligations of the Lenders to make the Loan under the Certain Funds Draw on the Closing Date are, in each case, subject to each of the following conditions being satisfied:</w:t>
      </w:r>
    </w:p>
    <w:p>
      <w:pPr>
        <w:spacing w:after="0" w:line="146" w:lineRule="exact"/>
        <w:rPr>
          <w:sz w:val="20"/>
          <w:szCs w:val="20"/>
          <w:color w:val="auto"/>
        </w:rPr>
      </w:pPr>
    </w:p>
    <w:p>
      <w:pPr>
        <w:ind w:right="100" w:firstLine="987"/>
        <w:spacing w:after="0" w:line="291" w:lineRule="auto"/>
        <w:tabs>
          <w:tab w:leader="none" w:pos="136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from a Responsible Officer of the Borrower certifying that (a) the conditions to the Combination set forth in the Business Combination Agreement (without giving effect to any modifications, consents, amendments or waivers thereto by Mylan that in each case are materially adverse to the interests of the Lenders or the Arrangers, in their capacities as such, unless the Arrangers shall have provided their written consent thereto (such consent not to be unreasonably withheld, conditioned or delayed)), in each case, other than such conditions that by their nature are to be satisfied upon the closing of such transaction, have been satisfied or waived or are expected to be satisfied and waived on the Closing Date or one Business Day thereafter and (b) the Distribution is expected to be, the Combination is expected to be and the Contribution has been or is expected to be consummated on the Closing Date or one Business Day thereafter;</w:t>
      </w:r>
    </w:p>
    <w:p>
      <w:pPr>
        <w:spacing w:after="0" w:line="166" w:lineRule="exact"/>
        <w:rPr>
          <w:rFonts w:ascii="Arial" w:cs="Arial" w:eastAsia="Arial" w:hAnsi="Arial"/>
          <w:sz w:val="16"/>
          <w:szCs w:val="16"/>
          <w:color w:val="auto"/>
        </w:rPr>
      </w:pPr>
    </w:p>
    <w:p>
      <w:pPr>
        <w:ind w:right="160" w:firstLine="987"/>
        <w:spacing w:after="0" w:line="286" w:lineRule="auto"/>
        <w:tabs>
          <w:tab w:leader="none" w:pos="137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certificate attesting to the Solvency of the Borrower and its Subsidiaries (taken as a whole) on the Closing Date after giving effect to the Transactions, the Contribution, the Borrower Cash Distribution and the Distribution (but prior to the Combination) in or substantially in the form attached as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hereto, from a Financial Officer of the Borrower;</w:t>
      </w:r>
    </w:p>
    <w:p>
      <w:pPr>
        <w:spacing w:after="0" w:line="165" w:lineRule="exact"/>
        <w:rPr>
          <w:rFonts w:ascii="Arial" w:cs="Arial" w:eastAsia="Arial" w:hAnsi="Arial"/>
          <w:sz w:val="17"/>
          <w:szCs w:val="17"/>
          <w:color w:val="auto"/>
        </w:rPr>
      </w:pPr>
    </w:p>
    <w:p>
      <w:pPr>
        <w:ind w:firstLine="987"/>
        <w:spacing w:after="0" w:line="277" w:lineRule="auto"/>
        <w:tabs>
          <w:tab w:leader="none" w:pos="136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Administrative Agent shall have received Notes executed by the Borrower in favor of each Lender requesting Notes at least three Business Days prior to the Closing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106" w:name="page107"/>
    <w:bookmarkEnd w:id="106"/>
    <w:p>
      <w:pPr>
        <w:ind w:left="4" w:right="80" w:firstLine="987"/>
        <w:spacing w:after="0" w:line="311" w:lineRule="auto"/>
        <w:tabs>
          <w:tab w:leader="none" w:pos="1375" w:val="left"/>
        </w:tabs>
        <w:numPr>
          <w:ilvl w:val="1"/>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costs, fees, expenses (including legal fees and expenses) to the extent invoiced at least two Business Days prior to the Closing Date and the fees contemplated by the Fee Letters payable to the Arrangers, the Administrative Agent or the Lenders shall have been paid on or prior to the Closing Date, in each case, to the extent required by the Fee Letters or the Loan Documents to be paid on or prior to the Closing Date;</w:t>
      </w:r>
    </w:p>
    <w:p>
      <w:pPr>
        <w:spacing w:after="0" w:line="148" w:lineRule="exact"/>
        <w:rPr>
          <w:rFonts w:ascii="Arial" w:cs="Arial" w:eastAsia="Arial" w:hAnsi="Arial"/>
          <w:sz w:val="16"/>
          <w:szCs w:val="16"/>
          <w:color w:val="auto"/>
        </w:rPr>
      </w:pPr>
    </w:p>
    <w:p>
      <w:pPr>
        <w:jc w:val="both"/>
        <w:ind w:left="4" w:right="100" w:firstLine="987"/>
        <w:spacing w:after="0" w:line="285" w:lineRule="auto"/>
        <w:tabs>
          <w:tab w:leader="none" w:pos="1372"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Administrative Agent shall have received (i) audited consolidated balance sheets of the Mylan Business for each of its two most recent fiscal years and audited consolidated statements of income and cash flows of the Mylan Business for each of its three most recent fiscal years, in each case, ended at least 60 days prior to the Closing Date and unaudited financial statements of the Mylan Business for any quarterly interim period or periods (other than the fourth fiscal quarter) ended after the date of its most recent audited financial statements (and corresponding periods of any prior year) and more than 40 days prior to the Closing Date (with respect to which independent auditors shall have performed a SAS 100 review) and</w:t>
      </w:r>
    </w:p>
    <w:p>
      <w:pPr>
        <w:spacing w:after="0" w:line="1" w:lineRule="exact"/>
        <w:rPr>
          <w:rFonts w:ascii="Arial" w:cs="Arial" w:eastAsia="Arial" w:hAnsi="Arial"/>
          <w:sz w:val="16"/>
          <w:szCs w:val="16"/>
          <w:color w:val="auto"/>
        </w:rPr>
      </w:pPr>
    </w:p>
    <w:p>
      <w:pPr>
        <w:ind w:left="4" w:right="40" w:hanging="4"/>
        <w:spacing w:after="0" w:line="287" w:lineRule="auto"/>
        <w:tabs>
          <w:tab w:leader="none" w:pos="26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audited combined balance sheets of the Upjohn Business for each of its two most recent fiscal years and audited combined statements of income and cash flows of the Upjohn Business for each of its three most recent fiscal years, in each case, ended at least 90 days prior to the Closing Date and unaudited financial statements of the Upjohn Business for any quarterly interim period or periods (other than the fourth fiscal quarter) ended after the date of its most recent audited financial statements (and corresponding periods of any prior year) and more than 90 days prior to the Closing Date (with respect to which independent auditors shall have performed a SAS 100 or equivalent review). The Administrative Agent hereby acknowledges that the public filing with the Securities and Exchange Commission under the Securities Exchange Act of 1934, as amended, of any of the foregoing financial statements will satisfy the requirements of this paragraph and hereby acknowledge receipt of the financial statements of the Upjohn Business as of, and for (i) the three fiscal years ended December 31, 2019 and (ii) the fiscal quarter ended March 29, 2020;</w:t>
      </w:r>
    </w:p>
    <w:p>
      <w:pPr>
        <w:spacing w:after="0" w:line="169" w:lineRule="exact"/>
        <w:rPr>
          <w:rFonts w:ascii="Arial" w:cs="Arial" w:eastAsia="Arial" w:hAnsi="Arial"/>
          <w:sz w:val="16"/>
          <w:szCs w:val="16"/>
          <w:color w:val="auto"/>
        </w:rPr>
      </w:pPr>
    </w:p>
    <w:p>
      <w:pPr>
        <w:ind w:left="4" w:firstLine="987"/>
        <w:spacing w:after="0" w:line="272" w:lineRule="auto"/>
        <w:tabs>
          <w:tab w:leader="none" w:pos="1345"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At the time of and upon giving effect to the Borrowing and application of the proceeds of the Certain Funds Draw on the Closing Date, (x) each Combination Transaction Representation shall be true and correct as of the Closing Date (but only to the extent that Mylan has the right to terminate its obligation to consummate the Combination (or otherwise does not have an obligation to close) under the Business Combination Agreement as a result of a failure of such representations in the Business Combination Agreement to be accurate), (y) the Specified Representations shall be true and correct in all material respects (except that any Specified Representation that is qualified by “materiality”, “material adverse effect” or a similar term shall be true and correct in all respects) as of the Closing Date and (z) there shall not exist any Event of Default under clause (a), (b), (h), (i) or (j) of Article VII with respect to the Borrower under this Agreement;</w:t>
      </w:r>
    </w:p>
    <w:p>
      <w:pPr>
        <w:spacing w:after="0" w:line="177" w:lineRule="exact"/>
        <w:rPr>
          <w:rFonts w:ascii="Arial" w:cs="Arial" w:eastAsia="Arial" w:hAnsi="Arial"/>
          <w:sz w:val="17"/>
          <w:szCs w:val="17"/>
          <w:color w:val="auto"/>
        </w:rPr>
      </w:pPr>
    </w:p>
    <w:p>
      <w:pPr>
        <w:ind w:left="4" w:right="560" w:firstLine="987"/>
        <w:spacing w:after="0" w:line="277" w:lineRule="auto"/>
        <w:tabs>
          <w:tab w:leader="none" w:pos="138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signed by a Responsible Officer of the Borrower certifying that the conditions set forth in the preceding clause (f) have been satisfied;</w:t>
      </w:r>
    </w:p>
    <w:p>
      <w:pPr>
        <w:spacing w:after="0" w:line="170" w:lineRule="exact"/>
        <w:rPr>
          <w:rFonts w:ascii="Arial" w:cs="Arial" w:eastAsia="Arial" w:hAnsi="Arial"/>
          <w:sz w:val="18"/>
          <w:szCs w:val="18"/>
          <w:color w:val="auto"/>
        </w:rPr>
      </w:pPr>
    </w:p>
    <w:p>
      <w:pPr>
        <w:ind w:left="4" w:firstLine="987"/>
        <w:spacing w:after="0" w:line="263" w:lineRule="auto"/>
        <w:tabs>
          <w:tab w:leader="none" w:pos="138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Except as otherwise disclosed or identified in (a) the Pluto SEC Documents (as defined in the Business Combination Agreement as in effect as of the date hereof) filed or furnished with the SEC (as defined in the Business Combination Agreement as in effect as of the date hereof) on or prior to the date hereof (excluding any risk factor disclosure and disclosure 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4"/>
          </w:cols>
          <w:pgMar w:left="436" w:top="274" w:right="459" w:bottom="1440" w:gutter="0" w:footer="0" w:header="0"/>
        </w:sectPr>
      </w:pPr>
    </w:p>
    <w:bookmarkStart w:id="107" w:name="page108"/>
    <w:bookmarkEnd w:id="10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risks included in any “forward-looking statements” disclaimer included in such Pluto SEC Documents that are predictive, forward-looking or primarily cautionary in nature);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exception shall apply only to the extent that the relevance of such disclosure to the applicable representation and warranty is reasonably apparent on its face, or (b) the Spinco Disclosure Schedule (as defined in the Business Combination Agreement as in effect as of the date hereof) (it being understood that any information set forth in one section or subsection of the Spinco Disclosure Schedule shall be deemed to apply to and qualify the representation and warranty set forth in the Section of the Business Combination Agreement to which it corresponds in number and, whether or not an explicit reference or cross-reference is made, each other representation and warranty set forth in each other Section of Article V or Article VI of the Business Combination Agreement for which it is reasonably apparent on the face of such information that such information is relevant to such other Section), since December 31, 2018, there has not been any change, event, development, occurrence or effect that would reasonably be expected to have, individually or in the aggregate, a Spinco Material Adverse Effect (as defined in the Business Combination Agreement as in effect as of the date hereof); and</w:t>
      </w:r>
    </w:p>
    <w:p>
      <w:pPr>
        <w:spacing w:after="0" w:line="185" w:lineRule="exact"/>
        <w:rPr>
          <w:sz w:val="20"/>
          <w:szCs w:val="20"/>
          <w:color w:val="auto"/>
        </w:rPr>
      </w:pPr>
    </w:p>
    <w:p>
      <w:pPr>
        <w:ind w:left="1420"/>
        <w:spacing w:after="0"/>
        <w:tabs>
          <w:tab w:leader="none" w:pos="17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The Administrative Agent shall have received a Borrowing Request, duly completed and executed by the Borrower.</w:t>
      </w:r>
    </w:p>
    <w:p>
      <w:pPr>
        <w:spacing w:after="0" w:line="225"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SECTION 4.03 Conditions Precedent to All Extensions of Credit on the Closing Date (Excluding The Certain Funds Draw). Except in the case of the Borrowing of the Certain Funds Draw, the obligation of each Lender to make a Loan on the occasion of any Borrowing, and of the Issuing Banks to issue, amend, renew or extend any Letter of Credit, on the Closing Date is subject to the satisfaction of the following conditions:</w:t>
      </w:r>
    </w:p>
    <w:p>
      <w:pPr>
        <w:spacing w:after="0" w:line="165" w:lineRule="exact"/>
        <w:rPr>
          <w:sz w:val="20"/>
          <w:szCs w:val="20"/>
          <w:color w:val="auto"/>
        </w:rPr>
      </w:pPr>
    </w:p>
    <w:p>
      <w:pPr>
        <w:ind w:left="1360" w:hanging="373"/>
        <w:spacing w:after="0"/>
        <w:tabs>
          <w:tab w:leader="none" w:pos="13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occurrence of (i) the Closing Date and (ii) the consummation of the Combination;</w:t>
      </w:r>
    </w:p>
    <w:p>
      <w:pPr>
        <w:spacing w:after="0" w:line="225" w:lineRule="exact"/>
        <w:rPr>
          <w:rFonts w:ascii="Arial" w:cs="Arial" w:eastAsia="Arial" w:hAnsi="Arial"/>
          <w:sz w:val="18"/>
          <w:szCs w:val="18"/>
          <w:color w:val="auto"/>
        </w:rPr>
      </w:pPr>
    </w:p>
    <w:p>
      <w:pPr>
        <w:ind w:right="60" w:firstLine="987"/>
        <w:spacing w:after="0" w:line="263" w:lineRule="auto"/>
        <w:tabs>
          <w:tab w:leader="none" w:pos="137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the Administrative Agent that prior to or substantially concurrently with the occurrence of the Closing Date, all indebtedness under the Existing Credit Agreement and all other amounts payable thereunder have been paid in full and all commitments to extend credit thereunder shall have terminated;</w:t>
      </w:r>
    </w:p>
    <w:p>
      <w:pPr>
        <w:spacing w:after="0" w:line="183" w:lineRule="exact"/>
        <w:rPr>
          <w:rFonts w:ascii="Arial" w:cs="Arial" w:eastAsia="Arial" w:hAnsi="Arial"/>
          <w:sz w:val="18"/>
          <w:szCs w:val="18"/>
          <w:color w:val="auto"/>
        </w:rPr>
      </w:pPr>
    </w:p>
    <w:p>
      <w:pPr>
        <w:ind w:right="540" w:firstLine="987"/>
        <w:spacing w:after="0" w:line="277" w:lineRule="auto"/>
        <w:tabs>
          <w:tab w:leader="none" w:pos="13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signed by a Responsible Officer of the Borrower certifying that the conditions specified in Sections 4.04(a) and (b) have been satisfied; and</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 duly completed and executed by the Borrower.</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SECTION 4.04 Conditions Precedent to All Extensions of Credit After The Combination (Excluding The Certain Funds Draw). Except in the case of the Borrowing of the Certain Funds Draw, the obligation of each Lender to make a Loan on the occasion of any Borrowing (but not a conversion or continuation of Loans), and of the Issuing Banks to issue,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40" w:top="274" w:right="479" w:bottom="1440" w:gutter="0" w:footer="0" w:header="0"/>
        </w:sectPr>
      </w:pPr>
    </w:p>
    <w:bookmarkStart w:id="108" w:name="page109"/>
    <w:bookmarkEnd w:id="10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 renew or extend any Letter of Credit, in each case, following the consummation of the Combination is subject to the satisfaction of the following conditions:</w:t>
      </w:r>
    </w:p>
    <w:p>
      <w:pPr>
        <w:spacing w:after="0" w:line="170" w:lineRule="exact"/>
        <w:rPr>
          <w:sz w:val="20"/>
          <w:szCs w:val="20"/>
          <w:color w:val="auto"/>
        </w:rPr>
      </w:pPr>
    </w:p>
    <w:p>
      <w:pPr>
        <w:ind w:right="80" w:firstLine="987"/>
        <w:spacing w:after="0" w:line="272" w:lineRule="auto"/>
        <w:tabs>
          <w:tab w:leader="none" w:pos="136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representations and warranties of the Borrower set forth in this Agreement and the other Loan Documents shall be true and correct in all material respects (except to the extent that any representation and warranty that is qualified by materiality shall be true and correct in all respects) on and as of the date of such Borrowing or the date of issuance, amendment, renewal or extension of such Letter of Credit, as applicable, except (i) where any representation and warranty is expressly made as of a specific earlier date, such representation and warranty shall be true in all material respects as of any such earlier date and (ii) the representations and warranties set forth in Section 3.04(b) and 3.06 shall only be required to be made on the Closing Date and shall not be required to be made for any Credit Event following the Closing Date (but shall be required to be made on the date any Increased Commitments are established);</w:t>
      </w:r>
    </w:p>
    <w:p>
      <w:pPr>
        <w:spacing w:after="0" w:line="177" w:lineRule="exact"/>
        <w:rPr>
          <w:rFonts w:ascii="Arial" w:cs="Arial" w:eastAsia="Arial" w:hAnsi="Arial"/>
          <w:sz w:val="17"/>
          <w:szCs w:val="17"/>
          <w:color w:val="auto"/>
        </w:rPr>
      </w:pPr>
    </w:p>
    <w:p>
      <w:pPr>
        <w:ind w:firstLine="987"/>
        <w:spacing w:after="0" w:line="277" w:lineRule="auto"/>
        <w:tabs>
          <w:tab w:leader="none" w:pos="137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applicable, no Default shall have occurred and be continuing; and</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 duly completed and executed by the Borrower.</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the case of the first Credit Event with respect to which the conditions in this Section 4.04 apply, the Administrative Agent shall have received a certificate signed by a Responsible Officer of the Borrower certifying that all of the conditions specified in Section 4.03 (other than Section 4.03(c)) have been satisfied.</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Except to the extent required above, each Borrowing and each issuance, amendment, renewal or extension of a Letter of Credit shall be deemed to constitute a representation and warranty by the Borrower on the date thereof as to the matters specified in paragraphs (a) and (b) of this Section 4.04. For the avoidance of doubt, the conditions precedent set forth in this Section 4.04 shall not apply to the Borrowing of the Certain Funds Draw.</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29"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Applicable only from and after the consummation of the Combination and until the Commitments have expired or been terminated and the principal of and interest on each Loan and all fees payable hereunder shall have been paid in full and all Letters of Credit shall have expired or terminated or been Cash Collateralized on terms satisfactory to the Issuing Banks and all L/C Disbursements shall have been reimbursed, the Borrower covenants and agrees with the Administrative Agent, the Lenders and the Issuing Banks that:</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5.01 Financial Statements and Other Information. The Borrower will furnish to the Administrative Agent (who shall promptly furnish a copy to each Lender):</w:t>
      </w:r>
    </w:p>
    <w:p>
      <w:pPr>
        <w:spacing w:after="0" w:line="170" w:lineRule="exact"/>
        <w:rPr>
          <w:sz w:val="20"/>
          <w:szCs w:val="20"/>
          <w:color w:val="auto"/>
        </w:rPr>
      </w:pPr>
    </w:p>
    <w:p>
      <w:pPr>
        <w:ind w:right="180" w:firstLine="987"/>
        <w:spacing w:after="0" w:line="259" w:lineRule="auto"/>
        <w:tabs>
          <w:tab w:leader="none" w:pos="137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soon as available, but in any event within ninety (90) days after the end of each fiscal year of the Borrower, the audited consolidated balance sheet of the Borrower and its Consolidated Subsidiaries and related statements of operations, stockholders’ equity and cash flows as of the end of and for such year, setting forth in each case in comparative form the figures for the previous fiscal year, all reported on by an independent public accountant of recognized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0"/>
          </w:cols>
          <w:pgMar w:left="440" w:top="274" w:right="439" w:bottom="1440" w:gutter="0" w:footer="0" w:header="0"/>
        </w:sectPr>
      </w:pPr>
    </w:p>
    <w:bookmarkStart w:id="109" w:name="page110"/>
    <w:bookmarkEnd w:id="109"/>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national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of the Borrower and its Consolidated Subsidiaries on a consolidated basis in accordance with GAAP;</w:t>
      </w:r>
    </w:p>
    <w:p>
      <w:pPr>
        <w:spacing w:after="0" w:line="184" w:lineRule="exact"/>
        <w:rPr>
          <w:sz w:val="20"/>
          <w:szCs w:val="20"/>
          <w:color w:val="auto"/>
        </w:rPr>
      </w:pPr>
    </w:p>
    <w:p>
      <w:pPr>
        <w:ind w:firstLine="987"/>
        <w:spacing w:after="0" w:line="293" w:lineRule="auto"/>
        <w:tabs>
          <w:tab w:leader="none" w:pos="138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as soon as available, but in any event within forty-five (45) days after the end of each of the first three fiscal quarters of each fiscal year of the Borrower, the unaudited consolidated balance sheet of the Borrower and its Consolidated Subsidiaries and related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Borrower and its Consolidated Subsidiaries on a consolidated basis in accordance with GAAP, subject to normal year-end audit adjustments and the absence of footnotes;</w:t>
      </w:r>
    </w:p>
    <w:p>
      <w:pPr>
        <w:spacing w:after="0" w:line="164" w:lineRule="exact"/>
        <w:rPr>
          <w:rFonts w:ascii="Arial" w:cs="Arial" w:eastAsia="Arial" w:hAnsi="Arial"/>
          <w:sz w:val="16"/>
          <w:szCs w:val="16"/>
          <w:color w:val="auto"/>
        </w:rPr>
      </w:pPr>
    </w:p>
    <w:p>
      <w:pPr>
        <w:ind w:left="1360" w:hanging="373"/>
        <w:spacing w:after="0"/>
        <w:tabs>
          <w:tab w:leader="none" w:pos="13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clause (a) or (b) above, a certificate substantially in the form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executed by a Financial Officer (x) certifying as to whether, to the knowledge of such Financial Officer after reasonable inquiry, a Default has occurred and is continuing and, if so, specifying the details thereof and any action taken or proposed to be taken with respect thereto; and (y) setting forth reasonably detailed calculations demonstrating compliance with Section 6.07;</w:t>
      </w:r>
    </w:p>
    <w:p>
      <w:pPr>
        <w:spacing w:after="0" w:line="190" w:lineRule="exact"/>
        <w:rPr>
          <w:sz w:val="20"/>
          <w:szCs w:val="20"/>
          <w:color w:val="auto"/>
        </w:rPr>
      </w:pPr>
    </w:p>
    <w:p>
      <w:pPr>
        <w:ind w:left="1380" w:hanging="393"/>
        <w:spacing w:after="0"/>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80" w:firstLine="987"/>
        <w:spacing w:after="0" w:line="308" w:lineRule="auto"/>
        <w:tabs>
          <w:tab w:leader="none" w:pos="137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annual, quarterly and current reports and proxy statements filed by the Borrower or any Subsidiary with the SEC, or any Governmental Authority succeeding to any or all of the functions of the SEC; and</w:t>
      </w:r>
    </w:p>
    <w:p>
      <w:pPr>
        <w:spacing w:after="0" w:line="146" w:lineRule="exact"/>
        <w:rPr>
          <w:rFonts w:ascii="Arial" w:cs="Arial" w:eastAsia="Arial" w:hAnsi="Arial"/>
          <w:sz w:val="17"/>
          <w:szCs w:val="17"/>
          <w:color w:val="auto"/>
        </w:rPr>
      </w:pPr>
    </w:p>
    <w:p>
      <w:pPr>
        <w:ind w:firstLine="987"/>
        <w:spacing w:after="0" w:line="263" w:lineRule="auto"/>
        <w:tabs>
          <w:tab w:leader="none" w:pos="135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Subsidiary, or compliance with the terms of this Agreement, as the Administrative Agent or any Lender (through the Administrative Agent) may reasonably request.</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Financial statements and other information required to be delivered pursuant to Sections 5.01(a), 5.01(b) and 5.01(e) shall be deemed to have been delivered if such statements and information shall have been posted by the Borrower on its website or shall have been posted on IntraLinks or similar site to which all of the Lenders have been granted access or are publicly available on the SEC’s website pursuant to the EDGAR system.</w:t>
      </w:r>
    </w:p>
    <w:p>
      <w:pPr>
        <w:spacing w:after="0" w:line="149"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Borrower acknowledges that (a) the Administrative Agent and/or the Arrangers may, but shall not be obligated to, make available to the Lenders and the Issuing Banks materials and/or information provided by or on behalf of the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such information on DebtDomain, IntraLinks, Syndtrak, ClearPar, or similar electronic transmission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may be “public side” Lenders (i.e., Lenders that do not wish to receive material non-public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110" w:name="page111"/>
    <w:bookmarkEnd w:id="110"/>
    <w:p>
      <w:pPr>
        <w:ind w:right="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Borrower, its Subsidiaries or their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The Borrower agrees to identify that portion of the information to be provided to Public Lenders hereunder as “PUBLIC” and that such information will not contain material non-public information relating to the Borrower or its Subsidiaries (or any of their securities).</w:t>
      </w:r>
    </w:p>
    <w:p>
      <w:pPr>
        <w:spacing w:after="0" w:line="1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Notices of Material Events. The Borrower will furnish to the Administrative Agent (for prompt notification to each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prompt (but in any event within five (5) Business Days) written notice after any Financial Officer obtains knowledge of the following:</w:t>
      </w:r>
    </w:p>
    <w:p>
      <w:pPr>
        <w:spacing w:after="0" w:line="211" w:lineRule="exact"/>
        <w:rPr>
          <w:sz w:val="20"/>
          <w:szCs w:val="20"/>
          <w:color w:val="auto"/>
        </w:rPr>
      </w:pPr>
    </w:p>
    <w:p>
      <w:pPr>
        <w:ind w:left="1360" w:hanging="373"/>
        <w:spacing w:after="0"/>
        <w:tabs>
          <w:tab w:leader="none" w:pos="13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occurrence of any continuing Default;</w:t>
      </w:r>
    </w:p>
    <w:p>
      <w:pPr>
        <w:spacing w:after="0" w:line="225" w:lineRule="exact"/>
        <w:rPr>
          <w:rFonts w:ascii="Arial" w:cs="Arial" w:eastAsia="Arial" w:hAnsi="Arial"/>
          <w:sz w:val="18"/>
          <w:szCs w:val="18"/>
          <w:color w:val="auto"/>
        </w:rPr>
      </w:pPr>
    </w:p>
    <w:p>
      <w:pPr>
        <w:ind w:right="500" w:firstLine="987"/>
        <w:spacing w:after="0" w:line="308" w:lineRule="auto"/>
        <w:tabs>
          <w:tab w:leader="none" w:pos="138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Borrower or any Subsidiary thereof that would reasonably be expected to result in a Material Adverse Effect; and</w:t>
      </w:r>
    </w:p>
    <w:p>
      <w:pPr>
        <w:spacing w:after="0" w:line="146" w:lineRule="exact"/>
        <w:rPr>
          <w:rFonts w:ascii="Arial" w:cs="Arial" w:eastAsia="Arial" w:hAnsi="Arial"/>
          <w:sz w:val="17"/>
          <w:szCs w:val="17"/>
          <w:color w:val="auto"/>
        </w:rPr>
      </w:pPr>
    </w:p>
    <w:p>
      <w:pPr>
        <w:ind w:right="280" w:firstLine="987"/>
        <w:spacing w:after="0" w:line="277" w:lineRule="auto"/>
        <w:tabs>
          <w:tab w:leader="none" w:pos="137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would reasonably be expected to result in a Material Adverse Effect.</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5.03 Existence; Conduct of Business. The Borrower will, and will cause each of its Material Subsidiaries to, do or cause to be done all things necessary to preserve, renew and keep in full force and effect (i) its legal existence, and (ii) the rights, licenses, permits, privileges and franchises material to the conduct of its business, except, in the case of the preceding clause (ii), to the extent that the failure to do so would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transaction that is not otherwise prohibited under Section 6.03.</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SECTION 5.04 Payment of Obligations. The Borrower will, and will cause each of its Subsidiaries to, pay its obligations (other than Indebtedness), including Tax liabilities, before the same shall become delinquent or in default, except where (a) (i) the validity or amount thereof is being contested in good faith by appropriate proceedings and (ii) the Borrower or such Subsidiary has set aside on its books reserves with respect thereto to the extent required by GAAP or (b) the failure to make payment would not reasonably be expected to, individually or in the aggregate, result in a Material Adverse Effect.</w:t>
      </w:r>
    </w:p>
    <w:p>
      <w:pPr>
        <w:spacing w:after="0" w:line="188" w:lineRule="exact"/>
        <w:rPr>
          <w:sz w:val="20"/>
          <w:szCs w:val="20"/>
          <w:color w:val="auto"/>
        </w:rPr>
      </w:pPr>
    </w:p>
    <w:p>
      <w:pPr>
        <w:ind w:right="380" w:firstLine="440"/>
        <w:spacing w:after="0" w:line="275" w:lineRule="auto"/>
        <w:rPr>
          <w:sz w:val="20"/>
          <w:szCs w:val="20"/>
          <w:color w:val="auto"/>
        </w:rPr>
      </w:pPr>
      <w:r>
        <w:rPr>
          <w:rFonts w:ascii="Arial" w:cs="Arial" w:eastAsia="Arial" w:hAnsi="Arial"/>
          <w:sz w:val="17"/>
          <w:szCs w:val="17"/>
          <w:color w:val="auto"/>
        </w:rPr>
        <w:t>SECTION 5.05 Maintenance of Properties; Insurance. The Borrower will, and will cause each of its Material Subsidiaries to, (a) keep and maintain all Property material to the conduct of its business in good working order and condition, ordinary wear and tear excepted and casualty or condemnation excepted, except if the failure to do so would not reasonably be expected to have a Material Adverse Effect, and (b) maintain, with financially sound and reputable insurance companies or through self-insurance, insurance in such amounts and against such risks as are customarily maintained by companies engaged in the same or similar businesses operating in the same or similar locations.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111" w:name="page112"/>
    <w:bookmarkEnd w:id="111"/>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5.06 Inspection Rights. The Borrower will, and will cause each of its Subsidiaries to, permit any representatives designated by the Administrative Agent or, during the continuance of an Event of Default, any Lender, upon reasonable prior notice, to visit and inspect its properties, to examine and make extracts from its books and records, and to discuss its affairs, finances and condition with its senior officers and use commercially reasonable efforts to make its independent accountants available to discuss the affairs, finances and condition of the Borrower, all at such reasonable times and as often as reasonably requested and in all cases subject to applicable Law and the terms of applicable confidentiality agreements and to the extent the Borrower reasonably determines that such inspection, examination or discussion will not violate or result in the waiver of any attorney-client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Lenders will conduct such requests for visits and inspections through the Administrative Agent and (ii) unless an Event of Default has occurred and is continuing, such visits and inspections can occur no more frequently than once per year. The Administrative Agent and the Lenders shall give the Borrower the opportunity to participate in any discussions with the Borrower’s independent accountants.</w:t>
      </w:r>
    </w:p>
    <w:p>
      <w:pPr>
        <w:spacing w:after="0" w:line="16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SECTION 5.07 Compliance with Laws. The Borrower will, and will cause each of its Subsidiaries to, comply with all laws, rules, regulations and orders of any Governmental Authority applicable to it or its property (including Environmental Laws), except where the failure to do so, individually or in the aggregate, would not reasonably be expected to result in a Material Adverse Effect.</w:t>
      </w:r>
    </w:p>
    <w:p>
      <w:pPr>
        <w:spacing w:after="0" w:line="184"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SECTION 5.08 Use of Proceeds and Letters of Credit. The proceeds of Loans and other Credit Events will be used for general lawful corporate purposes of the Borrower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proceeds of the Loan made under the Certain Funds Draw on the Closing Date shall only be used to finance a portion of the Borrower Cash Distribution. No part of the proceeds of any Loan will be used, whether directly or indirectly, for any purpose that entails a violation of any of the Regulations of the Board, including Regulations T, U and X.</w:t>
      </w:r>
    </w:p>
    <w:p>
      <w:pPr>
        <w:spacing w:after="0" w:line="17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SECTION 5.09 Guarantees. (a) (i) In the event that any Subsidiary of the Borrower (other than an Excluded Finco or a Receivables Entity) incurs or guarantees (x) any Indebtedness of the Borrower, owed to a Person other than any Subsidiary, in excess of an aggregate principal amount of $500,000,000 for all such Indebtedness of such Subsidiary with respect to the Borrower (such Indebtedness of such Subsidiary with respect to the Borrower, “</w:t>
      </w:r>
      <w:r>
        <w:rPr>
          <w:rFonts w:ascii="Arial" w:cs="Arial" w:eastAsia="Arial" w:hAnsi="Arial"/>
          <w:sz w:val="17"/>
          <w:szCs w:val="17"/>
          <w:u w:val="single" w:color="auto"/>
          <w:color w:val="auto"/>
        </w:rPr>
        <w:t>Triggering Indebtedness</w:t>
      </w:r>
      <w:r>
        <w:rPr>
          <w:rFonts w:ascii="Arial" w:cs="Arial" w:eastAsia="Arial" w:hAnsi="Arial"/>
          <w:sz w:val="17"/>
          <w:szCs w:val="17"/>
          <w:color w:val="auto"/>
        </w:rPr>
        <w:t>”) or (y) Mylan Notes in excess of an aggregate principal amount of $500,000,000 and (ii) if Finco ceases to be an Excluded Finco and would otherwise satisfy clause (a)(i) above, then, in each case, the Borrower shall cause each such Subsidiary to Guarantee the Obligations in favor of the Administrative Agent for the benefit of the Administrative Agent and the Lenders and shall cause each such Subsidiary to deliver to the Administrative Agent (A) a joinder to this Agreement in or substantially in the form attached as Exhibit F (each such joinder, a “</w:t>
      </w:r>
      <w:r>
        <w:rPr>
          <w:rFonts w:ascii="Arial" w:cs="Arial" w:eastAsia="Arial" w:hAnsi="Arial"/>
          <w:sz w:val="17"/>
          <w:szCs w:val="17"/>
          <w:u w:val="single" w:color="auto"/>
          <w:color w:val="auto"/>
        </w:rPr>
        <w:t>Guarantor</w:t>
      </w:r>
      <w:r>
        <w:rPr>
          <w:rFonts w:ascii="Arial" w:cs="Arial" w:eastAsia="Arial" w:hAnsi="Arial"/>
          <w:sz w:val="17"/>
          <w:szCs w:val="17"/>
          <w:color w:val="auto"/>
        </w:rPr>
        <w:t xml:space="preserve"> </w:t>
      </w:r>
      <w:r>
        <w:rPr>
          <w:rFonts w:ascii="Arial" w:cs="Arial" w:eastAsia="Arial" w:hAnsi="Arial"/>
          <w:sz w:val="17"/>
          <w:szCs w:val="17"/>
          <w:u w:val="single" w:color="auto"/>
          <w:color w:val="auto"/>
        </w:rPr>
        <w:t>Joinder Agreement</w:t>
      </w:r>
      <w:r>
        <w:rPr>
          <w:rFonts w:ascii="Arial" w:cs="Arial" w:eastAsia="Arial" w:hAnsi="Arial"/>
          <w:sz w:val="17"/>
          <w:szCs w:val="17"/>
          <w:color w:val="auto"/>
        </w:rPr>
        <w:t>”) duly executed and delivered by such Subsidiary, (B) all documents and other information reasonably requested by the Lenders in order to allow the Lenders to comply with the Act and the Beneficial Ownership Regulation, (C) customary legal opinions substantially similar to those delivered pursuant to Section 4.01(d) (with such changes as may be appropriate to reflect local law concerns), (D) customary closing documents substantially similar to those delivered pursuant to Section 4.01(e) and (E) other documentation required under applicable Laws (it being understood that any such guarantee of Indebtedness by such Subsidiary shall be subject to the provisions of Section 6.01 of this Agreement). In the event that (1) the Administrative Agent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12" w:name="page113"/>
    <w:bookmarkEnd w:id="112"/>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receives evidence reasonably satisfactory to it that any Guarantor (other than Finco) has been or will concurrently be released from, or otherwise not be an issuer or guarantor in respect of, (i) Triggering Indebtedness of such Guarantor and (ii) Mylan Notes in excess of an aggregate principal amount of $500,000,000, or (2) Finco becomes an Excluded Finco, then, in each case, at the request of the Borrower, such Guarantor shall be released from the Guarantee Agreement (and, for the avoidance of doubt, such release shall not require the approval of the Lenders) so long as at the time of and after giving effect to such release and all such concurrent releases, all of such Guarantor’s then outstanding Indebtedness would then be permitted to be incurred at such time under Section 6.01 (treating, for this purpose, all Indebtedness of such Guarantor as being incurred at the time of such release).</w:t>
      </w:r>
    </w:p>
    <w:p>
      <w:pPr>
        <w:spacing w:after="0" w:line="164" w:lineRule="exact"/>
        <w:rPr>
          <w:sz w:val="20"/>
          <w:szCs w:val="20"/>
          <w:color w:val="auto"/>
        </w:rPr>
      </w:pPr>
    </w:p>
    <w:p>
      <w:pPr>
        <w:jc w:val="both"/>
        <w:ind w:right="60" w:firstLine="987"/>
        <w:spacing w:after="0" w:line="257" w:lineRule="auto"/>
        <w:tabs>
          <w:tab w:leader="none" w:pos="137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Borrower shall, not later than one Business Day after the consummation of the Combination, cause each Mylan Guarantor and each other Guarantor to Guarantee the Obligations in favor of the Administrative Agent for the benefit of the Administrative Agent and the Lenders in accordance with Section 5.09(a) and deliver (or cause to be delivered) the documents referred to in Section 5.09(a);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Guarantee of each Mylan Guarantor and each other Guarantor shall be subject to release in accordance with Section 5.09(a) and clause (i) of Article VIII.</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Applicable only from and after the consummation of the Combination until the Commitments have expired or terminated and the principal of and interest on each Loan and all fees payable hereunder have been paid in full and all Letters of Credit have expired or terminated or been Cash Collateralized on terms satisfactory to the Issuing Banks and all L/C Disbursements shall have been reimbursed, the Borrower covenants and agrees with the Administrative Agent, the Lenders and the Issuing Banks that:</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SECTION 6.01 Indebtedness. The Borrower will not permit any Subsidiary that is not a Loan Party to create, incur, assume or permit to exist any Indebtedness, except:</w:t>
      </w:r>
    </w:p>
    <w:p>
      <w:pPr>
        <w:spacing w:after="0" w:line="170" w:lineRule="exact"/>
        <w:rPr>
          <w:sz w:val="20"/>
          <w:szCs w:val="20"/>
          <w:color w:val="auto"/>
        </w:rPr>
      </w:pPr>
    </w:p>
    <w:p>
      <w:pPr>
        <w:ind w:left="1360" w:hanging="373"/>
        <w:spacing w:after="0"/>
        <w:tabs>
          <w:tab w:leader="none" w:pos="1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225" w:lineRule="exact"/>
        <w:rPr>
          <w:rFonts w:ascii="Arial" w:cs="Arial" w:eastAsia="Arial" w:hAnsi="Arial"/>
          <w:sz w:val="18"/>
          <w:szCs w:val="18"/>
          <w:color w:val="auto"/>
        </w:rPr>
      </w:pPr>
    </w:p>
    <w:p>
      <w:pPr>
        <w:ind w:right="180" w:firstLine="987"/>
        <w:spacing w:after="0" w:line="263" w:lineRule="auto"/>
        <w:tabs>
          <w:tab w:leader="none" w:pos="138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that could be incurred on the Closing Date pursuant to commitments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as contemplated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Permitted Refinancing Indebtedness in respect of Indebtedness permitted by this clause (b);</w:t>
      </w:r>
    </w:p>
    <w:p>
      <w:pPr>
        <w:spacing w:after="0" w:line="183" w:lineRule="exact"/>
        <w:rPr>
          <w:rFonts w:ascii="Arial" w:cs="Arial" w:eastAsia="Arial" w:hAnsi="Arial"/>
          <w:sz w:val="18"/>
          <w:szCs w:val="18"/>
          <w:color w:val="auto"/>
        </w:rPr>
      </w:pPr>
    </w:p>
    <w:p>
      <w:pPr>
        <w:ind w:firstLine="987"/>
        <w:spacing w:after="0" w:line="263" w:lineRule="auto"/>
        <w:tabs>
          <w:tab w:leader="none" w:pos="137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Indebtedness of any Subsidiary that is not a Loan Party owing to (x) a Loan Party or (y) any other Subsidiary; and (ii) Guarantees of Indebtedness of any Loan Party or any Subsidiary by any other Subsidiary, to the extent such Indebtedness is otherwise permitted under this Agreement;</w:t>
      </w:r>
    </w:p>
    <w:p>
      <w:pPr>
        <w:spacing w:after="0" w:line="183" w:lineRule="exact"/>
        <w:rPr>
          <w:rFonts w:ascii="Arial" w:cs="Arial" w:eastAsia="Arial" w:hAnsi="Arial"/>
          <w:sz w:val="18"/>
          <w:szCs w:val="18"/>
          <w:color w:val="auto"/>
        </w:rPr>
      </w:pPr>
    </w:p>
    <w:p>
      <w:pPr>
        <w:ind w:right="100" w:firstLine="987"/>
        <w:spacing w:after="0" w:line="308" w:lineRule="auto"/>
        <w:tabs>
          <w:tab w:leader="none" w:pos="138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 Indebtedness incurred to finance the acquisition, construction, repair, replacement or improvement of any fixed or capital assets, including Capital Lease Obligations and any Indebtedness assumed in connection with the acquisition of any such assets or secured by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20"/>
          </w:cols>
          <w:pgMar w:left="440" w:top="274" w:right="539" w:bottom="1440" w:gutter="0" w:footer="0" w:header="0"/>
        </w:sectPr>
      </w:pPr>
    </w:p>
    <w:bookmarkStart w:id="113" w:name="page114"/>
    <w:bookmarkEnd w:id="113"/>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Lien on any such assets prior to the acquisition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Indebtedness is incurred prior to or within two hundred seventy</w:t>
      </w:r>
    </w:p>
    <w:p>
      <w:pPr>
        <w:spacing w:after="0" w:line="35" w:lineRule="exact"/>
        <w:rPr>
          <w:sz w:val="20"/>
          <w:szCs w:val="20"/>
          <w:color w:val="auto"/>
        </w:rPr>
      </w:pPr>
    </w:p>
    <w:p>
      <w:pPr>
        <w:jc w:val="both"/>
        <w:ind w:left="4" w:right="60" w:hanging="4"/>
        <w:spacing w:after="0" w:line="295" w:lineRule="auto"/>
        <w:tabs>
          <w:tab w:leader="none" w:pos="43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days after such acquisition or the completion of such construction, repair, replacement or improvement and (B) the aggregate principal amount of Indebtedness permitted by this clause (d) shall not exceed the greater of (x) $375,000,000 and (y) 1.05% of Consolidated Total Assets, determined as of the last day of the most recent fiscal quarter prior to the date such Indebtedness is incurred for which financial statements have been delivered pursuant to Section 5.01(a) or (b) and (ii) any Permitted Refinancing Indebtedness in respect of Indebtedness permitted by clause (i) of this clause (d);</w:t>
      </w:r>
    </w:p>
    <w:p>
      <w:pPr>
        <w:spacing w:after="0" w:line="161" w:lineRule="exact"/>
        <w:rPr>
          <w:rFonts w:ascii="Arial" w:cs="Arial" w:eastAsia="Arial" w:hAnsi="Arial"/>
          <w:sz w:val="16"/>
          <w:szCs w:val="16"/>
          <w:color w:val="auto"/>
        </w:rPr>
      </w:pPr>
    </w:p>
    <w:p>
      <w:pPr>
        <w:ind w:left="4" w:firstLine="987"/>
        <w:spacing w:after="0" w:line="257" w:lineRule="auto"/>
        <w:tabs>
          <w:tab w:leader="none" w:pos="137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Indebtedness in respect of letters of credit (including trade letters of credit), bank guarantees or similar instruments issued or incurred in the ordinary course of business, including in respect of card obligations or any overdraft and related liabilities arising from treasury, depository and cash management services or any automated clearing house transfers,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87" w:lineRule="exact"/>
        <w:rPr>
          <w:rFonts w:ascii="Arial" w:cs="Arial" w:eastAsia="Arial" w:hAnsi="Arial"/>
          <w:sz w:val="18"/>
          <w:szCs w:val="18"/>
          <w:color w:val="auto"/>
        </w:rPr>
      </w:pPr>
    </w:p>
    <w:p>
      <w:pPr>
        <w:ind w:left="4" w:right="200" w:firstLine="987"/>
        <w:spacing w:after="0" w:line="263" w:lineRule="auto"/>
        <w:tabs>
          <w:tab w:leader="none" w:pos="135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Indebtedness incurred pursuant to Permitted Receivables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Attributable Receivables Indebtedness thereunder shall not exceed at any time outstanding (x) $750,000,000, in the case of all Domestic Subsidiaries and (y) $750,000,000, in the case of all other Subsidiaries;</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Indebtedness under Swap Agreements entered into in the ordinary course of business and not for speculative purposes;</w:t>
      </w:r>
    </w:p>
    <w:p>
      <w:pPr>
        <w:spacing w:after="0" w:line="225" w:lineRule="exact"/>
        <w:rPr>
          <w:rFonts w:ascii="Arial" w:cs="Arial" w:eastAsia="Arial" w:hAnsi="Arial"/>
          <w:sz w:val="18"/>
          <w:szCs w:val="18"/>
          <w:color w:val="auto"/>
        </w:rPr>
      </w:pPr>
    </w:p>
    <w:p>
      <w:pPr>
        <w:ind w:left="4" w:right="420" w:firstLine="987"/>
        <w:spacing w:after="0" w:line="259" w:lineRule="auto"/>
        <w:tabs>
          <w:tab w:leader="none" w:pos="138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Indebtedness in respect of bid, performance, surety, stay, customs, appeal or replevin bonds or performance and completion guarantees and similar obligations issued or incurred in the ordinary course of business, including guarantees or obligations of any Subsidiary with respect to letters of credit, bank guarantees or similar instruments supporting such obligation, in each case, not in connection with Indebtedness for money borrowed;</w:t>
      </w:r>
    </w:p>
    <w:p>
      <w:pPr>
        <w:spacing w:after="0" w:line="186" w:lineRule="exact"/>
        <w:rPr>
          <w:rFonts w:ascii="Arial" w:cs="Arial" w:eastAsia="Arial" w:hAnsi="Arial"/>
          <w:sz w:val="18"/>
          <w:szCs w:val="18"/>
          <w:color w:val="auto"/>
        </w:rPr>
      </w:pPr>
    </w:p>
    <w:p>
      <w:pPr>
        <w:ind w:left="1344" w:hanging="353"/>
        <w:spacing w:after="0"/>
        <w:tabs>
          <w:tab w:leader="none" w:pos="134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Indebtedness in respect of judgments, decrees, attachments or awards that do not constitute an Event of Default under clause (k)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Article VII;</w:t>
      </w:r>
    </w:p>
    <w:p>
      <w:pPr>
        <w:spacing w:after="0" w:line="210" w:lineRule="exact"/>
        <w:rPr>
          <w:rFonts w:ascii="Arial" w:cs="Arial" w:eastAsia="Arial" w:hAnsi="Arial"/>
          <w:sz w:val="16"/>
          <w:szCs w:val="16"/>
          <w:color w:val="auto"/>
        </w:rPr>
      </w:pPr>
    </w:p>
    <w:p>
      <w:pPr>
        <w:ind w:left="4" w:right="80" w:firstLine="987"/>
        <w:spacing w:after="0" w:line="342" w:lineRule="auto"/>
        <w:tabs>
          <w:tab w:leader="none" w:pos="1345"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Indebtedness consisting of bona fide purchase price adjustments, earn-outs, indemnification obligations, obligations under deferred compensation or similar arrangements and similar items incurred in connection with acquisitions and asset sales not prohibited by Section 6.05 or 6.03;</w:t>
      </w:r>
    </w:p>
    <w:p>
      <w:pPr>
        <w:spacing w:after="0" w:line="123" w:lineRule="exact"/>
        <w:rPr>
          <w:rFonts w:ascii="Arial" w:cs="Arial" w:eastAsia="Arial" w:hAnsi="Arial"/>
          <w:sz w:val="16"/>
          <w:szCs w:val="16"/>
          <w:color w:val="auto"/>
        </w:rPr>
      </w:pPr>
    </w:p>
    <w:p>
      <w:pPr>
        <w:ind w:left="4" w:right="160" w:firstLine="987"/>
        <w:spacing w:after="0" w:line="287" w:lineRule="auto"/>
        <w:tabs>
          <w:tab w:leader="none" w:pos="1385"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Indebtedness in respect of letters of credit denominated in currencies other than Dollars in an aggregate amount outstanding not to exceed the greater of the foreign currency equivalent of (x) $325,000,000 and (y) 0.85% of Consolidated Total Assets, determined as of the last day of the most recent fiscal quarter prior to the date such Indebtedness is incurred for which financial statements have been delivered pursuant to</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5.01(a) or (b);</w:t>
      </w:r>
    </w:p>
    <w:p>
      <w:pPr>
        <w:spacing w:after="0" w:line="210" w:lineRule="exact"/>
        <w:rPr>
          <w:rFonts w:ascii="Arial" w:cs="Arial" w:eastAsia="Arial" w:hAnsi="Arial"/>
          <w:sz w:val="16"/>
          <w:szCs w:val="16"/>
          <w:color w:val="auto"/>
        </w:rPr>
      </w:pPr>
    </w:p>
    <w:p>
      <w:pPr>
        <w:ind w:left="4" w:right="800" w:firstLine="987"/>
        <w:spacing w:after="0" w:line="277" w:lineRule="auto"/>
        <w:tabs>
          <w:tab w:leader="none" w:pos="134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Indebtedness in respect of card obligations, netting services, overdraft protections and similar arrangements in each case in connection with deposit accounts;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4"/>
          </w:cols>
          <w:pgMar w:left="436" w:top="274" w:right="479" w:bottom="1440" w:gutter="0" w:footer="0" w:header="0"/>
        </w:sectPr>
      </w:pPr>
    </w:p>
    <w:bookmarkStart w:id="114" w:name="page115"/>
    <w:bookmarkEnd w:id="114"/>
    <w:p>
      <w:pPr>
        <w:ind w:left="1424" w:hanging="433"/>
        <w:spacing w:after="0"/>
        <w:tabs>
          <w:tab w:leader="none" w:pos="1424" w:val="left"/>
        </w:tabs>
        <w:numPr>
          <w:ilvl w:val="1"/>
          <w:numId w:val="1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consisting of (x) the financing of insurance premiums with the providers of such insurance or their affiliates or</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take-or-pay obligations contained in supply arrangements, in each case, in the ordinary course of business;</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Foreign Jurisdiction Deposits;</w:t>
      </w:r>
    </w:p>
    <w:p>
      <w:pPr>
        <w:spacing w:after="0" w:line="225" w:lineRule="exact"/>
        <w:rPr>
          <w:rFonts w:ascii="Arial" w:cs="Arial" w:eastAsia="Arial" w:hAnsi="Arial"/>
          <w:sz w:val="18"/>
          <w:szCs w:val="18"/>
          <w:color w:val="auto"/>
        </w:rPr>
      </w:pPr>
    </w:p>
    <w:p>
      <w:pPr>
        <w:ind w:left="4" w:firstLine="987"/>
        <w:spacing w:after="0" w:line="273" w:lineRule="auto"/>
        <w:tabs>
          <w:tab w:leader="none" w:pos="1385" w:val="left"/>
        </w:tabs>
        <w:numPr>
          <w:ilvl w:val="1"/>
          <w:numId w:val="143"/>
        </w:numPr>
        <w:rPr>
          <w:rFonts w:ascii="Arial" w:cs="Arial" w:eastAsia="Arial" w:hAnsi="Arial"/>
          <w:sz w:val="17"/>
          <w:szCs w:val="17"/>
          <w:color w:val="auto"/>
        </w:rPr>
      </w:pPr>
      <w:r>
        <w:rPr>
          <w:rFonts w:ascii="Arial" w:cs="Arial" w:eastAsia="Arial" w:hAnsi="Arial"/>
          <w:sz w:val="17"/>
          <w:szCs w:val="17"/>
          <w:color w:val="auto"/>
        </w:rPr>
        <w:t>(i) so long as the Borrower is in compliance with Section 6.07 on a Pro Forma Basis as of the last day of the most recently completed Test Period (for which financial statements have been delivered pursuant to Section 5.01(a) or (b)), other Indebtedness in an aggregate amount, when aggregated with the amount of Indebtedness of the Loan Parties secured by Liens pursuant to Section 6.02(r), not to exceed the greater of (x) $2,500,000,000 and (y) 15% of Consolidated Net Tangible Assets, determined as of the last day of the most recent fiscal quarter prior to the date such Indebtedness is incurred for which financial statements have been delivered pursuant to Section 5.01(a) or (b) and (ii) Permitted Refinancing Indebtedness in respect of Indebtedness permitted by clause (i) of this clause (o);</w:t>
      </w:r>
    </w:p>
    <w:p>
      <w:pPr>
        <w:spacing w:after="0" w:line="177" w:lineRule="exact"/>
        <w:rPr>
          <w:rFonts w:ascii="Arial" w:cs="Arial" w:eastAsia="Arial" w:hAnsi="Arial"/>
          <w:sz w:val="17"/>
          <w:szCs w:val="17"/>
          <w:color w:val="auto"/>
        </w:rPr>
      </w:pPr>
    </w:p>
    <w:p>
      <w:pPr>
        <w:ind w:left="4" w:right="60" w:firstLine="987"/>
        <w:spacing w:after="0" w:line="287" w:lineRule="auto"/>
        <w:tabs>
          <w:tab w:leader="none" w:pos="138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(i) Indebtedness of a Person existing at the time such Person becomes a Subsidiary and not created in contemplation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acquisition of such Person, on a Pro Forma Basis, the Borrower would be in compliance with Section 6.07 as of the last day of the most recent fiscal year or fiscal quarter for which financial statements have been delivered pursuant to Section 5.01(a) or 5.01(b)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Permitted Refinancing Indebtedness in respect of Indebtedness permitted by this clause (p);</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Indebtedness supported by a Letter of Credit, in a principal amount not to exceed the face amount of such Letter of Credit;</w:t>
      </w:r>
    </w:p>
    <w:p>
      <w:pPr>
        <w:spacing w:after="0" w:line="236" w:lineRule="exact"/>
        <w:rPr>
          <w:rFonts w:ascii="Arial" w:cs="Arial" w:eastAsia="Arial" w:hAnsi="Arial"/>
          <w:sz w:val="17"/>
          <w:szCs w:val="17"/>
          <w:color w:val="auto"/>
        </w:rPr>
      </w:pPr>
    </w:p>
    <w:p>
      <w:pPr>
        <w:ind w:left="1344" w:hanging="353"/>
        <w:spacing w:after="0"/>
        <w:tabs>
          <w:tab w:leader="none" w:pos="134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Indebtedness in respect of Investments permitted by Section 6.05(q);</w:t>
      </w:r>
    </w:p>
    <w:p>
      <w:pPr>
        <w:spacing w:after="0" w:line="225" w:lineRule="exact"/>
        <w:rPr>
          <w:rFonts w:ascii="Arial" w:cs="Arial" w:eastAsia="Arial" w:hAnsi="Arial"/>
          <w:sz w:val="18"/>
          <w:szCs w:val="18"/>
          <w:color w:val="auto"/>
        </w:rPr>
      </w:pPr>
    </w:p>
    <w:p>
      <w:pPr>
        <w:ind w:left="4" w:right="460" w:firstLine="987"/>
        <w:spacing w:after="0" w:line="277" w:lineRule="auto"/>
        <w:tabs>
          <w:tab w:leader="none" w:pos="136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(a) through (r) above; and</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Indebtedness of the Excluded Finco.</w:t>
      </w:r>
    </w:p>
    <w:p>
      <w:pPr>
        <w:spacing w:after="0" w:line="225"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color w:val="auto"/>
        </w:rPr>
        <w:t>Liens. The Borrower will not, and will not permit any Subsidiary to, create, incur, assume or permit to exist any Lien on 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Property now owned or hereafter acquired by it, except:</w:t>
      </w:r>
    </w:p>
    <w:p>
      <w:pPr>
        <w:spacing w:after="0" w:line="211" w:lineRule="exact"/>
        <w:rPr>
          <w:sz w:val="20"/>
          <w:szCs w:val="20"/>
          <w:color w:val="auto"/>
        </w:rPr>
      </w:pPr>
    </w:p>
    <w:p>
      <w:pPr>
        <w:ind w:left="1364" w:hanging="373"/>
        <w:spacing w:after="0"/>
        <w:tabs>
          <w:tab w:leader="none" w:pos="136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4" w:right="280" w:firstLine="987"/>
        <w:spacing w:after="0" w:line="275" w:lineRule="auto"/>
        <w:tabs>
          <w:tab w:leader="none" w:pos="138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any Lien on any Property of the Borrower or any Subsidiary existing on the Closing Date and set forth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and any modifications, replacements,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shall not apply to any other Property of the Borrower or any other Subsidiary other than (A) improvements and after-acquired Property that is affixed or incorporated into the Property covered by such Lien or financed by Indebtedness permitted under Section 6.01, and (B) proceeds and products thereof, and (ii) such Lien shall secure only those obligations which it secures on the Closing Date and any Permitted Refinancing Indebtedness in respect thereof;</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4"/>
          </w:cols>
          <w:pgMar w:left="436" w:top="274" w:right="499" w:bottom="1440" w:gutter="0" w:footer="0" w:header="0"/>
        </w:sectPr>
      </w:pPr>
    </w:p>
    <w:bookmarkStart w:id="115" w:name="page116"/>
    <w:bookmarkEnd w:id="115"/>
    <w:p>
      <w:pPr>
        <w:ind w:left="4" w:right="40" w:firstLine="987"/>
        <w:spacing w:after="0" w:line="272" w:lineRule="auto"/>
        <w:tabs>
          <w:tab w:leader="none" w:pos="1375" w:val="left"/>
        </w:tabs>
        <w:numPr>
          <w:ilvl w:val="1"/>
          <w:numId w:val="1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Lien existing on any Property prior to the acquisition thereof by the Borrower or any Subsidiary or existing on any Property of any Person that becomes a Subsidiary after the Closing Date prior to the time such Person becomes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acquisition or such Person becoming a Subsidiary, as the case may be, (ii) such Lien shall not apply to any other Property of the Borrower or any other Subsidiary (other than the proceeds or products of the Property covered by such Lien and other than improvements and after-acquired property that is affixed or incorporated into the Property covered by such Lien) and (iii) such Lien shall secure only those obligations which it secures on the date of such acquisition or the date such Person becomes a Subsidiary, as the case may be, and Permitted Refinancing Indebtedness in respect thereof;</w:t>
      </w:r>
    </w:p>
    <w:p>
      <w:pPr>
        <w:spacing w:after="0" w:line="177" w:lineRule="exact"/>
        <w:rPr>
          <w:rFonts w:ascii="Arial" w:cs="Arial" w:eastAsia="Arial" w:hAnsi="Arial"/>
          <w:sz w:val="17"/>
          <w:szCs w:val="17"/>
          <w:color w:val="auto"/>
        </w:rPr>
      </w:pPr>
    </w:p>
    <w:p>
      <w:pPr>
        <w:ind w:left="4" w:right="20" w:firstLine="987"/>
        <w:spacing w:after="0" w:line="288" w:lineRule="auto"/>
        <w:tabs>
          <w:tab w:leader="none" w:pos="138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(i) Liens on fixed or capital assets acquired, constructed, repaired, replaced or improved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security interests secure Indebtedness incurred to fund the acquisition of such assets in an aggregate principal amount not to exceed the greater of $400,000,000 and 1.05% of Consolidated Total Assets (determined as of the last day of the most recent fiscal quarter prior to the date such Indebtedness is incurred for which financial statements have been delivered pursuant to Section 5.01(a) or (b) (or any Permitted Refinancing Indebtedness in respect of the foregoing)), (ii) such security interests and the Indebtedness secured thereby are incurred prior to or within two hundred seventy (270) days after such acquisition or the completion of such construction, repair or replacement or improvement, (iii) the Indebtedness secured thereby does not exceed the cost of acquiring, constructing or improving such fixed or capital assets and (iv) such security interests shall not apply to any other Property of the Borrower or any Subsidiary, except for accessions to such fixed or capital assets covered by such Lien, Property financed by such Indebtedness and the proceeds and products thereof;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individual financings of fixed or capital assets provided by one lender may be cross-collateralized to other financings of fixed or capital assets provided by such lender;</w:t>
      </w:r>
    </w:p>
    <w:p>
      <w:pPr>
        <w:spacing w:after="0" w:line="168" w:lineRule="exact"/>
        <w:rPr>
          <w:rFonts w:ascii="Arial" w:cs="Arial" w:eastAsia="Arial" w:hAnsi="Arial"/>
          <w:sz w:val="16"/>
          <w:szCs w:val="16"/>
          <w:color w:val="auto"/>
        </w:rPr>
      </w:pPr>
    </w:p>
    <w:p>
      <w:pPr>
        <w:ind w:left="4" w:right="60" w:firstLine="987"/>
        <w:spacing w:after="0" w:line="259" w:lineRule="auto"/>
        <w:tabs>
          <w:tab w:leader="none" w:pos="137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rights of setoff and similar arrangements and Liens in favor of depository and securities intermediaries to secure obligations owed in respect of card obligations or any overdraft and related liabilities arising from treasury, depository and cash management services or any automated clearing house transfers of funds and fees and similar amounts related to bank accounts or securities accounts (including Liens securing letters of credit, bank guarantees or similar instruments supporting any of the foregoing);</w:t>
      </w:r>
    </w:p>
    <w:p>
      <w:pPr>
        <w:spacing w:after="0" w:line="186" w:lineRule="exact"/>
        <w:rPr>
          <w:rFonts w:ascii="Arial" w:cs="Arial" w:eastAsia="Arial" w:hAnsi="Arial"/>
          <w:sz w:val="18"/>
          <w:szCs w:val="18"/>
          <w:color w:val="auto"/>
        </w:rPr>
      </w:pPr>
    </w:p>
    <w:p>
      <w:pPr>
        <w:ind w:left="4" w:firstLine="987"/>
        <w:spacing w:after="0" w:line="279" w:lineRule="auto"/>
        <w:tabs>
          <w:tab w:leader="none" w:pos="135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Liens on Receivables and Permitted Receivables Facility Assets securing Indebtedness arising under Permitted Receivables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 (f) only if at the time such Lien is incurred the aggregate principal amount of the obligations secured at such time (including such Lien) by Liens outstanding pursuant to this clause (f) would not exceed (x) $750,000,000, in the case of all Domestic Subsidiaries and (y) $750,000,000, in the case of all other Subsidiaries;</w:t>
      </w:r>
    </w:p>
    <w:p>
      <w:pPr>
        <w:spacing w:after="0" w:line="171" w:lineRule="exact"/>
        <w:rPr>
          <w:rFonts w:ascii="Arial" w:cs="Arial" w:eastAsia="Arial" w:hAnsi="Arial"/>
          <w:sz w:val="17"/>
          <w:szCs w:val="17"/>
          <w:color w:val="auto"/>
        </w:rPr>
      </w:pPr>
    </w:p>
    <w:p>
      <w:pPr>
        <w:ind w:left="1384" w:hanging="393"/>
        <w:spacing w:after="0"/>
        <w:tabs>
          <w:tab w:leader="none" w:pos="1384" w:val="left"/>
        </w:tabs>
        <w:numPr>
          <w:ilvl w:val="1"/>
          <w:numId w:val="146"/>
        </w:numPr>
        <w:rPr>
          <w:rFonts w:ascii="Arial" w:cs="Arial" w:eastAsia="Arial" w:hAnsi="Arial"/>
          <w:sz w:val="16"/>
          <w:szCs w:val="16"/>
          <w:color w:val="auto"/>
        </w:rPr>
      </w:pPr>
      <w:r>
        <w:rPr>
          <w:rFonts w:ascii="Arial" w:cs="Arial" w:eastAsia="Arial" w:hAnsi="Arial"/>
          <w:sz w:val="16"/>
          <w:szCs w:val="16"/>
          <w:color w:val="auto"/>
        </w:rPr>
        <w:t>Liens (i) on “earnest money” or similar deposits or other cash advances in connection with acquisitions permitted by Section 6.05 or</w:t>
      </w:r>
    </w:p>
    <w:p>
      <w:pPr>
        <w:spacing w:after="0" w:line="46" w:lineRule="exact"/>
        <w:rPr>
          <w:rFonts w:ascii="Arial" w:cs="Arial" w:eastAsia="Arial" w:hAnsi="Arial"/>
          <w:sz w:val="16"/>
          <w:szCs w:val="16"/>
          <w:color w:val="auto"/>
        </w:rPr>
      </w:pPr>
    </w:p>
    <w:p>
      <w:pPr>
        <w:ind w:left="4" w:right="260" w:hanging="4"/>
        <w:spacing w:after="0" w:line="260" w:lineRule="auto"/>
        <w:tabs>
          <w:tab w:leader="none" w:pos="2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consisting of an agreement to dispose of any Property in a disposition permitted under this Agreement including customary rights and restrictions contained in such agreements;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4"/>
          </w:cols>
          <w:pgMar w:left="436" w:top="274" w:right="459" w:bottom="1440" w:gutter="0" w:footer="0" w:header="0"/>
        </w:sectPr>
      </w:pPr>
    </w:p>
    <w:bookmarkStart w:id="116" w:name="page117"/>
    <w:bookmarkEnd w:id="116"/>
    <w:p>
      <w:pPr>
        <w:ind w:left="1384" w:hanging="393"/>
        <w:spacing w:after="0"/>
        <w:tabs>
          <w:tab w:leader="none" w:pos="1384" w:val="left"/>
        </w:tabs>
        <w:numPr>
          <w:ilvl w:val="1"/>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on cash, cash equivalents or other assets securing Indebtedness permitted by Section 6.01(g);</w:t>
      </w:r>
    </w:p>
    <w:p>
      <w:pPr>
        <w:spacing w:after="0" w:line="225" w:lineRule="exact"/>
        <w:rPr>
          <w:rFonts w:ascii="Arial" w:cs="Arial" w:eastAsia="Arial" w:hAnsi="Arial"/>
          <w:sz w:val="18"/>
          <w:szCs w:val="18"/>
          <w:color w:val="auto"/>
        </w:rPr>
      </w:pPr>
    </w:p>
    <w:p>
      <w:pPr>
        <w:ind w:left="4" w:right="40" w:firstLine="987"/>
        <w:spacing w:after="0" w:line="277" w:lineRule="auto"/>
        <w:tabs>
          <w:tab w:leader="none" w:pos="134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the Borrower or any Subsidiary or (ii) secure any Indebtedness;</w:t>
      </w:r>
    </w:p>
    <w:p>
      <w:pPr>
        <w:spacing w:after="0" w:line="170" w:lineRule="exact"/>
        <w:rPr>
          <w:rFonts w:ascii="Arial" w:cs="Arial" w:eastAsia="Arial" w:hAnsi="Arial"/>
          <w:sz w:val="18"/>
          <w:szCs w:val="18"/>
          <w:color w:val="auto"/>
        </w:rPr>
      </w:pPr>
    </w:p>
    <w:p>
      <w:pPr>
        <w:ind w:left="4" w:right="200" w:firstLine="987"/>
        <w:spacing w:after="0" w:line="277" w:lineRule="auto"/>
        <w:tabs>
          <w:tab w:leader="none" w:pos="134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148"/>
        </w:numPr>
        <w:rPr>
          <w:rFonts w:ascii="Arial" w:cs="Arial" w:eastAsia="Arial" w:hAnsi="Arial"/>
          <w:sz w:val="16"/>
          <w:szCs w:val="16"/>
          <w:color w:val="auto"/>
        </w:rPr>
      </w:pPr>
      <w:r>
        <w:rPr>
          <w:rFonts w:ascii="Arial" w:cs="Arial" w:eastAsia="Arial" w:hAnsi="Arial"/>
          <w:sz w:val="16"/>
          <w:szCs w:val="16"/>
          <w:color w:val="auto"/>
        </w:rPr>
        <w:t>Liens (i) of a collection bank arising under Section 4-210 of the Uniform Commercial Code on items in the course of collection and</w:t>
      </w:r>
    </w:p>
    <w:p>
      <w:pPr>
        <w:spacing w:after="0" w:line="46" w:lineRule="exact"/>
        <w:rPr>
          <w:rFonts w:ascii="Arial" w:cs="Arial" w:eastAsia="Arial" w:hAnsi="Arial"/>
          <w:sz w:val="16"/>
          <w:szCs w:val="16"/>
          <w:color w:val="auto"/>
        </w:rPr>
      </w:pPr>
    </w:p>
    <w:p>
      <w:pPr>
        <w:ind w:left="4" w:right="460" w:hanging="4"/>
        <w:spacing w:after="0" w:line="260" w:lineRule="auto"/>
        <w:tabs>
          <w:tab w:leader="none" w:pos="26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commodities brokerage accounts incurred in the ordinary course of business, including Liens encumbering reasonable customary initial deposits and margin deposits;</w:t>
      </w:r>
    </w:p>
    <w:p>
      <w:pPr>
        <w:spacing w:after="0" w:line="185" w:lineRule="exact"/>
        <w:rPr>
          <w:rFonts w:ascii="Arial" w:cs="Arial" w:eastAsia="Arial" w:hAnsi="Arial"/>
          <w:sz w:val="18"/>
          <w:szCs w:val="18"/>
          <w:color w:val="auto"/>
        </w:rPr>
      </w:pPr>
    </w:p>
    <w:p>
      <w:pPr>
        <w:ind w:left="4" w:right="340" w:firstLine="987"/>
        <w:spacing w:after="0" w:line="277" w:lineRule="auto"/>
        <w:tabs>
          <w:tab w:leader="none" w:pos="134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a Loan Party or any Subsidiary in the ordinary course of business;</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permitted under Section 6.05;</w:t>
      </w:r>
    </w:p>
    <w:p>
      <w:pPr>
        <w:spacing w:after="0" w:line="225" w:lineRule="exact"/>
        <w:rPr>
          <w:rFonts w:ascii="Arial" w:cs="Arial" w:eastAsia="Arial" w:hAnsi="Arial"/>
          <w:sz w:val="18"/>
          <w:szCs w:val="18"/>
          <w:color w:val="auto"/>
        </w:rPr>
      </w:pPr>
    </w:p>
    <w:p>
      <w:pPr>
        <w:ind w:left="4" w:right="20" w:firstLine="987"/>
        <w:spacing w:after="0" w:line="277" w:lineRule="auto"/>
        <w:tabs>
          <w:tab w:leader="none" w:pos="138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rights of setoff relating to purchase orders and other agreements entered into with customers of the Borrower or any Subsidiary in the ordinary course of business;</w:t>
      </w:r>
    </w:p>
    <w:p>
      <w:pPr>
        <w:spacing w:after="0" w:line="170" w:lineRule="exact"/>
        <w:rPr>
          <w:rFonts w:ascii="Arial" w:cs="Arial" w:eastAsia="Arial" w:hAnsi="Arial"/>
          <w:sz w:val="18"/>
          <w:szCs w:val="18"/>
          <w:color w:val="auto"/>
        </w:rPr>
      </w:pPr>
    </w:p>
    <w:p>
      <w:pPr>
        <w:ind w:left="4" w:right="260" w:firstLine="987"/>
        <w:spacing w:after="0" w:line="342" w:lineRule="auto"/>
        <w:tabs>
          <w:tab w:leader="none" w:pos="138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its Subsidiaries are located and other Liens affecting the interest of any landlord (and any underlying landlord) of any real property leased by the Borrower or any Subsidiary;</w:t>
      </w:r>
    </w:p>
    <w:p>
      <w:pPr>
        <w:spacing w:after="0" w:line="123" w:lineRule="exact"/>
        <w:rPr>
          <w:rFonts w:ascii="Arial" w:cs="Arial" w:eastAsia="Arial" w:hAnsi="Arial"/>
          <w:sz w:val="16"/>
          <w:szCs w:val="16"/>
          <w:color w:val="auto"/>
        </w:rPr>
      </w:pPr>
    </w:p>
    <w:p>
      <w:pPr>
        <w:ind w:left="4" w:right="180" w:firstLine="987"/>
        <w:spacing w:after="0" w:line="277" w:lineRule="auto"/>
        <w:tabs>
          <w:tab w:leader="none" w:pos="138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Liens on equipment owned by the Borrower or any Subsidiary and located on the premises of any supplier and used in the ordinary course of business and not securing Indebtedness;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restriction or encumbrance with respect to the pledge or transfer of the Equity Interests of a joint venture;</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Liens not otherwise permitted by this Section 6.02,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w:t>
      </w:r>
    </w:p>
    <w:p>
      <w:pPr>
        <w:spacing w:after="0" w:line="35" w:lineRule="exact"/>
        <w:rPr>
          <w:sz w:val="20"/>
          <w:szCs w:val="20"/>
          <w:color w:val="auto"/>
        </w:rPr>
      </w:pPr>
    </w:p>
    <w:p>
      <w:pPr>
        <w:ind w:left="4" w:hanging="4"/>
        <w:spacing w:after="0" w:line="271" w:lineRule="auto"/>
        <w:tabs>
          <w:tab w:leader="none" w:pos="22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only if at the time such Lien is incurred the aggregate principal amount of Indebtedness secured at such time (including such Lien) by Liens outstanding pursuant to this clause (r) (when taken together, without duplication, with the amount of obligations outstanding pursuant to Section 6.01(o)) would not exceed the greater of (x) $2,500,000,000 and (y) 15% of Consolidated Net Tangible Assets, determined as of the last day of the most recent fiscal quarter prior to the date such Indebtedness is incurred for which financial statements have been delivered pursuant to Section 5.01(a) or (b) (or any Permitted Refinancing Indebtedness in respect of the foregoing);</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4"/>
          </w:cols>
          <w:pgMar w:left="436" w:top="274" w:right="459" w:bottom="1440" w:gutter="0" w:footer="0" w:header="0"/>
        </w:sectPr>
      </w:pPr>
    </w:p>
    <w:bookmarkStart w:id="117" w:name="page118"/>
    <w:bookmarkEnd w:id="117"/>
    <w:p>
      <w:pPr>
        <w:ind w:left="1360" w:hanging="373"/>
        <w:spacing w:after="0"/>
        <w:tabs>
          <w:tab w:leader="none" w:pos="13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on any Property of the Borrower or any Subsidiary in favor of the Borrower or any other Subsidiary;</w:t>
      </w:r>
    </w:p>
    <w:p>
      <w:pPr>
        <w:spacing w:after="0" w:line="225" w:lineRule="exact"/>
        <w:rPr>
          <w:rFonts w:ascii="Arial" w:cs="Arial" w:eastAsia="Arial" w:hAnsi="Arial"/>
          <w:sz w:val="18"/>
          <w:szCs w:val="18"/>
          <w:color w:val="auto"/>
        </w:rPr>
      </w:pPr>
    </w:p>
    <w:p>
      <w:pPr>
        <w:ind w:right="220" w:firstLine="987"/>
        <w:spacing w:after="0" w:line="342" w:lineRule="auto"/>
        <w:tabs>
          <w:tab w:leader="none" w:pos="134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23" w:lineRule="exact"/>
        <w:rPr>
          <w:rFonts w:ascii="Arial" w:cs="Arial" w:eastAsia="Arial" w:hAnsi="Arial"/>
          <w:sz w:val="16"/>
          <w:szCs w:val="16"/>
          <w:color w:val="auto"/>
        </w:rPr>
      </w:pPr>
    </w:p>
    <w:p>
      <w:pPr>
        <w:ind w:firstLine="987"/>
        <w:spacing w:after="0" w:line="277" w:lineRule="auto"/>
        <w:tabs>
          <w:tab w:leader="none" w:pos="138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Borrower and its Subsidiaries in the ordinary course of business;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to secure liability to insurance carriers;</w:t>
      </w:r>
    </w:p>
    <w:p>
      <w:pPr>
        <w:spacing w:after="0" w:line="225" w:lineRule="exact"/>
        <w:rPr>
          <w:rFonts w:ascii="Arial" w:cs="Arial" w:eastAsia="Arial" w:hAnsi="Arial"/>
          <w:sz w:val="18"/>
          <w:szCs w:val="18"/>
          <w:color w:val="auto"/>
        </w:rPr>
      </w:pPr>
    </w:p>
    <w:p>
      <w:pPr>
        <w:ind w:right="80" w:firstLine="987"/>
        <w:spacing w:after="0" w:line="277" w:lineRule="auto"/>
        <w:tabs>
          <w:tab w:leader="none" w:pos="142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limited to the applicable unpaid insurance premiums under the insurance policy related to such insurance premium financing arrangement;</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on Cash Equivalents deposited as Cash Collateral on Letters of Credit as contemplated by this Agreement;</w:t>
      </w:r>
    </w:p>
    <w:p>
      <w:pPr>
        <w:spacing w:after="0" w:line="225" w:lineRule="exact"/>
        <w:rPr>
          <w:rFonts w:ascii="Arial" w:cs="Arial" w:eastAsia="Arial" w:hAnsi="Arial"/>
          <w:sz w:val="18"/>
          <w:szCs w:val="18"/>
          <w:color w:val="auto"/>
        </w:rPr>
      </w:pPr>
    </w:p>
    <w:p>
      <w:pPr>
        <w:ind w:firstLine="987"/>
        <w:spacing w:after="0" w:line="277" w:lineRule="auto"/>
        <w:tabs>
          <w:tab w:leader="none" w:pos="138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on any Property of any Subsidiary that is not a Loan Party securing Indebtedness of such Subsidiary that is otherwise permitted under Section 6.01; and</w:t>
      </w:r>
    </w:p>
    <w:p>
      <w:pPr>
        <w:spacing w:after="0" w:line="170" w:lineRule="exact"/>
        <w:rPr>
          <w:rFonts w:ascii="Arial" w:cs="Arial" w:eastAsia="Arial" w:hAnsi="Arial"/>
          <w:sz w:val="18"/>
          <w:szCs w:val="18"/>
          <w:color w:val="auto"/>
        </w:rPr>
      </w:pPr>
    </w:p>
    <w:p>
      <w:pPr>
        <w:jc w:val="both"/>
        <w:ind w:right="240" w:firstLine="987"/>
        <w:spacing w:after="0" w:line="311" w:lineRule="auto"/>
        <w:tabs>
          <w:tab w:leader="none" w:pos="137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Liens on equity interests of any Person formed for the purposes of engaging in activities in the renewable energy sector (including refined coal) that qualify for federal tax benefits allocable to the Borrower and its Subsidiaries in which the Borrower or any Subsidiary has made an investment and Liens on the rights of the Borrower and its Subsidiaries under any agreement relating to any such investment.</w:t>
      </w:r>
    </w:p>
    <w:p>
      <w:pPr>
        <w:spacing w:after="0" w:line="149"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SECTION 6.03 Fundamental Changes. The Borrower will not merge into or consolidate with or transfer all or substantially all of its assets to any other Person, or permit any other Person to merge into or consolidate with it, or liquidate or dissolve, except that, if at the time thereof and immediately after giving effect thereto no Event of Default shall have occurred and be continuing, the Borrower may be consolidated with or merged into any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Investment in connection therewith is otherwise permitted by Section 6.05;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simultaneously with such transaction, (x) the Person formed by such consolidation or into which the Borrower is merged shall expressly assume all obligations of the Borrower under the Loan Documents, (y) the Person formed by such consolidation or into which the Borrower is merged shall be a corporation organized under the laws of a State in the United States, and shall take all actions as may be required to preserve the enforceability of the Loan Documents and (z) the Borrower shall have delivered to the Administrative Agent an officer’s certificate and an opinion of counsel, each stating that such merger or consolidation and such supplement to this Agreement comply with this Agreement.</w:t>
      </w:r>
    </w:p>
    <w:p>
      <w:pPr>
        <w:spacing w:after="0" w:line="18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SECTION 6.04 Restricted Payments. The Borrower will not, and will not permit any of its Subsidiaries to, declare or make, or agree to pay or make, directly or indirectly, any Restricted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80"/>
          </w:cols>
          <w:pgMar w:left="440" w:top="274" w:right="479" w:bottom="1440" w:gutter="0" w:footer="0" w:header="0"/>
        </w:sectPr>
      </w:pPr>
    </w:p>
    <w:bookmarkStart w:id="118" w:name="page119"/>
    <w:bookmarkEnd w:id="118"/>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except (a) the Borrower or any Subsidiary may declare and pay dividends or other distributions with respect to its Equity Interests payable solely in additional shares of its Qualified Equity Interests or options to purchase Qualified Equity Interests; (b) Subsidiaries may declare and make Restricted Payments ratably with respect to their Equity Interests; (c) the Borrower or any Subsidiary may make Restricted Payments pursuant to and in accordance with stock option plans or other benefit plans for present or former officers, directors, consultants or employees of the Borrower and its Subsidiaries in an amount not to exceed $20,000,000 in any fiscal year (with any unused amount of such base amount available for use in the next succeeding fiscal year); (d) the Borrower or any Subsidiary may make Restricted Payments so long as no Event of Default has occurred and is continuing; (e) repurchases of Equity Interests in any Loan Party or any Subsidiary deemed to occur upon exercise of stock options or warrants if such Equity Interests represent a portion of the exercise price of such options or warrants; (f) the payment of cash in lieu of the issuance of fractional shares in connection with the exercise of warrants, options or other securities convertible into or exercisable for Qualified Equity Interests of the Borrower;</w:t>
      </w:r>
    </w:p>
    <w:p>
      <w:pPr>
        <w:spacing w:after="0" w:line="6" w:lineRule="exact"/>
        <w:rPr>
          <w:sz w:val="20"/>
          <w:szCs w:val="20"/>
          <w:color w:val="auto"/>
        </w:rPr>
      </w:pPr>
    </w:p>
    <w:p>
      <w:pPr>
        <w:ind w:left="4" w:right="180" w:hanging="4"/>
        <w:spacing w:after="0" w:line="271" w:lineRule="auto"/>
        <w:tabs>
          <w:tab w:leader="none" w:pos="25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payments made to exercise, settle or terminate any Permitted Warrant Transaction (A) by delivery of the Borrower’s common stock, (B) by set-off against the related Permitted Bond Hedge Transaction, or (C) with cash payments in an aggregate amount not to exceed the aggregate amount of any payments received by the Borrower or any of its Subsidiaries pursuant to the exercise, settlement or termination of any related Permitted Bond Hedge Transaction; (h) payments made in connection with any Permitted Bond Hedge Transaction; and (i) the Borrower or any Subsidiary may make Restricted Payments pursuant to the arrangements set forth in Schedule 6.04.</w:t>
      </w:r>
    </w:p>
    <w:p>
      <w:pPr>
        <w:spacing w:after="0" w:line="17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color w:val="auto"/>
        </w:rPr>
        <w:t>Investments. The Borrower will not, and will not allow any of its Subsidiaries to make or hold any Investments, except:</w:t>
      </w:r>
    </w:p>
    <w:p>
      <w:pPr>
        <w:spacing w:after="0" w:line="225" w:lineRule="exact"/>
        <w:rPr>
          <w:sz w:val="20"/>
          <w:szCs w:val="20"/>
          <w:color w:val="auto"/>
        </w:rPr>
      </w:pPr>
    </w:p>
    <w:p>
      <w:pPr>
        <w:ind w:left="1364" w:hanging="373"/>
        <w:spacing w:after="0"/>
        <w:tabs>
          <w:tab w:leader="none" w:pos="13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Investments by the Borrower or a Subsidiary in cash and Cash Equivalents;</w:t>
      </w:r>
    </w:p>
    <w:p>
      <w:pPr>
        <w:spacing w:after="0" w:line="225" w:lineRule="exact"/>
        <w:rPr>
          <w:rFonts w:ascii="Arial" w:cs="Arial" w:eastAsia="Arial" w:hAnsi="Arial"/>
          <w:sz w:val="18"/>
          <w:szCs w:val="18"/>
          <w:color w:val="auto"/>
        </w:rPr>
      </w:pPr>
    </w:p>
    <w:p>
      <w:pPr>
        <w:ind w:left="4" w:firstLine="987"/>
        <w:spacing w:after="0" w:line="301" w:lineRule="auto"/>
        <w:tabs>
          <w:tab w:leader="none" w:pos="138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loans or advances to officers, directors, consultants and employees of the Borrower and the Subsidiaries (i) for reasonable and customary business-related travel, entertainment, relocation and analogous ordinary business purposes, (ii) in connection with such Person’s purchase of Equity Interests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shall be contributed to the Borrower in cash as common equity, and (iii) for purposes not described in the foregoing subclauses (i) and (ii), in an aggregate principal amount outstanding not to exceed $10,000,000;</w:t>
      </w:r>
    </w:p>
    <w:p>
      <w:pPr>
        <w:spacing w:after="0" w:line="157" w:lineRule="exact"/>
        <w:rPr>
          <w:rFonts w:ascii="Arial" w:cs="Arial" w:eastAsia="Arial" w:hAnsi="Arial"/>
          <w:sz w:val="16"/>
          <w:szCs w:val="16"/>
          <w:color w:val="auto"/>
        </w:rPr>
      </w:pPr>
    </w:p>
    <w:p>
      <w:pPr>
        <w:ind w:left="1364" w:hanging="373"/>
        <w:spacing w:after="0"/>
        <w:tabs>
          <w:tab w:leader="none" w:pos="13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Investments by the Borrower or any Subsidiary in the Borrower or any Subsidiary;</w:t>
      </w:r>
    </w:p>
    <w:p>
      <w:pPr>
        <w:spacing w:after="0" w:line="225" w:lineRule="exact"/>
        <w:rPr>
          <w:rFonts w:ascii="Arial" w:cs="Arial" w:eastAsia="Arial" w:hAnsi="Arial"/>
          <w:sz w:val="18"/>
          <w:szCs w:val="18"/>
          <w:color w:val="auto"/>
        </w:rPr>
      </w:pPr>
    </w:p>
    <w:p>
      <w:pPr>
        <w:ind w:left="4" w:right="100" w:firstLine="987"/>
        <w:spacing w:after="0" w:line="255" w:lineRule="auto"/>
        <w:tabs>
          <w:tab w:leader="none" w:pos="13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Investments consisting of extensions of credit in the nature of accounts receivable or notes receivable arising from the grant of trade credit in the ordinary course of business, and (ii) Investments (including debt obligations and Equity Interests) received in satisfaction or partial satisfaction thereof from financially troubled account debtors and other credits to suppliers in the ordinary course of business or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64"/>
          </w:cols>
          <w:pgMar w:left="436" w:top="274" w:right="499" w:bottom="1440" w:gutter="0" w:footer="0" w:header="0"/>
        </w:sectPr>
      </w:pPr>
    </w:p>
    <w:bookmarkStart w:id="119" w:name="page120"/>
    <w:bookmarkEnd w:id="119"/>
    <w:p>
      <w:pPr>
        <w:ind w:right="100" w:firstLine="987"/>
        <w:spacing w:after="0" w:line="259" w:lineRule="auto"/>
        <w:tabs>
          <w:tab w:leader="none" w:pos="13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 Investments existing or contemplated on the Closing Date and set forth on </w:t>
      </w:r>
      <w:r>
        <w:rPr>
          <w:rFonts w:ascii="Arial" w:cs="Arial" w:eastAsia="Arial" w:hAnsi="Arial"/>
          <w:sz w:val="18"/>
          <w:szCs w:val="18"/>
          <w:u w:val="single" w:color="auto"/>
          <w:color w:val="auto"/>
        </w:rPr>
        <w:t>Schedule 6.05(e)</w:t>
      </w:r>
      <w:r>
        <w:rPr>
          <w:rFonts w:ascii="Arial" w:cs="Arial" w:eastAsia="Arial" w:hAnsi="Arial"/>
          <w:sz w:val="18"/>
          <w:szCs w:val="18"/>
          <w:color w:val="auto"/>
        </w:rPr>
        <w:t xml:space="preserve"> and any modification, replacement, renewal, reinvestment or extension thereof and (ii) Investments existing on the Closing Date by the Borrower or any Subsidiary in the Borrower or any other Subsidiary and any modification, renewal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the original Investment is not increased except by the terms of such Investment or as otherwise permitted by this Section 6.05;</w:t>
      </w:r>
    </w:p>
    <w:p>
      <w:pPr>
        <w:spacing w:after="0" w:line="186" w:lineRule="exact"/>
        <w:rPr>
          <w:rFonts w:ascii="Arial" w:cs="Arial" w:eastAsia="Arial" w:hAnsi="Arial"/>
          <w:sz w:val="18"/>
          <w:szCs w:val="18"/>
          <w:color w:val="auto"/>
        </w:rPr>
      </w:pPr>
    </w:p>
    <w:p>
      <w:pPr>
        <w:ind w:left="1340" w:hanging="353"/>
        <w:spacing w:after="0"/>
        <w:tabs>
          <w:tab w:leader="none" w:pos="1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in Swap Agreements in the ordinary course of business;</w:t>
      </w:r>
    </w:p>
    <w:p>
      <w:pPr>
        <w:spacing w:after="0" w:line="225" w:lineRule="exact"/>
        <w:rPr>
          <w:rFonts w:ascii="Arial" w:cs="Arial" w:eastAsia="Arial" w:hAnsi="Arial"/>
          <w:sz w:val="18"/>
          <w:szCs w:val="18"/>
          <w:color w:val="auto"/>
        </w:rPr>
      </w:pPr>
    </w:p>
    <w:p>
      <w:pPr>
        <w:ind w:right="180" w:firstLine="987"/>
        <w:spacing w:after="0" w:line="277" w:lineRule="auto"/>
        <w:tabs>
          <w:tab w:leader="none" w:pos="138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w:t>
      </w:r>
    </w:p>
    <w:p>
      <w:pPr>
        <w:spacing w:after="0" w:line="225" w:lineRule="exact"/>
        <w:rPr>
          <w:rFonts w:ascii="Arial" w:cs="Arial" w:eastAsia="Arial" w:hAnsi="Arial"/>
          <w:sz w:val="18"/>
          <w:szCs w:val="18"/>
          <w:color w:val="auto"/>
        </w:rPr>
      </w:pPr>
    </w:p>
    <w:p>
      <w:pPr>
        <w:ind w:right="720" w:firstLine="987"/>
        <w:spacing w:after="0" w:line="342" w:lineRule="auto"/>
        <w:tabs>
          <w:tab w:leader="none" w:pos="134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the licensing or contribution of intellectual property pursuant to development, marketing or manufacturing agreements or arrangements or similar agreements or arrangements with other Persons;</w:t>
      </w:r>
    </w:p>
    <w:p>
      <w:pPr>
        <w:spacing w:after="0" w:line="123" w:lineRule="exact"/>
        <w:rPr>
          <w:rFonts w:ascii="Arial" w:cs="Arial" w:eastAsia="Arial" w:hAnsi="Arial"/>
          <w:sz w:val="16"/>
          <w:szCs w:val="16"/>
          <w:color w:val="auto"/>
        </w:rPr>
      </w:pPr>
    </w:p>
    <w:p>
      <w:pPr>
        <w:ind w:left="1340" w:hanging="353"/>
        <w:spacing w:after="0"/>
        <w:tabs>
          <w:tab w:leader="none" w:pos="1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any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has occurred and is continuing at the time such Investment is made;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advances of payroll payments, fees or other compensation to officers, directors, consultants or employees,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1340" w:hanging="353"/>
        <w:spacing w:after="0"/>
        <w:tabs>
          <w:tab w:leader="none" w:pos="13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Investments to the extent that payment for such Investments is made solely with Qualified Equity Interests of the Borrower;</w:t>
      </w:r>
    </w:p>
    <w:p>
      <w:pPr>
        <w:spacing w:after="0" w:line="236" w:lineRule="exact"/>
        <w:rPr>
          <w:rFonts w:ascii="Arial" w:cs="Arial" w:eastAsia="Arial" w:hAnsi="Arial"/>
          <w:sz w:val="17"/>
          <w:szCs w:val="17"/>
          <w:color w:val="auto"/>
        </w:rPr>
      </w:pPr>
    </w:p>
    <w:p>
      <w:pPr>
        <w:ind w:left="1420" w:hanging="433"/>
        <w:spacing w:after="0"/>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customary Investments in connection with Permitted Receivables Facilities;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225" w:lineRule="exact"/>
        <w:rPr>
          <w:rFonts w:ascii="Arial" w:cs="Arial" w:eastAsia="Arial" w:hAnsi="Arial"/>
          <w:sz w:val="18"/>
          <w:szCs w:val="18"/>
          <w:color w:val="auto"/>
        </w:rPr>
      </w:pPr>
    </w:p>
    <w:p>
      <w:pPr>
        <w:ind w:firstLine="987"/>
        <w:spacing w:after="0" w:line="254" w:lineRule="auto"/>
        <w:tabs>
          <w:tab w:leader="none" w:pos="138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Investments in limited liability companies formed for the purposes of engaging in activities in the renewable energy sector (including refined coal) that qualify for Federal tax benefits allocable to the Borrower and its Subsidiaries, including capital contributions and purchase price payments in respect thereof, so long as the Borrower determines in good faith that the amount of such tax benefits is expected to exceed the amount of such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all Investments made in reliance on this clause (q) exceeds $125,000,000 in any fiscal year of the Borrower, the Borrower shall promptly provide the Administrative Agent with a certificate signed by a Financial Officer setting forth a reasonably detailed calculation of the amount of such Investments made (or to be made) in such fiscal year and the expected tax benefits from such Investments;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0"/>
          </w:cols>
          <w:pgMar w:left="440" w:top="274" w:right="479" w:bottom="1440" w:gutter="0" w:footer="0" w:header="0"/>
        </w:sectPr>
      </w:pPr>
    </w:p>
    <w:bookmarkStart w:id="120" w:name="page121"/>
    <w:bookmarkEnd w:id="120"/>
    <w:p>
      <w:pPr>
        <w:ind w:left="4" w:right="80" w:firstLine="987"/>
        <w:spacing w:after="0" w:line="263" w:lineRule="auto"/>
        <w:tabs>
          <w:tab w:leader="none" w:pos="13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resulting from the receipt of promissory notes and other non-cash consideration in connection with any disposition not prohibited under this Agreement or Restricted Payments permitted by Section 6.04, so long as no Event of Default has occurred and is continuing at the time of such agreement relating to such disposition or Restricted Payment.</w:t>
      </w:r>
    </w:p>
    <w:p>
      <w:pPr>
        <w:spacing w:after="0" w:line="18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6.06 Transactions with Affiliates. The Borrower will not, and will not permit any of its Subsidiaries to, sell, lease or otherwise transfer any Property to, or purchase, lease or otherwise acquire any Property from, or otherwise engage in any other transactions with, any of its Affiliates, except (a) at prices and on terms and conditions substantially as favorable to the Borrower or such Subsidiary (in the good faith determination of the Borrower) as would reasonably be obtained on an arm’s-length basis from unrelated third parties, (b) transactions between or among the Borrower and its Subsidiaries and any entity that becomes a Subsidiary as a result of such transaction not involving any other Affiliate, (c) the payment of customary compensation and benefits and reimbursements of out-of-pocket costs to, and the provision of indemnity on behalf of, directors, officers, consultants, employees and members of the Boards of Directors of the Borrower or such Subsidiary, (d) loans and advances to officers, directors, consultants and employees in the ordinary course of business, (e) Restricted Payments and other payments permitted under Section 6.04, (f) employment, incentive, benefit, consulting and severance arrangements entered into (i) in the ordinary course of business or (ii) set forth in </w:t>
      </w:r>
      <w:r>
        <w:rPr>
          <w:rFonts w:ascii="Arial" w:cs="Arial" w:eastAsia="Arial" w:hAnsi="Arial"/>
          <w:sz w:val="16"/>
          <w:szCs w:val="16"/>
          <w:u w:val="single" w:color="auto"/>
          <w:color w:val="auto"/>
        </w:rPr>
        <w:t>Schedule</w:t>
      </w:r>
    </w:p>
    <w:p>
      <w:pPr>
        <w:spacing w:after="0" w:line="6" w:lineRule="exact"/>
        <w:rPr>
          <w:sz w:val="20"/>
          <w:szCs w:val="20"/>
          <w:color w:val="auto"/>
        </w:rPr>
      </w:pPr>
    </w:p>
    <w:p>
      <w:pPr>
        <w:ind w:left="4"/>
        <w:spacing w:after="0" w:line="281" w:lineRule="auto"/>
        <w:rPr>
          <w:sz w:val="20"/>
          <w:szCs w:val="20"/>
          <w:color w:val="auto"/>
        </w:rPr>
      </w:pPr>
      <w:r>
        <w:rPr>
          <w:rFonts w:ascii="Arial" w:cs="Arial" w:eastAsia="Arial" w:hAnsi="Arial"/>
          <w:sz w:val="16"/>
          <w:szCs w:val="16"/>
          <w:u w:val="single" w:color="auto"/>
          <w:color w:val="auto"/>
        </w:rPr>
        <w:t>6.06</w:t>
      </w:r>
      <w:r>
        <w:rPr>
          <w:rFonts w:ascii="Arial" w:cs="Arial" w:eastAsia="Arial" w:hAnsi="Arial"/>
          <w:sz w:val="16"/>
          <w:szCs w:val="16"/>
          <w:color w:val="auto"/>
        </w:rPr>
        <w:t xml:space="preserve">, in each case, with officers, directors, consultants and employees of the Borrower or its Subsidiaries, (g) the transactions pursuant to the agreements set forth in </w:t>
      </w:r>
      <w:r>
        <w:rPr>
          <w:rFonts w:ascii="Arial" w:cs="Arial" w:eastAsia="Arial" w:hAnsi="Arial"/>
          <w:sz w:val="16"/>
          <w:szCs w:val="16"/>
          <w:u w:val="single" w:color="auto"/>
          <w:color w:val="auto"/>
        </w:rPr>
        <w:t>Schedule 6.06</w:t>
      </w:r>
      <w:r>
        <w:rPr>
          <w:rFonts w:ascii="Arial" w:cs="Arial" w:eastAsia="Arial" w:hAnsi="Arial"/>
          <w:sz w:val="16"/>
          <w:szCs w:val="16"/>
          <w:color w:val="auto"/>
        </w:rPr>
        <w:t xml:space="preserve"> or any amendment thereto to the extent such an amendment, taken as a whole, is not adverse to the Lenders in any material respect (as determined in good faith by the Borrower), (h) the payment of fees and expenses related to the Transactions, (i) the issuance of Qualified Equity Interests of the Borrower and the granting of registration or other customary rights in connection therewith, (j) the existence of, and the performance by the Borrower or any Subsidiary of its obligations under the terms of, any limited liability company agreement, limited partnership or other organizational document or securityholders agreement (including any registration rights agreement or purchase agreement related thereto) to which it is a party on the Closing Date and which is set forth on </w:t>
      </w:r>
      <w:r>
        <w:rPr>
          <w:rFonts w:ascii="Arial" w:cs="Arial" w:eastAsia="Arial" w:hAnsi="Arial"/>
          <w:sz w:val="16"/>
          <w:szCs w:val="16"/>
          <w:u w:val="single" w:color="auto"/>
          <w:color w:val="auto"/>
        </w:rPr>
        <w:t>Schedule 6.06</w:t>
      </w:r>
      <w:r>
        <w:rPr>
          <w:rFonts w:ascii="Arial" w:cs="Arial" w:eastAsia="Arial" w:hAnsi="Arial"/>
          <w:sz w:val="16"/>
          <w:szCs w:val="16"/>
          <w:color w:val="auto"/>
        </w:rPr>
        <w:t>, and similar agreements that it may enter into thereafter, provided that the existence of, or the performance by the Borrower or any Subsidiary of obligations under, any amendment to any such existing agreement or any such similar agreement entered into after the Closing Date shall only be permitted by this Section 6.06(j) to the extent not more adverse to the interest of the Lenders in any material respect when taken as a whole (in the good faith determination of the Borrower) than any of such documents and agreements as in effect on the Closing Date, (k) consulting services to joint ventures in the ordinary course of business and any other transactions between or among the Borrower, its Subsidiaries and joint ventures in the ordinary course of business, (l) transactions with landlords, customers, clients, suppliers, joint venture partners or purchasers or sellers of goods and services, in each case in the ordinary course of business and not otherwise prohibited by this Agreement, (m) transactions effected as a part of a Qualified Receivables Transaction, (n) the provision of services to directors or officers of the Borrower or any of its Subsidiaries of the nature provided by the Borrower or any of its Subsidiaries to customers in the ordinary course of business and</w:t>
      </w:r>
    </w:p>
    <w:p>
      <w:pPr>
        <w:spacing w:after="0" w:line="9" w:lineRule="exact"/>
        <w:rPr>
          <w:sz w:val="20"/>
          <w:szCs w:val="20"/>
          <w:color w:val="auto"/>
        </w:rPr>
      </w:pPr>
    </w:p>
    <w:p>
      <w:pPr>
        <w:ind w:left="4" w:right="40" w:hanging="4"/>
        <w:spacing w:after="0" w:line="260" w:lineRule="auto"/>
        <w:tabs>
          <w:tab w:leader="none" w:pos="25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transactions approved by the Audit Committee of the Board of Directors of the Borrower in accordance with the Borrower’s policy regarding related party transactions in effect from time to time.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4"/>
          </w:cols>
          <w:pgMar w:left="436" w:top="274" w:right="459" w:bottom="1440" w:gutter="0" w:footer="0" w:header="0"/>
        </w:sectPr>
      </w:pPr>
    </w:p>
    <w:bookmarkStart w:id="121" w:name="page122"/>
    <w:bookmarkEnd w:id="121"/>
    <w:p>
      <w:pPr>
        <w:ind w:left="444"/>
        <w:spacing w:after="0"/>
        <w:tabs>
          <w:tab w:leader="none" w:pos="1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6.07</w:t>
      </w:r>
      <w:r>
        <w:rPr>
          <w:sz w:val="20"/>
          <w:szCs w:val="20"/>
          <w:color w:val="auto"/>
        </w:rPr>
        <w:tab/>
      </w:r>
      <w:r>
        <w:rPr>
          <w:rFonts w:ascii="Arial" w:cs="Arial" w:eastAsia="Arial" w:hAnsi="Arial"/>
          <w:sz w:val="16"/>
          <w:szCs w:val="16"/>
          <w:color w:val="auto"/>
        </w:rPr>
        <w:t>Financial Covenant. The Borrower will not permit the Consolidated Leverage Ratio as of the last day of any fiscal quarter</w:t>
      </w:r>
    </w:p>
    <w:p>
      <w:pPr>
        <w:spacing w:after="0" w:line="23" w:lineRule="exact"/>
        <w:rPr>
          <w:sz w:val="20"/>
          <w:szCs w:val="20"/>
          <w:color w:val="auto"/>
        </w:rPr>
      </w:pPr>
    </w:p>
    <w:p>
      <w:pPr>
        <w:ind w:left="4" w:right="120" w:hanging="4"/>
        <w:spacing w:after="0" w:line="253" w:lineRule="auto"/>
        <w:tabs>
          <w:tab w:leader="none" w:pos="25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ended on or prior to the first four full fiscal quarters ending after the Closing Date to exceed 4.25 to 1.00 and (y) any fiscal quarter thereafter to exceed 3.75 to 1.00; provided that in lieu of the ratio set forth in this clause (y), for any such date occurring after a Qualified Acquisition, on or prior to the last day of the third full fiscal quarter of the Borrower after the consummation of such Qualified Acquisition, the Borrower will not permit the Consolidated Leverage Ratio as of such date to exceed 4.25 to 1.00.</w:t>
      </w:r>
    </w:p>
    <w:p>
      <w:pPr>
        <w:spacing w:after="0" w:line="193" w:lineRule="exact"/>
        <w:rPr>
          <w:sz w:val="20"/>
          <w:szCs w:val="20"/>
          <w:color w:val="auto"/>
        </w:rPr>
      </w:pPr>
    </w:p>
    <w:p>
      <w:pPr>
        <w:ind w:left="4" w:right="300" w:firstLine="440"/>
        <w:spacing w:after="0" w:line="286" w:lineRule="auto"/>
        <w:rPr>
          <w:sz w:val="20"/>
          <w:szCs w:val="20"/>
          <w:color w:val="auto"/>
        </w:rPr>
      </w:pPr>
      <w:r>
        <w:rPr>
          <w:rFonts w:ascii="Arial" w:cs="Arial" w:eastAsia="Arial" w:hAnsi="Arial"/>
          <w:sz w:val="17"/>
          <w:szCs w:val="17"/>
          <w:color w:val="auto"/>
        </w:rPr>
        <w:t>SECTION 6.08 Lines of Business. The Borrower will not, and will not permit any of its Subsidiaries to, engage to any material extent in any business substantially different from the businesses of the type conducted by the Borrower and its Subsidiaries on the date of execution of this Agreement and businesses reasonably related, ancillary or complementary thereto and reasonable extensions thereof.</w:t>
      </w:r>
    </w:p>
    <w:p>
      <w:pPr>
        <w:spacing w:after="0" w:line="3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 and be continuing at any time on and from the Closing Date (other than the event set forth in paragraph (o) below):</w:t>
      </w:r>
    </w:p>
    <w:p>
      <w:pPr>
        <w:spacing w:after="0" w:line="170" w:lineRule="exact"/>
        <w:rPr>
          <w:sz w:val="20"/>
          <w:szCs w:val="20"/>
          <w:color w:val="auto"/>
        </w:rPr>
      </w:pPr>
    </w:p>
    <w:p>
      <w:pPr>
        <w:ind w:left="4" w:right="180" w:firstLine="987"/>
        <w:spacing w:after="0" w:line="308" w:lineRule="auto"/>
        <w:tabs>
          <w:tab w:leader="none" w:pos="1375"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46" w:lineRule="exact"/>
        <w:rPr>
          <w:rFonts w:ascii="Arial" w:cs="Arial" w:eastAsia="Arial" w:hAnsi="Arial"/>
          <w:sz w:val="17"/>
          <w:szCs w:val="17"/>
          <w:color w:val="auto"/>
        </w:rPr>
      </w:pPr>
    </w:p>
    <w:p>
      <w:pPr>
        <w:ind w:left="1384" w:hanging="393"/>
        <w:spacing w:after="0"/>
        <w:tabs>
          <w:tab w:leader="none" w:pos="138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Borrower shall fail to pay any interest on any Loan or any fee or any other amount (other than an amount referred to in clause</w:t>
      </w:r>
    </w:p>
    <w:p>
      <w:pPr>
        <w:spacing w:after="0" w:line="46" w:lineRule="exact"/>
        <w:rPr>
          <w:rFonts w:ascii="Arial" w:cs="Arial" w:eastAsia="Arial" w:hAnsi="Arial"/>
          <w:sz w:val="16"/>
          <w:szCs w:val="16"/>
          <w:color w:val="auto"/>
        </w:rPr>
      </w:pPr>
    </w:p>
    <w:p>
      <w:pPr>
        <w:ind w:left="4" w:right="60" w:hanging="4"/>
        <w:spacing w:after="0" w:line="260" w:lineRule="auto"/>
        <w:tabs>
          <w:tab w:leader="none" w:pos="2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of this Article) payable under this Agreement, when and as the same shall become due and payable, and such failure shall continue unremedied for a period of five (5) Business Days;</w:t>
      </w:r>
    </w:p>
    <w:p>
      <w:pPr>
        <w:spacing w:after="0" w:line="185" w:lineRule="exact"/>
        <w:rPr>
          <w:rFonts w:ascii="Arial" w:cs="Arial" w:eastAsia="Arial" w:hAnsi="Arial"/>
          <w:sz w:val="18"/>
          <w:szCs w:val="18"/>
          <w:color w:val="auto"/>
        </w:rPr>
      </w:pPr>
    </w:p>
    <w:p>
      <w:pPr>
        <w:ind w:left="4" w:firstLine="987"/>
        <w:spacing w:after="0" w:line="279" w:lineRule="auto"/>
        <w:tabs>
          <w:tab w:leader="none" w:pos="1375"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the Borrower or any Subsidiary in or in connection with this Agreement or any other Loan Document or any amendment or modification thereof or waiver thereunder, or in any report, certificate, financial statement or other document required to be delivered in connection with this Agreement or any other Loan Document or any amendment or modification thereof or waiver thereunder, shall prove to have been incorrect in any material respect when made or deemed made;</w:t>
      </w:r>
    </w:p>
    <w:p>
      <w:pPr>
        <w:spacing w:after="0" w:line="171" w:lineRule="exact"/>
        <w:rPr>
          <w:rFonts w:ascii="Arial" w:cs="Arial" w:eastAsia="Arial" w:hAnsi="Arial"/>
          <w:sz w:val="17"/>
          <w:szCs w:val="17"/>
          <w:color w:val="auto"/>
        </w:rPr>
      </w:pPr>
    </w:p>
    <w:p>
      <w:pPr>
        <w:ind w:left="4" w:right="20" w:firstLine="987"/>
        <w:spacing w:after="0" w:line="277" w:lineRule="auto"/>
        <w:tabs>
          <w:tab w:leader="none" w:pos="138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5.03(i) (as to the Borrower’s existence), Section 5.09(b) or Article VI;</w:t>
      </w:r>
    </w:p>
    <w:p>
      <w:pPr>
        <w:spacing w:after="0" w:line="170" w:lineRule="exact"/>
        <w:rPr>
          <w:rFonts w:ascii="Arial" w:cs="Arial" w:eastAsia="Arial" w:hAnsi="Arial"/>
          <w:sz w:val="18"/>
          <w:szCs w:val="18"/>
          <w:color w:val="auto"/>
        </w:rPr>
      </w:pPr>
    </w:p>
    <w:p>
      <w:pPr>
        <w:ind w:left="4" w:right="140" w:firstLine="987"/>
        <w:spacing w:after="0" w:line="263" w:lineRule="auto"/>
        <w:tabs>
          <w:tab w:leader="none" w:pos="137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Loan Party,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written notice thereof from the Administrative Agent to the Borrower;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4"/>
          </w:cols>
          <w:pgMar w:left="436" w:top="274" w:right="459" w:bottom="1440" w:gutter="0" w:footer="0" w:header="0"/>
        </w:sectPr>
      </w:pPr>
    </w:p>
    <w:bookmarkStart w:id="122" w:name="page123"/>
    <w:bookmarkEnd w:id="122"/>
    <w:p>
      <w:pPr>
        <w:ind w:left="4" w:right="40" w:firstLine="987"/>
        <w:spacing w:after="0" w:line="271" w:lineRule="auto"/>
        <w:tabs>
          <w:tab w:leader="none" w:pos="1355" w:val="left"/>
        </w:tabs>
        <w:numPr>
          <w:ilvl w:val="1"/>
          <w:numId w:val="1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any Loan Party or any Material Subsidiary shall fail to make any payment (whether of principal or interest and regardless of amount) in respect of any Material Indebtedness (other than any Swap Agreement), when and as the same shall become due and payable, or if a grace period shall be applicable to such payment under the agreement or instrument under which such Indebtedness was created, beyond such applicable grace period; or (ii) the occurrence under any Swap Agreement of an “early termination date” (or equivalent event) of such Swap Agreement resulting from any event of default or “termination event” under such Swap Agreement as to which any Loan Party or any Material Subsidiary is the “defaulting party” or “affected party” (or equivalent term) and, in either event, the termination value with respect to any such Swap Agreement owed by any Loan Party or any Material Subsidiary as a result thereof is greater than $250,000,000 and any Loan Party or any Material Subsidiary fails to pay such termination value when due after applicable grace periods.</w:t>
      </w:r>
    </w:p>
    <w:p>
      <w:pPr>
        <w:spacing w:after="0" w:line="178" w:lineRule="exact"/>
        <w:rPr>
          <w:rFonts w:ascii="Arial" w:cs="Arial" w:eastAsia="Arial" w:hAnsi="Arial"/>
          <w:sz w:val="17"/>
          <w:szCs w:val="17"/>
          <w:color w:val="auto"/>
        </w:rPr>
      </w:pPr>
    </w:p>
    <w:p>
      <w:pPr>
        <w:ind w:left="4" w:right="100" w:firstLine="987"/>
        <w:spacing w:after="0" w:line="284" w:lineRule="auto"/>
        <w:tabs>
          <w:tab w:leader="none" w:pos="138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 xml:space="preserve">the Borrower or any Subsidiary shall default in the performance of any obligation in respect of any Material Indebtedness or any “change of control” (or equivalent term) shall occur with respect to any Material Indebtedness, in each case, that results in such Material Indebtedness becoming due prior to its scheduled maturity or that enables or permits (with or without the giving of notice, the lapse of time or both, but after giving effect to any applicable grace period) the holder or holders of such Material Indebtedness or any trustee or agent on its or their behalf to cause such Material Indebtedness to become due, or to require the prepayment, repurchase, redemption or defeasance thereof, prior to its scheduled maturity (other than solely in Qualified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(i) secured Indebtedness that becomes due as a result of the voluntary sale or transfer of the property or assets securing such Indebtedness or as a result of a casualty event affecting such property or assets; or</w:t>
      </w:r>
    </w:p>
    <w:p>
      <w:pPr>
        <w:spacing w:after="0" w:line="2" w:lineRule="exact"/>
        <w:rPr>
          <w:rFonts w:ascii="Arial" w:cs="Arial" w:eastAsia="Arial" w:hAnsi="Arial"/>
          <w:sz w:val="16"/>
          <w:szCs w:val="16"/>
          <w:color w:val="auto"/>
        </w:rPr>
      </w:pPr>
    </w:p>
    <w:p>
      <w:pPr>
        <w:ind w:left="4" w:right="300" w:hanging="4"/>
        <w:spacing w:after="0" w:line="290" w:lineRule="auto"/>
        <w:tabs>
          <w:tab w:leader="none" w:pos="26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any “change of control” put arising as a result of any acquisition of any Acquired Entity or Business or any of its subsidiaries so long as any such Indebtedness that is put in accordance with the terms of such Indebtedness is paid as required by the terms of such Indebtedness;</w:t>
      </w:r>
    </w:p>
    <w:p>
      <w:pPr>
        <w:spacing w:after="0" w:line="161" w:lineRule="exact"/>
        <w:rPr>
          <w:rFonts w:ascii="Arial" w:cs="Arial" w:eastAsia="Arial" w:hAnsi="Arial"/>
          <w:sz w:val="17"/>
          <w:szCs w:val="17"/>
          <w:color w:val="auto"/>
        </w:rPr>
      </w:pPr>
    </w:p>
    <w:p>
      <w:pPr>
        <w:ind w:left="4" w:right="240" w:firstLine="987"/>
        <w:spacing w:after="0" w:line="293" w:lineRule="auto"/>
        <w:tabs>
          <w:tab w:leader="none" w:pos="138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moratorium, bankruptcy, dissolution or other relief in respect of any Loan Party or any Material Subsidiary or its debts, or of a substantial part of its assets, under any Federal, state or foreign bankruptcy, insolvency, receivership or similar law now or hereafter in effect or (ii) the appointment of a receiver, trustee, custodian, sequestrator, conservator, administrator (</w:t>
      </w:r>
      <w:r>
        <w:rPr>
          <w:rFonts w:ascii="Arial" w:cs="Arial" w:eastAsia="Arial" w:hAnsi="Arial"/>
          <w:sz w:val="16"/>
          <w:szCs w:val="16"/>
          <w:i w:val="1"/>
          <w:iCs w:val="1"/>
          <w:color w:val="auto"/>
        </w:rPr>
        <w:t>bewindvoerder</w:t>
      </w:r>
      <w:r>
        <w:rPr>
          <w:rFonts w:ascii="Arial" w:cs="Arial" w:eastAsia="Arial" w:hAnsi="Arial"/>
          <w:sz w:val="16"/>
          <w:szCs w:val="16"/>
          <w:color w:val="auto"/>
        </w:rPr>
        <w:t>), trustee in bankruptcy (</w:t>
      </w:r>
      <w:r>
        <w:rPr>
          <w:rFonts w:ascii="Arial" w:cs="Arial" w:eastAsia="Arial" w:hAnsi="Arial"/>
          <w:sz w:val="16"/>
          <w:szCs w:val="16"/>
          <w:i w:val="1"/>
          <w:iCs w:val="1"/>
          <w:color w:val="auto"/>
        </w:rPr>
        <w:t>curator</w:t>
      </w:r>
      <w:r>
        <w:rPr>
          <w:rFonts w:ascii="Arial" w:cs="Arial" w:eastAsia="Arial" w:hAnsi="Arial"/>
          <w:sz w:val="16"/>
          <w:szCs w:val="16"/>
          <w:color w:val="auto"/>
        </w:rPr>
        <w:t>) or similar official for any Loan Party or any Material Subsidiary or for a substantial part of its assets, and, in any such case, such proceeding or petition shall continue undismissed or unstayed for sixty (60) days or an order or decree approving or ordering any of the foregoing shall be entered;</w:t>
      </w:r>
    </w:p>
    <w:p>
      <w:pPr>
        <w:spacing w:after="0" w:line="164" w:lineRule="exact"/>
        <w:rPr>
          <w:rFonts w:ascii="Arial" w:cs="Arial" w:eastAsia="Arial" w:hAnsi="Arial"/>
          <w:sz w:val="16"/>
          <w:szCs w:val="16"/>
          <w:color w:val="auto"/>
        </w:rPr>
      </w:pPr>
    </w:p>
    <w:p>
      <w:pPr>
        <w:ind w:left="4" w:firstLine="987"/>
        <w:spacing w:after="0" w:line="254" w:lineRule="auto"/>
        <w:tabs>
          <w:tab w:leader="none" w:pos="134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Loan Party or any Material Subsidiary shall (i) voluntarily commence any proceeding or file any petition seeking liquidation, reorganization, moratorium, bankruptcy, dissolution or other relief under any Federal, state or foreign bankruptcy, insolvency, receivership or similar law now or hereafter in effect, (ii) consent to the institution of any proceeding or petition described in clause (h) of this Article, (iii) apply for or consent to the appointment of a receiver, trustee, custodian, sequestrator, conservator, administrator (</w:t>
      </w:r>
      <w:r>
        <w:rPr>
          <w:rFonts w:ascii="Arial" w:cs="Arial" w:eastAsia="Arial" w:hAnsi="Arial"/>
          <w:sz w:val="18"/>
          <w:szCs w:val="18"/>
          <w:i w:val="1"/>
          <w:iCs w:val="1"/>
          <w:color w:val="auto"/>
        </w:rPr>
        <w:t>bewindvoerder</w:t>
      </w:r>
      <w:r>
        <w:rPr>
          <w:rFonts w:ascii="Arial" w:cs="Arial" w:eastAsia="Arial" w:hAnsi="Arial"/>
          <w:sz w:val="18"/>
          <w:szCs w:val="18"/>
          <w:color w:val="auto"/>
        </w:rPr>
        <w:t>), trustee in bankruptcy (</w:t>
      </w:r>
      <w:r>
        <w:rPr>
          <w:rFonts w:ascii="Arial" w:cs="Arial" w:eastAsia="Arial" w:hAnsi="Arial"/>
          <w:sz w:val="18"/>
          <w:szCs w:val="18"/>
          <w:i w:val="1"/>
          <w:iCs w:val="1"/>
          <w:color w:val="auto"/>
        </w:rPr>
        <w:t>curator</w:t>
      </w:r>
      <w:r>
        <w:rPr>
          <w:rFonts w:ascii="Arial" w:cs="Arial" w:eastAsia="Arial" w:hAnsi="Arial"/>
          <w:sz w:val="18"/>
          <w:szCs w:val="18"/>
          <w:color w:val="auto"/>
        </w:rPr>
        <w:t>)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4"/>
          </w:cols>
          <w:pgMar w:left="436" w:top="274" w:right="439" w:bottom="1440" w:gutter="0" w:footer="0" w:header="0"/>
        </w:sectPr>
      </w:pPr>
    </w:p>
    <w:bookmarkStart w:id="123" w:name="page124"/>
    <w:bookmarkEnd w:id="123"/>
    <w:p>
      <w:pPr>
        <w:ind w:right="160" w:firstLine="987"/>
        <w:spacing w:after="0" w:line="277" w:lineRule="auto"/>
        <w:tabs>
          <w:tab w:leader="none" w:pos="13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Loan Party or any Material Subsidiary shall become generally unable, admit in writing its inability generally or fail generally to pay its debts as they become due;</w:t>
      </w:r>
    </w:p>
    <w:p>
      <w:pPr>
        <w:spacing w:after="0" w:line="170" w:lineRule="exact"/>
        <w:rPr>
          <w:rFonts w:ascii="Arial" w:cs="Arial" w:eastAsia="Arial" w:hAnsi="Arial"/>
          <w:sz w:val="18"/>
          <w:szCs w:val="18"/>
          <w:color w:val="auto"/>
        </w:rPr>
      </w:pPr>
    </w:p>
    <w:p>
      <w:pPr>
        <w:ind w:firstLine="987"/>
        <w:spacing w:after="0" w:line="259" w:lineRule="auto"/>
        <w:tabs>
          <w:tab w:leader="none" w:pos="138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one or more final, non-appealable judgments for the payment of money in an aggregate amount in excess of $250,000,000 (to the extent due and payable and not covered by insurance as to which the relevant insurance company has not denied coverage) shall be rendered against any Loan Party, any Material Subsidiary or any combination thereof and the same shall remain unpaid or undischarged for a period of thirty (30) consecutive days during which execution shall not be paid, bonded or effectively stayed;</w:t>
      </w:r>
    </w:p>
    <w:p>
      <w:pPr>
        <w:spacing w:after="0" w:line="186" w:lineRule="exact"/>
        <w:rPr>
          <w:rFonts w:ascii="Arial" w:cs="Arial" w:eastAsia="Arial" w:hAnsi="Arial"/>
          <w:sz w:val="18"/>
          <w:szCs w:val="18"/>
          <w:color w:val="auto"/>
        </w:rPr>
      </w:pPr>
    </w:p>
    <w:p>
      <w:pPr>
        <w:ind w:right="100" w:firstLine="987"/>
        <w:spacing w:after="0" w:line="277" w:lineRule="auto"/>
        <w:tabs>
          <w:tab w:leader="none" w:pos="13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would reasonably be expected to result in a Material Adverse Effect;</w:t>
      </w:r>
    </w:p>
    <w:p>
      <w:pPr>
        <w:spacing w:after="0" w:line="170" w:lineRule="exact"/>
        <w:rPr>
          <w:rFonts w:ascii="Arial" w:cs="Arial" w:eastAsia="Arial" w:hAnsi="Arial"/>
          <w:sz w:val="18"/>
          <w:szCs w:val="18"/>
          <w:color w:val="auto"/>
        </w:rPr>
      </w:pPr>
    </w:p>
    <w:p>
      <w:pPr>
        <w:ind w:left="1420" w:hanging="433"/>
        <w:spacing w:after="0"/>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right="40" w:firstLine="987"/>
        <w:spacing w:after="0" w:line="291" w:lineRule="auto"/>
        <w:tabs>
          <w:tab w:leader="none" w:pos="138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at any time any material provision of any Guarantee Agreement, at any time after its execution and delivery and for any reason other than as expressly permitted hereunder or thereunder (including as a result of a transaction permitted under Section 6.03) or as a result of acts or omissions by the Administrative Agent or any Lender or the satisfaction in full of all the Obligations or pursuant to the provisions of Section 5.09, ceases to be in full force and effect; or any Loan Party contests in writing the validity or enforceability of any provision of any Guarantee Agreement; or any Loan Party denies in writing that it has any further liability or obligations under any Guarantee Agreement (other than as a result of repayment in full of the Obligations and termination of the Commitments or pursuant to the proviso set forth in Section 5.09(a)), or purports in writing to revoke or rescind any Guarantee Agreement, in each case with respect to a material provision of any such Guarantee Agreement; or</w:t>
      </w:r>
    </w:p>
    <w:p>
      <w:pPr>
        <w:spacing w:after="0" w:line="166" w:lineRule="exact"/>
        <w:rPr>
          <w:rFonts w:ascii="Arial" w:cs="Arial" w:eastAsia="Arial" w:hAnsi="Arial"/>
          <w:sz w:val="16"/>
          <w:szCs w:val="16"/>
          <w:color w:val="auto"/>
        </w:rPr>
      </w:pPr>
    </w:p>
    <w:p>
      <w:pPr>
        <w:ind w:left="1380" w:hanging="393"/>
        <w:spacing w:after="0"/>
        <w:tabs>
          <w:tab w:leader="none" w:pos="13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Combination Transactions shall fail for any reason to be consummated within two Business Days following the Closing Date,</w:t>
      </w:r>
    </w:p>
    <w:p>
      <w:pPr>
        <w:spacing w:after="0" w:line="23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then, and in every such event (other than an event with respect to the Borrower described in clause (h), (i) or (j)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 (i) or (j) of this Article, the Commitments shall automatically terminate and the principal of the Loans then outstanding,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4" w:right="459" w:bottom="1440" w:gutter="0" w:footer="0" w:header="0"/>
        </w:sectPr>
      </w:pPr>
    </w:p>
    <w:bookmarkStart w:id="124" w:name="page125"/>
    <w:bookmarkEnd w:id="124"/>
    <w:p>
      <w:pPr>
        <w:ind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together with accrued interest thereon and all fees and other Obligations accrued hereunder and under the other Loan Documents, shall automatically become due and payable, without presentment, demand, protest or other notice of any kind, all of which are hereby waived by the Borrower.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Administrative Agent</w:t>
      </w:r>
    </w:p>
    <w:p>
      <w:pPr>
        <w:spacing w:after="0" w:line="229" w:lineRule="exact"/>
        <w:rPr>
          <w:sz w:val="20"/>
          <w:szCs w:val="20"/>
          <w:color w:val="auto"/>
        </w:rPr>
      </w:pPr>
    </w:p>
    <w:p>
      <w:pPr>
        <w:ind w:right="80" w:firstLine="987"/>
        <w:spacing w:after="0" w:line="290" w:lineRule="auto"/>
        <w:tabs>
          <w:tab w:leader="none" w:pos="137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Each of the Lenders and the Issuing Banks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and the other Loan Documents, together with such actions and powers as are reasonably incidental thereto. The provisions of this Article VIII and Article XI are solely for the benefit of the Administrative Agent, the Lenders and the Issuing Banks, and the Loan Parties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5" w:lineRule="exact"/>
        <w:rPr>
          <w:rFonts w:ascii="Arial" w:cs="Arial" w:eastAsia="Arial" w:hAnsi="Arial"/>
          <w:sz w:val="16"/>
          <w:szCs w:val="16"/>
          <w:color w:val="auto"/>
        </w:rPr>
      </w:pPr>
    </w:p>
    <w:p>
      <w:pPr>
        <w:ind w:right="20" w:firstLine="987"/>
        <w:spacing w:after="0" w:line="272" w:lineRule="auto"/>
        <w:tabs>
          <w:tab w:leader="none" w:pos="137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banking, trust, financial, advisory, underwriting or other kind of business with the Loan Parties or any Subsidiary or other Affiliate thereof as if such Person were not the Administrative Agent hereunder and without any duty to account therefor to the Lenders or to provide notice or consent of the Lenders with respect thereto.</w:t>
      </w:r>
    </w:p>
    <w:p>
      <w:pPr>
        <w:spacing w:after="0" w:line="177" w:lineRule="exact"/>
        <w:rPr>
          <w:rFonts w:ascii="Arial" w:cs="Arial" w:eastAsia="Arial" w:hAnsi="Arial"/>
          <w:sz w:val="17"/>
          <w:szCs w:val="17"/>
          <w:color w:val="auto"/>
        </w:rPr>
      </w:pPr>
    </w:p>
    <w:p>
      <w:pPr>
        <w:ind w:firstLine="987"/>
        <w:spacing w:after="0" w:line="270" w:lineRule="auto"/>
        <w:tabs>
          <w:tab w:leader="none" w:pos="136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The Administrative Agent or the Arrangers, as applicable, shall not have any duties or obligations except those expressly set forth herein and in the other Loan Documents, and its or their duties hereunder shall be administrative in nature. Without limiting the generality of the foregoing, the Administrative Agent or the Arrangers, as applicable, and its Related Parties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in writing as directed by the Required Lenders (or such other number or percentage of the Lenders as shall be expressly provided for herein or by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0"/>
          </w:cols>
          <w:pgMar w:left="440" w:top="274" w:right="479" w:bottom="1440" w:gutter="0" w:footer="0" w:header="0"/>
        </w:sectPr>
      </w:pPr>
    </w:p>
    <w:bookmarkStart w:id="125" w:name="page126"/>
    <w:bookmarkEnd w:id="125"/>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violation of the automatic stay under any Debtor Relief Law or that may effect a forfeiture, modification or termination of property of a Defaulting Lender in violation of any Debtor Relief Law; (c) shall not have any duty or responsibility to disclose, and shall not be liable for the failure to disclose, to any Lender or any Issuing Bank, any credit or other information concerning the business, prospects, operations, property, financial and other condition or creditworthiness of any of the Loan Parties or any of their Affiliates, that is communicated to, obtained or in the possession of, the Administrative Agent, any Arranger or any of their Related Parties in any capacity, except for notices, reports and other documents expressly required to be furnished to the Lenders by the Administrative Agent herein; (d)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herein) or (ii) in the absence of its own gross negligence or willful misconduct as determined by a court of competent jurisdiction by final and non-appealable judgment, and the Administrative Agent shall be deemed not to have knowledge of any Default unless and until written notice describing such Default thereof is given to the Administrative Agent by the Borrower, a Lender or an Issuing Bank; and</w:t>
      </w:r>
    </w:p>
    <w:p>
      <w:pPr>
        <w:spacing w:after="0" w:line="4" w:lineRule="exact"/>
        <w:rPr>
          <w:sz w:val="20"/>
          <w:szCs w:val="20"/>
          <w:color w:val="auto"/>
        </w:rPr>
      </w:pPr>
    </w:p>
    <w:p>
      <w:pPr>
        <w:ind w:left="4" w:right="20" w:hanging="4"/>
        <w:spacing w:after="0" w:line="252" w:lineRule="auto"/>
        <w:tabs>
          <w:tab w:leader="none" w:pos="24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shall not be responsible for or have any duty or obligation to any Lender, any Issuing Bank, any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192" w:lineRule="exact"/>
        <w:rPr>
          <w:rFonts w:ascii="Arial" w:cs="Arial" w:eastAsia="Arial" w:hAnsi="Arial"/>
          <w:sz w:val="18"/>
          <w:szCs w:val="18"/>
          <w:color w:val="auto"/>
        </w:rPr>
      </w:pPr>
    </w:p>
    <w:p>
      <w:pPr>
        <w:ind w:left="4" w:right="100" w:firstLine="987"/>
        <w:spacing w:after="0" w:line="288" w:lineRule="auto"/>
        <w:tabs>
          <w:tab w:leader="none" w:pos="138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68" w:lineRule="exact"/>
        <w:rPr>
          <w:rFonts w:ascii="Arial" w:cs="Arial" w:eastAsia="Arial" w:hAnsi="Arial"/>
          <w:sz w:val="16"/>
          <w:szCs w:val="16"/>
          <w:color w:val="auto"/>
        </w:rPr>
      </w:pPr>
    </w:p>
    <w:p>
      <w:pPr>
        <w:ind w:left="4" w:firstLine="987"/>
        <w:spacing w:after="0" w:line="277" w:lineRule="auto"/>
        <w:tabs>
          <w:tab w:leader="none" w:pos="137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Administrative Agent may perform any and all of its duties and exercise its rights and powers hereunder or under any other Loan Document by or through any one or more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84"/>
          </w:cols>
          <w:pgMar w:left="436" w:top="274" w:right="479" w:bottom="1440" w:gutter="0" w:footer="0" w:header="0"/>
        </w:sectPr>
      </w:pPr>
    </w:p>
    <w:bookmarkStart w:id="126" w:name="page127"/>
    <w:bookmarkEnd w:id="12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subagents appointed by the Administrative Agent. The Administrative Agent and any such subagent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4" w:lineRule="exact"/>
        <w:rPr>
          <w:sz w:val="20"/>
          <w:szCs w:val="20"/>
          <w:color w:val="auto"/>
        </w:rPr>
      </w:pPr>
    </w:p>
    <w:p>
      <w:pPr>
        <w:ind w:right="20" w:firstLine="987"/>
        <w:spacing w:after="0" w:line="289" w:lineRule="auto"/>
        <w:tabs>
          <w:tab w:leader="none" w:pos="1351" w:val="left"/>
        </w:tabs>
        <w:numPr>
          <w:ilvl w:val="1"/>
          <w:numId w:val="165"/>
        </w:numPr>
        <w:rPr>
          <w:rFonts w:ascii="Arial" w:cs="Arial" w:eastAsia="Arial" w:hAnsi="Arial"/>
          <w:sz w:val="16"/>
          <w:szCs w:val="16"/>
          <w:color w:val="auto"/>
        </w:rPr>
      </w:pPr>
      <w:r>
        <w:rPr>
          <w:rFonts w:ascii="Arial" w:cs="Arial" w:eastAsia="Arial" w:hAnsi="Arial"/>
          <w:sz w:val="16"/>
          <w:szCs w:val="16"/>
          <w:color w:val="auto"/>
        </w:rPr>
        <w:t>(i) The Administrative Agent may at any time give notice of its resignation to the Lenders, the Issuing Banks and the Borrower. Upon receipt of any such notice of resignation, the Required Lenders shall have the right, in consultation with the Borrower and (unless an Event of Default under clause (a), (b), (h), (i) or (j) of Article VII shall have occurred and be continuing) with the consent of the Borrower (which consent of the Borrower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and the Issuing Banks, appoint a successor Administrative Agent meeting the qualifications set forth above. Whether or not a successor has been appointed, such resignation shall become effective in accordance with such notice on the Resignation Effective Date.</w:t>
      </w:r>
    </w:p>
    <w:p>
      <w:pPr>
        <w:spacing w:after="0" w:line="58" w:lineRule="exact"/>
        <w:rPr>
          <w:rFonts w:ascii="Arial" w:cs="Arial" w:eastAsia="Arial" w:hAnsi="Arial"/>
          <w:sz w:val="16"/>
          <w:szCs w:val="16"/>
          <w:color w:val="auto"/>
        </w:rPr>
      </w:pPr>
    </w:p>
    <w:p>
      <w:pPr>
        <w:ind w:left="440" w:firstLine="419"/>
        <w:spacing w:after="0" w:line="269" w:lineRule="auto"/>
        <w:tabs>
          <w:tab w:leader="none" w:pos="126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the Borrower in consultation with the Lenders shall, unless an Event of Default shall have occurred and be continuing, in which case the Required Lenders in consultation with the Borrower shall, appoint a successor, which shall be a bank with an office in the United States, or an Affiliate of any such bank with an office in the United States; provided that, without the consent of the Borrower (not to be unreasonably withheld), the Required Lenders shall not be permitted to select a successor that is not a U.S. financial institution described in Treasury Regulation Section 1.1441-1(b)(2)(ii) or a U.S. branch of a foreign bank described in Treasury Regulation Section 1.1441-1(b)(2)(iv)(A). If no such successor shall have been so appointed and shall have accepted such appointment within 30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77" w:lineRule="exact"/>
        <w:rPr>
          <w:rFonts w:ascii="Arial" w:cs="Arial" w:eastAsia="Arial" w:hAnsi="Arial"/>
          <w:sz w:val="17"/>
          <w:szCs w:val="17"/>
          <w:color w:val="auto"/>
        </w:rPr>
      </w:pPr>
    </w:p>
    <w:p>
      <w:pPr>
        <w:ind w:left="440" w:right="220" w:firstLine="419"/>
        <w:spacing w:after="0" w:line="259" w:lineRule="auto"/>
        <w:tabs>
          <w:tab w:leader="none" w:pos="130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4" w:right="459" w:bottom="1440" w:gutter="0" w:footer="0" w:header="0"/>
        </w:sectPr>
      </w:pPr>
    </w:p>
    <w:bookmarkStart w:id="127" w:name="page128"/>
    <w:bookmarkEnd w:id="12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made by, to or through the Administrative Agent shall instead be made by or to each Lender and each Issuing Bank directly, until such time, if any, of the appointment of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2.16(e)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Loan Parties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VIII, Article XI and Section 9.03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76" w:lineRule="exact"/>
        <w:rPr>
          <w:sz w:val="20"/>
          <w:szCs w:val="20"/>
          <w:color w:val="auto"/>
        </w:rPr>
      </w:pPr>
    </w:p>
    <w:p>
      <w:pPr>
        <w:ind w:right="80" w:firstLine="419"/>
        <w:spacing w:after="0" w:line="268" w:lineRule="auto"/>
        <w:tabs>
          <w:tab w:leader="none" w:pos="85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resignation by Bank of America as Administrative Agent pursuant to this clause (f) shall also constitute its resignation as an Issuing Bank and Swingline Lender. If Bank of America resigns as an Issuing Bank, it shall retain all the rights, powers, privileges and duties of an Issuing Bank hereunder with respect to all Letters of Credit outstanding as of the effective date of its resignation as Issuing Bank and all Obligations in respect of Letters of Credit with respect thereto, including the right to 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Upon the appointment by the Borrower of a successor Issuing Bank or Swingline Lender hereunder (which successor shall in all cases be a Lender other than a Defaulting Lender and shall expressly agree to assume such role), (a) such successor shall succeed to and become vested with all of the rights, powers, privileges and duties of the retiring Issuing Bank or Swingline Lender, as applicable,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560"/>
          </w:cols>
          <w:pgMar w:left="880" w:top="274" w:right="459" w:bottom="1440" w:gutter="0" w:footer="0" w:header="0"/>
        </w:sectPr>
      </w:pPr>
    </w:p>
    <w:bookmarkStart w:id="128" w:name="page129"/>
    <w:bookmarkEnd w:id="128"/>
    <w:p>
      <w:pPr>
        <w:ind w:firstLine="987"/>
        <w:spacing w:after="0" w:line="284" w:lineRule="auto"/>
        <w:tabs>
          <w:tab w:leader="none" w:pos="1381"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Lender and each Issuing Bank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any Issuing Bank as to any matter, including whether the Administrative Agent or any Arranger have disclosed material information in their (or their Related Parties’) possession. Each Lender and each Issuing Bank represents to the Administrative Agent and the Arrangers that it has, independently and without reliance upon the Administrative Agent, the Arrangers, any other Lender or other Issuing Bank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Bank also acknowledges that it will, independently and without reliance upon the Administrative Agent, the Arrangers, any other Lender or other Issuing Bank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As of the date it becomes a Lender or an Issuing Bank, as applicable, party hereto, each Lender and each Issuing Bank represents and warrants that (i) it is the intention of such Lender or such Issuing Bank, as applicable, that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4" w:lineRule="exact"/>
        <w:rPr>
          <w:rFonts w:ascii="Arial" w:cs="Arial" w:eastAsia="Arial" w:hAnsi="Arial"/>
          <w:sz w:val="16"/>
          <w:szCs w:val="16"/>
          <w:color w:val="auto"/>
        </w:rPr>
      </w:pPr>
    </w:p>
    <w:p>
      <w:pPr>
        <w:ind w:left="1380" w:hanging="393"/>
        <w:spacing w:after="0"/>
        <w:tabs>
          <w:tab w:leader="none" w:pos="1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987"/>
        <w:spacing w:after="0" w:line="257" w:lineRule="auto"/>
        <w:tabs>
          <w:tab w:leader="none" w:pos="133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Lenders and the Issuing Banks irrevocably agree that any Guarantor shall be automatically released from its obligations under the applicable Guarantee if such Person ceases to be a Subsidiary as a result of a transaction permitted hereunder (and the Administrative Agent may rely conclusively on a certificate to that effect provided to it by a Responsible Officer of the Borrower without further inquiry). Upon request by the Administrative Agent at any time, the Required Lenders (or such greater number of Lenders as may be required by Section 9.02) will confirm in writing the Administrative Agent’s authority to release any Guarantor from its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129" w:name="page130"/>
    <w:bookmarkEnd w:id="129"/>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under the applicable Guarantee pursuant to this paragraph (i).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the applicable Guarantee.</w:t>
      </w:r>
    </w:p>
    <w:p>
      <w:pPr>
        <w:spacing w:after="0" w:line="165" w:lineRule="exact"/>
        <w:rPr>
          <w:sz w:val="20"/>
          <w:szCs w:val="20"/>
          <w:color w:val="auto"/>
        </w:rPr>
      </w:pPr>
    </w:p>
    <w:p>
      <w:pPr>
        <w:ind w:firstLine="987"/>
        <w:spacing w:after="0" w:line="263" w:lineRule="auto"/>
        <w:tabs>
          <w:tab w:leader="none" w:pos="133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Anything herein to the contrary notwithstanding, none of the Arrangers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83" w:lineRule="exact"/>
        <w:rPr>
          <w:rFonts w:ascii="Arial" w:cs="Arial" w:eastAsia="Arial" w:hAnsi="Arial"/>
          <w:sz w:val="18"/>
          <w:szCs w:val="18"/>
          <w:color w:val="auto"/>
        </w:rPr>
      </w:pPr>
    </w:p>
    <w:p>
      <w:pPr>
        <w:ind w:firstLine="987"/>
        <w:spacing w:after="0" w:line="269" w:lineRule="auto"/>
        <w:tabs>
          <w:tab w:leader="none" w:pos="137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Administrative Agent and each Arranger hereby informs the Lenders and the Issuing Banks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(x) may receive interest or other payments with respect to the Loans, the Letters of Credit, the Commitments and this Agreement, (y) may recognize a gain if it extended the Loans, the Letters of Credit or the Commitments for an amount less than the amount being paid for an interest in the Loans, the Letters of Credit or the Commitments by such Lender or (z)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Notices.</w:t>
      </w:r>
    </w:p>
    <w:p>
      <w:pPr>
        <w:spacing w:after="0" w:line="117" w:lineRule="exact"/>
        <w:rPr>
          <w:sz w:val="20"/>
          <w:szCs w:val="20"/>
          <w:color w:val="auto"/>
        </w:rPr>
      </w:pPr>
    </w:p>
    <w:p>
      <w:pPr>
        <w:ind w:right="80" w:firstLine="987"/>
        <w:spacing w:after="0" w:line="279" w:lineRule="auto"/>
        <w:tabs>
          <w:tab w:leader="none" w:pos="1371"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63" w:lineRule="exact"/>
        <w:rPr>
          <w:rFonts w:ascii="Arial" w:cs="Arial" w:eastAsia="Arial" w:hAnsi="Arial"/>
          <w:sz w:val="17"/>
          <w:szCs w:val="17"/>
          <w:color w:val="auto"/>
        </w:rPr>
      </w:pPr>
    </w:p>
    <w:p>
      <w:pPr>
        <w:ind w:left="440" w:right="60" w:firstLine="419"/>
        <w:spacing w:after="0" w:line="277" w:lineRule="auto"/>
        <w:tabs>
          <w:tab w:leader="none" w:pos="121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if to any Loan Party, the Administrative Agent, any Issuing Bank or the Swingline Lender, to the address, telecopier number, electronic mail address or telephone number specified for such Person on </w:t>
      </w:r>
      <w:r>
        <w:rPr>
          <w:rFonts w:ascii="Arial" w:cs="Arial" w:eastAsia="Arial" w:hAnsi="Arial"/>
          <w:sz w:val="18"/>
          <w:szCs w:val="18"/>
          <w:u w:val="single" w:color="auto"/>
          <w:color w:val="auto"/>
        </w:rPr>
        <w:t>Schedule 9.01</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220" w:firstLine="419"/>
        <w:spacing w:after="0" w:line="277" w:lineRule="auto"/>
        <w:tabs>
          <w:tab w:leader="none" w:pos="126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4" w:right="459" w:bottom="1440" w:gutter="0" w:footer="0" w:header="0"/>
        </w:sectPr>
      </w:pPr>
    </w:p>
    <w:bookmarkStart w:id="130" w:name="page131"/>
    <w:bookmarkEnd w:id="130"/>
    <w:p>
      <w:pPr>
        <w:ind w:left="4"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49" w:lineRule="exact"/>
        <w:rPr>
          <w:sz w:val="20"/>
          <w:szCs w:val="20"/>
          <w:color w:val="auto"/>
        </w:rPr>
      </w:pPr>
    </w:p>
    <w:p>
      <w:pPr>
        <w:ind w:left="4" w:right="40" w:firstLine="987"/>
        <w:spacing w:after="0" w:line="254" w:lineRule="auto"/>
        <w:tabs>
          <w:tab w:leader="none" w:pos="1385"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Issuing Banks hereunder may be delivered or furnished by electronic communication (including e-mail, FpML messaging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Issuing Bank pursuant to Article II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5"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1" w:lineRule="exact"/>
        <w:rPr>
          <w:sz w:val="20"/>
          <w:szCs w:val="20"/>
          <w:color w:val="auto"/>
        </w:rPr>
      </w:pPr>
    </w:p>
    <w:p>
      <w:pPr>
        <w:ind w:left="4" w:hanging="4"/>
        <w:spacing w:after="0" w:line="255" w:lineRule="auto"/>
        <w:tabs>
          <w:tab w:leader="none" w:pos="26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rFonts w:ascii="Arial" w:cs="Arial" w:eastAsia="Arial" w:hAnsi="Arial"/>
          <w:sz w:val="18"/>
          <w:szCs w:val="18"/>
          <w:color w:val="auto"/>
        </w:rPr>
      </w:pPr>
    </w:p>
    <w:p>
      <w:pPr>
        <w:ind w:left="4" w:right="60" w:firstLine="987"/>
        <w:spacing w:after="0" w:line="268" w:lineRule="auto"/>
        <w:tabs>
          <w:tab w:leader="none" w:pos="1375" w:val="left"/>
        </w:tabs>
        <w:numPr>
          <w:ilvl w:val="1"/>
          <w:numId w:val="173"/>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INFORMATION.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Loan Party, any Lender, any Issuing Bank or any other Person for losses, claims, damages, liabilities or expenses of any kind (whether in tort, contract or otherwise) arising out of such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any Loan Party, any Lender, any Issuing Bank or any other Person for indirect, special, incidental, consequential or punitive damages (as opposed to direct or actual damages).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84"/>
          </w:cols>
          <w:pgMar w:left="436" w:top="274" w:right="479" w:bottom="1440" w:gutter="0" w:footer="0" w:header="0"/>
        </w:sectPr>
      </w:pPr>
    </w:p>
    <w:bookmarkStart w:id="131" w:name="page132"/>
    <w:bookmarkEnd w:id="131"/>
    <w:p>
      <w:pPr>
        <w:ind w:firstLine="987"/>
        <w:spacing w:after="0" w:line="287" w:lineRule="auto"/>
        <w:tabs>
          <w:tab w:leader="none" w:pos="1381"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of Address, Etc</w:t>
      </w:r>
      <w:r>
        <w:rPr>
          <w:rFonts w:ascii="Arial" w:cs="Arial" w:eastAsia="Arial" w:hAnsi="Arial"/>
          <w:sz w:val="16"/>
          <w:szCs w:val="16"/>
          <w:color w:val="auto"/>
        </w:rPr>
        <w:t>. Each of the Borrower (with respect to the notice address for the Loan Parties), the Administrative Agent, any Issuing Bank and the Swingline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Issuing Banks and the Swingline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any of their securities for purposes of United States Federal or state securities laws.</w:t>
      </w:r>
    </w:p>
    <w:p>
      <w:pPr>
        <w:spacing w:after="0" w:line="171" w:lineRule="exact"/>
        <w:rPr>
          <w:rFonts w:ascii="Arial" w:cs="Arial" w:eastAsia="Arial" w:hAnsi="Arial"/>
          <w:sz w:val="16"/>
          <w:szCs w:val="16"/>
          <w:color w:val="auto"/>
        </w:rPr>
      </w:pPr>
    </w:p>
    <w:p>
      <w:pPr>
        <w:ind w:firstLine="987"/>
        <w:spacing w:after="0" w:line="290" w:lineRule="auto"/>
        <w:tabs>
          <w:tab w:leader="none" w:pos="1371"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Issuing Bank and Lenders</w:t>
      </w:r>
      <w:r>
        <w:rPr>
          <w:rFonts w:ascii="Arial" w:cs="Arial" w:eastAsia="Arial" w:hAnsi="Arial"/>
          <w:sz w:val="16"/>
          <w:szCs w:val="16"/>
          <w:color w:val="auto"/>
        </w:rPr>
        <w:t>. The Administrative Agent, the Issuing Banks and the Lenders shall be entitled to rely and act upon any notices (including telephonic or electronic notices, Letter of Credit Applications, Borrowing Requests and Swingline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each Issuing Bank, each Lender and the Related Parties of each of them from all losses, costs, expenses and liabilities resulting from the reliance by such Person on each notice purportedly given by or on behalf of such Loan Party unless due to such Person’s gross negligence or willful misconduct. All telephonic notices to and other telephonic communications with the Administrative Agent may be recorded by the Administrative Agent, and each of the parties hereto hereby consents to such recording.</w:t>
      </w:r>
    </w:p>
    <w:p>
      <w:pPr>
        <w:spacing w:after="0" w:line="1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Waivers; Amendments.</w:t>
      </w:r>
    </w:p>
    <w:p>
      <w:pPr>
        <w:spacing w:after="0" w:line="117" w:lineRule="exact"/>
        <w:rPr>
          <w:sz w:val="20"/>
          <w:szCs w:val="20"/>
          <w:color w:val="auto"/>
        </w:rPr>
      </w:pPr>
    </w:p>
    <w:p>
      <w:pPr>
        <w:ind w:firstLine="987"/>
        <w:spacing w:after="0" w:line="273" w:lineRule="auto"/>
        <w:tabs>
          <w:tab w:leader="none" w:pos="137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Loan Party therefrom shall in any event be effective unless the same shall be permitted by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132" w:name="page133"/>
    <w:bookmarkEnd w:id="132"/>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49" w:lineRule="exact"/>
        <w:rPr>
          <w:sz w:val="20"/>
          <w:szCs w:val="20"/>
          <w:color w:val="auto"/>
        </w:rPr>
      </w:pPr>
    </w:p>
    <w:p>
      <w:pPr>
        <w:ind w:firstLine="987"/>
        <w:spacing w:after="0" w:line="282" w:lineRule="auto"/>
        <w:tabs>
          <w:tab w:leader="none" w:pos="138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Agreement or any other Loan Document (with respect to such Loan Document), neither this Agreement nor any other Loan Document nor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each Lender directly affected thereby, it being understood that a waiver of any condition precedent set forth in Article IV or the waiver of any Default or mandatory prepayment shall not constitute an increase of any Commitment of any Lender, (ii) reduce the principal amount of any Loan or L/C Advance or reduce the rate of interest or premium thereon, or reduce any fees payable hereunder, without the written consent of each Lender directly affected thereby, it being understood that any change to the definition of “Consolidated Leverage Ratio” or in the component definitions thereof shall not constitute a reduction in the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amend Section 2.12(c) or to waive any obligation of the Borrower to pay interest at the rate set forth therein, (iii) postpone the scheduled date of payment of the principal amount of any Loan or L/C Advance, or any interest thereon, or any fees payable hereunder, or reduce the amount of, waive or excuse any such payment, or postpone the scheduled date of expiration of any Commitment, without the written consent of each Lender directly affected thereby, it being understood that the waiver of (or amendment to the terms of) any mandatory prepayment of the Loans shall not constitute a postponement of any date scheduled for the payment of principal or interest, (iv) change Section 2.17(b) or (c) in a manner that would alter the pro rata sharing of payments required thereby, without the written consent of each Lender directly affected thereby, (v) change any of the provisions of this Section, the definition of “Required Lenders” or the definition of “Alternative Currencies” or any other provision hereof specifying the number or percentage of Lenders required to waive, amend or modify any rights hereunder or make any determination or grant any consent hereunder without the written consent of each Lender or (vi) release all or substantially all of the Guarantors from their obligations under any Guarantee Agreement (other than pursuant to the proviso set forth in</w:t>
      </w:r>
    </w:p>
    <w:p>
      <w:pPr>
        <w:spacing w:after="0" w:line="11" w:lineRule="exact"/>
        <w:rPr>
          <w:rFonts w:ascii="Arial" w:cs="Arial" w:eastAsia="Arial" w:hAnsi="Arial"/>
          <w:sz w:val="16"/>
          <w:szCs w:val="16"/>
          <w:color w:val="auto"/>
        </w:rPr>
      </w:pPr>
    </w:p>
    <w:p>
      <w:pPr>
        <w:ind w:right="10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Section 5.09(a)), without the consent of each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(1) no such agreement shall amend, modify or otherwise affect the rights or duties of the Administrative Agent, any Issuing Bank or the Swingline Lender hereunder without the prior written consent of the Administrative Agent, the relevant Issuing Bank or the Swingline Lender, as the case may be and (2) the Administrative Agent and the Borrower may, with the consent of the other but without the consent of any other Person, amend, modify or supplement this Agreement and any other Loan Document to cure any ambiguity, typographical or technical error, defect or inconsistency. Notwithstanding anything to the contrary herein, no Defaulting Lender shall have any right to approve or disapprove any amendment, waiver or consent hereunder which does not require the consent of each affected Lender (it being understood that any Commitments or Loans held or deemed held by any Defaulting Lender shall be excluded for a vote of the Lenders hereunder requiring any consent of less than all affected Lenders).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4" w:right="459" w:bottom="1440" w:gutter="0" w:footer="0" w:header="0"/>
        </w:sectPr>
      </w:pPr>
    </w:p>
    <w:bookmarkStart w:id="133" w:name="page134"/>
    <w:bookmarkEnd w:id="133"/>
    <w:p>
      <w:pPr>
        <w:ind w:left="4" w:right="10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this Agreement and the other Loan Documents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Credit Exposures and the accrued interest and fees in respect thereof and (ii) to include appropriately the Lenders holding such credit facilities in any determination of the Required Lenders.</w:t>
      </w:r>
    </w:p>
    <w:p>
      <w:pPr>
        <w:spacing w:after="0" w:line="161"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Expenses; Indemnity; Damage Waiver.</w:t>
      </w:r>
    </w:p>
    <w:p>
      <w:pPr>
        <w:spacing w:after="0" w:line="117" w:lineRule="exact"/>
        <w:rPr>
          <w:sz w:val="20"/>
          <w:szCs w:val="20"/>
          <w:color w:val="auto"/>
        </w:rPr>
      </w:pPr>
    </w:p>
    <w:p>
      <w:pPr>
        <w:ind w:left="4" w:right="80" w:firstLine="987"/>
        <w:spacing w:after="0" w:line="287" w:lineRule="auto"/>
        <w:tabs>
          <w:tab w:leader="none" w:pos="1372"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Borrower shall pay (i) all reasonable and documented out-of-pocket expenses incurred by the Administrative Agent, the Arrangers and their Affiliates, including the reasonable and documented fees, charges and disbursements of a single counsel for the Arrangers and the Administrative Agent, collectively (and, if necessary, one local counsel in each applicable jurisdiction and regulatory counsel),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relevant Issuing Bank in connection with the issuance, amendment, renewal or extension of any Letter of Credit or any demand for payment thereunder and (iii) all reasonable and documented out-of-pocket expenses incurred by the Administrative Agent, any Issuing Bank or any Lender, including the reasonable and documented fees, charges and disbursements of a single counsel (and, if necessary, one local counsel in each applicable jurisdiction, regulatory counsel and one additional counsel for each party in the event of a conflict of interest), in connection with the enforcement or protection of its rights in connection with this Agreement, including its rights under this Section,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167" w:lineRule="exact"/>
        <w:rPr>
          <w:rFonts w:ascii="Arial" w:cs="Arial" w:eastAsia="Arial" w:hAnsi="Arial"/>
          <w:sz w:val="16"/>
          <w:szCs w:val="16"/>
          <w:color w:val="auto"/>
        </w:rPr>
      </w:pPr>
    </w:p>
    <w:p>
      <w:pPr>
        <w:ind w:left="4" w:right="60" w:firstLine="987"/>
        <w:spacing w:after="0" w:line="285" w:lineRule="auto"/>
        <w:tabs>
          <w:tab w:leader="none" w:pos="1382"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the Arrangers, each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reasonable and documented out-of-pocket expenses, including the reasonable and documented fees, charges and disbursements of a single counsel for the Indemnitees (and, if necessary, one local counsel in each applicable jurisdiction and one additional counsel for each Indemnitee in the event of a conflict of interest), incurred by or asserted against any Indemnitee arising out of, in connection with, or as a result of</w:t>
      </w:r>
    </w:p>
    <w:p>
      <w:pPr>
        <w:spacing w:after="0" w:line="1" w:lineRule="exact"/>
        <w:rPr>
          <w:rFonts w:ascii="Arial" w:cs="Arial" w:eastAsia="Arial" w:hAnsi="Arial"/>
          <w:sz w:val="16"/>
          <w:szCs w:val="16"/>
          <w:color w:val="auto"/>
        </w:rPr>
      </w:pPr>
    </w:p>
    <w:p>
      <w:pPr>
        <w:ind w:left="4" w:hanging="4"/>
        <w:spacing w:after="0" w:line="252" w:lineRule="auto"/>
        <w:tabs>
          <w:tab w:leader="none" w:pos="21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execution or delivery of this Agreement or any agreement or instrument contemplated hereby, the performance by the parties hereto of their respective obligations hereunder or the consummation of the Transactions or from and after, as applicable, consummation of the Combination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to the extent relating to or arising from any of the foregoing, any actual or alleged presence or release of Hazardous Materials on or from any</w:t>
      </w:r>
    </w:p>
    <w:p>
      <w:pPr>
        <w:spacing w:after="0" w:line="12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84"/>
          </w:cols>
          <w:pgMar w:left="436" w:top="274" w:right="479" w:bottom="1440" w:gutter="0" w:footer="0" w:header="0"/>
        </w:sectPr>
      </w:pPr>
    </w:p>
    <w:bookmarkStart w:id="134" w:name="page135"/>
    <w:bookmarkEnd w:id="13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and regardless of whether any Indemnitee is a party thereto and whether brought by the Borrower, its equityholders or any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bad faith, gross negligence or willful misconduct of such Indemnitee or any of its officers, directors, employees, Affiliates or controlling Persons (such persons, the “</w:t>
      </w:r>
      <w:r>
        <w:rPr>
          <w:rFonts w:ascii="Arial" w:cs="Arial" w:eastAsia="Arial" w:hAnsi="Arial"/>
          <w:sz w:val="17"/>
          <w:szCs w:val="17"/>
          <w:u w:val="single" w:color="auto"/>
          <w:color w:val="auto"/>
        </w:rPr>
        <w:t>Related Indemnitee Parties</w:t>
      </w:r>
      <w:r>
        <w:rPr>
          <w:rFonts w:ascii="Arial" w:cs="Arial" w:eastAsia="Arial" w:hAnsi="Arial"/>
          <w:sz w:val="17"/>
          <w:szCs w:val="17"/>
          <w:color w:val="auto"/>
        </w:rPr>
        <w:t>”), (B) the material breach of this Agreement or any other Loan Document by such Indemnitee or any of its Related Indemnitee Parties or (C) any dispute solely among Indemnitees (other than any dispute involving claims against the Administrative Agent, any Arranger, the Swingline Lender or any Issuing Bank, in each case in its capacity as such) and not arising out of any act or omission of the Borrower or any of its Affiliates. In addition, such indemnity shall not, as to any Indemnitee, be available with respect to any settlements effected without the Borrower’s prior written consent.</w:t>
      </w:r>
    </w:p>
    <w:p>
      <w:pPr>
        <w:spacing w:after="0" w:line="182" w:lineRule="exact"/>
        <w:rPr>
          <w:sz w:val="20"/>
          <w:szCs w:val="20"/>
          <w:color w:val="auto"/>
        </w:rPr>
      </w:pPr>
    </w:p>
    <w:p>
      <w:pPr>
        <w:ind w:right="60" w:firstLine="987"/>
        <w:spacing w:after="0" w:line="255" w:lineRule="auto"/>
        <w:tabs>
          <w:tab w:leader="none" w:pos="136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To the extent that the Borrower fails to pay any amount required to be paid by it to the Administrative Agent, an Issuing Bank or the Swingline Lender under paragraph (a) or (b) of this Section, each Lender severally agrees to pay to the Administrative Agent, the relevant Issuing Bank or the Swingline Lender, as the case may be, such Lender’s pro rata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such Issuing Bank or the Swingline Lender in its capacity as such.</w:t>
      </w:r>
    </w:p>
    <w:p>
      <w:pPr>
        <w:spacing w:after="0" w:line="192" w:lineRule="exact"/>
        <w:rPr>
          <w:rFonts w:ascii="Arial" w:cs="Arial" w:eastAsia="Arial" w:hAnsi="Arial"/>
          <w:sz w:val="18"/>
          <w:szCs w:val="18"/>
          <w:color w:val="auto"/>
        </w:rPr>
      </w:pPr>
    </w:p>
    <w:p>
      <w:pPr>
        <w:ind w:right="80" w:firstLine="987"/>
        <w:spacing w:after="0" w:line="270" w:lineRule="auto"/>
        <w:tabs>
          <w:tab w:leader="none" w:pos="137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Laws, no party hereto shall assert, and each party hereto hereby waives, any claim against any other party hereto and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this clause (d) shall in no way limit the Borrower’s indemnification obligations set forth in this Section 9.03.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or willful misconduct of such Indemnitee.</w:t>
      </w:r>
    </w:p>
    <w:p>
      <w:pPr>
        <w:spacing w:after="0" w:line="180" w:lineRule="exact"/>
        <w:rPr>
          <w:rFonts w:ascii="Arial" w:cs="Arial" w:eastAsia="Arial" w:hAnsi="Arial"/>
          <w:sz w:val="17"/>
          <w:szCs w:val="17"/>
          <w:color w:val="auto"/>
        </w:rPr>
      </w:pPr>
    </w:p>
    <w:p>
      <w:pPr>
        <w:ind w:right="20" w:firstLine="987"/>
        <w:spacing w:after="0" w:line="311" w:lineRule="auto"/>
        <w:tabs>
          <w:tab w:leader="none" w:pos="136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All amounts due under this Section shall be payable not later than fifteen (15) days after written demand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Indemnitee shall promptly refund any amount received under this Section 9.03 to the extent that there is a final judicial or arbitral determination that such Indemnitee was not entitled to indemnification rights with respect to such payment pursuant to the express terms of this Section 9.03.</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80"/>
          </w:cols>
          <w:pgMar w:left="440" w:top="274" w:right="479" w:bottom="1440" w:gutter="0" w:footer="0" w:header="0"/>
        </w:sectPr>
      </w:pPr>
    </w:p>
    <w:bookmarkStart w:id="135" w:name="page136"/>
    <w:bookmarkEnd w:id="135"/>
    <w:p>
      <w:pPr>
        <w:ind w:left="420"/>
        <w:spacing w:after="0"/>
        <w:tabs>
          <w:tab w:leader="none" w:pos="1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9.04</w:t>
      </w:r>
      <w:r>
        <w:rPr>
          <w:sz w:val="20"/>
          <w:szCs w:val="20"/>
          <w:color w:val="auto"/>
        </w:rPr>
        <w:tab/>
      </w:r>
      <w:r>
        <w:rPr>
          <w:rFonts w:ascii="Arial" w:cs="Arial" w:eastAsia="Arial" w:hAnsi="Arial"/>
          <w:sz w:val="15"/>
          <w:szCs w:val="15"/>
          <w:color w:val="auto"/>
        </w:rPr>
        <w:t>Successors and Assigns.</w:t>
      </w:r>
    </w:p>
    <w:p>
      <w:pPr>
        <w:spacing w:after="0" w:line="117" w:lineRule="exact"/>
        <w:rPr>
          <w:sz w:val="20"/>
          <w:szCs w:val="20"/>
          <w:color w:val="auto"/>
        </w:rPr>
      </w:pPr>
    </w:p>
    <w:p>
      <w:pPr>
        <w:ind w:left="-20" w:firstLine="987"/>
        <w:spacing w:after="0" w:line="269" w:lineRule="auto"/>
        <w:tabs>
          <w:tab w:leader="none" w:pos="1351"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Issuing Banks and the Lenders) any legal or equitable right, remedy or claim under or by reason of this Agreement.</w:t>
      </w:r>
    </w:p>
    <w:p>
      <w:pPr>
        <w:spacing w:after="0" w:line="185" w:lineRule="exact"/>
        <w:rPr>
          <w:rFonts w:ascii="Arial" w:cs="Arial" w:eastAsia="Arial" w:hAnsi="Arial"/>
          <w:sz w:val="17"/>
          <w:szCs w:val="17"/>
          <w:color w:val="auto"/>
        </w:rPr>
      </w:pPr>
    </w:p>
    <w:p>
      <w:pPr>
        <w:jc w:val="both"/>
        <w:ind w:left="-20" w:right="60" w:firstLine="987"/>
        <w:spacing w:after="0" w:line="259" w:lineRule="auto"/>
        <w:tabs>
          <w:tab w:leader="none" w:pos="1361"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Any Lender (the “</w:t>
      </w:r>
      <w:r>
        <w:rPr>
          <w:rFonts w:ascii="Arial" w:cs="Arial" w:eastAsia="Arial" w:hAnsi="Arial"/>
          <w:sz w:val="18"/>
          <w:szCs w:val="18"/>
          <w:u w:val="single" w:color="auto"/>
          <w:color w:val="auto"/>
        </w:rPr>
        <w:t>Existing Lender</w:t>
      </w:r>
      <w:r>
        <w:rPr>
          <w:rFonts w:ascii="Arial" w:cs="Arial" w:eastAsia="Arial" w:hAnsi="Arial"/>
          <w:sz w:val="18"/>
          <w:szCs w:val="18"/>
          <w:color w:val="auto"/>
        </w:rPr>
        <w:t>”) may at any time assign to one or more assignees all or a portion of its rights and obligations under this Agreement (including all or a portion of its Commitment and the Loans (including for purposes of this subsection (b), participations in L/C Disbursement and in Swingline Loans) at the time owing to it) (each such assignee being a “</w:t>
      </w: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294" w:lineRule="exact"/>
        <w:rPr>
          <w:rFonts w:ascii="Arial" w:cs="Arial" w:eastAsia="Arial" w:hAnsi="Arial"/>
          <w:sz w:val="18"/>
          <w:szCs w:val="18"/>
          <w:color w:val="auto"/>
        </w:rPr>
      </w:pPr>
    </w:p>
    <w:p>
      <w:pPr>
        <w:ind w:left="1180" w:hanging="341"/>
        <w:spacing w:after="0"/>
        <w:tabs>
          <w:tab w:leader="none" w:pos="118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sz w:val="20"/>
          <w:szCs w:val="20"/>
          <w:color w:val="auto"/>
        </w:rPr>
      </w:pPr>
    </w:p>
    <w:p>
      <w:pPr>
        <w:ind w:left="420" w:right="140" w:firstLine="419"/>
        <w:spacing w:after="0" w:line="342" w:lineRule="auto"/>
        <w:tabs>
          <w:tab w:leader="none" w:pos="127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Commitments and the Loans at the time owing to it or in the case of an assignment to a Lender, an Affiliate of a Lender or an Approved Fund, no minimum amount need be assigned; and</w:t>
      </w:r>
    </w:p>
    <w:p>
      <w:pPr>
        <w:spacing w:after="0" w:line="15" w:lineRule="exact"/>
        <w:rPr>
          <w:rFonts w:ascii="Arial" w:cs="Arial" w:eastAsia="Arial" w:hAnsi="Arial"/>
          <w:sz w:val="16"/>
          <w:szCs w:val="16"/>
          <w:color w:val="auto"/>
        </w:rPr>
      </w:pPr>
    </w:p>
    <w:p>
      <w:pPr>
        <w:ind w:left="420" w:right="20" w:firstLine="419"/>
        <w:spacing w:after="0" w:line="289" w:lineRule="auto"/>
        <w:tabs>
          <w:tab w:leader="none" w:pos="126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until the interpretation of the term “public” (as referred to in Article 4.1(1) of the Capital Requirements Regulation (EU 575/2013)) has been published by the competent authority, the value of the rights assigned or transferred is at least €100,000 (or its equivalent in another currency) or (y) as soon as the interpretation of the term “public” has been published by the competent authority, the Lender is not considered to be part of the public on the basis of such interpretation.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80"/>
          </w:cols>
          <w:pgMar w:left="460" w:top="274" w:right="459" w:bottom="1440" w:gutter="0" w:footer="0" w:header="0"/>
        </w:sectPr>
      </w:pPr>
    </w:p>
    <w:bookmarkStart w:id="136" w:name="page137"/>
    <w:bookmarkEnd w:id="136"/>
    <w:p>
      <w:pPr>
        <w:ind w:left="4" w:right="200" w:firstLine="419"/>
        <w:spacing w:after="0" w:line="291" w:lineRule="auto"/>
        <w:tabs>
          <w:tab w:leader="none" w:pos="826"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with respect to the Loans or the Commitment of the Class being assigned, except that this clause</w:t>
      </w:r>
    </w:p>
    <w:p>
      <w:pPr>
        <w:jc w:val="both"/>
        <w:ind w:left="4" w:right="120" w:hanging="4"/>
        <w:spacing w:after="0" w:line="255" w:lineRule="auto"/>
        <w:tabs>
          <w:tab w:leader="none" w:pos="26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shall not (A) apply to the Swingline Lender’s rights and obligations in respect of Swingline Loans or (B) prohibit any Lender from assigning all or a portion of its rights and obligations in respect of any Class of Loans or commitments provided hereunder and any other Class of Loans or Commitment provided hereunder on a non-pro rata basis;</w:t>
      </w:r>
    </w:p>
    <w:p>
      <w:pPr>
        <w:spacing w:after="0" w:line="81" w:lineRule="exact"/>
        <w:rPr>
          <w:rFonts w:ascii="Arial" w:cs="Arial" w:eastAsia="Arial" w:hAnsi="Arial"/>
          <w:sz w:val="18"/>
          <w:szCs w:val="18"/>
          <w:color w:val="auto"/>
        </w:rPr>
      </w:pPr>
    </w:p>
    <w:p>
      <w:pPr>
        <w:ind w:left="4" w:right="480" w:firstLine="419"/>
        <w:spacing w:after="0" w:line="277" w:lineRule="auto"/>
        <w:tabs>
          <w:tab w:leader="none" w:pos="876"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62" w:lineRule="exact"/>
        <w:rPr>
          <w:sz w:val="20"/>
          <w:szCs w:val="20"/>
          <w:color w:val="auto"/>
        </w:rPr>
      </w:pPr>
    </w:p>
    <w:p>
      <w:pPr>
        <w:ind w:left="4" w:right="20" w:firstLine="419"/>
        <w:spacing w:after="0" w:line="301" w:lineRule="auto"/>
        <w:tabs>
          <w:tab w:leader="none" w:pos="85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or delayed) shall be required unless an Event of Default pursuant to clause (a), (b), (h), (i) or (j) of Article VII has occurred and is continuing at the time of such assignment or the assignment is made to a Lender or to a Lender’s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49" w:lineRule="exact"/>
        <w:rPr>
          <w:rFonts w:ascii="Arial" w:cs="Arial" w:eastAsia="Arial" w:hAnsi="Arial"/>
          <w:sz w:val="16"/>
          <w:szCs w:val="16"/>
          <w:color w:val="auto"/>
        </w:rPr>
      </w:pPr>
    </w:p>
    <w:p>
      <w:pPr>
        <w:ind w:left="4" w:firstLine="419"/>
        <w:spacing w:after="0" w:line="277" w:lineRule="auto"/>
        <w:tabs>
          <w:tab w:leader="none" w:pos="84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any Revolving Commitment unless the assignment is to a Lender or its Affiliate;</w:t>
      </w:r>
    </w:p>
    <w:p>
      <w:pPr>
        <w:spacing w:after="0" w:line="62" w:lineRule="exact"/>
        <w:rPr>
          <w:rFonts w:ascii="Arial" w:cs="Arial" w:eastAsia="Arial" w:hAnsi="Arial"/>
          <w:sz w:val="18"/>
          <w:szCs w:val="18"/>
          <w:color w:val="auto"/>
        </w:rPr>
      </w:pPr>
    </w:p>
    <w:p>
      <w:pPr>
        <w:ind w:left="4" w:right="140" w:firstLine="419"/>
        <w:spacing w:after="0" w:line="342" w:lineRule="auto"/>
        <w:tabs>
          <w:tab w:leader="none" w:pos="84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consent of each Issuing Bank (such consent not to be unreasonably withheld or delayed) shall be required for any assignment that increases the obligation of the assignee to participate in exposure under one or more Letters of Credit (whether or not then outstanding); and</w:t>
      </w:r>
    </w:p>
    <w:p>
      <w:pPr>
        <w:spacing w:after="0" w:line="15" w:lineRule="exact"/>
        <w:rPr>
          <w:rFonts w:ascii="Arial" w:cs="Arial" w:eastAsia="Arial" w:hAnsi="Arial"/>
          <w:sz w:val="16"/>
          <w:szCs w:val="16"/>
          <w:color w:val="auto"/>
        </w:rPr>
      </w:pPr>
    </w:p>
    <w:p>
      <w:pPr>
        <w:ind w:left="4" w:right="20" w:firstLine="419"/>
        <w:spacing w:after="0" w:line="277" w:lineRule="auto"/>
        <w:tabs>
          <w:tab w:leader="none" w:pos="85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consent of the Swingline Lender (such consent not to be unreasonably withheld or delayed) shall be required for any assignment in respect of the Revolving Credit Facility.</w:t>
      </w:r>
    </w:p>
    <w:p>
      <w:pPr>
        <w:spacing w:after="0" w:line="62" w:lineRule="exact"/>
        <w:rPr>
          <w:sz w:val="20"/>
          <w:szCs w:val="20"/>
          <w:color w:val="auto"/>
        </w:rPr>
      </w:pPr>
    </w:p>
    <w:p>
      <w:pPr>
        <w:jc w:val="both"/>
        <w:ind w:left="4" w:firstLine="419"/>
        <w:spacing w:after="0" w:line="301" w:lineRule="auto"/>
        <w:tabs>
          <w:tab w:leader="none" w:pos="866"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Administrative Agent may, in its sole discretion, elect to waive such processing and recordation fee in the case of any assignment. The assignee, if it is not a Lender, shall deliver to the Administrative Agent an Administrative Questionnaire and any tax forms required by Section 2.16(e).</w:t>
      </w:r>
    </w:p>
    <w:p>
      <w:pPr>
        <w:spacing w:after="0" w:line="49" w:lineRule="exact"/>
        <w:rPr>
          <w:rFonts w:ascii="Arial" w:cs="Arial" w:eastAsia="Arial" w:hAnsi="Arial"/>
          <w:sz w:val="16"/>
          <w:szCs w:val="16"/>
          <w:color w:val="auto"/>
        </w:rPr>
      </w:pPr>
    </w:p>
    <w:p>
      <w:pPr>
        <w:ind w:left="804" w:hanging="381"/>
        <w:spacing w:after="0"/>
        <w:tabs>
          <w:tab w:leader="none" w:pos="804"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No Assignment to Loan Parties</w:t>
      </w:r>
      <w:r>
        <w:rPr>
          <w:rFonts w:ascii="Arial" w:cs="Arial" w:eastAsia="Arial" w:hAnsi="Arial"/>
          <w:sz w:val="16"/>
          <w:szCs w:val="16"/>
          <w:color w:val="auto"/>
        </w:rPr>
        <w:t>. No such assignment shall be made to any Loan Party or any Loan Party’s Affiliates or Subsidiaries.</w:t>
      </w:r>
    </w:p>
    <w:p>
      <w:pPr>
        <w:spacing w:after="0" w:line="140" w:lineRule="exact"/>
        <w:rPr>
          <w:rFonts w:ascii="Arial" w:cs="Arial" w:eastAsia="Arial" w:hAnsi="Arial"/>
          <w:sz w:val="16"/>
          <w:szCs w:val="16"/>
          <w:color w:val="auto"/>
        </w:rPr>
      </w:pPr>
    </w:p>
    <w:p>
      <w:pPr>
        <w:ind w:left="864" w:hanging="441"/>
        <w:spacing w:after="0"/>
        <w:tabs>
          <w:tab w:leader="none" w:pos="86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564"/>
          </w:cols>
          <w:pgMar w:left="876" w:top="274" w:right="459" w:bottom="1440" w:gutter="0" w:footer="0" w:header="0"/>
        </w:sectPr>
      </w:pPr>
    </w:p>
    <w:bookmarkStart w:id="137" w:name="page138"/>
    <w:bookmarkEnd w:id="137"/>
    <w:p>
      <w:pPr>
        <w:ind w:left="440" w:right="40" w:firstLine="419"/>
        <w:spacing w:after="0" w:line="287" w:lineRule="auto"/>
        <w:tabs>
          <w:tab w:leader="none" w:pos="1353"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Administrative Agent and the Borrower,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Issuing Bank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63" w:lineRule="exact"/>
        <w:rPr>
          <w:rFonts w:ascii="Arial" w:cs="Arial" w:eastAsia="Arial" w:hAnsi="Arial"/>
          <w:sz w:val="16"/>
          <w:szCs w:val="16"/>
          <w:color w:val="auto"/>
        </w:rPr>
      </w:pPr>
    </w:p>
    <w:p>
      <w:pPr>
        <w:ind w:left="440" w:firstLine="419"/>
        <w:spacing w:after="0" w:line="269" w:lineRule="auto"/>
        <w:tabs>
          <w:tab w:leader="none" w:pos="140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8" w:lineRule="exact"/>
        <w:rPr>
          <w:rFonts w:ascii="Arial" w:cs="Arial" w:eastAsia="Arial" w:hAnsi="Arial"/>
          <w:sz w:val="17"/>
          <w:szCs w:val="17"/>
          <w:color w:val="auto"/>
        </w:rPr>
      </w:pPr>
    </w:p>
    <w:p>
      <w:pPr>
        <w:jc w:val="both"/>
        <w:ind w:right="20" w:firstLine="987"/>
        <w:spacing w:after="0" w:line="255" w:lineRule="auto"/>
        <w:tabs>
          <w:tab w:leader="none" w:pos="1371"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 non-fiduciary agent of the Borrower (and such agency being solely for tax purposes),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and interest thereon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138" w:name="page139"/>
    <w:bookmarkEnd w:id="138"/>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4" w:lineRule="exact"/>
        <w:rPr>
          <w:sz w:val="20"/>
          <w:szCs w:val="20"/>
          <w:color w:val="auto"/>
        </w:rPr>
      </w:pPr>
    </w:p>
    <w:p>
      <w:pPr>
        <w:ind w:firstLine="987"/>
        <w:spacing w:after="0" w:line="253" w:lineRule="auto"/>
        <w:tabs>
          <w:tab w:leader="none" w:pos="1381"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(the “</w:t>
      </w:r>
      <w:r>
        <w:rPr>
          <w:rFonts w:ascii="Arial" w:cs="Arial" w:eastAsia="Arial" w:hAnsi="Arial"/>
          <w:sz w:val="18"/>
          <w:szCs w:val="18"/>
          <w:u w:val="single" w:color="auto"/>
          <w:color w:val="auto"/>
        </w:rPr>
        <w:t>Existing Lender</w:t>
      </w:r>
      <w:r>
        <w:rPr>
          <w:rFonts w:ascii="Arial" w:cs="Arial" w:eastAsia="Arial" w:hAnsi="Arial"/>
          <w:sz w:val="18"/>
          <w:szCs w:val="18"/>
          <w:color w:val="auto"/>
        </w:rPr>
        <w:t>”) may at any time, without the consent of, or notice to, the Borrower, the Administrative Agent, Swingline Lender or Issuing Bank, sell participations to any Person (other than a natural person, a Defaulting Lender or the Borrower or any of the 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or a “</w:t>
      </w: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Disbursements and/or Swingline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Issuing Banks shall continue to deal solely and directly with such Lender in connection with such Lender’s rights and obligations under this Agreement. For the avoidance of doubt, each Lender shall be responsible for the indemnity under Section 9.03(c) without regard to the existence of any participation.</w:t>
      </w:r>
    </w:p>
    <w:p>
      <w:pPr>
        <w:spacing w:after="0" w:line="196" w:lineRule="exact"/>
        <w:rPr>
          <w:sz w:val="20"/>
          <w:szCs w:val="20"/>
          <w:color w:val="auto"/>
        </w:rPr>
      </w:pPr>
    </w:p>
    <w:p>
      <w:pPr>
        <w:ind w:right="100" w:firstLine="1432"/>
        <w:spacing w:after="0" w:line="285"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Section 9.02(b)(i) that affects such Participant. Subject to subsection (e) of this Section, the Borrower agrees that each Participant shall be entitled to the benefits of Sections 2.14, 2.15 and 2.16 (subject to the requirements and limitations therein, including the requirements under Section 2.16(e)) to the same extent as if it were a Lender and had acquired its interest by assignment pursuant to subsection (b) of this Section. To the extent permitted by law, each Participant also shall be entitled to the benefits of Section 9.08 as though it were a Lender, provided such Participant agrees to be subject to Sections 2.17 and 2.18 as though it were a Lender. Each Lender that sells a participation shall, acting solely for this purpose as a non-fiduciary agent of the Borrower, maintain a register on which it enters the name and address of each Participant and the principal amounts and interest thereon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the participation in question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80"/>
          </w:cols>
          <w:pgMar w:left="440" w:top="274" w:right="479" w:bottom="1440" w:gutter="0" w:footer="0" w:header="0"/>
        </w:sectPr>
      </w:pPr>
    </w:p>
    <w:bookmarkStart w:id="139" w:name="page140"/>
    <w:bookmarkEnd w:id="139"/>
    <w:p>
      <w:pPr>
        <w:ind w:left="1364" w:hanging="373"/>
        <w:spacing w:after="0"/>
        <w:tabs>
          <w:tab w:leader="none" w:pos="1364"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Limitations upon New Lender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24" w:hanging="392"/>
        <w:spacing w:after="0"/>
        <w:tabs>
          <w:tab w:leader="none" w:pos="182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Subject to Section 9.04(e)(ii) below, if:</w:t>
      </w:r>
    </w:p>
    <w:p>
      <w:pPr>
        <w:spacing w:after="0" w:line="117" w:lineRule="exact"/>
        <w:rPr>
          <w:rFonts w:ascii="Arial" w:cs="Arial" w:eastAsia="Arial" w:hAnsi="Arial"/>
          <w:sz w:val="18"/>
          <w:szCs w:val="18"/>
          <w:color w:val="auto"/>
        </w:rPr>
      </w:pPr>
    </w:p>
    <w:p>
      <w:pPr>
        <w:ind w:left="984" w:right="480" w:firstLine="910"/>
        <w:spacing w:after="0" w:line="277" w:lineRule="auto"/>
        <w:tabs>
          <w:tab w:leader="none" w:pos="2316" w:val="left"/>
        </w:tabs>
        <w:numPr>
          <w:ilvl w:val="2"/>
          <w:numId w:val="189"/>
        </w:numPr>
        <w:rPr>
          <w:rFonts w:ascii="Arial" w:cs="Arial" w:eastAsia="Arial" w:hAnsi="Arial"/>
          <w:sz w:val="18"/>
          <w:szCs w:val="18"/>
          <w:color w:val="auto"/>
        </w:rPr>
      </w:pPr>
      <w:r>
        <w:rPr>
          <w:rFonts w:ascii="Arial" w:cs="Arial" w:eastAsia="Arial" w:hAnsi="Arial"/>
          <w:sz w:val="18"/>
          <w:szCs w:val="18"/>
          <w:color w:val="auto"/>
        </w:rPr>
        <w:t>a Lender assigns, transfers, sells, pledges or assigns a security interest in any of its rights or obligations under this Agreement or changes its Lending Office; and</w:t>
      </w:r>
    </w:p>
    <w:p>
      <w:pPr>
        <w:spacing w:after="0" w:line="62" w:lineRule="exact"/>
        <w:rPr>
          <w:rFonts w:ascii="Arial" w:cs="Arial" w:eastAsia="Arial" w:hAnsi="Arial"/>
          <w:sz w:val="18"/>
          <w:szCs w:val="18"/>
          <w:color w:val="auto"/>
        </w:rPr>
      </w:pPr>
    </w:p>
    <w:p>
      <w:pPr>
        <w:ind w:left="984" w:right="60" w:firstLine="910"/>
        <w:spacing w:after="0" w:line="263" w:lineRule="auto"/>
        <w:tabs>
          <w:tab w:leader="none" w:pos="2306" w:val="left"/>
        </w:tabs>
        <w:numPr>
          <w:ilvl w:val="2"/>
          <w:numId w:val="189"/>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sale, pledge, assignment of the security interest or change occurs, a Loan Party would be obliged to make a payment to the New Lender or Lender acting through its new Lending Office under Section 2.14 or Section 2.16,</w:t>
      </w:r>
    </w:p>
    <w:p>
      <w:pPr>
        <w:spacing w:after="0" w:line="76" w:lineRule="exact"/>
        <w:rPr>
          <w:sz w:val="20"/>
          <w:szCs w:val="20"/>
          <w:color w:val="auto"/>
        </w:rPr>
      </w:pPr>
    </w:p>
    <w:p>
      <w:pPr>
        <w:ind w:left="984"/>
        <w:spacing w:after="0" w:line="263" w:lineRule="auto"/>
        <w:rPr>
          <w:sz w:val="20"/>
          <w:szCs w:val="20"/>
          <w:color w:val="auto"/>
        </w:rPr>
      </w:pPr>
      <w:r>
        <w:rPr>
          <w:rFonts w:ascii="Arial" w:cs="Arial" w:eastAsia="Arial" w:hAnsi="Arial"/>
          <w:sz w:val="18"/>
          <w:szCs w:val="18"/>
          <w:color w:val="auto"/>
        </w:rPr>
        <w:t>then the New Lender or Lender acting through its new Lending Office is only entitled to receive payment under those Sections to the same extent as the Existing Lender or Lender acting through its previous Lending Office would have been if the assignment, transfer, sale, pledge, assignment of the security interest or change had not occurred.</w:t>
      </w:r>
    </w:p>
    <w:p>
      <w:pPr>
        <w:spacing w:after="0" w:line="184" w:lineRule="exact"/>
        <w:rPr>
          <w:sz w:val="20"/>
          <w:szCs w:val="20"/>
          <w:color w:val="auto"/>
        </w:rPr>
      </w:pPr>
    </w:p>
    <w:p>
      <w:pPr>
        <w:ind w:left="4" w:right="260" w:firstLine="1428"/>
        <w:spacing w:after="0" w:line="296" w:lineRule="auto"/>
        <w:tabs>
          <w:tab w:leader="none" w:pos="1826" w:val="left"/>
        </w:tabs>
        <w:numPr>
          <w:ilvl w:val="2"/>
          <w:numId w:val="190"/>
        </w:numPr>
        <w:rPr>
          <w:rFonts w:ascii="Arial" w:cs="Arial" w:eastAsia="Arial" w:hAnsi="Arial"/>
          <w:sz w:val="16"/>
          <w:szCs w:val="16"/>
          <w:color w:val="auto"/>
        </w:rPr>
      </w:pPr>
      <w:r>
        <w:rPr>
          <w:rFonts w:ascii="Arial" w:cs="Arial" w:eastAsia="Arial" w:hAnsi="Arial"/>
          <w:sz w:val="16"/>
          <w:szCs w:val="16"/>
          <w:color w:val="auto"/>
        </w:rPr>
        <w:t>A New Lender shall not be entitled to receive any greater payment under Section 2.14 or 2.16 than the applicable Lender would have been entitled to receive with respect to the participation sold to such Participant, unless the sale of the participation to such Participant is made with the Borrower’s prior written consent or results from a Change in Law after the sale of such participation. A Participant that would be a Foreign Lender if it were a Lender shall not be entitled to the benefits of Section 2.16 unless the Borrower is notified of the participation sold to such Participant and such Participant agrees, for the benefit of the Borrower, to comply with Section 2.16 as though it were a Lender.</w:t>
      </w:r>
    </w:p>
    <w:p>
      <w:pPr>
        <w:spacing w:after="0" w:line="161" w:lineRule="exact"/>
        <w:rPr>
          <w:rFonts w:ascii="Arial" w:cs="Arial" w:eastAsia="Arial" w:hAnsi="Arial"/>
          <w:sz w:val="16"/>
          <w:szCs w:val="16"/>
          <w:color w:val="auto"/>
        </w:rPr>
      </w:pPr>
    </w:p>
    <w:p>
      <w:pPr>
        <w:ind w:left="4" w:right="80" w:firstLine="987"/>
        <w:spacing w:after="0" w:line="301" w:lineRule="auto"/>
        <w:tabs>
          <w:tab w:leader="none" w:pos="1355"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Any Lender (the “</w:t>
      </w:r>
      <w:r>
        <w:rPr>
          <w:rFonts w:ascii="Arial" w:cs="Arial" w:eastAsia="Arial" w:hAnsi="Arial"/>
          <w:sz w:val="16"/>
          <w:szCs w:val="16"/>
          <w:u w:val="single" w:color="auto"/>
          <w:color w:val="auto"/>
        </w:rPr>
        <w:t>Existing Lender</w:t>
      </w:r>
      <w:r>
        <w:rPr>
          <w:rFonts w:ascii="Arial" w:cs="Arial" w:eastAsia="Arial" w:hAnsi="Arial"/>
          <w:sz w:val="16"/>
          <w:szCs w:val="16"/>
          <w:color w:val="auto"/>
        </w:rPr>
        <w:t>”) may at any time pledge or assign a security interest in all or any portion of its rights under this Agreement (including under its Note(s), if any) to secure obligations of such Lender, including any pledge or assignment to secure obligations to a Federal Reserve Bank or other central bank (each such pledgee or assignee being a “</w:t>
      </w:r>
      <w:r>
        <w:rPr>
          <w:rFonts w:ascii="Arial" w:cs="Arial" w:eastAsia="Arial" w:hAnsi="Arial"/>
          <w:sz w:val="16"/>
          <w:szCs w:val="16"/>
          <w:u w:val="single" w:color="auto"/>
          <w:color w:val="auto"/>
        </w:rPr>
        <w:t>New Lender</w:t>
      </w:r>
      <w:r>
        <w:rPr>
          <w:rFonts w:ascii="Arial" w:cs="Arial" w:eastAsia="Arial" w:hAnsi="Arial"/>
          <w:sz w:val="16"/>
          <w:szCs w:val="16"/>
          <w:color w:val="auto"/>
        </w:rPr>
        <w:t>”); provided that no such pledge or assignment shall release such Lender from any of its obligations hereunder or substitute any such pledgee or assignee for such Lender as a party hereto.</w:t>
      </w:r>
    </w:p>
    <w:p>
      <w:pPr>
        <w:spacing w:after="0" w:line="157" w:lineRule="exact"/>
        <w:rPr>
          <w:rFonts w:ascii="Arial" w:cs="Arial" w:eastAsia="Arial" w:hAnsi="Arial"/>
          <w:sz w:val="16"/>
          <w:szCs w:val="16"/>
          <w:color w:val="auto"/>
        </w:rPr>
      </w:pPr>
    </w:p>
    <w:p>
      <w:pPr>
        <w:ind w:left="4" w:right="80" w:firstLine="987"/>
        <w:spacing w:after="0" w:line="291" w:lineRule="auto"/>
        <w:tabs>
          <w:tab w:leader="none" w:pos="1385"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Resignation as Issuing Bank or Swingline Lender after Assignment</w:t>
      </w:r>
      <w:r>
        <w:rPr>
          <w:rFonts w:ascii="Arial" w:cs="Arial" w:eastAsia="Arial" w:hAnsi="Arial"/>
          <w:sz w:val="16"/>
          <w:szCs w:val="16"/>
          <w:color w:val="auto"/>
        </w:rPr>
        <w:t>. Notwithstanding anything to the contrary contained herein, if at any time an Issuing Bank assigns all of its Revolving Commitment and Revolving Loans pursuant to subsection (b) above, such Issuing Bank may,</w:t>
      </w:r>
    </w:p>
    <w:p>
      <w:pPr>
        <w:ind w:left="4" w:right="20" w:hanging="4"/>
        <w:spacing w:after="0" w:line="252" w:lineRule="auto"/>
        <w:tabs>
          <w:tab w:leader="none" w:pos="21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upon 30 days’ notice to the Borrower and the Lenders, resign as Issuing Bank and/or (ii) in the case of Bank of America, upon 30 days’ notice to the Borrower, resign as Swingline Lender. In the event of any such resignation as Issuing Bank or Swingline Lender, the Borrower shall be entitled to appoint from among the Lenders a successor Issuing Bank or Swingline Lender hereunder (which successor shall expressly agree to assume such role);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failure by the Borrower to appoint any such successor shall affect the resignation of such Issuing Bank as an Issuing Bank or (in the case of Bank of America) Swingline Lender, as the case may be. If an Issuing Bank resigns as Issuing Bank, it shall retain all the rights, powers, privileges and duties of an Issuing Bank hereunder with respect to all Letters of Credit issued by it and outstanding as of the effective date of its resignation as Issuing Bank and all L/C</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84"/>
          </w:cols>
          <w:pgMar w:left="436" w:top="274" w:right="479" w:bottom="1440" w:gutter="0" w:footer="0" w:header="0"/>
        </w:sectPr>
      </w:pPr>
    </w:p>
    <w:bookmarkStart w:id="140" w:name="page141"/>
    <w:bookmarkEnd w:id="140"/>
    <w:p>
      <w:pPr>
        <w:ind w:left="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Disbursements with respect thereto (including the right to 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 Upon the appointment of a successor Issuing Bank and/or Swingline Lender, (a) such successor shall succeed to and become vested with all of the rights, powers, privileges and duties of the retiring Issuing Bank or Swingline Lender, as the case may be, and (b) the successor Issuing Bank shall issue letters of credit in substitution for the Letters of Credit, if any, outstanding at the time of such succession or make other arrangements satisfactory to the resigning Issuing Bank to effectively assume the obligations of such Issuing Bank with respect to such Letters of Credit.</w:t>
      </w:r>
    </w:p>
    <w:p>
      <w:pPr>
        <w:spacing w:after="0" w:line="178" w:lineRule="exact"/>
        <w:rPr>
          <w:sz w:val="20"/>
          <w:szCs w:val="20"/>
          <w:color w:val="auto"/>
        </w:rPr>
      </w:pPr>
    </w:p>
    <w:p>
      <w:pPr>
        <w:ind w:left="4" w:right="20" w:firstLine="987"/>
        <w:spacing w:after="0" w:line="287" w:lineRule="auto"/>
        <w:tabs>
          <w:tab w:leader="none" w:pos="1385" w:val="left"/>
        </w:tabs>
        <w:numPr>
          <w:ilvl w:val="1"/>
          <w:numId w:val="19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left="4" w:hanging="4"/>
        <w:spacing w:after="0" w:line="284" w:lineRule="auto"/>
        <w:tabs>
          <w:tab w:leader="none" w:pos="21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Section 2.14); (B) no SPC shall be liable for any indemnity or similar payment obligation under this Agreement for which a Lender would be liable (which indemnity or similar payment obligation shall be retained by the Granting Lender);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(x) with notice to, but without prior consent of the Borrower and the Administrative Agent and with the payment of a processing fee of $3,500, assign all or any portion of its right to receive payment with respect to any Loan to the Granting Lender and (y) disclose on a confidential basis any non-public information relating to its funding of Loans to any rating agency, commercial paper dealer or provider of any surety or Guarantee or credit or liquidity enhancement to such SPC.</w:t>
      </w:r>
    </w:p>
    <w:p>
      <w:pPr>
        <w:spacing w:after="0" w:line="176"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SECTION 9.05 Survival.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4"/>
          </w:cols>
          <w:pgMar w:left="436" w:top="274" w:right="459" w:bottom="1440" w:gutter="0" w:footer="0" w:header="0"/>
        </w:sectPr>
      </w:pPr>
    </w:p>
    <w:bookmarkStart w:id="141" w:name="page142"/>
    <w:bookmarkEnd w:id="141"/>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their behalf and notwithstanding that the Administrative Agent or any Lender may have had notice or knowledge of any Default at the time of any Credit Event, and shall continue in full force and effect as long as any Loan or any other Obligation hereunder shall remain unpaid or unsatisfied or any Letter of Credit shall remain outstanding. The provisions of Sections 2.14, 2.15, 2.16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6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SECTION 9.06 Counterparts; Integration; Effectiveness.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pdf or other electronic transmission shall be effective as delivery of a manually executed counterpart of this Agreement.</w:t>
      </w:r>
    </w:p>
    <w:p>
      <w:pPr>
        <w:spacing w:after="0" w:line="18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SECTION 9.07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color w:val="auto"/>
        </w:rPr>
        <w:t>Right of Setoff.</w:t>
      </w:r>
    </w:p>
    <w:p>
      <w:pPr>
        <w:spacing w:after="0" w:line="117" w:lineRule="exact"/>
        <w:rPr>
          <w:sz w:val="20"/>
          <w:szCs w:val="20"/>
          <w:color w:val="auto"/>
        </w:rPr>
      </w:pPr>
    </w:p>
    <w:p>
      <w:pPr>
        <w:ind w:right="60" w:firstLine="987"/>
        <w:spacing w:after="0" w:line="254" w:lineRule="auto"/>
        <w:tabs>
          <w:tab w:leader="none" w:pos="137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the Borrower or any other Loan Party against any of and all the Obligations of the Borrower or such other Loan Party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94" w:lineRule="exact"/>
        <w:rPr>
          <w:rFonts w:ascii="Arial" w:cs="Arial" w:eastAsia="Arial" w:hAnsi="Arial"/>
          <w:sz w:val="18"/>
          <w:szCs w:val="18"/>
          <w:color w:val="auto"/>
        </w:rPr>
      </w:pPr>
    </w:p>
    <w:p>
      <w:pPr>
        <w:ind w:firstLine="987"/>
        <w:spacing w:after="0" w:line="259" w:lineRule="auto"/>
        <w:tabs>
          <w:tab w:leader="none" w:pos="137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the extent that any payment by or on behalf of the Borrower or any other Loan Party is made to the Administrative Agent, any Issuing Bank or any Lender, or the Administrative Agent, any Issuing Bank or any Lender exercises its right of setoff, and such payment or the proceeds of such setoff or any part thereof is subsequently invalidated, declared to be fraudulent or preferential, set aside or required (including pursuant to any settlement entered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0"/>
          </w:cols>
          <w:pgMar w:left="440" w:top="274" w:right="479" w:bottom="1440" w:gutter="0" w:footer="0" w:header="0"/>
        </w:sectPr>
      </w:pPr>
    </w:p>
    <w:bookmarkStart w:id="142" w:name="page143"/>
    <w:bookmarkEnd w:id="142"/>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into by the Administrative Agent, such Issuing Bank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Banks under clause (b) of the preceding sentence shall survive the payment in full of the Obligations and the termination of this Agreement.</w:t>
      </w:r>
    </w:p>
    <w:p>
      <w:pPr>
        <w:spacing w:after="0" w:line="28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color w:val="auto"/>
        </w:rPr>
        <w:t>Governing Law; Jurisdiction; Consent to Service of Process.</w:t>
      </w:r>
    </w:p>
    <w:p>
      <w:pPr>
        <w:spacing w:after="0" w:line="117" w:lineRule="exact"/>
        <w:rPr>
          <w:sz w:val="20"/>
          <w:szCs w:val="20"/>
          <w:color w:val="auto"/>
        </w:rPr>
      </w:pPr>
    </w:p>
    <w:p>
      <w:pPr>
        <w:ind w:firstLine="987"/>
        <w:spacing w:after="0" w:line="269" w:lineRule="auto"/>
        <w:tabs>
          <w:tab w:leader="none" w:pos="136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This Agreement shall be construed in accordance with and governed by the law of the State of New York (without regard to the conflict of law principles thereof to the extent that the application of the laws of another jurisdiction would be required thereby); </w:t>
      </w:r>
      <w:r>
        <w:rPr>
          <w:rFonts w:ascii="Arial" w:cs="Arial" w:eastAsia="Arial" w:hAnsi="Arial"/>
          <w:sz w:val="17"/>
          <w:szCs w:val="17"/>
          <w:i w:val="1"/>
          <w:iCs w:val="1"/>
          <w:color w:val="auto"/>
        </w:rPr>
        <w:t>provided</w:t>
      </w:r>
      <w:r>
        <w:rPr>
          <w:rFonts w:ascii="Arial" w:cs="Arial" w:eastAsia="Arial" w:hAnsi="Arial"/>
          <w:sz w:val="17"/>
          <w:szCs w:val="17"/>
          <w:color w:val="auto"/>
        </w:rPr>
        <w:t>, that (i) the interpretation of the definition of Spinco Material Adverse Effect and whether or not a Spinco Material Adverse Effect has occurred, (ii) the determination of the accuracy of any Combination Transaction Representation and whether as a result of any inaccuracy thereof, Mylan has the right to terminate its obligation to consummate the Combination under the Business Combination Agreement and (iii) the determination of whether (a) the conditions to the Distribution set forth in the Separation and Distribution Agreement and (b) the conditions to the Combination set forth in the Business Combination Agreement, in each case, other than such conditions that by their nature are to be satisfied upon the closing of such transaction, have been satisfied or waived or are expected to be satisfied and waived on the Closing Date or one Business Day thereafter, in each case, shall be governed by and construed in accordance with the Law (as defined in the Business Combination Agreement as in effect on the date hereof) of the State of Delaware, without regard to any Laws or principles thereof that would result in the application of the Laws of any other jurisdiction (except that the Laws of the Netherlands shall govern (i) the duties of the members of the Mylan Board (as defined in the Business Combination Agreement as in effect on the date hereof) and (ii) the Combination, to the extent mandatorily applicable thereto).</w:t>
      </w:r>
    </w:p>
    <w:p>
      <w:pPr>
        <w:spacing w:after="0" w:line="178" w:lineRule="exact"/>
        <w:rPr>
          <w:rFonts w:ascii="Arial" w:cs="Arial" w:eastAsia="Arial" w:hAnsi="Arial"/>
          <w:sz w:val="17"/>
          <w:szCs w:val="17"/>
          <w:color w:val="auto"/>
        </w:rPr>
      </w:pPr>
    </w:p>
    <w:p>
      <w:pPr>
        <w:ind w:right="120" w:firstLine="987"/>
        <w:spacing w:after="0" w:line="270" w:lineRule="auto"/>
        <w:tabs>
          <w:tab w:leader="none" w:pos="137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Borrower and each other Loan Party irrevocably and unconditionally agrees that it will not commence any action, litigation or proceeding of any kind or description, whether in law or in equity, whether in contract or in tort or otherwise, against the Administrative Agent, any Lender, any Issuing Bank or any Related Party of the foregoing in any way related to this Agreement in any forum other than the Supreme Court of the State of New York sitting in New York County and of the United States District Court of the Southern District of New York, and any appellate court from any thereof.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43" w:name="page144"/>
    <w:bookmarkEnd w:id="143"/>
    <w:p>
      <w:pPr>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The foregoing shall not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57" w:lineRule="exact"/>
        <w:rPr>
          <w:sz w:val="20"/>
          <w:szCs w:val="20"/>
          <w:color w:val="auto"/>
        </w:rPr>
      </w:pPr>
    </w:p>
    <w:p>
      <w:pPr>
        <w:ind w:left="4" w:right="80" w:firstLine="987"/>
        <w:spacing w:after="0" w:line="301" w:lineRule="auto"/>
        <w:tabs>
          <w:tab w:leader="none" w:pos="137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57" w:lineRule="exact"/>
        <w:rPr>
          <w:rFonts w:ascii="Arial" w:cs="Arial" w:eastAsia="Arial" w:hAnsi="Arial"/>
          <w:sz w:val="16"/>
          <w:szCs w:val="16"/>
          <w:color w:val="auto"/>
        </w:rPr>
      </w:pPr>
    </w:p>
    <w:p>
      <w:pPr>
        <w:ind w:left="4" w:right="80" w:firstLine="987"/>
        <w:spacing w:after="0" w:line="259" w:lineRule="auto"/>
        <w:tabs>
          <w:tab w:leader="none" w:pos="13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Guarantor hereby appoints the Borrower as its agent for service of process with respect to any matters relating to this Agreement or any other Loan Document.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SECTION 9.10 WAIVER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4" w:right="40" w:hanging="4"/>
        <w:spacing w:after="0" w:line="253" w:lineRule="auto"/>
        <w:tabs>
          <w:tab w:leader="none" w:pos="29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SECTION 9.11 Headings.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SECTION 9.12 Confidentiality. Each of the Administrative Agent, the Lenders and the Issuing Banks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or required by any regulatory authority purporting to have jurisdiction over it (including</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64"/>
          </w:cols>
          <w:pgMar w:left="436" w:top="274" w:right="499" w:bottom="1440" w:gutter="0" w:footer="0" w:header="0"/>
        </w:sectPr>
      </w:pPr>
    </w:p>
    <w:bookmarkStart w:id="144" w:name="page145"/>
    <w:bookmarkEnd w:id="144"/>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self-regulatory authority, such as the National Association of Insurance Commissioners), (c) to the extent required by applicable laws or regulations or by any subpoena or similar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that (other than in the case of any disclosure to a regulator or examiner during a routine examination) to the extent practicable and permitted by law, the Borrower has been notified prior to such disclosure so that the Borrower may seek, at the Borrower’s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w:t>
      </w:r>
    </w:p>
    <w:p>
      <w:pPr>
        <w:spacing w:after="0" w:line="4" w:lineRule="exact"/>
        <w:rPr>
          <w:sz w:val="20"/>
          <w:szCs w:val="20"/>
          <w:color w:val="auto"/>
        </w:rPr>
      </w:pPr>
    </w:p>
    <w:p>
      <w:pPr>
        <w:ind w:left="4" w:hanging="4"/>
        <w:spacing w:after="0" w:line="284" w:lineRule="auto"/>
        <w:tabs>
          <w:tab w:leader="none" w:pos="21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assignee of or Participant in, or any prospective assignee of or Participant in, any of its rights or obligations under this Agreement or any Eligible Assignee invited to be a Lender pursuant to Section 2.19 or (ii) any actual or prospective counterparty (or its advisors) to any swap or derivative transaction relating to a Loan Party and its obligations, (g) with the consent of any Loan Party, (h)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a Loan Party, (i) to any nationally recognized rating agency that requires access to information about a Lender’s investment portfolio in connection with ratings issued with respect to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any such disclosure, such rating agency shall undertake in writing to preserve the confidentiality of any confidential Information relating to the Loan Parties), (j) in customary disclosure about the terms of the financing contemplated hereby in the ordinary course of business to market data collectors and similar service providers to the loan industry for league table purposes or (k) on a confidential basis to (i) the provider of any Platform or other electronic delivery service used by the Administrative Agent, any Issuing Bank or the Swingline Lender to deliver Borrower Materials or notices to the Lenders, (ii) the CUSIP Service Bureau or any similar agency in connection with the application, issuance, publishing and monitoring of CUSIP numbers or other market identifiers with respect to the credit facilities provided hereunder or (iii) other service providers to the Administrative Agent, the Lenders and the Issuing Banks in connection with the administration of this Agreement, the other Loan Documents and the Borrowings hereunder. 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the Borrower or any Subsidiary relating to the Borrower or any Subsidiary or any of their respective businesses, other than any such information that is available to the Administrative Agent, any Lender or any Issuing Bank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1"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Each of the Administrative Agent, the Lenders and the Issuing Banks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7"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SECTION 9.13 USA PATRIOT Act. Each Lender that is subject to the Act (as hereinafter defined) and the Administrative Agent (for itself and not on behalf of any Lender) hereby notifies the Borrower that pursuant to the requirements of the USA PATRIOT Act (Title III</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4"/>
          </w:cols>
          <w:pgMar w:left="436" w:top="274" w:right="459" w:bottom="1440" w:gutter="0" w:footer="0" w:header="0"/>
        </w:sectPr>
      </w:pPr>
    </w:p>
    <w:bookmarkStart w:id="145" w:name="page146"/>
    <w:bookmarkEnd w:id="14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78"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SECTION 9.14 Interest Rate Limitation. Notwithstanding anything to the contrary contained in any Loan Document,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SECTION 9.15 No Fiduciary Duty.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the Borrower, each other Loan Party and their respective Affiliates, on the one hand, and the Administrative Agent, the Arrangers and the Lenders, on the other hand, (B) the Borrower and each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the other Loan Parties and their respective Affiliates, and neither the Administrative Agent nor any Arranger nor any Lender has any obligation to disclose any of such interests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80"/>
          </w:cols>
          <w:pgMar w:left="440" w:top="274" w:right="479" w:bottom="1440" w:gutter="0" w:footer="0" w:header="0"/>
        </w:sectPr>
      </w:pPr>
    </w:p>
    <w:bookmarkStart w:id="146" w:name="page147"/>
    <w:bookmarkEnd w:id="146"/>
    <w:p>
      <w:pPr>
        <w:jc w:val="both"/>
        <w:ind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any other Loan Party or any of their respective Affiliates. To the fullest extent permitted by law, the Borrower and each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273"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color w:val="auto"/>
        </w:rPr>
        <w:t>Electronic Execution of this Agreement and Other Documents.</w:t>
      </w:r>
    </w:p>
    <w:p>
      <w:pPr>
        <w:spacing w:after="0" w:line="117" w:lineRule="exact"/>
        <w:rPr>
          <w:sz w:val="20"/>
          <w:szCs w:val="20"/>
          <w:color w:val="auto"/>
        </w:rPr>
      </w:pPr>
    </w:p>
    <w:p>
      <w:pPr>
        <w:ind w:right="220" w:firstLine="987"/>
        <w:spacing w:after="0" w:line="271" w:lineRule="auto"/>
        <w:tabs>
          <w:tab w:leader="none" w:pos="136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words “execute,” “execution,” “signed,” “signature,” and words of like import in or related to any document to be signed in connection with this Agreement and the transactions contemplated hereby (including this Agreement, any other Loan Document, Assignment and Assumptions, amendments or other modifications, Borrowing Requests, Swingline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rFonts w:ascii="Arial" w:cs="Arial" w:eastAsia="Arial" w:hAnsi="Arial"/>
          <w:sz w:val="17"/>
          <w:szCs w:val="17"/>
          <w:color w:val="auto"/>
        </w:rPr>
      </w:pPr>
    </w:p>
    <w:p>
      <w:pPr>
        <w:ind w:firstLine="987"/>
        <w:spacing w:after="0" w:line="285" w:lineRule="auto"/>
        <w:tabs>
          <w:tab w:leader="none" w:pos="137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This Agreement and any document, amendment, approval, consent, information, notice, certificate, request, statement, disclosure or authorization related to this Agreement (each a “</w:t>
      </w:r>
      <w:r>
        <w:rPr>
          <w:rFonts w:ascii="Arial" w:cs="Arial" w:eastAsia="Arial" w:hAnsi="Arial"/>
          <w:sz w:val="16"/>
          <w:szCs w:val="16"/>
          <w:u w:val="single" w:color="auto"/>
          <w:color w:val="auto"/>
        </w:rPr>
        <w:t>Communication</w:t>
      </w:r>
      <w:r>
        <w:rPr>
          <w:rFonts w:ascii="Arial" w:cs="Arial" w:eastAsia="Arial" w:hAnsi="Arial"/>
          <w:sz w:val="16"/>
          <w:szCs w:val="16"/>
          <w:color w:val="auto"/>
        </w:rPr>
        <w:t>”), including Communications required to be in writing, may be in the form of an Electronic Record and may be executed using Electronic Signatures. Each of the parties hereto agrees that any Electronic Signature on or associated with any Communication shall be valid and binding on the applicable party to the same extent as a manual, original signature, and that any Communication entered into by Electronic Signature, will constitute the legal, valid and binding obligation of such party enforceable against such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Loan Parties, the Administrative Agent and each of the Lenders and the Issuing Banks of a manually signed paper Communication which has been converted into electronic form (such as scanned into PDF format), or an electronically signed Communication converted into another format, for transmission, delivery and/or retention. The Loan Parties, the Administrative Agent and each of the Lenders and the Issuing Banks may, at its option, create one or more copies of any Communication in the form of an imaged Electronic Record (“</w:t>
      </w:r>
      <w:r>
        <w:rPr>
          <w:rFonts w:ascii="Arial" w:cs="Arial" w:eastAsia="Arial" w:hAnsi="Arial"/>
          <w:sz w:val="16"/>
          <w:szCs w:val="16"/>
          <w:u w:val="single" w:color="auto"/>
          <w:color w:val="auto"/>
        </w:rPr>
        <w:t>Electronic Copy</w:t>
      </w:r>
      <w:r>
        <w:rPr>
          <w:rFonts w:ascii="Arial" w:cs="Arial" w:eastAsia="Arial" w:hAnsi="Arial"/>
          <w:sz w:val="16"/>
          <w:szCs w:val="16"/>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(i) to the extent the Administrative Agent has agreed to accept such Electronic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the Loan Parties, the Administrative Agent and each of the Lenders and the Issuing Banks shall be entitled to rely on any such Electronic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Signature purportedly given by or on behalf of any party hereto without further verification and (ii) upon the request of the Administrative Agent,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Lender or any Issuing Bank, any Electronic Signature shall be promptly followed by such manually executed counterpart. For purposes hereof,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Electronic Record</w:t>
      </w:r>
      <w:r>
        <w:rPr>
          <w:rFonts w:ascii="Arial" w:cs="Arial" w:eastAsia="Arial" w:hAnsi="Arial"/>
          <w:sz w:val="16"/>
          <w:szCs w:val="16"/>
          <w:color w:val="auto"/>
        </w:rPr>
        <w:t>” and “</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shall have the meanings assigned to them, respectively, by 15 USC §7006, as it may be amended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SECTION 9.17 Joint and Several. The Obligations under the Loan Documents may be enforced by the Administrative Agent and the Lenders against the Borrower or any Loan Party or all Loan Parties in any manner or order selected by the Administrative Agent or the Required Lenders in their sole discretion. The Borrower and each Loan Party hereby irrevocably waives (i) any rights of subrogation and (ii) any rights of contribution, indemnity or reimbursement, in each case, that it may acquire or that may arise against any other Borrower or any other Loan Party due to any payment or performance made under this Agreement, in each case until all Obligations shall have been fully satisfied.</w:t>
      </w:r>
    </w:p>
    <w:p>
      <w:pPr>
        <w:spacing w:after="0" w:line="176"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SECTION 9.18 Enforcement.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 for the benefit of all the Lenders and the Issuing Banks; provided, however, that the foregoing shall not prohibit (a) the Administrative Agent from exercising on its own behalf the rights and remedies that inure to its benefit (solely in its capacity as Administrative Agent) hereunder and under the other Loan Documents, (b) each Issuing Bank or the Swingline Lender from exercising the rights and remedies that inure to its benefit (solely in its capacity as Issuing Bank or Swingline Lender, as the case may be) hereunder and under the other Loan Documents, (c) any Lender from exercising setoff rights in accordance with Section 9.08 (subject to the terms of Section 2.17(c)), or (d)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(i) the Required Lenders shall have the rights otherwise ascribed to the Administrative Agent pursuant to Article VII and (ii) in addition to the matters set forth in clauses (b), (c) and (d) of the preceding proviso and subject to Section 2.17(c), any Lender may, with the consent of the Required Lenders, enforce any rights and remedies available to it and as authorized by the Required Lenders.</w:t>
      </w:r>
    </w:p>
    <w:p>
      <w:pPr>
        <w:spacing w:after="0" w:line="174" w:lineRule="exact"/>
        <w:rPr>
          <w:sz w:val="20"/>
          <w:szCs w:val="20"/>
          <w:color w:val="auto"/>
        </w:rPr>
      </w:pPr>
    </w:p>
    <w:p>
      <w:pPr>
        <w:ind w:right="420" w:firstLine="440"/>
        <w:spacing w:after="0" w:line="275" w:lineRule="auto"/>
        <w:rPr>
          <w:sz w:val="20"/>
          <w:szCs w:val="20"/>
          <w:color w:val="auto"/>
        </w:rPr>
      </w:pPr>
      <w:r>
        <w:rPr>
          <w:rFonts w:ascii="Arial" w:cs="Arial" w:eastAsia="Arial" w:hAnsi="Arial"/>
          <w:sz w:val="17"/>
          <w:szCs w:val="17"/>
          <w:color w:val="auto"/>
        </w:rPr>
        <w:t>SECTION 9.19 Netherlands Loan Party Representation. If any Loan Party incorporated under the laws of the Netherlands, including the Borrower, is represented by an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80"/>
          </w:cols>
          <w:pgMar w:left="440" w:top="274" w:right="479" w:bottom="1440" w:gutter="0" w:footer="0" w:header="0"/>
        </w:sectPr>
      </w:pPr>
    </w:p>
    <w:bookmarkStart w:id="148" w:name="page149"/>
    <w:bookmarkEnd w:id="148"/>
    <w:p>
      <w:pPr>
        <w:ind w:right="1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9.20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420" w:firstLine="987"/>
        <w:spacing w:after="0" w:line="277" w:lineRule="auto"/>
        <w:tabs>
          <w:tab w:leader="none" w:pos="137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40" w:firstLine="419"/>
        <w:spacing w:after="0" w:line="311" w:lineRule="auto"/>
        <w:tabs>
          <w:tab w:leader="none" w:pos="1263"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0" w:right="140" w:firstLine="419"/>
        <w:spacing w:after="0" w:line="277" w:lineRule="auto"/>
        <w:tabs>
          <w:tab w:leader="none" w:pos="131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SECTION 9.21 Acknowledgement Regarding Any Supported QFCs. To the extent that the Loan Documents provide support, through a guarantee or otherwise, for any Swap Agreement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right="40" w:firstLine="987"/>
        <w:spacing w:after="0" w:line="273" w:lineRule="auto"/>
        <w:tabs>
          <w:tab w:leader="none" w:pos="137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4" w:right="459" w:bottom="1440" w:gutter="0" w:footer="0" w:header="0"/>
        </w:sectPr>
      </w:pPr>
    </w:p>
    <w:bookmarkStart w:id="149" w:name="page150"/>
    <w:bookmarkEnd w:id="149"/>
    <w:p>
      <w:pPr>
        <w:jc w:val="both"/>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1"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As used in this Section 9.21, the following terms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ind w:right="120" w:firstLine="440"/>
        <w:spacing w:after="0" w:line="287" w:lineRule="auto"/>
        <w:rPr>
          <w:sz w:val="20"/>
          <w:szCs w:val="20"/>
          <w:color w:val="auto"/>
        </w:rPr>
      </w:pPr>
      <w:r>
        <w:rPr>
          <w:rFonts w:ascii="Arial" w:cs="Arial" w:eastAsia="Arial" w:hAnsi="Arial"/>
          <w:sz w:val="16"/>
          <w:szCs w:val="16"/>
          <w:color w:val="auto"/>
        </w:rPr>
        <w:t>SECTION 10.01 Guarantee. Each of the Guarantors hereby, jointly and severally, unconditionally and irrevocably, guarantees to the Administrative Agent for its benefit and for the benefit of the Lender Parties, and their permitted indorsees, transferees and assigns, the prompt and complete payment and performance of the Obligations. Anything herein or in any other Loan Document to the contrary notwithstanding, the maximum liability of each Guarantor hereunder and under the other Loan Documents in respect of the Obligations shall in no event exceed the amount which can be guaranteed by such Guarantor under applicable Federal and state laws relating to the insolvency of debtors (after giving effect to the right of contribution established in Section 10.02). Each Guarantor agrees that the Obligations may at any time and from time to time exceed the amount of the liability of such Guarantor hereunder without impairing the guarantee contained in this Section 10.01 or affecting the rights and remedies of the Administrative Agent or any other Lender Party hereunder. The guarantee contained in this Section 10.01 shall remain in full force and effect until all the Obligations (other than contingent indemnification and contingent expense reimbursement obligations) shall have been satisfied by payment in full in cash, no Letter of Credit shall be outstanding or each outstanding Letter of Credit has been Cash Collateralized, so that it is fully secured to the satisfaction of the Administrative Agent and the Commitments shall be irrevocably terminated, notwithstanding that from time to time any Loan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150" w:name="page151"/>
    <w:bookmarkEnd w:id="15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Party may be free from any of the Obligations. Except as provided in Section 10.12, no payment made by any of the Guarantors, any other Loan Party or any other Person or received or collected by the Administrative Agent or any Lender from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in cash, either no Letter of Credit shall be outstanding or each outstanding Letter of Credit has been Cash Collateralized so that it is fully secured to the satisfaction of the Administrative Agent and the Commitments are irrevocably terminated. Notwithstanding any other provision of this Article X (Guarantee) the guarantee and other obligations of any Guarantor organized under the laws of the Netherlands expressed to be assumed in this Article X (Guarantee) shall be deemed not to be assumed by such Guarantor organized under the laws of the Netherlands to the extent that the same would constitute unlawful financial assistance within the meaning of Article 2:98c of the Dutch Civil Code or any other applicable financial assistance rules under any relevant jurisdiction (the “</w:t>
      </w:r>
      <w:r>
        <w:rPr>
          <w:rFonts w:ascii="Arial" w:cs="Arial" w:eastAsia="Arial" w:hAnsi="Arial"/>
          <w:sz w:val="16"/>
          <w:szCs w:val="16"/>
          <w:u w:val="single" w:color="auto"/>
          <w:color w:val="auto"/>
        </w:rPr>
        <w:t>Prohibition</w:t>
      </w:r>
      <w:r>
        <w:rPr>
          <w:rFonts w:ascii="Arial" w:cs="Arial" w:eastAsia="Arial" w:hAnsi="Arial"/>
          <w:sz w:val="16"/>
          <w:szCs w:val="16"/>
          <w:color w:val="auto"/>
        </w:rPr>
        <w:t>”) and the provisions of this Agreement and the other Loan Documents shall be construed accordingly. For the avoidance of doubt it is expressly acknowledged that the relevant Guarantors organized under the laws of the Netherlands will continue to guarantee all such obligations which, if included, do not constitute a violation of the Prohibition.</w:t>
      </w:r>
    </w:p>
    <w:p>
      <w:pPr>
        <w:spacing w:after="0" w:line="17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SECTION 10.02 Right of Contribution.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10.03. The provisions of this Section 10.02 shall in no respect limit the obligations and liabilities of any Loan Party to the Administrative Agent and the Lender Parties, and each Guarantor shall remain liable to the Administrative Agent and the Lender Parties for the full amount guaranteed by such Guarantor hereunder.</w:t>
      </w:r>
    </w:p>
    <w:p>
      <w:pPr>
        <w:spacing w:after="0" w:line="19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SECTION 10.03 No Subrogation. Notwithstanding any payment made by any Guarantor hereunder or any set-off or application of funds of any Guarantor by the Administrative Agent or any other Lender Party, no Guarantor shall seek to enforce any right of subrogation in respect of any of the rights of the Administrative Agent or any other Lender Party against any Loan Party or any collateral security or guarantee or right of offset held by the Administrative Agent or any other Lender Party for the payment of the Obligations, nor shall any Guarantor seek any contribution or reimbursement from any other Loan Party in respect of payments made by such Guarantor under this Article X, until all amounts owing to the Administrative Agent and the other Lender Parties by the Loan Parties on account of the Obligations are paid in full, either no Letter of Credit shall be outstanding or each outstanding Letter of Credit has been Cash Collateralized so that it is fully secured to the satisfaction of the Administrative Agent and the Commitments are irrevocably terminated. If any amount shall be paid to any Guarantor on account of such subrogation rights at any time when all of the Obligations shall not have been paid in full, such amount shall be held by such Guarantor in trust for the Administrative Agent and the other Lender Parties, segregated from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4" w:right="459" w:bottom="1440" w:gutter="0" w:footer="0" w:header="0"/>
        </w:sectPr>
      </w:pPr>
    </w:p>
    <w:bookmarkStart w:id="151" w:name="page152"/>
    <w:bookmarkEnd w:id="15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 For the avoidance of doubt, nothing in the foregoing agreement by the Guarantor shall operate as a waiver of any subrogation rights.</w:t>
      </w:r>
    </w:p>
    <w:p>
      <w:pPr>
        <w:spacing w:after="0" w:line="187"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SECTION 10.04 Amendments, etc., with Respect to the Obligations. To the fullest extent permitted by applicable law, each Guarantor shall remain obligated hereunder notwithstanding that, without any reservation of rights against any Loan Party and without notice to or further assent by any Loan Party, any demand for payment of any of the Obligations made by the Administrative Agent or any other Lender Party may be rescinded by the Administrative Agent or such Lender Party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Lender Party, and this Agreement and the other Loan Documents, any other documents executed and delivered in connection therewith, may be amended, modified, supplemented or terminated, in whole or in part, as the Administrative Agent (or the Required Lenders or all Lenders, as the case may be) may deem reasonably advisable from time to time, and any collateral security, guarantee or right of offset at any time held by the Administrative Agent or any other Lender Party for the payment of the Obligations may be sold, exchanged, waived, surrendered or released.</w:t>
      </w:r>
    </w:p>
    <w:p>
      <w:pPr>
        <w:spacing w:after="0" w:line="16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SECTION 10.05 Guarantee Absolute and Unconditional. To the fullest extent permitted by applicable law, each Guarantor waives any and all notice of the creation, renewal, extension or accrual of any of the Obligations and notice of or proof of reliance by the Administrative Agent or any other Lender Party upon the guarantee contained in this Article X or acceptance of the guarantee contained in this Article X; the Obligations, and any of them, shall conclusively be deemed to have been created, contracted or incurred, or renewed, extended, amended or waived, in reliance upon the guarantee contained in this Article X; and all dealings between the Borrower and the Guarantors, on the one hand, and the Administrative Agent and the other Lender Parties, on the other hand, likewise shall be conclusively presumed to have been had or consummated in reliance upon the guarantee contained in this Article X. To the fullest extent permitted by applicable law, each Guarantor waives diligence, presentment, protest, demand for payment and notice of default or nonpayment to or upon any of the Guarantors with respect to the Obligations. Each Guarantor understands and agrees that the guarantee contained in this Article X, to the fullest extent permitted by applicable Laws, shall be construed as a continuing, absolute and unconditional guarantee of payment (and not of collection) without regard to (a) the validity or enforceability of this Agreement or any other Loan Document, any of the Obligations or any other collateral security therefor or guarantee or right of offset with respect thereto at any time or from time to time held by the Administrative Agent or any other Lender Party, (b) any defense, set-off or counterclaim (other than a defense of payment or performance) which may at any time be available to or be asserted by the Borrower, any other Loan Party or any other Person against the Administrative Agent or any other Lender Party or (c) any other circumstance whatsoever (with or without notice to or knowledge of such Guarantor) which constitutes, or might be construed to constitute, an equitable or legal discharge of such Guarantor under the guarantee contained in this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152" w:name="page153"/>
    <w:bookmarkEnd w:id="15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 in bankruptcy or in any other instance. When making any demand hereunder or otherwise pursuing its rights and remedies hereunder against any Guarantor, the Administrative Agent or any other Lender Party may, but shall be under no obligation to, make a similar demand on or otherwise pursue such rights and remedies as it may have against any Guarantor or any other Person or against any collateral security or guarantee for the Obligations or any right of offset with respect thereto, and any failure by the Administrative Agent or any other Lender Party to make any such demand, to pursue such other rights or remedies or to collect any payments from any other Guarantor or any other Person or to realize upon any such collateral security or guarantee or to exercise any such right of offset, or any release of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Party against any Guarantor. For the purposes hereof “demand” shall include the commencement and continuance of any legal proceedings</w:t>
      </w:r>
    </w:p>
    <w:p>
      <w:pPr>
        <w:spacing w:after="0" w:line="181"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SECTION 10.06 Reinstatement. Subject to Section 5.09 and Section 10.12, this Guarantee Agreement is a continuing and irrevocable guaranty of all Obligations now or hereafter existing and shall remain in full force and effect until all Obligations and any other amounts payable under this Guarantee Agreement are indefeasibly paid in full in cash and the Revolving Commitments with respect to the Obligations are terminated. Notwithstanding the foregoing, this Guarantee Agreement shall continue in full force and effect or be revived, as the case may be, if any payment by or on behalf of the Borrower or any Guarantor is made, or any of the Lender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Guarantee Agreement and regardless of any prior revocation, rescission, termination or reduction. The obligations of each Guarantor under this paragraph shall survive termination of this Guarantee Agreement.</w:t>
      </w:r>
    </w:p>
    <w:p>
      <w:pPr>
        <w:spacing w:after="0" w:line="16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SECTION 10.07 Obligations Independent. The obligations of each Guarantor hereunder are those of primary obligor, and not merely as surety, and are independent of the Obligations and the obligations of any other guarantor, and a separate action may be brought against each Guarantor to enforce this Guarantee whether or not the Borrower or any other Person or entity is joined as a party.</w:t>
      </w:r>
    </w:p>
    <w:p>
      <w:pPr>
        <w:spacing w:after="0" w:line="184" w:lineRule="exact"/>
        <w:rPr>
          <w:sz w:val="20"/>
          <w:szCs w:val="20"/>
          <w:color w:val="auto"/>
        </w:rPr>
      </w:pPr>
    </w:p>
    <w:p>
      <w:pPr>
        <w:jc w:val="both"/>
        <w:ind w:right="60" w:firstLine="440"/>
        <w:spacing w:after="0" w:line="273" w:lineRule="auto"/>
        <w:rPr>
          <w:sz w:val="20"/>
          <w:szCs w:val="20"/>
          <w:color w:val="auto"/>
        </w:rPr>
      </w:pPr>
      <w:r>
        <w:rPr>
          <w:rFonts w:ascii="Arial" w:cs="Arial" w:eastAsia="Arial" w:hAnsi="Arial"/>
          <w:sz w:val="17"/>
          <w:szCs w:val="17"/>
          <w:color w:val="auto"/>
        </w:rPr>
        <w:t>SECTION 10.08 Payments. All payments by each Guarantor under this Guarantee Agreement shall be made in the manner, at the place and in the currency for payment required by this Agreement and the other Loan Documents; provided, however, that (if the currency for payment required by this Agreement is other than Dollars) such Guarantor may, at its option (or, if for any reason whatsoever such Guarantor is unable to effect payments in the foregoing manner, such Guarantor shall be obligated to) pay to the Administrative Agent at the Administrative Agent’s Office the Dollar Equivalent of the amount of such Obligations together with any other amounts due pursuant to Section 2.15. In any case in which a Guarantor makes or is obligated to make payment in Dollars, such Guarantor shall hold the Administrative Agent harmless from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20"/>
          </w:cols>
          <w:pgMar w:left="440" w:top="274" w:right="439" w:bottom="1440" w:gutter="0" w:footer="0" w:header="0"/>
        </w:sectPr>
      </w:pPr>
    </w:p>
    <w:bookmarkStart w:id="153" w:name="page154"/>
    <w:bookmarkEnd w:id="153"/>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loss incurred by the Administrative Agent arising from any change in the value of Dollars in relation to the currency for payment required by this Agreement between the date the Obligation becomes due and the date the Administrative Agent is actually able, following the conversion of the Dollars paid by such Guarantor into the currency for payment required by this Agreement and remittance of such currency to the place where such Obligation is payable, to apply such payment to such Obligation. The obligations of each Guarantor hereunder shall not be affected by any acts of any legislative body or Governmental Authority affecting such Guarantor or the Borrower, including but not limited to, any restrictions on the conversion of currency or repatriation or control of funds or any total or partial expropriation of such Guarantor’s or the Borrower’s property, or by economic, political, regulatory or other events in the countries where such Guarantor or the Borrower is located.</w:t>
      </w:r>
    </w:p>
    <w:p>
      <w:pPr>
        <w:spacing w:after="0" w:line="17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10.09 Subordination. Each Guarantor hereby subordinates the payment of all obligations and indebtedness of the Borrower owing to each Guarantor, whether now existing or hereafter arising, including but not limited to any obligation of the Borrower to such Guarantor as subrogee of the Lender Parties or resulting from such Guarantor’s performance under this Guarantee Agreement, to the indefeasible payment in full in cash of all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subordination shall not be given effect until such time as the Lender Parties shall have made a request to the Borrower pursuant to the second sentence of this </w:t>
      </w:r>
      <w:r>
        <w:rPr>
          <w:rFonts w:ascii="Arial" w:cs="Arial" w:eastAsia="Arial" w:hAnsi="Arial"/>
          <w:sz w:val="17"/>
          <w:szCs w:val="17"/>
          <w:u w:val="single" w:color="auto"/>
          <w:color w:val="auto"/>
        </w:rPr>
        <w:t>Section 10.09</w:t>
      </w:r>
      <w:r>
        <w:rPr>
          <w:rFonts w:ascii="Arial" w:cs="Arial" w:eastAsia="Arial" w:hAnsi="Arial"/>
          <w:sz w:val="17"/>
          <w:szCs w:val="17"/>
          <w:color w:val="auto"/>
        </w:rPr>
        <w:t>. At any time any Event of Default shall have occurred and be continuing, if the Lender Parties so request, any such obligation or indebtedness of any Loan Party to any Guarantor shall be enforced and performance received by such Guarantor as trustee for the Lender Parties and the proceeds thereof shall be paid over to the Lender Parties on account of the Obligations, but without reducing or affecting in any manner the liability of such under this Guarantee Agreement.</w:t>
      </w:r>
    </w:p>
    <w:p>
      <w:pPr>
        <w:spacing w:after="0" w:line="17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SECTION 10.10 Stay of Acceleration. If acceleration of the time for payment of any of the Obligations is stayed, in connection with any case commenced by or against any Loan Party under any Debtor Relief Laws, or otherwise, all such amounts shall nonetheless be payable by such Guarantor immediately upon demand by the Lender Parties.</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SECTION 10.11 Condition of Borrower.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each such Guarantor requires, and that none of the Lender Parties has any duty, and each Guarantor is not relying on the Lender Parties at any time, to disclose to each such Guarantor any information relating to the business, operations or financial condition of the Borrower or any other guarantor (each Guarantor waiving any duty on the part of the Lender Parties to disclose such information and any defense relating to the failure to provide the same).</w:t>
      </w:r>
    </w:p>
    <w:p>
      <w:pPr>
        <w:spacing w:after="0" w:line="192"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SECTION 10.12 Releases. At such time as the Loans, the amounts owed to any Issuing Bank in respect of Letter of Credit and the other Obligations (other than contingent indemnification and contingent expense reimbursement obligations) shall have been paid in full, the Commitments have been terminated and either no Letter of Credit shall be outstanding or each outstanding Letter of Credit has been Cash Collateralized so that it is fully secured to the reasonable satisfaction of the Administrative Agent, this Agreement and all obligations (other than those expressly stated to survive such termination) of the Administrative Agent and each Guarantor hereunder shall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440" w:top="274" w:right="439" w:bottom="1440" w:gutter="0" w:footer="0" w:header="0"/>
        </w:sectPr>
      </w:pPr>
    </w:p>
    <w:bookmarkStart w:id="154" w:name="page155"/>
    <w:bookmarkEnd w:id="154"/>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terminate, all without delivery of any instrument or performance of any act by any party. The Guarantee of any Guarantor that is a Subsidiary of the Borrower hereunder shall be released to the extent (and in the manner) expressly set forth in Section 5.09 or in the event such Guarantor ceases to be a Subsidiary in a transaction not prohibited by the terms of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ERISA Matters</w:t>
      </w:r>
    </w:p>
    <w:p>
      <w:pPr>
        <w:spacing w:after="0" w:line="229"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color w:val="auto"/>
        </w:rPr>
        <w:t>Certain ERISA Matters.</w:t>
      </w:r>
    </w:p>
    <w:p>
      <w:pPr>
        <w:spacing w:after="0" w:line="117" w:lineRule="exact"/>
        <w:rPr>
          <w:sz w:val="20"/>
          <w:szCs w:val="20"/>
          <w:color w:val="auto"/>
        </w:rPr>
      </w:pPr>
    </w:p>
    <w:p>
      <w:pPr>
        <w:ind w:right="100" w:firstLine="987"/>
        <w:spacing w:after="0" w:line="259" w:lineRule="auto"/>
        <w:tabs>
          <w:tab w:leader="none" w:pos="137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auto"/>
        </w:rPr>
      </w:pPr>
    </w:p>
    <w:p>
      <w:pPr>
        <w:ind w:right="340" w:firstLine="1428"/>
        <w:spacing w:after="0" w:line="263" w:lineRule="auto"/>
        <w:tabs>
          <w:tab w:leader="none" w:pos="178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ind w:right="40" w:firstLine="1428"/>
        <w:spacing w:after="0" w:line="273" w:lineRule="auto"/>
        <w:tabs>
          <w:tab w:leader="none" w:pos="1832" w:val="left"/>
        </w:tabs>
        <w:numPr>
          <w:ilvl w:val="1"/>
          <w:numId w:val="204"/>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7" w:lineRule="exact"/>
        <w:rPr>
          <w:rFonts w:ascii="Arial" w:cs="Arial" w:eastAsia="Arial" w:hAnsi="Arial"/>
          <w:sz w:val="17"/>
          <w:szCs w:val="17"/>
          <w:color w:val="auto"/>
        </w:rPr>
      </w:pPr>
    </w:p>
    <w:p>
      <w:pPr>
        <w:ind w:firstLine="1428"/>
        <w:spacing w:after="0" w:line="254" w:lineRule="auto"/>
        <w:tabs>
          <w:tab w:leader="none" w:pos="188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4" w:lineRule="exact"/>
        <w:rPr>
          <w:rFonts w:ascii="Arial" w:cs="Arial" w:eastAsia="Arial" w:hAnsi="Arial"/>
          <w:sz w:val="18"/>
          <w:szCs w:val="18"/>
          <w:color w:val="auto"/>
        </w:rPr>
      </w:pPr>
    </w:p>
    <w:p>
      <w:pPr>
        <w:ind w:right="260" w:firstLine="1428"/>
        <w:spacing w:after="0" w:line="277" w:lineRule="auto"/>
        <w:tabs>
          <w:tab w:leader="none" w:pos="187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firstLine="987"/>
        <w:spacing w:after="0" w:line="277" w:lineRule="auto"/>
        <w:tabs>
          <w:tab w:leader="none" w:pos="138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0"/>
          </w:cols>
          <w:pgMar w:left="440" w:top="274" w:right="459" w:bottom="1440" w:gutter="0" w:footer="0" w:header="0"/>
        </w:sectPr>
      </w:pPr>
    </w:p>
    <w:bookmarkStart w:id="155" w:name="page156"/>
    <w:bookmarkEnd w:id="15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none of the Administrative Agent or any Arranger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80"/>
          </w:cols>
          <w:pgMar w:left="440" w:top="274" w:right="479" w:bottom="1440" w:gutter="0" w:footer="0" w:header="0"/>
        </w:sectPr>
      </w:pPr>
    </w:p>
    <w:bookmarkStart w:id="156" w:name="page157"/>
    <w:bookmarkEnd w:id="15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 xml:space="preserve">UPJOHN INC., </w:t>
      </w:r>
      <w:r>
        <w:rPr>
          <w:rFonts w:ascii="Arial" w:cs="Arial" w:eastAsia="Arial" w:hAnsi="Arial"/>
          <w:sz w:val="18"/>
          <w:szCs w:val="18"/>
          <w:color w:val="auto"/>
        </w:rPr>
        <w:t>as the Borrower</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3740" w:right="200" w:firstLine="2868"/>
        <w:spacing w:after="0" w:line="433" w:lineRule="auto"/>
        <w:rPr>
          <w:sz w:val="20"/>
          <w:szCs w:val="20"/>
          <w:color w:val="auto"/>
        </w:rPr>
      </w:pPr>
      <w:r>
        <w:rPr>
          <w:rFonts w:ascii="Arial" w:cs="Arial" w:eastAsia="Arial" w:hAnsi="Arial"/>
          <w:sz w:val="18"/>
          <w:szCs w:val="18"/>
          <w:color w:val="auto"/>
        </w:rPr>
        <w:t>Title: Chief Financial Officer, Controller and Treasurer [Signature Page to Revolving Credit Agreement]</w:t>
      </w:r>
    </w:p>
    <w:p>
      <w:pPr>
        <w:sectPr>
          <w:pgSz w:w="11900" w:h="16838" w:orient="portrait"/>
          <w:cols w:equalWidth="0" w:num="1">
            <w:col w:w="10920"/>
          </w:cols>
          <w:pgMar w:left="440" w:top="274" w:right="539" w:bottom="1440" w:gutter="0" w:footer="0" w:header="0"/>
        </w:sectPr>
      </w:pPr>
    </w:p>
    <w:bookmarkStart w:id="157" w:name="page158"/>
    <w:bookmarkEnd w:id="15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the Administrative Agent</w:t>
      </w:r>
    </w:p>
    <w:p>
      <w:pPr>
        <w:spacing w:after="0" w:line="211" w:lineRule="exact"/>
        <w:rPr>
          <w:sz w:val="20"/>
          <w:szCs w:val="20"/>
          <w:color w:val="auto"/>
        </w:rPr>
      </w:pPr>
    </w:p>
    <w:p>
      <w:pPr>
        <w:jc w:val="both"/>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Maurice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Maurice Washington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0" w:right="1440" w:bottom="1440" w:gutter="0" w:footer="0" w:header="0"/>
        </w:sectPr>
      </w:pPr>
    </w:p>
    <w:bookmarkStart w:id="158" w:name="page159"/>
    <w:bookmarkEnd w:id="15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BANK OF AMERICA, N.A., individually as a Lender,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Swingline Lender and as the Issuing Bank</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Yinghua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Yinghua Zhang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780"/>
          </w:cols>
          <w:pgMar w:left="1440" w:top="274" w:right="679" w:bottom="1440" w:gutter="0" w:footer="0" w:header="0"/>
        </w:sectPr>
      </w:pPr>
    </w:p>
    <w:bookmarkStart w:id="159" w:name="page160"/>
    <w:bookmarkEnd w:id="15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BARCLAYS BANK PLC,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Ronnie Glenn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60" w:name="page161"/>
    <w:bookmarkEnd w:id="16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BNP PARIBAS, as a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Sked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Christopher Sked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Pearce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Michael Pearce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1" w:name="page162"/>
    <w:bookmarkEnd w:id="161"/>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CITIBANK, N.A.,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Richard Rivera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62" w:name="page163"/>
    <w:bookmarkEnd w:id="16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COMMERZBANK AG, NEW YORK BRANCH,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Ward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Matthew Ward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Sullivan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Robert Sullivan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3" w:name="page164"/>
    <w:bookmarkEnd w:id="16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DANSKE BANK A/S, as a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Smith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Gary Smith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Jesper Larsen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Jesper Larsen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Loan Manager</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4" w:name="page165"/>
    <w:bookmarkEnd w:id="164"/>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DBS Bank Ltd.,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Terence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Terence Yong</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7"/>
          <w:szCs w:val="17"/>
          <w:color w:val="auto"/>
        </w:rPr>
        <w:t>Title:</w:t>
        <w:tab/>
        <w:t>Managing Director</w:t>
      </w:r>
    </w:p>
    <w:p>
      <w:pPr>
        <w:spacing w:after="0" w:line="15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65" w:name="page166"/>
    <w:bookmarkEnd w:id="16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DEUTSCHE BANK AG NEW YORK BRANCH,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Ming K. Chu</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Annie Chung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Annie Chung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6" w:name="page167"/>
    <w:bookmarkEnd w:id="16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DNB CAPITAL LLC, as a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Samantha Stone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Samantha Stone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Mita Zalavadia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Mita Zalavadia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7" w:name="page168"/>
    <w:bookmarkEnd w:id="16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GOLDMAN SACHS BANK USA,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Annie Carr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40"/>
          </w:cols>
          <w:pgMar w:left="1440" w:top="274" w:right="1419" w:bottom="1440" w:gutter="0" w:footer="0" w:header="0"/>
        </w:sectPr>
      </w:pPr>
    </w:p>
    <w:bookmarkStart w:id="168" w:name="page169"/>
    <w:bookmarkEnd w:id="16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ING BANK N.V., Dublin Branch, as a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Cormac Langford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Cormac Langford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Fehily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Barry Fehily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69" w:name="page170"/>
    <w:bookmarkEnd w:id="16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T.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Gregory T. Martin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120"/>
          </w:cols>
          <w:pgMar w:left="1440" w:top="274" w:right="1339" w:bottom="1440" w:gutter="0" w:footer="0" w:header="0"/>
        </w:sectPr>
      </w:pPr>
    </w:p>
    <w:bookmarkStart w:id="170" w:name="page171"/>
    <w:bookmarkEnd w:id="17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MIZUHO BANK, LTD.,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Tracy Rahn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1" w:name="page172"/>
    <w:bookmarkEnd w:id="17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MORGAN STANLEY BANK, N.A.,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 Lilienfeld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Julie Lilienfeld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180"/>
          </w:cols>
          <w:pgMar w:left="1440" w:top="274" w:right="1279" w:bottom="1440" w:gutter="0" w:footer="0" w:header="0"/>
        </w:sectPr>
      </w:pPr>
    </w:p>
    <w:bookmarkStart w:id="172" w:name="page173"/>
    <w:bookmarkEnd w:id="17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MUFG BANK, LTD.,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Jack Lonker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3" w:name="page174"/>
    <w:bookmarkEnd w:id="17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PNC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Kathryn Hutterer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Kathryn Hutterer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4" w:name="page175"/>
    <w:bookmarkEnd w:id="17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ROYAL BANK OF CANADA,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MacVicar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Scott MacVicar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5" w:name="page176"/>
    <w:bookmarkEnd w:id="17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Skandinaviska Enskilda Banken AB (publ),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Penny Neville-Park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Penny Neville-Park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Authorised signatory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Duncan Nash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Duncan Nash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13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020"/>
          </w:cols>
          <w:pgMar w:left="1440" w:top="274" w:right="439" w:bottom="1440" w:gutter="0" w:footer="0" w:header="0"/>
        </w:sectPr>
      </w:pPr>
    </w:p>
    <w:bookmarkStart w:id="176" w:name="page177"/>
    <w:bookmarkEnd w:id="17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SOCIETE GENERALE, as a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Kimberly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Kimberly Metzger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7" w:name="page178"/>
    <w:bookmarkEnd w:id="17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STANDARD CHARTERED BANK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James Beck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Associate 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120"/>
          </w:cols>
          <w:pgMar w:left="1440" w:top="274" w:right="1339" w:bottom="1440" w:gutter="0" w:footer="0" w:header="0"/>
        </w:sectPr>
      </w:pPr>
    </w:p>
    <w:bookmarkStart w:id="178" w:name="page179"/>
    <w:bookmarkEnd w:id="17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GOLDMAN SACHS BANK USA, as an Issuing Bank</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Annie Carr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560"/>
          </w:cols>
          <w:pgMar w:left="1440" w:top="274" w:right="89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DELAYED DRAW TERM LOAN CREDIT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JUNE 16,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UPJOHN INC. (to be renamed VIATRIS),</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Guarantors from time to time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MUFG BANK, LTD.,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 the Lenders from time to time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MUFG BANK, LTD.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Lead Arrangers and Bookrunners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MIZUHO BANK, LTD.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Syndication Agent</w:t>
      </w:r>
    </w:p>
    <w:p>
      <w:pPr>
        <w:sectPr>
          <w:pgSz w:w="11900" w:h="16838" w:orient="portrait"/>
          <w:cols w:equalWidth="0" w:num="1">
            <w:col w:w="10020"/>
          </w:cols>
          <w:pgMar w:left="1440" w:top="121" w:right="439" w:bottom="1440" w:gutter="0" w:footer="0" w:header="0"/>
        </w:sectPr>
      </w:pPr>
    </w:p>
    <w:bookmarkStart w:id="180" w:name="page181"/>
    <w:bookmarkEnd w:id="180"/>
    <w:p>
      <w:pPr>
        <w:jc w:val="center"/>
        <w:ind w:right="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8840" w:type="dxa"/>
            <w:vAlign w:val="bottom"/>
            <w:vMerge w:val="restart"/>
          </w:tcPr>
          <w:p>
            <w:pPr>
              <w:jc w:val="center"/>
              <w:ind w:right="1430"/>
              <w:spacing w:after="0"/>
              <w:rPr>
                <w:sz w:val="20"/>
                <w:szCs w:val="20"/>
                <w:color w:val="auto"/>
              </w:rPr>
            </w:pPr>
            <w:r>
              <w:rPr>
                <w:rFonts w:ascii="Arial" w:cs="Arial" w:eastAsia="Arial" w:hAnsi="Arial"/>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840" w:type="dxa"/>
            <w:vAlign w:val="bottom"/>
          </w:tcPr>
          <w:p>
            <w:pPr>
              <w:jc w:val="center"/>
              <w:ind w:right="1430"/>
              <w:spacing w:after="0"/>
              <w:rPr>
                <w:sz w:val="20"/>
                <w:szCs w:val="20"/>
                <w:color w:val="auto"/>
              </w:rPr>
            </w:pPr>
            <w:r>
              <w:rPr>
                <w:rFonts w:ascii="Arial" w:cs="Arial" w:eastAsia="Arial" w:hAnsi="Arial"/>
                <w:sz w:val="18"/>
                <w:szCs w:val="18"/>
                <w:color w:val="auto"/>
                <w:w w:val="98"/>
              </w:rPr>
              <w:t>DEFINITIONS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1.01</w:t>
            </w:r>
          </w:p>
        </w:tc>
        <w:tc>
          <w:tcPr>
            <w:tcW w:w="8840" w:type="dxa"/>
            <w:vAlign w:val="bottom"/>
          </w:tcPr>
          <w:p>
            <w:pPr>
              <w:ind w:left="360"/>
              <w:spacing w:after="0"/>
              <w:rPr>
                <w:sz w:val="20"/>
                <w:szCs w:val="20"/>
                <w:color w:val="auto"/>
              </w:rPr>
            </w:pPr>
            <w:r>
              <w:rPr>
                <w:rFonts w:ascii="Arial" w:cs="Arial" w:eastAsia="Arial" w:hAnsi="Arial"/>
                <w:sz w:val="18"/>
                <w:szCs w:val="18"/>
                <w:color w:val="auto"/>
              </w:rPr>
              <w:t>Defined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1.02</w:t>
            </w:r>
          </w:p>
        </w:tc>
        <w:tc>
          <w:tcPr>
            <w:tcW w:w="8840" w:type="dxa"/>
            <w:vAlign w:val="bottom"/>
          </w:tcPr>
          <w:p>
            <w:pPr>
              <w:ind w:left="360"/>
              <w:spacing w:after="0"/>
              <w:rPr>
                <w:sz w:val="20"/>
                <w:szCs w:val="20"/>
                <w:color w:val="auto"/>
              </w:rPr>
            </w:pPr>
            <w:r>
              <w:rPr>
                <w:rFonts w:ascii="Arial" w:cs="Arial" w:eastAsia="Arial" w:hAnsi="Arial"/>
                <w:sz w:val="18"/>
                <w:szCs w:val="18"/>
                <w:color w:val="auto"/>
              </w:rPr>
              <w:t>Classification of Loans and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1.03</w:t>
            </w:r>
          </w:p>
        </w:tc>
        <w:tc>
          <w:tcPr>
            <w:tcW w:w="8840" w:type="dxa"/>
            <w:vAlign w:val="bottom"/>
          </w:tcPr>
          <w:p>
            <w:pPr>
              <w:ind w:left="360"/>
              <w:spacing w:after="0"/>
              <w:rPr>
                <w:sz w:val="20"/>
                <w:szCs w:val="20"/>
                <w:color w:val="auto"/>
              </w:rPr>
            </w:pPr>
            <w:r>
              <w:rPr>
                <w:rFonts w:ascii="Arial" w:cs="Arial" w:eastAsia="Arial" w:hAnsi="Arial"/>
                <w:sz w:val="18"/>
                <w:szCs w:val="18"/>
                <w:color w:val="auto"/>
              </w:rPr>
              <w:t>Terms Generally</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1.04</w:t>
            </w:r>
          </w:p>
        </w:tc>
        <w:tc>
          <w:tcPr>
            <w:tcW w:w="8840" w:type="dxa"/>
            <w:vAlign w:val="bottom"/>
          </w:tcPr>
          <w:p>
            <w:pPr>
              <w:ind w:left="360"/>
              <w:spacing w:after="0"/>
              <w:rPr>
                <w:sz w:val="20"/>
                <w:szCs w:val="20"/>
                <w:color w:val="auto"/>
              </w:rPr>
            </w:pPr>
            <w:r>
              <w:rPr>
                <w:rFonts w:ascii="Arial" w:cs="Arial" w:eastAsia="Arial" w:hAnsi="Arial"/>
                <w:sz w:val="18"/>
                <w:szCs w:val="18"/>
                <w:color w:val="auto"/>
              </w:rPr>
              <w:t>Accounting Terms; GAAP</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1.05</w:t>
            </w:r>
          </w:p>
        </w:tc>
        <w:tc>
          <w:tcPr>
            <w:tcW w:w="8840" w:type="dxa"/>
            <w:vAlign w:val="bottom"/>
          </w:tcPr>
          <w:p>
            <w:pPr>
              <w:ind w:left="360"/>
              <w:spacing w:after="0"/>
              <w:rPr>
                <w:sz w:val="20"/>
                <w:szCs w:val="20"/>
                <w:color w:val="auto"/>
              </w:rPr>
            </w:pPr>
            <w:r>
              <w:rPr>
                <w:rFonts w:ascii="Arial" w:cs="Arial" w:eastAsia="Arial" w:hAnsi="Arial"/>
                <w:sz w:val="18"/>
                <w:szCs w:val="18"/>
                <w:color w:val="auto"/>
              </w:rPr>
              <w:t>Payments on Business Days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1.06</w:t>
            </w:r>
          </w:p>
        </w:tc>
        <w:tc>
          <w:tcPr>
            <w:tcW w:w="8840" w:type="dxa"/>
            <w:vAlign w:val="bottom"/>
          </w:tcPr>
          <w:p>
            <w:pPr>
              <w:ind w:left="360"/>
              <w:spacing w:after="0"/>
              <w:rPr>
                <w:sz w:val="20"/>
                <w:szCs w:val="20"/>
                <w:color w:val="auto"/>
              </w:rPr>
            </w:pPr>
            <w:r>
              <w:rPr>
                <w:rFonts w:ascii="Arial" w:cs="Arial" w:eastAsia="Arial" w:hAnsi="Arial"/>
                <w:sz w:val="18"/>
                <w:szCs w:val="18"/>
                <w:color w:val="auto"/>
              </w:rPr>
              <w:t>Rounding</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1.07</w:t>
            </w:r>
          </w:p>
        </w:tc>
        <w:tc>
          <w:tcPr>
            <w:tcW w:w="8840" w:type="dxa"/>
            <w:vAlign w:val="bottom"/>
          </w:tcPr>
          <w:p>
            <w:pPr>
              <w:ind w:left="360"/>
              <w:spacing w:after="0"/>
              <w:rPr>
                <w:sz w:val="20"/>
                <w:szCs w:val="20"/>
                <w:color w:val="auto"/>
              </w:rPr>
            </w:pPr>
            <w:r>
              <w:rPr>
                <w:rFonts w:ascii="Arial" w:cs="Arial" w:eastAsia="Arial" w:hAnsi="Arial"/>
                <w:sz w:val="18"/>
                <w:szCs w:val="18"/>
                <w:color w:val="auto"/>
              </w:rPr>
              <w:t>Divisions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1.08</w:t>
            </w:r>
          </w:p>
        </w:tc>
        <w:tc>
          <w:tcPr>
            <w:tcW w:w="8840" w:type="dxa"/>
            <w:vAlign w:val="bottom"/>
          </w:tcPr>
          <w:p>
            <w:pPr>
              <w:ind w:left="360"/>
              <w:spacing w:after="0"/>
              <w:rPr>
                <w:sz w:val="20"/>
                <w:szCs w:val="20"/>
                <w:color w:val="auto"/>
              </w:rPr>
            </w:pPr>
            <w:r>
              <w:rPr>
                <w:rFonts w:ascii="Arial" w:cs="Arial" w:eastAsia="Arial" w:hAnsi="Arial"/>
                <w:sz w:val="18"/>
                <w:szCs w:val="18"/>
                <w:color w:val="auto"/>
              </w:rPr>
              <w:t>Times of Day</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1.09</w:t>
            </w:r>
          </w:p>
        </w:tc>
        <w:tc>
          <w:tcPr>
            <w:tcW w:w="8840" w:type="dxa"/>
            <w:vAlign w:val="bottom"/>
          </w:tcPr>
          <w:p>
            <w:pPr>
              <w:ind w:left="360"/>
              <w:spacing w:after="0"/>
              <w:rPr>
                <w:sz w:val="20"/>
                <w:szCs w:val="20"/>
                <w:color w:val="auto"/>
              </w:rPr>
            </w:pPr>
            <w:r>
              <w:rPr>
                <w:rFonts w:ascii="Arial" w:cs="Arial" w:eastAsia="Arial" w:hAnsi="Arial"/>
                <w:sz w:val="18"/>
                <w:szCs w:val="18"/>
                <w:color w:val="auto"/>
              </w:rPr>
              <w:t>LIBO Rate</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840" w:type="dxa"/>
            <w:vAlign w:val="bottom"/>
          </w:tcPr>
          <w:p>
            <w:pPr>
              <w:jc w:val="center"/>
              <w:ind w:right="143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840" w:type="dxa"/>
            <w:vAlign w:val="bottom"/>
          </w:tcPr>
          <w:p>
            <w:pPr>
              <w:jc w:val="center"/>
              <w:ind w:right="1450"/>
              <w:spacing w:after="0"/>
              <w:rPr>
                <w:sz w:val="20"/>
                <w:szCs w:val="20"/>
                <w:color w:val="auto"/>
              </w:rPr>
            </w:pPr>
            <w:r>
              <w:rPr>
                <w:rFonts w:ascii="Arial" w:cs="Arial" w:eastAsia="Arial" w:hAnsi="Arial"/>
                <w:sz w:val="18"/>
                <w:szCs w:val="18"/>
                <w:color w:val="auto"/>
                <w:w w:val="94"/>
              </w:rPr>
              <w:t>THE CREDITS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2.01</w:t>
            </w:r>
          </w:p>
        </w:tc>
        <w:tc>
          <w:tcPr>
            <w:tcW w:w="8840" w:type="dxa"/>
            <w:vAlign w:val="bottom"/>
          </w:tcPr>
          <w:p>
            <w:pPr>
              <w:ind w:left="360"/>
              <w:spacing w:after="0"/>
              <w:rPr>
                <w:sz w:val="20"/>
                <w:szCs w:val="20"/>
                <w:color w:val="auto"/>
              </w:rPr>
            </w:pPr>
            <w:r>
              <w:rPr>
                <w:rFonts w:ascii="Arial" w:cs="Arial" w:eastAsia="Arial" w:hAnsi="Arial"/>
                <w:sz w:val="18"/>
                <w:szCs w:val="18"/>
                <w:color w:val="auto"/>
              </w:rPr>
              <w:t>Term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2.02</w:t>
            </w:r>
          </w:p>
        </w:tc>
        <w:tc>
          <w:tcPr>
            <w:tcW w:w="8840" w:type="dxa"/>
            <w:vAlign w:val="bottom"/>
          </w:tcPr>
          <w:p>
            <w:pPr>
              <w:ind w:left="360"/>
              <w:spacing w:after="0"/>
              <w:rPr>
                <w:sz w:val="20"/>
                <w:szCs w:val="20"/>
                <w:color w:val="auto"/>
              </w:rPr>
            </w:pPr>
            <w:r>
              <w:rPr>
                <w:rFonts w:ascii="Arial" w:cs="Arial" w:eastAsia="Arial" w:hAnsi="Arial"/>
                <w:sz w:val="18"/>
                <w:szCs w:val="18"/>
                <w:color w:val="auto"/>
              </w:rPr>
              <w:t>Loan and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2.03</w:t>
            </w:r>
          </w:p>
        </w:tc>
        <w:tc>
          <w:tcPr>
            <w:tcW w:w="8840" w:type="dxa"/>
            <w:vAlign w:val="bottom"/>
          </w:tcPr>
          <w:p>
            <w:pPr>
              <w:ind w:left="360"/>
              <w:spacing w:after="0"/>
              <w:rPr>
                <w:sz w:val="20"/>
                <w:szCs w:val="20"/>
                <w:color w:val="auto"/>
              </w:rPr>
            </w:pPr>
            <w:r>
              <w:rPr>
                <w:rFonts w:ascii="Arial" w:cs="Arial" w:eastAsia="Arial" w:hAnsi="Arial"/>
                <w:sz w:val="18"/>
                <w:szCs w:val="18"/>
                <w:color w:val="auto"/>
              </w:rPr>
              <w:t>Requests for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2.04</w:t>
            </w:r>
          </w:p>
        </w:tc>
        <w:tc>
          <w:tcPr>
            <w:tcW w:w="8840" w:type="dxa"/>
            <w:vAlign w:val="bottom"/>
          </w:tcPr>
          <w:p>
            <w:pPr>
              <w:ind w:left="360"/>
              <w:spacing w:after="0"/>
              <w:rPr>
                <w:sz w:val="20"/>
                <w:szCs w:val="20"/>
                <w:color w:val="auto"/>
              </w:rPr>
            </w:pPr>
            <w:r>
              <w:rPr>
                <w:rFonts w:ascii="Arial" w:cs="Arial" w:eastAsia="Arial" w:hAnsi="Arial"/>
                <w:sz w:val="18"/>
                <w:szCs w:val="18"/>
                <w:color w:val="auto"/>
              </w:rPr>
              <w:t>[Intentionally Omitted]</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2.05</w:t>
            </w:r>
          </w:p>
        </w:tc>
        <w:tc>
          <w:tcPr>
            <w:tcW w:w="8840" w:type="dxa"/>
            <w:vAlign w:val="bottom"/>
          </w:tcPr>
          <w:p>
            <w:pPr>
              <w:ind w:left="360"/>
              <w:spacing w:after="0"/>
              <w:rPr>
                <w:sz w:val="20"/>
                <w:szCs w:val="20"/>
                <w:color w:val="auto"/>
              </w:rPr>
            </w:pPr>
            <w:r>
              <w:rPr>
                <w:rFonts w:ascii="Arial" w:cs="Arial" w:eastAsia="Arial" w:hAnsi="Arial"/>
                <w:sz w:val="18"/>
                <w:szCs w:val="18"/>
                <w:color w:val="auto"/>
              </w:rPr>
              <w:t>[Intentionally Omitted]</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2.06</w:t>
            </w:r>
          </w:p>
        </w:tc>
        <w:tc>
          <w:tcPr>
            <w:tcW w:w="8840" w:type="dxa"/>
            <w:vAlign w:val="bottom"/>
          </w:tcPr>
          <w:p>
            <w:pPr>
              <w:ind w:left="360"/>
              <w:spacing w:after="0"/>
              <w:rPr>
                <w:sz w:val="20"/>
                <w:szCs w:val="20"/>
                <w:color w:val="auto"/>
              </w:rPr>
            </w:pPr>
            <w:r>
              <w:rPr>
                <w:rFonts w:ascii="Arial" w:cs="Arial" w:eastAsia="Arial" w:hAnsi="Arial"/>
                <w:sz w:val="18"/>
                <w:szCs w:val="18"/>
                <w:color w:val="auto"/>
              </w:rPr>
              <w:t>Funding of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2.07</w:t>
            </w:r>
          </w:p>
        </w:tc>
        <w:tc>
          <w:tcPr>
            <w:tcW w:w="8840" w:type="dxa"/>
            <w:vAlign w:val="bottom"/>
          </w:tcPr>
          <w:p>
            <w:pPr>
              <w:ind w:left="360"/>
              <w:spacing w:after="0"/>
              <w:rPr>
                <w:sz w:val="20"/>
                <w:szCs w:val="20"/>
                <w:color w:val="auto"/>
              </w:rPr>
            </w:pPr>
            <w:r>
              <w:rPr>
                <w:rFonts w:ascii="Arial" w:cs="Arial" w:eastAsia="Arial" w:hAnsi="Arial"/>
                <w:sz w:val="18"/>
                <w:szCs w:val="18"/>
                <w:color w:val="auto"/>
              </w:rPr>
              <w:t>Successor LIBOR</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2.08</w:t>
            </w:r>
          </w:p>
        </w:tc>
        <w:tc>
          <w:tcPr>
            <w:tcW w:w="8840" w:type="dxa"/>
            <w:vAlign w:val="bottom"/>
          </w:tcPr>
          <w:p>
            <w:pPr>
              <w:ind w:left="360"/>
              <w:spacing w:after="0"/>
              <w:rPr>
                <w:sz w:val="20"/>
                <w:szCs w:val="20"/>
                <w:color w:val="auto"/>
              </w:rPr>
            </w:pPr>
            <w:r>
              <w:rPr>
                <w:rFonts w:ascii="Arial" w:cs="Arial" w:eastAsia="Arial" w:hAnsi="Arial"/>
                <w:sz w:val="18"/>
                <w:szCs w:val="18"/>
                <w:color w:val="auto"/>
              </w:rPr>
              <w:t>Reduction of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2.09</w:t>
            </w:r>
          </w:p>
        </w:tc>
        <w:tc>
          <w:tcPr>
            <w:tcW w:w="8840" w:type="dxa"/>
            <w:vAlign w:val="bottom"/>
          </w:tcPr>
          <w:p>
            <w:pPr>
              <w:ind w:left="360"/>
              <w:spacing w:after="0"/>
              <w:rPr>
                <w:sz w:val="20"/>
                <w:szCs w:val="20"/>
                <w:color w:val="auto"/>
              </w:rPr>
            </w:pPr>
            <w:r>
              <w:rPr>
                <w:rFonts w:ascii="Arial" w:cs="Arial" w:eastAsia="Arial" w:hAnsi="Arial"/>
                <w:sz w:val="18"/>
                <w:szCs w:val="18"/>
                <w:color w:val="auto"/>
              </w:rPr>
              <w:t>Repayment of Loans; Evidence of Debt</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2.10</w:t>
            </w:r>
          </w:p>
        </w:tc>
        <w:tc>
          <w:tcPr>
            <w:tcW w:w="8840" w:type="dxa"/>
            <w:vAlign w:val="bottom"/>
          </w:tcPr>
          <w:p>
            <w:pPr>
              <w:ind w:left="360"/>
              <w:spacing w:after="0"/>
              <w:rPr>
                <w:sz w:val="20"/>
                <w:szCs w:val="20"/>
                <w:color w:val="auto"/>
              </w:rPr>
            </w:pPr>
            <w:r>
              <w:rPr>
                <w:rFonts w:ascii="Arial" w:cs="Arial" w:eastAsia="Arial" w:hAnsi="Arial"/>
                <w:sz w:val="18"/>
                <w:szCs w:val="18"/>
                <w:color w:val="auto"/>
              </w:rPr>
              <w:t>Optional Prepayment of Loans</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2.11</w:t>
            </w:r>
          </w:p>
        </w:tc>
        <w:tc>
          <w:tcPr>
            <w:tcW w:w="8840" w:type="dxa"/>
            <w:vAlign w:val="bottom"/>
          </w:tcPr>
          <w:p>
            <w:pPr>
              <w:ind w:left="360"/>
              <w:spacing w:after="0"/>
              <w:rPr>
                <w:sz w:val="20"/>
                <w:szCs w:val="20"/>
                <w:color w:val="auto"/>
              </w:rPr>
            </w:pPr>
            <w:r>
              <w:rPr>
                <w:rFonts w:ascii="Arial" w:cs="Arial" w:eastAsia="Arial" w:hAnsi="Arial"/>
                <w:sz w:val="18"/>
                <w:szCs w:val="18"/>
                <w:color w:val="auto"/>
              </w:rPr>
              <w:t>Fees</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2.12</w:t>
            </w:r>
          </w:p>
        </w:tc>
        <w:tc>
          <w:tcPr>
            <w:tcW w:w="88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2.13</w:t>
            </w:r>
          </w:p>
        </w:tc>
        <w:tc>
          <w:tcPr>
            <w:tcW w:w="8840" w:type="dxa"/>
            <w:vAlign w:val="bottom"/>
          </w:tcPr>
          <w:p>
            <w:pPr>
              <w:ind w:left="360"/>
              <w:spacing w:after="0"/>
              <w:rPr>
                <w:sz w:val="20"/>
                <w:szCs w:val="20"/>
                <w:color w:val="auto"/>
              </w:rPr>
            </w:pPr>
            <w:r>
              <w:rPr>
                <w:rFonts w:ascii="Arial" w:cs="Arial" w:eastAsia="Arial" w:hAnsi="Arial"/>
                <w:sz w:val="18"/>
                <w:szCs w:val="18"/>
                <w:color w:val="auto"/>
              </w:rPr>
              <w:t>Alternate Rate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2.14</w:t>
            </w:r>
          </w:p>
        </w:tc>
        <w:tc>
          <w:tcPr>
            <w:tcW w:w="8840" w:type="dxa"/>
            <w:vAlign w:val="bottom"/>
          </w:tcPr>
          <w:p>
            <w:pPr>
              <w:ind w:left="360"/>
              <w:spacing w:after="0"/>
              <w:rPr>
                <w:sz w:val="20"/>
                <w:szCs w:val="20"/>
                <w:color w:val="auto"/>
              </w:rPr>
            </w:pPr>
            <w:r>
              <w:rPr>
                <w:rFonts w:ascii="Arial" w:cs="Arial" w:eastAsia="Arial" w:hAnsi="Arial"/>
                <w:sz w:val="18"/>
                <w:szCs w:val="18"/>
                <w:color w:val="auto"/>
              </w:rPr>
              <w:t>Increased Costs</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2.15</w:t>
            </w:r>
          </w:p>
        </w:tc>
        <w:tc>
          <w:tcPr>
            <w:tcW w:w="8840" w:type="dxa"/>
            <w:vAlign w:val="bottom"/>
          </w:tcPr>
          <w:p>
            <w:pPr>
              <w:ind w:left="360"/>
              <w:spacing w:after="0"/>
              <w:rPr>
                <w:sz w:val="20"/>
                <w:szCs w:val="20"/>
                <w:color w:val="auto"/>
              </w:rPr>
            </w:pPr>
            <w:r>
              <w:rPr>
                <w:rFonts w:ascii="Arial" w:cs="Arial" w:eastAsia="Arial" w:hAnsi="Arial"/>
                <w:sz w:val="18"/>
                <w:szCs w:val="18"/>
                <w:color w:val="auto"/>
              </w:rPr>
              <w:t>Break Funding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2.16</w:t>
            </w:r>
          </w:p>
        </w:tc>
        <w:tc>
          <w:tcPr>
            <w:tcW w:w="8840" w:type="dxa"/>
            <w:vAlign w:val="bottom"/>
          </w:tcPr>
          <w:p>
            <w:pPr>
              <w:ind w:left="360"/>
              <w:spacing w:after="0"/>
              <w:rPr>
                <w:sz w:val="20"/>
                <w:szCs w:val="20"/>
                <w:color w:val="auto"/>
              </w:rPr>
            </w:pPr>
            <w:r>
              <w:rPr>
                <w:rFonts w:ascii="Arial" w:cs="Arial" w:eastAsia="Arial" w:hAnsi="Arial"/>
                <w:sz w:val="18"/>
                <w:szCs w:val="18"/>
                <w:color w:val="auto"/>
              </w:rPr>
              <w:t>Taxes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2.17</w:t>
            </w:r>
          </w:p>
        </w:tc>
        <w:tc>
          <w:tcPr>
            <w:tcW w:w="8840" w:type="dxa"/>
            <w:vAlign w:val="bottom"/>
          </w:tcPr>
          <w:p>
            <w:pPr>
              <w:ind w:left="360"/>
              <w:spacing w:after="0"/>
              <w:rPr>
                <w:sz w:val="20"/>
                <w:szCs w:val="20"/>
                <w:color w:val="auto"/>
              </w:rPr>
            </w:pPr>
            <w:r>
              <w:rPr>
                <w:rFonts w:ascii="Arial" w:cs="Arial" w:eastAsia="Arial" w:hAnsi="Arial"/>
                <w:sz w:val="18"/>
                <w:szCs w:val="18"/>
                <w:color w:val="auto"/>
              </w:rPr>
              <w:t>Payments Generally; Pro Rata Treatment; Sharing of Setoffs</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2.18</w:t>
            </w:r>
          </w:p>
        </w:tc>
        <w:tc>
          <w:tcPr>
            <w:tcW w:w="8840" w:type="dxa"/>
            <w:vAlign w:val="bottom"/>
          </w:tcPr>
          <w:p>
            <w:pPr>
              <w:ind w:left="360"/>
              <w:spacing w:after="0"/>
              <w:rPr>
                <w:sz w:val="20"/>
                <w:szCs w:val="20"/>
                <w:color w:val="auto"/>
              </w:rPr>
            </w:pPr>
            <w:r>
              <w:rPr>
                <w:rFonts w:ascii="Arial" w:cs="Arial" w:eastAsia="Arial" w:hAnsi="Arial"/>
                <w:sz w:val="18"/>
                <w:szCs w:val="18"/>
                <w:color w:val="auto"/>
              </w:rPr>
              <w:t>Mitigation Obligations; Replacement of Lenders</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2.19</w:t>
            </w:r>
          </w:p>
        </w:tc>
        <w:tc>
          <w:tcPr>
            <w:tcW w:w="8840" w:type="dxa"/>
            <w:vAlign w:val="bottom"/>
          </w:tcPr>
          <w:p>
            <w:pPr>
              <w:ind w:left="360"/>
              <w:spacing w:after="0"/>
              <w:rPr>
                <w:sz w:val="20"/>
                <w:szCs w:val="20"/>
                <w:color w:val="auto"/>
              </w:rPr>
            </w:pPr>
            <w:r>
              <w:rPr>
                <w:rFonts w:ascii="Arial" w:cs="Arial" w:eastAsia="Arial" w:hAnsi="Arial"/>
                <w:sz w:val="18"/>
                <w:szCs w:val="18"/>
                <w:color w:val="auto"/>
              </w:rPr>
              <w:t>Judgment Currency</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2.20</w:t>
            </w:r>
          </w:p>
        </w:tc>
        <w:tc>
          <w:tcPr>
            <w:tcW w:w="8840" w:type="dxa"/>
            <w:vAlign w:val="bottom"/>
          </w:tcPr>
          <w:p>
            <w:pPr>
              <w:ind w:left="360"/>
              <w:spacing w:after="0"/>
              <w:rPr>
                <w:sz w:val="20"/>
                <w:szCs w:val="20"/>
                <w:color w:val="auto"/>
              </w:rPr>
            </w:pPr>
            <w:r>
              <w:rPr>
                <w:rFonts w:ascii="Arial" w:cs="Arial" w:eastAsia="Arial" w:hAnsi="Arial"/>
                <w:sz w:val="18"/>
                <w:szCs w:val="18"/>
                <w:color w:val="auto"/>
              </w:rPr>
              <w:t>Defaulting Lender</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600"/>
          </w:cols>
          <w:pgMar w:left="800" w:top="270" w:right="49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9"/>
              </w:rPr>
              <w:t>ARTICLE III</w:t>
            </w:r>
          </w:p>
        </w:tc>
        <w:tc>
          <w:tcPr>
            <w:tcW w:w="1860" w:type="dxa"/>
            <w:vAlign w:val="bottom"/>
          </w:tcPr>
          <w:p>
            <w:pPr>
              <w:spacing w:after="0"/>
              <w:rPr>
                <w:sz w:val="20"/>
                <w:szCs w:val="20"/>
                <w:color w:val="auto"/>
              </w:rPr>
            </w:pP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5"/>
              </w:rPr>
              <w:t>REPRESENTATIONS AND WARRANTIES</w:t>
            </w:r>
          </w:p>
        </w:tc>
        <w:tc>
          <w:tcPr>
            <w:tcW w:w="1860" w:type="dxa"/>
            <w:vAlign w:val="bottom"/>
          </w:tcPr>
          <w:p>
            <w:pPr>
              <w:spacing w:after="0"/>
              <w:rPr>
                <w:sz w:val="24"/>
                <w:szCs w:val="24"/>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3.01</w:t>
            </w:r>
          </w:p>
        </w:tc>
        <w:tc>
          <w:tcPr>
            <w:tcW w:w="7280" w:type="dxa"/>
            <w:vAlign w:val="bottom"/>
          </w:tcPr>
          <w:p>
            <w:pPr>
              <w:ind w:left="360"/>
              <w:spacing w:after="0"/>
              <w:rPr>
                <w:sz w:val="20"/>
                <w:szCs w:val="20"/>
                <w:color w:val="auto"/>
              </w:rPr>
            </w:pPr>
            <w:r>
              <w:rPr>
                <w:rFonts w:ascii="Arial" w:cs="Arial" w:eastAsia="Arial" w:hAnsi="Arial"/>
                <w:sz w:val="18"/>
                <w:szCs w:val="18"/>
                <w:color w:val="auto"/>
              </w:rPr>
              <w:t>Organization; Powers; Subsidiaries</w:t>
            </w:r>
          </w:p>
        </w:tc>
        <w:tc>
          <w:tcPr>
            <w:tcW w:w="1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3.02</w:t>
            </w:r>
          </w:p>
        </w:tc>
        <w:tc>
          <w:tcPr>
            <w:tcW w:w="7280" w:type="dxa"/>
            <w:vAlign w:val="bottom"/>
          </w:tcPr>
          <w:p>
            <w:pPr>
              <w:ind w:left="360"/>
              <w:spacing w:after="0"/>
              <w:rPr>
                <w:sz w:val="20"/>
                <w:szCs w:val="20"/>
                <w:color w:val="auto"/>
              </w:rPr>
            </w:pPr>
            <w:r>
              <w:rPr>
                <w:rFonts w:ascii="Arial" w:cs="Arial" w:eastAsia="Arial" w:hAnsi="Arial"/>
                <w:sz w:val="18"/>
                <w:szCs w:val="18"/>
                <w:color w:val="auto"/>
              </w:rPr>
              <w:t>Authorization; Enforceability</w:t>
            </w:r>
          </w:p>
        </w:tc>
        <w:tc>
          <w:tcPr>
            <w:tcW w:w="1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3.03</w:t>
            </w:r>
          </w:p>
        </w:tc>
        <w:tc>
          <w:tcPr>
            <w:tcW w:w="7280" w:type="dxa"/>
            <w:vAlign w:val="bottom"/>
          </w:tcPr>
          <w:p>
            <w:pPr>
              <w:ind w:left="360"/>
              <w:spacing w:after="0"/>
              <w:rPr>
                <w:sz w:val="20"/>
                <w:szCs w:val="20"/>
                <w:color w:val="auto"/>
              </w:rPr>
            </w:pPr>
            <w:r>
              <w:rPr>
                <w:rFonts w:ascii="Arial" w:cs="Arial" w:eastAsia="Arial" w:hAnsi="Arial"/>
                <w:sz w:val="18"/>
                <w:szCs w:val="18"/>
                <w:color w:val="auto"/>
              </w:rPr>
              <w:t>Governmental Approvals; No Conflicts</w:t>
            </w:r>
          </w:p>
        </w:tc>
        <w:tc>
          <w:tcPr>
            <w:tcW w:w="1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3.04</w:t>
            </w:r>
          </w:p>
        </w:tc>
        <w:tc>
          <w:tcPr>
            <w:tcW w:w="7280" w:type="dxa"/>
            <w:vAlign w:val="bottom"/>
          </w:tcPr>
          <w:p>
            <w:pPr>
              <w:ind w:left="360"/>
              <w:spacing w:after="0"/>
              <w:rPr>
                <w:sz w:val="20"/>
                <w:szCs w:val="20"/>
                <w:color w:val="auto"/>
              </w:rPr>
            </w:pPr>
            <w:r>
              <w:rPr>
                <w:rFonts w:ascii="Arial" w:cs="Arial" w:eastAsia="Arial" w:hAnsi="Arial"/>
                <w:sz w:val="18"/>
                <w:szCs w:val="18"/>
                <w:color w:val="auto"/>
              </w:rPr>
              <w:t>Financial Statements; Financial Condition; No Material Adverse Change</w:t>
            </w:r>
          </w:p>
        </w:tc>
        <w:tc>
          <w:tcPr>
            <w:tcW w:w="1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3.05</w:t>
            </w:r>
          </w:p>
        </w:tc>
        <w:tc>
          <w:tcPr>
            <w:tcW w:w="7280" w:type="dxa"/>
            <w:vAlign w:val="bottom"/>
          </w:tcPr>
          <w:p>
            <w:pPr>
              <w:ind w:left="360"/>
              <w:spacing w:after="0"/>
              <w:rPr>
                <w:sz w:val="20"/>
                <w:szCs w:val="20"/>
                <w:color w:val="auto"/>
              </w:rPr>
            </w:pPr>
            <w:r>
              <w:rPr>
                <w:rFonts w:ascii="Arial" w:cs="Arial" w:eastAsia="Arial" w:hAnsi="Arial"/>
                <w:sz w:val="18"/>
                <w:szCs w:val="18"/>
                <w:color w:val="auto"/>
              </w:rPr>
              <w:t>Properties</w:t>
            </w:r>
          </w:p>
        </w:tc>
        <w:tc>
          <w:tcPr>
            <w:tcW w:w="1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3.06</w:t>
            </w:r>
          </w:p>
        </w:tc>
        <w:tc>
          <w:tcPr>
            <w:tcW w:w="7280" w:type="dxa"/>
            <w:vAlign w:val="bottom"/>
          </w:tcPr>
          <w:p>
            <w:pPr>
              <w:ind w:left="360"/>
              <w:spacing w:after="0"/>
              <w:rPr>
                <w:sz w:val="20"/>
                <w:szCs w:val="20"/>
                <w:color w:val="auto"/>
              </w:rPr>
            </w:pPr>
            <w:r>
              <w:rPr>
                <w:rFonts w:ascii="Arial" w:cs="Arial" w:eastAsia="Arial" w:hAnsi="Arial"/>
                <w:sz w:val="18"/>
                <w:szCs w:val="18"/>
                <w:color w:val="auto"/>
              </w:rPr>
              <w:t>Litigation and Environmental Matters</w:t>
            </w:r>
          </w:p>
        </w:tc>
        <w:tc>
          <w:tcPr>
            <w:tcW w:w="1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3.07</w:t>
            </w:r>
          </w:p>
        </w:tc>
        <w:tc>
          <w:tcPr>
            <w:tcW w:w="7280" w:type="dxa"/>
            <w:vAlign w:val="bottom"/>
          </w:tcPr>
          <w:p>
            <w:pPr>
              <w:ind w:left="360"/>
              <w:spacing w:after="0"/>
              <w:rPr>
                <w:sz w:val="20"/>
                <w:szCs w:val="20"/>
                <w:color w:val="auto"/>
              </w:rPr>
            </w:pPr>
            <w:r>
              <w:rPr>
                <w:rFonts w:ascii="Arial" w:cs="Arial" w:eastAsia="Arial" w:hAnsi="Arial"/>
                <w:sz w:val="18"/>
                <w:szCs w:val="18"/>
                <w:color w:val="auto"/>
              </w:rPr>
              <w:t>Compliance with Laws and Agreements</w:t>
            </w:r>
          </w:p>
        </w:tc>
        <w:tc>
          <w:tcPr>
            <w:tcW w:w="1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3.08</w:t>
            </w:r>
          </w:p>
        </w:tc>
        <w:tc>
          <w:tcPr>
            <w:tcW w:w="7280" w:type="dxa"/>
            <w:vAlign w:val="bottom"/>
          </w:tcPr>
          <w:p>
            <w:pPr>
              <w:ind w:left="360"/>
              <w:spacing w:after="0"/>
              <w:rPr>
                <w:sz w:val="20"/>
                <w:szCs w:val="20"/>
                <w:color w:val="auto"/>
              </w:rPr>
            </w:pPr>
            <w:r>
              <w:rPr>
                <w:rFonts w:ascii="Arial" w:cs="Arial" w:eastAsia="Arial" w:hAnsi="Arial"/>
                <w:sz w:val="18"/>
                <w:szCs w:val="18"/>
                <w:color w:val="auto"/>
              </w:rPr>
              <w:t>Investment Company Status</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3.09</w:t>
            </w:r>
          </w:p>
        </w:tc>
        <w:tc>
          <w:tcPr>
            <w:tcW w:w="7280" w:type="dxa"/>
            <w:vAlign w:val="bottom"/>
          </w:tcPr>
          <w:p>
            <w:pPr>
              <w:ind w:left="360"/>
              <w:spacing w:after="0"/>
              <w:rPr>
                <w:sz w:val="20"/>
                <w:szCs w:val="20"/>
                <w:color w:val="auto"/>
              </w:rPr>
            </w:pPr>
            <w:r>
              <w:rPr>
                <w:rFonts w:ascii="Arial" w:cs="Arial" w:eastAsia="Arial" w:hAnsi="Arial"/>
                <w:sz w:val="18"/>
                <w:szCs w:val="18"/>
                <w:color w:val="auto"/>
              </w:rPr>
              <w:t>Taxes</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3.10</w:t>
            </w:r>
          </w:p>
        </w:tc>
        <w:tc>
          <w:tcPr>
            <w:tcW w:w="7280" w:type="dxa"/>
            <w:vAlign w:val="bottom"/>
          </w:tcPr>
          <w:p>
            <w:pPr>
              <w:ind w:left="360"/>
              <w:spacing w:after="0"/>
              <w:rPr>
                <w:sz w:val="20"/>
                <w:szCs w:val="20"/>
                <w:color w:val="auto"/>
              </w:rPr>
            </w:pPr>
            <w:r>
              <w:rPr>
                <w:rFonts w:ascii="Arial" w:cs="Arial" w:eastAsia="Arial" w:hAnsi="Arial"/>
                <w:sz w:val="18"/>
                <w:szCs w:val="18"/>
                <w:color w:val="auto"/>
              </w:rPr>
              <w:t>Solvency</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3.11</w:t>
            </w:r>
          </w:p>
        </w:tc>
        <w:tc>
          <w:tcPr>
            <w:tcW w:w="7280" w:type="dxa"/>
            <w:vAlign w:val="bottom"/>
          </w:tcPr>
          <w:p>
            <w:pPr>
              <w:ind w:left="360"/>
              <w:spacing w:after="0"/>
              <w:rPr>
                <w:sz w:val="20"/>
                <w:szCs w:val="20"/>
                <w:color w:val="auto"/>
              </w:rPr>
            </w:pPr>
            <w:r>
              <w:rPr>
                <w:rFonts w:ascii="Arial" w:cs="Arial" w:eastAsia="Arial" w:hAnsi="Arial"/>
                <w:sz w:val="18"/>
                <w:szCs w:val="18"/>
                <w:color w:val="auto"/>
              </w:rPr>
              <w:t>[Reserved]</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3.12</w:t>
            </w:r>
          </w:p>
        </w:tc>
        <w:tc>
          <w:tcPr>
            <w:tcW w:w="7280" w:type="dxa"/>
            <w:vAlign w:val="bottom"/>
          </w:tcPr>
          <w:p>
            <w:pPr>
              <w:ind w:left="360"/>
              <w:spacing w:after="0"/>
              <w:rPr>
                <w:sz w:val="20"/>
                <w:szCs w:val="20"/>
                <w:color w:val="auto"/>
              </w:rPr>
            </w:pPr>
            <w:r>
              <w:rPr>
                <w:rFonts w:ascii="Arial" w:cs="Arial" w:eastAsia="Arial" w:hAnsi="Arial"/>
                <w:sz w:val="18"/>
                <w:szCs w:val="18"/>
                <w:color w:val="auto"/>
              </w:rPr>
              <w:t>Disclosure</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3.13</w:t>
            </w:r>
          </w:p>
        </w:tc>
        <w:tc>
          <w:tcPr>
            <w:tcW w:w="7280" w:type="dxa"/>
            <w:vAlign w:val="bottom"/>
          </w:tcPr>
          <w:p>
            <w:pPr>
              <w:ind w:left="360"/>
              <w:spacing w:after="0"/>
              <w:rPr>
                <w:sz w:val="20"/>
                <w:szCs w:val="20"/>
                <w:color w:val="auto"/>
              </w:rPr>
            </w:pPr>
            <w:r>
              <w:rPr>
                <w:rFonts w:ascii="Arial" w:cs="Arial" w:eastAsia="Arial" w:hAnsi="Arial"/>
                <w:sz w:val="18"/>
                <w:szCs w:val="18"/>
                <w:color w:val="auto"/>
              </w:rPr>
              <w:t>Federal Reserve Regulations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3.14</w:t>
            </w:r>
          </w:p>
        </w:tc>
        <w:tc>
          <w:tcPr>
            <w:tcW w:w="7280" w:type="dxa"/>
            <w:vAlign w:val="bottom"/>
          </w:tcPr>
          <w:p>
            <w:pPr>
              <w:ind w:left="360"/>
              <w:spacing w:after="0"/>
              <w:rPr>
                <w:sz w:val="20"/>
                <w:szCs w:val="20"/>
                <w:color w:val="auto"/>
              </w:rPr>
            </w:pPr>
            <w:r>
              <w:rPr>
                <w:rFonts w:ascii="Arial" w:cs="Arial" w:eastAsia="Arial" w:hAnsi="Arial"/>
                <w:sz w:val="18"/>
                <w:szCs w:val="18"/>
                <w:color w:val="auto"/>
              </w:rPr>
              <w:t>PATRIOT Act</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3.15</w:t>
            </w:r>
          </w:p>
        </w:tc>
        <w:tc>
          <w:tcPr>
            <w:tcW w:w="7280" w:type="dxa"/>
            <w:vAlign w:val="bottom"/>
          </w:tcPr>
          <w:p>
            <w:pPr>
              <w:ind w:left="360"/>
              <w:spacing w:after="0"/>
              <w:rPr>
                <w:sz w:val="20"/>
                <w:szCs w:val="20"/>
                <w:color w:val="auto"/>
              </w:rPr>
            </w:pPr>
            <w:r>
              <w:rPr>
                <w:rFonts w:ascii="Arial" w:cs="Arial" w:eastAsia="Arial" w:hAnsi="Arial"/>
                <w:sz w:val="18"/>
                <w:szCs w:val="18"/>
                <w:color w:val="auto"/>
              </w:rPr>
              <w:t>OFAC</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3.16</w:t>
            </w:r>
          </w:p>
        </w:tc>
        <w:tc>
          <w:tcPr>
            <w:tcW w:w="7280" w:type="dxa"/>
            <w:vAlign w:val="bottom"/>
          </w:tcPr>
          <w:p>
            <w:pPr>
              <w:ind w:left="360"/>
              <w:spacing w:after="0"/>
              <w:rPr>
                <w:sz w:val="20"/>
                <w:szCs w:val="20"/>
                <w:color w:val="auto"/>
              </w:rPr>
            </w:pPr>
            <w:r>
              <w:rPr>
                <w:rFonts w:ascii="Arial" w:cs="Arial" w:eastAsia="Arial" w:hAnsi="Arial"/>
                <w:sz w:val="18"/>
                <w:szCs w:val="18"/>
                <w:color w:val="auto"/>
              </w:rPr>
              <w:t>Beneficial Ownership Certification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3.17</w:t>
            </w:r>
          </w:p>
        </w:tc>
        <w:tc>
          <w:tcPr>
            <w:tcW w:w="7280" w:type="dxa"/>
            <w:vAlign w:val="bottom"/>
          </w:tcPr>
          <w:p>
            <w:pPr>
              <w:ind w:left="360"/>
              <w:spacing w:after="0"/>
              <w:rPr>
                <w:sz w:val="20"/>
                <w:szCs w:val="20"/>
                <w:color w:val="auto"/>
              </w:rPr>
            </w:pPr>
            <w:r>
              <w:rPr>
                <w:rFonts w:ascii="Arial" w:cs="Arial" w:eastAsia="Arial" w:hAnsi="Arial"/>
                <w:sz w:val="18"/>
                <w:szCs w:val="18"/>
                <w:color w:val="auto"/>
              </w:rPr>
              <w:t>Representations as to Foreign Obligors</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9"/>
              </w:rPr>
              <w:t>ARTICLE IV</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7"/>
              </w:rPr>
              <w:t>CONDITIONS</w:t>
            </w:r>
          </w:p>
        </w:tc>
        <w:tc>
          <w:tcPr>
            <w:tcW w:w="1860" w:type="dxa"/>
            <w:vAlign w:val="bottom"/>
          </w:tcPr>
          <w:p>
            <w:pPr>
              <w:spacing w:after="0"/>
              <w:rPr>
                <w:sz w:val="24"/>
                <w:szCs w:val="24"/>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4.01</w:t>
            </w:r>
          </w:p>
        </w:tc>
        <w:tc>
          <w:tcPr>
            <w:tcW w:w="7280" w:type="dxa"/>
            <w:vAlign w:val="bottom"/>
          </w:tcPr>
          <w:p>
            <w:pPr>
              <w:ind w:left="360"/>
              <w:spacing w:after="0"/>
              <w:rPr>
                <w:sz w:val="20"/>
                <w:szCs w:val="20"/>
                <w:color w:val="auto"/>
              </w:rPr>
            </w:pPr>
            <w:r>
              <w:rPr>
                <w:rFonts w:ascii="Arial" w:cs="Arial" w:eastAsia="Arial" w:hAnsi="Arial"/>
                <w:sz w:val="18"/>
                <w:szCs w:val="18"/>
                <w:color w:val="auto"/>
              </w:rPr>
              <w:t>Conditions Precedent to Effectiveness</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4.02</w:t>
            </w:r>
          </w:p>
        </w:tc>
        <w:tc>
          <w:tcPr>
            <w:tcW w:w="7280" w:type="dxa"/>
            <w:vAlign w:val="bottom"/>
          </w:tcPr>
          <w:p>
            <w:pPr>
              <w:ind w:left="360"/>
              <w:spacing w:after="0"/>
              <w:rPr>
                <w:sz w:val="20"/>
                <w:szCs w:val="20"/>
                <w:color w:val="auto"/>
              </w:rPr>
            </w:pPr>
            <w:r>
              <w:rPr>
                <w:rFonts w:ascii="Arial" w:cs="Arial" w:eastAsia="Arial" w:hAnsi="Arial"/>
                <w:sz w:val="18"/>
                <w:szCs w:val="18"/>
                <w:color w:val="auto"/>
              </w:rPr>
              <w:t>Conditions Precedent to Closing Date</w:t>
            </w:r>
          </w:p>
        </w:tc>
        <w:tc>
          <w:tcPr>
            <w:tcW w:w="1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8"/>
              </w:rPr>
              <w:t>ARTICLE V</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8"/>
              </w:rPr>
              <w:t>AFFIRMATIVE COVENANTS</w:t>
            </w:r>
          </w:p>
        </w:tc>
        <w:tc>
          <w:tcPr>
            <w:tcW w:w="1860" w:type="dxa"/>
            <w:vAlign w:val="bottom"/>
          </w:tcPr>
          <w:p>
            <w:pPr>
              <w:spacing w:after="0"/>
              <w:rPr>
                <w:sz w:val="24"/>
                <w:szCs w:val="24"/>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5.01</w:t>
            </w:r>
          </w:p>
        </w:tc>
        <w:tc>
          <w:tcPr>
            <w:tcW w:w="7280" w:type="dxa"/>
            <w:vAlign w:val="bottom"/>
          </w:tcPr>
          <w:p>
            <w:pPr>
              <w:ind w:left="360"/>
              <w:spacing w:after="0"/>
              <w:rPr>
                <w:sz w:val="20"/>
                <w:szCs w:val="20"/>
                <w:color w:val="auto"/>
              </w:rPr>
            </w:pPr>
            <w:r>
              <w:rPr>
                <w:rFonts w:ascii="Arial" w:cs="Arial" w:eastAsia="Arial" w:hAnsi="Arial"/>
                <w:sz w:val="18"/>
                <w:szCs w:val="18"/>
                <w:color w:val="auto"/>
              </w:rPr>
              <w:t>Financial Statements and Other Information</w:t>
            </w:r>
          </w:p>
        </w:tc>
        <w:tc>
          <w:tcPr>
            <w:tcW w:w="1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5.02</w:t>
            </w:r>
          </w:p>
        </w:tc>
        <w:tc>
          <w:tcPr>
            <w:tcW w:w="7280" w:type="dxa"/>
            <w:vAlign w:val="bottom"/>
          </w:tcPr>
          <w:p>
            <w:pPr>
              <w:ind w:left="360"/>
              <w:spacing w:after="0"/>
              <w:rPr>
                <w:sz w:val="20"/>
                <w:szCs w:val="20"/>
                <w:color w:val="auto"/>
              </w:rPr>
            </w:pPr>
            <w:r>
              <w:rPr>
                <w:rFonts w:ascii="Arial" w:cs="Arial" w:eastAsia="Arial" w:hAnsi="Arial"/>
                <w:sz w:val="18"/>
                <w:szCs w:val="18"/>
                <w:color w:val="auto"/>
              </w:rPr>
              <w:t>Notices of Material Events</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5.03</w:t>
            </w:r>
          </w:p>
        </w:tc>
        <w:tc>
          <w:tcPr>
            <w:tcW w:w="7280" w:type="dxa"/>
            <w:vAlign w:val="bottom"/>
          </w:tcPr>
          <w:p>
            <w:pPr>
              <w:ind w:left="360"/>
              <w:spacing w:after="0"/>
              <w:rPr>
                <w:sz w:val="20"/>
                <w:szCs w:val="20"/>
                <w:color w:val="auto"/>
              </w:rPr>
            </w:pPr>
            <w:r>
              <w:rPr>
                <w:rFonts w:ascii="Arial" w:cs="Arial" w:eastAsia="Arial" w:hAnsi="Arial"/>
                <w:sz w:val="18"/>
                <w:szCs w:val="18"/>
                <w:color w:val="auto"/>
              </w:rPr>
              <w:t>Existence; Conduct of Business</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5.04</w:t>
            </w:r>
          </w:p>
        </w:tc>
        <w:tc>
          <w:tcPr>
            <w:tcW w:w="7280" w:type="dxa"/>
            <w:vAlign w:val="bottom"/>
          </w:tcPr>
          <w:p>
            <w:pPr>
              <w:ind w:left="360"/>
              <w:spacing w:after="0"/>
              <w:rPr>
                <w:sz w:val="20"/>
                <w:szCs w:val="20"/>
                <w:color w:val="auto"/>
              </w:rPr>
            </w:pPr>
            <w:r>
              <w:rPr>
                <w:rFonts w:ascii="Arial" w:cs="Arial" w:eastAsia="Arial" w:hAnsi="Arial"/>
                <w:sz w:val="18"/>
                <w:szCs w:val="18"/>
                <w:color w:val="auto"/>
              </w:rPr>
              <w:t>Payment of Obligations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5.05</w:t>
            </w:r>
          </w:p>
        </w:tc>
        <w:tc>
          <w:tcPr>
            <w:tcW w:w="7280" w:type="dxa"/>
            <w:vAlign w:val="bottom"/>
          </w:tcPr>
          <w:p>
            <w:pPr>
              <w:ind w:left="360"/>
              <w:spacing w:after="0"/>
              <w:rPr>
                <w:sz w:val="20"/>
                <w:szCs w:val="20"/>
                <w:color w:val="auto"/>
              </w:rPr>
            </w:pPr>
            <w:r>
              <w:rPr>
                <w:rFonts w:ascii="Arial" w:cs="Arial" w:eastAsia="Arial" w:hAnsi="Arial"/>
                <w:sz w:val="18"/>
                <w:szCs w:val="18"/>
                <w:color w:val="auto"/>
              </w:rPr>
              <w:t>Maintenance of Properties; 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5.06</w:t>
            </w:r>
          </w:p>
        </w:tc>
        <w:tc>
          <w:tcPr>
            <w:tcW w:w="7280" w:type="dxa"/>
            <w:vAlign w:val="bottom"/>
          </w:tcPr>
          <w:p>
            <w:pPr>
              <w:ind w:left="360"/>
              <w:spacing w:after="0"/>
              <w:rPr>
                <w:sz w:val="20"/>
                <w:szCs w:val="20"/>
                <w:color w:val="auto"/>
              </w:rPr>
            </w:pPr>
            <w:r>
              <w:rPr>
                <w:rFonts w:ascii="Arial" w:cs="Arial" w:eastAsia="Arial" w:hAnsi="Arial"/>
                <w:sz w:val="18"/>
                <w:szCs w:val="18"/>
                <w:color w:val="auto"/>
              </w:rPr>
              <w:t>Inspection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5.07</w:t>
            </w:r>
          </w:p>
        </w:tc>
        <w:tc>
          <w:tcPr>
            <w:tcW w:w="7280" w:type="dxa"/>
            <w:vAlign w:val="bottom"/>
          </w:tcPr>
          <w:p>
            <w:pPr>
              <w:ind w:left="360"/>
              <w:spacing w:after="0"/>
              <w:rPr>
                <w:sz w:val="20"/>
                <w:szCs w:val="20"/>
                <w:color w:val="auto"/>
              </w:rPr>
            </w:pPr>
            <w:r>
              <w:rPr>
                <w:rFonts w:ascii="Arial" w:cs="Arial" w:eastAsia="Arial" w:hAnsi="Arial"/>
                <w:sz w:val="18"/>
                <w:szCs w:val="18"/>
                <w:color w:val="auto"/>
              </w:rPr>
              <w:t>Compliance with Laws</w:t>
            </w:r>
          </w:p>
        </w:tc>
        <w:tc>
          <w:tcPr>
            <w:tcW w:w="1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5.08</w:t>
            </w:r>
          </w:p>
        </w:tc>
        <w:tc>
          <w:tcPr>
            <w:tcW w:w="7280" w:type="dxa"/>
            <w:vAlign w:val="bottom"/>
          </w:tcPr>
          <w:p>
            <w:pPr>
              <w:ind w:left="360"/>
              <w:spacing w:after="0"/>
              <w:rPr>
                <w:sz w:val="20"/>
                <w:szCs w:val="20"/>
                <w:color w:val="auto"/>
              </w:rPr>
            </w:pPr>
            <w:r>
              <w:rPr>
                <w:rFonts w:ascii="Arial" w:cs="Arial" w:eastAsia="Arial" w:hAnsi="Arial"/>
                <w:sz w:val="18"/>
                <w:szCs w:val="18"/>
                <w:color w:val="auto"/>
              </w:rPr>
              <w:t>Use of Proceeds</w:t>
            </w:r>
          </w:p>
        </w:tc>
        <w:tc>
          <w:tcPr>
            <w:tcW w:w="1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5.09</w:t>
            </w:r>
          </w:p>
        </w:tc>
        <w:tc>
          <w:tcPr>
            <w:tcW w:w="7280" w:type="dxa"/>
            <w:vAlign w:val="bottom"/>
          </w:tcPr>
          <w:p>
            <w:pPr>
              <w:ind w:left="360"/>
              <w:spacing w:after="0"/>
              <w:rPr>
                <w:sz w:val="20"/>
                <w:szCs w:val="20"/>
                <w:color w:val="auto"/>
              </w:rPr>
            </w:pPr>
            <w:r>
              <w:rPr>
                <w:rFonts w:ascii="Arial" w:cs="Arial" w:eastAsia="Arial" w:hAnsi="Arial"/>
                <w:sz w:val="18"/>
                <w:szCs w:val="18"/>
                <w:color w:val="auto"/>
              </w:rPr>
              <w:t>Guarantees</w:t>
            </w:r>
          </w:p>
        </w:tc>
        <w:tc>
          <w:tcPr>
            <w:tcW w:w="1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9"/>
              </w:rPr>
              <w:t>ARTICLE VI</w:t>
            </w:r>
          </w:p>
        </w:tc>
        <w:tc>
          <w:tcPr>
            <w:tcW w:w="1860" w:type="dxa"/>
            <w:vAlign w:val="bottom"/>
          </w:tcPr>
          <w:p>
            <w:pPr>
              <w:spacing w:after="0"/>
              <w:rPr>
                <w:sz w:val="24"/>
                <w:szCs w:val="24"/>
                <w:color w:val="auto"/>
              </w:rPr>
            </w:pPr>
          </w:p>
        </w:tc>
      </w:tr>
      <w:tr>
        <w:trPr>
          <w:trHeight w:val="324"/>
        </w:trPr>
        <w:tc>
          <w:tcPr>
            <w:tcW w:w="146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7"/>
              </w:rPr>
              <w:t>NEGATIVE COVENANTS</w:t>
            </w:r>
          </w:p>
        </w:tc>
        <w:tc>
          <w:tcPr>
            <w:tcW w:w="1860" w:type="dxa"/>
            <w:vAlign w:val="bottom"/>
          </w:tcPr>
          <w:p>
            <w:pPr>
              <w:spacing w:after="0"/>
              <w:rPr>
                <w:sz w:val="24"/>
                <w:szCs w:val="24"/>
                <w:color w:val="auto"/>
              </w:rPr>
            </w:pP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SECTION 6.01</w:t>
            </w:r>
          </w:p>
        </w:tc>
        <w:tc>
          <w:tcPr>
            <w:tcW w:w="7280" w:type="dxa"/>
            <w:vAlign w:val="bottom"/>
          </w:tcPr>
          <w:p>
            <w:pPr>
              <w:ind w:left="360"/>
              <w:spacing w:after="0"/>
              <w:rPr>
                <w:sz w:val="20"/>
                <w:szCs w:val="20"/>
                <w:color w:val="auto"/>
              </w:rPr>
            </w:pPr>
            <w:r>
              <w:rPr>
                <w:rFonts w:ascii="Arial" w:cs="Arial" w:eastAsia="Arial" w:hAnsi="Arial"/>
                <w:sz w:val="18"/>
                <w:szCs w:val="18"/>
                <w:color w:val="auto"/>
              </w:rPr>
              <w:t>Indebtedness</w:t>
            </w:r>
          </w:p>
        </w:tc>
        <w:tc>
          <w:tcPr>
            <w:tcW w:w="1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6.02</w:t>
            </w:r>
          </w:p>
        </w:tc>
        <w:tc>
          <w:tcPr>
            <w:tcW w:w="7280" w:type="dxa"/>
            <w:vAlign w:val="bottom"/>
          </w:tcPr>
          <w:p>
            <w:pPr>
              <w:ind w:left="360"/>
              <w:spacing w:after="0"/>
              <w:rPr>
                <w:sz w:val="20"/>
                <w:szCs w:val="20"/>
                <w:color w:val="auto"/>
              </w:rPr>
            </w:pPr>
            <w:r>
              <w:rPr>
                <w:rFonts w:ascii="Arial" w:cs="Arial" w:eastAsia="Arial" w:hAnsi="Arial"/>
                <w:sz w:val="18"/>
                <w:szCs w:val="18"/>
                <w:color w:val="auto"/>
              </w:rPr>
              <w:t>Liens</w:t>
            </w:r>
          </w:p>
        </w:tc>
        <w:tc>
          <w:tcPr>
            <w:tcW w:w="18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6.03</w:t>
            </w:r>
          </w:p>
        </w:tc>
        <w:tc>
          <w:tcPr>
            <w:tcW w:w="7280" w:type="dxa"/>
            <w:vAlign w:val="bottom"/>
          </w:tcPr>
          <w:p>
            <w:pPr>
              <w:ind w:left="360"/>
              <w:spacing w:after="0"/>
              <w:rPr>
                <w:sz w:val="20"/>
                <w:szCs w:val="20"/>
                <w:color w:val="auto"/>
              </w:rPr>
            </w:pPr>
            <w:r>
              <w:rPr>
                <w:rFonts w:ascii="Arial" w:cs="Arial" w:eastAsia="Arial" w:hAnsi="Arial"/>
                <w:sz w:val="18"/>
                <w:szCs w:val="18"/>
                <w:color w:val="auto"/>
              </w:rPr>
              <w:t>Fundamental Changes</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00"/>
          </w:cols>
          <w:pgMar w:left="800" w:top="274" w:right="49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6.04</w:t>
            </w:r>
          </w:p>
        </w:tc>
        <w:tc>
          <w:tcPr>
            <w:tcW w:w="7300" w:type="dxa"/>
            <w:vAlign w:val="bottom"/>
          </w:tcPr>
          <w:p>
            <w:pPr>
              <w:ind w:left="300"/>
              <w:spacing w:after="0"/>
              <w:rPr>
                <w:sz w:val="20"/>
                <w:szCs w:val="20"/>
                <w:color w:val="auto"/>
              </w:rPr>
            </w:pPr>
            <w:r>
              <w:rPr>
                <w:rFonts w:ascii="Arial" w:cs="Arial" w:eastAsia="Arial" w:hAnsi="Arial"/>
                <w:sz w:val="18"/>
                <w:szCs w:val="18"/>
                <w:color w:val="auto"/>
              </w:rPr>
              <w:t>Restricted Payments</w:t>
            </w:r>
          </w:p>
        </w:tc>
        <w:tc>
          <w:tcPr>
            <w:tcW w:w="1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6.05</w:t>
            </w:r>
          </w:p>
        </w:tc>
        <w:tc>
          <w:tcPr>
            <w:tcW w:w="730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1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6.06</w:t>
            </w:r>
          </w:p>
        </w:tc>
        <w:tc>
          <w:tcPr>
            <w:tcW w:w="7300" w:type="dxa"/>
            <w:vAlign w:val="bottom"/>
          </w:tcPr>
          <w:p>
            <w:pPr>
              <w:ind w:left="300"/>
              <w:spacing w:after="0"/>
              <w:rPr>
                <w:sz w:val="20"/>
                <w:szCs w:val="20"/>
                <w:color w:val="auto"/>
              </w:rPr>
            </w:pPr>
            <w:r>
              <w:rPr>
                <w:rFonts w:ascii="Arial" w:cs="Arial" w:eastAsia="Arial" w:hAnsi="Arial"/>
                <w:sz w:val="18"/>
                <w:szCs w:val="18"/>
                <w:color w:val="auto"/>
              </w:rPr>
              <w:t>Transactions with Affiliates</w:t>
            </w:r>
          </w:p>
        </w:tc>
        <w:tc>
          <w:tcPr>
            <w:tcW w:w="1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6.07</w:t>
            </w:r>
          </w:p>
        </w:tc>
        <w:tc>
          <w:tcPr>
            <w:tcW w:w="7300" w:type="dxa"/>
            <w:vAlign w:val="bottom"/>
          </w:tcPr>
          <w:p>
            <w:pPr>
              <w:ind w:left="300"/>
              <w:spacing w:after="0"/>
              <w:rPr>
                <w:sz w:val="20"/>
                <w:szCs w:val="20"/>
                <w:color w:val="auto"/>
              </w:rPr>
            </w:pPr>
            <w:r>
              <w:rPr>
                <w:rFonts w:ascii="Arial" w:cs="Arial" w:eastAsia="Arial" w:hAnsi="Arial"/>
                <w:sz w:val="18"/>
                <w:szCs w:val="18"/>
                <w:color w:val="auto"/>
              </w:rPr>
              <w:t>Financial Covenant</w:t>
            </w:r>
          </w:p>
        </w:tc>
        <w:tc>
          <w:tcPr>
            <w:tcW w:w="1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6.08</w:t>
            </w:r>
          </w:p>
        </w:tc>
        <w:tc>
          <w:tcPr>
            <w:tcW w:w="7300" w:type="dxa"/>
            <w:vAlign w:val="bottom"/>
          </w:tcPr>
          <w:p>
            <w:pPr>
              <w:ind w:left="300"/>
              <w:spacing w:after="0"/>
              <w:rPr>
                <w:sz w:val="20"/>
                <w:szCs w:val="20"/>
                <w:color w:val="auto"/>
              </w:rPr>
            </w:pPr>
            <w:r>
              <w:rPr>
                <w:rFonts w:ascii="Arial" w:cs="Arial" w:eastAsia="Arial" w:hAnsi="Arial"/>
                <w:sz w:val="18"/>
                <w:szCs w:val="18"/>
                <w:color w:val="auto"/>
              </w:rPr>
              <w:t>Lines of Business</w:t>
            </w:r>
          </w:p>
        </w:tc>
        <w:tc>
          <w:tcPr>
            <w:tcW w:w="1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10"/>
              <w:spacing w:after="0"/>
              <w:rPr>
                <w:sz w:val="20"/>
                <w:szCs w:val="20"/>
                <w:color w:val="auto"/>
              </w:rPr>
            </w:pPr>
            <w:r>
              <w:rPr>
                <w:rFonts w:ascii="Arial" w:cs="Arial" w:eastAsia="Arial" w:hAnsi="Arial"/>
                <w:sz w:val="18"/>
                <w:szCs w:val="18"/>
                <w:color w:val="auto"/>
              </w:rPr>
              <w:t>ARTICLE VII</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10"/>
              <w:spacing w:after="0"/>
              <w:rPr>
                <w:sz w:val="20"/>
                <w:szCs w:val="20"/>
                <w:color w:val="auto"/>
              </w:rPr>
            </w:pPr>
            <w:r>
              <w:rPr>
                <w:rFonts w:ascii="Arial" w:cs="Arial" w:eastAsia="Arial" w:hAnsi="Arial"/>
                <w:sz w:val="18"/>
                <w:szCs w:val="18"/>
                <w:color w:val="auto"/>
                <w:w w:val="95"/>
              </w:rPr>
              <w:t>EVENTS OF DEFAULT</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30"/>
              <w:spacing w:after="0"/>
              <w:rPr>
                <w:sz w:val="20"/>
                <w:szCs w:val="20"/>
                <w:color w:val="auto"/>
              </w:rPr>
            </w:pPr>
            <w:r>
              <w:rPr>
                <w:rFonts w:ascii="Arial" w:cs="Arial" w:eastAsia="Arial" w:hAnsi="Arial"/>
                <w:sz w:val="18"/>
                <w:szCs w:val="18"/>
                <w:color w:val="auto"/>
              </w:rPr>
              <w:t>ARTICLE VIII</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10"/>
              <w:spacing w:after="0"/>
              <w:rPr>
                <w:sz w:val="20"/>
                <w:szCs w:val="20"/>
                <w:color w:val="auto"/>
              </w:rPr>
            </w:pPr>
            <w:r>
              <w:rPr>
                <w:rFonts w:ascii="Arial" w:cs="Arial" w:eastAsia="Arial" w:hAnsi="Arial"/>
                <w:sz w:val="18"/>
                <w:szCs w:val="18"/>
                <w:color w:val="auto"/>
                <w:w w:val="98"/>
              </w:rPr>
              <w:t>THE ADMINISTRATIVE AGENT</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30"/>
              <w:spacing w:after="0"/>
              <w:rPr>
                <w:sz w:val="20"/>
                <w:szCs w:val="20"/>
                <w:color w:val="auto"/>
              </w:rPr>
            </w:pPr>
            <w:r>
              <w:rPr>
                <w:rFonts w:ascii="Arial" w:cs="Arial" w:eastAsia="Arial" w:hAnsi="Arial"/>
                <w:sz w:val="18"/>
                <w:szCs w:val="18"/>
                <w:color w:val="auto"/>
                <w:w w:val="99"/>
              </w:rPr>
              <w:t>ARTICLE IX</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30"/>
              <w:spacing w:after="0"/>
              <w:rPr>
                <w:sz w:val="20"/>
                <w:szCs w:val="20"/>
                <w:color w:val="auto"/>
              </w:rPr>
            </w:pPr>
            <w:r>
              <w:rPr>
                <w:rFonts w:ascii="Arial" w:cs="Arial" w:eastAsia="Arial" w:hAnsi="Arial"/>
                <w:sz w:val="18"/>
                <w:szCs w:val="18"/>
                <w:color w:val="auto"/>
                <w:w w:val="97"/>
              </w:rPr>
              <w:t>MISCELLANEOUS</w:t>
            </w:r>
          </w:p>
        </w:tc>
        <w:tc>
          <w:tcPr>
            <w:tcW w:w="1780" w:type="dxa"/>
            <w:vAlign w:val="bottom"/>
          </w:tcPr>
          <w:p>
            <w:pPr>
              <w:spacing w:after="0"/>
              <w:rPr>
                <w:sz w:val="24"/>
                <w:szCs w:val="24"/>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18"/>
                <w:szCs w:val="18"/>
                <w:color w:val="auto"/>
              </w:rPr>
              <w:t>SECTION 9.01</w:t>
            </w:r>
          </w:p>
        </w:tc>
        <w:tc>
          <w:tcPr>
            <w:tcW w:w="7300" w:type="dxa"/>
            <w:vAlign w:val="bottom"/>
          </w:tcPr>
          <w:p>
            <w:pPr>
              <w:ind w:left="300"/>
              <w:spacing w:after="0"/>
              <w:rPr>
                <w:sz w:val="20"/>
                <w:szCs w:val="20"/>
                <w:color w:val="auto"/>
              </w:rPr>
            </w:pPr>
            <w:r>
              <w:rPr>
                <w:rFonts w:ascii="Arial" w:cs="Arial" w:eastAsia="Arial" w:hAnsi="Arial"/>
                <w:sz w:val="18"/>
                <w:szCs w:val="18"/>
                <w:color w:val="auto"/>
              </w:rPr>
              <w:t>Notices</w:t>
            </w:r>
          </w:p>
        </w:tc>
        <w:tc>
          <w:tcPr>
            <w:tcW w:w="17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9.02</w:t>
            </w:r>
          </w:p>
        </w:tc>
        <w:tc>
          <w:tcPr>
            <w:tcW w:w="7300" w:type="dxa"/>
            <w:vAlign w:val="bottom"/>
          </w:tcPr>
          <w:p>
            <w:pPr>
              <w:ind w:left="300"/>
              <w:spacing w:after="0"/>
              <w:rPr>
                <w:sz w:val="20"/>
                <w:szCs w:val="20"/>
                <w:color w:val="auto"/>
              </w:rPr>
            </w:pPr>
            <w:r>
              <w:rPr>
                <w:rFonts w:ascii="Arial" w:cs="Arial" w:eastAsia="Arial" w:hAnsi="Arial"/>
                <w:sz w:val="18"/>
                <w:szCs w:val="18"/>
                <w:color w:val="auto"/>
              </w:rPr>
              <w:t>Waivers; Amendments</w:t>
            </w:r>
          </w:p>
        </w:tc>
        <w:tc>
          <w:tcPr>
            <w:tcW w:w="17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9.03</w:t>
            </w:r>
          </w:p>
        </w:tc>
        <w:tc>
          <w:tcPr>
            <w:tcW w:w="7300" w:type="dxa"/>
            <w:vAlign w:val="bottom"/>
          </w:tcPr>
          <w:p>
            <w:pPr>
              <w:ind w:left="300"/>
              <w:spacing w:after="0"/>
              <w:rPr>
                <w:sz w:val="20"/>
                <w:szCs w:val="20"/>
                <w:color w:val="auto"/>
              </w:rPr>
            </w:pPr>
            <w:r>
              <w:rPr>
                <w:rFonts w:ascii="Arial" w:cs="Arial" w:eastAsia="Arial" w:hAnsi="Arial"/>
                <w:sz w:val="18"/>
                <w:szCs w:val="18"/>
                <w:color w:val="auto"/>
              </w:rPr>
              <w:t>Expenses; Indemnity; Damage Waiver</w:t>
            </w:r>
          </w:p>
        </w:tc>
        <w:tc>
          <w:tcPr>
            <w:tcW w:w="17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9.04</w:t>
            </w:r>
          </w:p>
        </w:tc>
        <w:tc>
          <w:tcPr>
            <w:tcW w:w="730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17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9.05</w:t>
            </w:r>
          </w:p>
        </w:tc>
        <w:tc>
          <w:tcPr>
            <w:tcW w:w="7300" w:type="dxa"/>
            <w:vAlign w:val="bottom"/>
          </w:tcPr>
          <w:p>
            <w:pPr>
              <w:ind w:left="300"/>
              <w:spacing w:after="0"/>
              <w:rPr>
                <w:sz w:val="20"/>
                <w:szCs w:val="20"/>
                <w:color w:val="auto"/>
              </w:rPr>
            </w:pPr>
            <w:r>
              <w:rPr>
                <w:rFonts w:ascii="Arial" w:cs="Arial" w:eastAsia="Arial" w:hAnsi="Arial"/>
                <w:sz w:val="18"/>
                <w:szCs w:val="18"/>
                <w:color w:val="auto"/>
              </w:rPr>
              <w:t>Survival</w:t>
            </w:r>
          </w:p>
        </w:tc>
        <w:tc>
          <w:tcPr>
            <w:tcW w:w="1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9.06</w:t>
            </w:r>
          </w:p>
        </w:tc>
        <w:tc>
          <w:tcPr>
            <w:tcW w:w="7300" w:type="dxa"/>
            <w:vAlign w:val="bottom"/>
          </w:tcPr>
          <w:p>
            <w:pPr>
              <w:ind w:left="300"/>
              <w:spacing w:after="0"/>
              <w:rPr>
                <w:sz w:val="20"/>
                <w:szCs w:val="20"/>
                <w:color w:val="auto"/>
              </w:rPr>
            </w:pPr>
            <w:r>
              <w:rPr>
                <w:rFonts w:ascii="Arial" w:cs="Arial" w:eastAsia="Arial" w:hAnsi="Arial"/>
                <w:sz w:val="18"/>
                <w:szCs w:val="18"/>
                <w:color w:val="auto"/>
              </w:rPr>
              <w:t>Counterparts; Integration; Effectiveness</w:t>
            </w:r>
          </w:p>
        </w:tc>
        <w:tc>
          <w:tcPr>
            <w:tcW w:w="1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9.07</w:t>
            </w:r>
          </w:p>
        </w:tc>
        <w:tc>
          <w:tcPr>
            <w:tcW w:w="730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9.08</w:t>
            </w:r>
          </w:p>
        </w:tc>
        <w:tc>
          <w:tcPr>
            <w:tcW w:w="7300" w:type="dxa"/>
            <w:vAlign w:val="bottom"/>
          </w:tcPr>
          <w:p>
            <w:pPr>
              <w:ind w:left="300"/>
              <w:spacing w:after="0"/>
              <w:rPr>
                <w:sz w:val="20"/>
                <w:szCs w:val="20"/>
                <w:color w:val="auto"/>
              </w:rPr>
            </w:pPr>
            <w:r>
              <w:rPr>
                <w:rFonts w:ascii="Arial" w:cs="Arial" w:eastAsia="Arial" w:hAnsi="Arial"/>
                <w:sz w:val="18"/>
                <w:szCs w:val="18"/>
                <w:color w:val="auto"/>
              </w:rPr>
              <w:t>Right of Setoff</w:t>
            </w:r>
          </w:p>
        </w:tc>
        <w:tc>
          <w:tcPr>
            <w:tcW w:w="17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9.09</w:t>
            </w:r>
          </w:p>
        </w:tc>
        <w:tc>
          <w:tcPr>
            <w:tcW w:w="7300" w:type="dxa"/>
            <w:vAlign w:val="bottom"/>
          </w:tcPr>
          <w:p>
            <w:pPr>
              <w:ind w:left="300"/>
              <w:spacing w:after="0"/>
              <w:rPr>
                <w:sz w:val="20"/>
                <w:szCs w:val="20"/>
                <w:color w:val="auto"/>
              </w:rPr>
            </w:pPr>
            <w:r>
              <w:rPr>
                <w:rFonts w:ascii="Arial" w:cs="Arial" w:eastAsia="Arial" w:hAnsi="Arial"/>
                <w:sz w:val="18"/>
                <w:szCs w:val="18"/>
                <w:color w:val="auto"/>
              </w:rPr>
              <w:t>Governing Law; Jurisdiction; Consent to Service of Process</w:t>
            </w:r>
          </w:p>
        </w:tc>
        <w:tc>
          <w:tcPr>
            <w:tcW w:w="17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9.10</w:t>
            </w:r>
          </w:p>
        </w:tc>
        <w:tc>
          <w:tcPr>
            <w:tcW w:w="730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1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9.11</w:t>
            </w:r>
          </w:p>
        </w:tc>
        <w:tc>
          <w:tcPr>
            <w:tcW w:w="7300" w:type="dxa"/>
            <w:vAlign w:val="bottom"/>
          </w:tcPr>
          <w:p>
            <w:pPr>
              <w:ind w:left="300"/>
              <w:spacing w:after="0"/>
              <w:rPr>
                <w:sz w:val="20"/>
                <w:szCs w:val="20"/>
                <w:color w:val="auto"/>
              </w:rPr>
            </w:pPr>
            <w:r>
              <w:rPr>
                <w:rFonts w:ascii="Arial" w:cs="Arial" w:eastAsia="Arial" w:hAnsi="Arial"/>
                <w:sz w:val="18"/>
                <w:szCs w:val="18"/>
                <w:color w:val="auto"/>
              </w:rPr>
              <w:t>Headings</w:t>
            </w:r>
          </w:p>
        </w:tc>
        <w:tc>
          <w:tcPr>
            <w:tcW w:w="1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9.12</w:t>
            </w:r>
          </w:p>
        </w:tc>
        <w:tc>
          <w:tcPr>
            <w:tcW w:w="730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1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9.13</w:t>
            </w:r>
          </w:p>
        </w:tc>
        <w:tc>
          <w:tcPr>
            <w:tcW w:w="7300" w:type="dxa"/>
            <w:vAlign w:val="bottom"/>
          </w:tcPr>
          <w:p>
            <w:pPr>
              <w:ind w:left="300"/>
              <w:spacing w:after="0"/>
              <w:rPr>
                <w:sz w:val="20"/>
                <w:szCs w:val="20"/>
                <w:color w:val="auto"/>
              </w:rPr>
            </w:pPr>
            <w:r>
              <w:rPr>
                <w:rFonts w:ascii="Arial" w:cs="Arial" w:eastAsia="Arial" w:hAnsi="Arial"/>
                <w:sz w:val="18"/>
                <w:szCs w:val="18"/>
                <w:color w:val="auto"/>
              </w:rPr>
              <w:t>USA PATRIOT Act</w:t>
            </w:r>
          </w:p>
        </w:tc>
        <w:tc>
          <w:tcPr>
            <w:tcW w:w="17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9.14</w:t>
            </w:r>
          </w:p>
        </w:tc>
        <w:tc>
          <w:tcPr>
            <w:tcW w:w="7300" w:type="dxa"/>
            <w:vAlign w:val="bottom"/>
          </w:tcPr>
          <w:p>
            <w:pPr>
              <w:ind w:left="300"/>
              <w:spacing w:after="0"/>
              <w:rPr>
                <w:sz w:val="20"/>
                <w:szCs w:val="20"/>
                <w:color w:val="auto"/>
              </w:rPr>
            </w:pPr>
            <w:r>
              <w:rPr>
                <w:rFonts w:ascii="Arial" w:cs="Arial" w:eastAsia="Arial" w:hAnsi="Arial"/>
                <w:sz w:val="18"/>
                <w:szCs w:val="18"/>
                <w:color w:val="auto"/>
              </w:rPr>
              <w:t>Interest Rate Limitation</w:t>
            </w:r>
          </w:p>
        </w:tc>
        <w:tc>
          <w:tcPr>
            <w:tcW w:w="17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9.15</w:t>
            </w:r>
          </w:p>
        </w:tc>
        <w:tc>
          <w:tcPr>
            <w:tcW w:w="7300" w:type="dxa"/>
            <w:vAlign w:val="bottom"/>
          </w:tcPr>
          <w:p>
            <w:pPr>
              <w:ind w:left="300"/>
              <w:spacing w:after="0"/>
              <w:rPr>
                <w:sz w:val="20"/>
                <w:szCs w:val="20"/>
                <w:color w:val="auto"/>
              </w:rPr>
            </w:pPr>
            <w:r>
              <w:rPr>
                <w:rFonts w:ascii="Arial" w:cs="Arial" w:eastAsia="Arial" w:hAnsi="Arial"/>
                <w:sz w:val="18"/>
                <w:szCs w:val="18"/>
                <w:color w:val="auto"/>
              </w:rPr>
              <w:t>No Fiduciary Duty</w:t>
            </w:r>
          </w:p>
        </w:tc>
        <w:tc>
          <w:tcPr>
            <w:tcW w:w="17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9.16</w:t>
            </w:r>
          </w:p>
        </w:tc>
        <w:tc>
          <w:tcPr>
            <w:tcW w:w="7300" w:type="dxa"/>
            <w:vAlign w:val="bottom"/>
          </w:tcPr>
          <w:p>
            <w:pPr>
              <w:ind w:left="300"/>
              <w:spacing w:after="0"/>
              <w:rPr>
                <w:sz w:val="20"/>
                <w:szCs w:val="20"/>
                <w:color w:val="auto"/>
              </w:rPr>
            </w:pPr>
            <w:r>
              <w:rPr>
                <w:rFonts w:ascii="Arial" w:cs="Arial" w:eastAsia="Arial" w:hAnsi="Arial"/>
                <w:sz w:val="18"/>
                <w:szCs w:val="18"/>
                <w:color w:val="auto"/>
              </w:rPr>
              <w:t>Electronic Execution of this Agreement and Other Documents</w:t>
            </w:r>
          </w:p>
        </w:tc>
        <w:tc>
          <w:tcPr>
            <w:tcW w:w="17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9.17</w:t>
            </w:r>
          </w:p>
        </w:tc>
        <w:tc>
          <w:tcPr>
            <w:tcW w:w="7300" w:type="dxa"/>
            <w:vAlign w:val="bottom"/>
          </w:tcPr>
          <w:p>
            <w:pPr>
              <w:ind w:left="300"/>
              <w:spacing w:after="0"/>
              <w:rPr>
                <w:sz w:val="20"/>
                <w:szCs w:val="20"/>
                <w:color w:val="auto"/>
              </w:rPr>
            </w:pPr>
            <w:r>
              <w:rPr>
                <w:rFonts w:ascii="Arial" w:cs="Arial" w:eastAsia="Arial" w:hAnsi="Arial"/>
                <w:sz w:val="18"/>
                <w:szCs w:val="18"/>
                <w:color w:val="auto"/>
              </w:rPr>
              <w:t>Joint and Several</w:t>
            </w:r>
          </w:p>
        </w:tc>
        <w:tc>
          <w:tcPr>
            <w:tcW w:w="17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9.18</w:t>
            </w:r>
          </w:p>
        </w:tc>
        <w:tc>
          <w:tcPr>
            <w:tcW w:w="7300" w:type="dxa"/>
            <w:vAlign w:val="bottom"/>
          </w:tcPr>
          <w:p>
            <w:pPr>
              <w:ind w:left="300"/>
              <w:spacing w:after="0"/>
              <w:rPr>
                <w:sz w:val="20"/>
                <w:szCs w:val="20"/>
                <w:color w:val="auto"/>
              </w:rPr>
            </w:pPr>
            <w:r>
              <w:rPr>
                <w:rFonts w:ascii="Arial" w:cs="Arial" w:eastAsia="Arial" w:hAnsi="Arial"/>
                <w:sz w:val="18"/>
                <w:szCs w:val="18"/>
                <w:color w:val="auto"/>
              </w:rPr>
              <w:t>Enforcement</w:t>
            </w:r>
          </w:p>
        </w:tc>
        <w:tc>
          <w:tcPr>
            <w:tcW w:w="1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9.19</w:t>
            </w:r>
          </w:p>
        </w:tc>
        <w:tc>
          <w:tcPr>
            <w:tcW w:w="7300" w:type="dxa"/>
            <w:vAlign w:val="bottom"/>
          </w:tcPr>
          <w:p>
            <w:pPr>
              <w:ind w:left="300"/>
              <w:spacing w:after="0"/>
              <w:rPr>
                <w:sz w:val="20"/>
                <w:szCs w:val="20"/>
                <w:color w:val="auto"/>
              </w:rPr>
            </w:pPr>
            <w:r>
              <w:rPr>
                <w:rFonts w:ascii="Arial" w:cs="Arial" w:eastAsia="Arial" w:hAnsi="Arial"/>
                <w:sz w:val="18"/>
                <w:szCs w:val="18"/>
                <w:color w:val="auto"/>
              </w:rPr>
              <w:t>Netherlands Loan Party Representation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9.20</w:t>
            </w:r>
          </w:p>
        </w:tc>
        <w:tc>
          <w:tcPr>
            <w:tcW w:w="7300" w:type="dxa"/>
            <w:vAlign w:val="bottom"/>
          </w:tcPr>
          <w:p>
            <w:pPr>
              <w:ind w:left="3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1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9.21</w:t>
            </w:r>
          </w:p>
        </w:tc>
        <w:tc>
          <w:tcPr>
            <w:tcW w:w="7300" w:type="dxa"/>
            <w:vAlign w:val="bottom"/>
          </w:tcPr>
          <w:p>
            <w:pPr>
              <w:ind w:left="300"/>
              <w:spacing w:after="0"/>
              <w:rPr>
                <w:sz w:val="20"/>
                <w:szCs w:val="20"/>
                <w:color w:val="auto"/>
              </w:rPr>
            </w:pPr>
            <w:r>
              <w:rPr>
                <w:rFonts w:ascii="Arial" w:cs="Arial" w:eastAsia="Arial" w:hAnsi="Arial"/>
                <w:sz w:val="18"/>
                <w:szCs w:val="18"/>
                <w:color w:val="auto"/>
              </w:rPr>
              <w:t>Acknowledgement Regarding Any Supported QFCs</w:t>
            </w:r>
          </w:p>
        </w:tc>
        <w:tc>
          <w:tcPr>
            <w:tcW w:w="17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10"/>
              <w:spacing w:after="0"/>
              <w:rPr>
                <w:sz w:val="20"/>
                <w:szCs w:val="20"/>
                <w:color w:val="auto"/>
              </w:rPr>
            </w:pPr>
            <w:r>
              <w:rPr>
                <w:rFonts w:ascii="Arial" w:cs="Arial" w:eastAsia="Arial" w:hAnsi="Arial"/>
                <w:sz w:val="18"/>
                <w:szCs w:val="18"/>
                <w:color w:val="auto"/>
                <w:w w:val="98"/>
              </w:rPr>
              <w:t>ARTICLE X</w:t>
            </w:r>
          </w:p>
        </w:tc>
        <w:tc>
          <w:tcPr>
            <w:tcW w:w="178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00" w:type="dxa"/>
            <w:vAlign w:val="bottom"/>
          </w:tcPr>
          <w:p>
            <w:pPr>
              <w:jc w:val="center"/>
              <w:ind w:right="30"/>
              <w:spacing w:after="0"/>
              <w:rPr>
                <w:sz w:val="20"/>
                <w:szCs w:val="20"/>
                <w:color w:val="auto"/>
              </w:rPr>
            </w:pPr>
            <w:r>
              <w:rPr>
                <w:rFonts w:ascii="Arial" w:cs="Arial" w:eastAsia="Arial" w:hAnsi="Arial"/>
                <w:sz w:val="18"/>
                <w:szCs w:val="18"/>
                <w:color w:val="auto"/>
                <w:w w:val="98"/>
              </w:rPr>
              <w:t>GUARANTEE</w:t>
            </w:r>
          </w:p>
        </w:tc>
        <w:tc>
          <w:tcPr>
            <w:tcW w:w="1780" w:type="dxa"/>
            <w:vAlign w:val="bottom"/>
          </w:tcPr>
          <w:p>
            <w:pPr>
              <w:spacing w:after="0"/>
              <w:rPr>
                <w:sz w:val="24"/>
                <w:szCs w:val="24"/>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18"/>
                <w:szCs w:val="18"/>
                <w:color w:val="auto"/>
              </w:rPr>
              <w:t>SECTION 10.01</w:t>
            </w:r>
          </w:p>
        </w:tc>
        <w:tc>
          <w:tcPr>
            <w:tcW w:w="7300" w:type="dxa"/>
            <w:vAlign w:val="bottom"/>
          </w:tcPr>
          <w:p>
            <w:pPr>
              <w:ind w:left="300"/>
              <w:spacing w:after="0"/>
              <w:rPr>
                <w:sz w:val="20"/>
                <w:szCs w:val="20"/>
                <w:color w:val="auto"/>
              </w:rPr>
            </w:pPr>
            <w:r>
              <w:rPr>
                <w:rFonts w:ascii="Arial" w:cs="Arial" w:eastAsia="Arial" w:hAnsi="Arial"/>
                <w:sz w:val="18"/>
                <w:szCs w:val="18"/>
                <w:color w:val="auto"/>
              </w:rPr>
              <w:t>Guarantee</w:t>
            </w:r>
          </w:p>
        </w:tc>
        <w:tc>
          <w:tcPr>
            <w:tcW w:w="17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10.02</w:t>
            </w:r>
          </w:p>
        </w:tc>
        <w:tc>
          <w:tcPr>
            <w:tcW w:w="7300" w:type="dxa"/>
            <w:vAlign w:val="bottom"/>
          </w:tcPr>
          <w:p>
            <w:pPr>
              <w:ind w:left="300"/>
              <w:spacing w:after="0"/>
              <w:rPr>
                <w:sz w:val="20"/>
                <w:szCs w:val="20"/>
                <w:color w:val="auto"/>
              </w:rPr>
            </w:pPr>
            <w:r>
              <w:rPr>
                <w:rFonts w:ascii="Arial" w:cs="Arial" w:eastAsia="Arial" w:hAnsi="Arial"/>
                <w:sz w:val="18"/>
                <w:szCs w:val="18"/>
                <w:color w:val="auto"/>
              </w:rPr>
              <w:t>Right of Contribution</w:t>
            </w:r>
          </w:p>
        </w:tc>
        <w:tc>
          <w:tcPr>
            <w:tcW w:w="178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00"/>
          </w:cols>
          <w:pgMar w:left="800" w:top="274" w:right="4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10.03</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No Subrogation</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10.04</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Amendments, etc., with Respect to the Obligations</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10.05</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Guarantee Absolute and Unconditional</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10.06</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Reinstatement</w:t>
            </w:r>
          </w:p>
        </w:tc>
        <w:tc>
          <w:tcPr>
            <w:tcW w:w="4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10.07</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Obligations Independent</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10.08</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10.09</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Subordination</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10.10</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Stay of Acceleration</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10.11</w:t>
            </w:r>
          </w:p>
        </w:tc>
        <w:tc>
          <w:tcPr>
            <w:tcW w:w="3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Condition of Borrower</w:t>
            </w: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10.12</w:t>
            </w:r>
          </w:p>
        </w:tc>
        <w:tc>
          <w:tcPr>
            <w:tcW w:w="32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Releases</w:t>
            </w: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60" w:type="dxa"/>
            <w:vAlign w:val="bottom"/>
          </w:tcPr>
          <w:p>
            <w:pPr>
              <w:ind w:left="2980"/>
              <w:spacing w:after="0"/>
              <w:rPr>
                <w:sz w:val="20"/>
                <w:szCs w:val="20"/>
                <w:color w:val="auto"/>
              </w:rPr>
            </w:pPr>
            <w:r>
              <w:rPr>
                <w:rFonts w:ascii="Arial" w:cs="Arial" w:eastAsia="Arial" w:hAnsi="Arial"/>
                <w:sz w:val="18"/>
                <w:szCs w:val="18"/>
                <w:color w:val="auto"/>
              </w:rPr>
              <w:t>ARTICLE XI</w:t>
            </w:r>
          </w:p>
        </w:tc>
        <w:tc>
          <w:tcPr>
            <w:tcW w:w="400" w:type="dxa"/>
            <w:vAlign w:val="bottom"/>
          </w:tcPr>
          <w:p>
            <w:pPr>
              <w:spacing w:after="0"/>
              <w:rPr>
                <w:sz w:val="24"/>
                <w:szCs w:val="24"/>
                <w:color w:val="auto"/>
              </w:rPr>
            </w:pPr>
          </w:p>
        </w:tc>
      </w:tr>
      <w:tr>
        <w:trPr>
          <w:trHeight w:val="324"/>
        </w:trPr>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60" w:type="dxa"/>
            <w:vAlign w:val="bottom"/>
          </w:tcPr>
          <w:p>
            <w:pPr>
              <w:ind w:left="2380"/>
              <w:spacing w:after="0"/>
              <w:rPr>
                <w:sz w:val="20"/>
                <w:szCs w:val="20"/>
                <w:color w:val="auto"/>
              </w:rPr>
            </w:pPr>
            <w:r>
              <w:rPr>
                <w:rFonts w:ascii="Arial" w:cs="Arial" w:eastAsia="Arial" w:hAnsi="Arial"/>
                <w:sz w:val="18"/>
                <w:szCs w:val="18"/>
                <w:color w:val="auto"/>
              </w:rPr>
              <w:t>CERTAIN ERISA MATTERS</w:t>
            </w:r>
          </w:p>
        </w:tc>
        <w:tc>
          <w:tcPr>
            <w:tcW w:w="400" w:type="dxa"/>
            <w:vAlign w:val="bottom"/>
          </w:tcPr>
          <w:p>
            <w:pPr>
              <w:spacing w:after="0"/>
              <w:rPr>
                <w:sz w:val="24"/>
                <w:szCs w:val="24"/>
                <w:color w:val="auto"/>
              </w:rPr>
            </w:pP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w w:val="99"/>
              </w:rPr>
              <w:t>SECTION 11.01</w:t>
            </w:r>
          </w:p>
        </w:tc>
        <w:tc>
          <w:tcPr>
            <w:tcW w:w="320" w:type="dxa"/>
            <w:vAlign w:val="bottom"/>
          </w:tcPr>
          <w:p>
            <w:pPr>
              <w:spacing w:after="0"/>
              <w:rPr>
                <w:sz w:val="24"/>
                <w:szCs w:val="24"/>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Certain ERISA Matters</w:t>
            </w: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59"/>
        </w:trPr>
        <w:tc>
          <w:tcPr>
            <w:tcW w:w="1680" w:type="dxa"/>
            <w:vAlign w:val="bottom"/>
          </w:tcPr>
          <w:p>
            <w:pPr>
              <w:spacing w:after="0"/>
              <w:rPr>
                <w:sz w:val="20"/>
                <w:szCs w:val="20"/>
                <w:color w:val="auto"/>
              </w:rPr>
            </w:pPr>
            <w:r>
              <w:rPr>
                <w:rFonts w:ascii="Arial" w:cs="Arial" w:eastAsia="Arial" w:hAnsi="Arial"/>
                <w:sz w:val="18"/>
                <w:szCs w:val="18"/>
                <w:color w:val="auto"/>
              </w:rPr>
              <w:t>SCHEDULES:</w:t>
            </w:r>
          </w:p>
        </w:tc>
        <w:tc>
          <w:tcPr>
            <w:tcW w:w="3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1680" w:type="dxa"/>
            <w:vAlign w:val="bottom"/>
          </w:tcPr>
          <w:p>
            <w:pPr>
              <w:spacing w:after="0"/>
              <w:rPr>
                <w:sz w:val="20"/>
                <w:szCs w:val="20"/>
                <w:color w:val="auto"/>
              </w:rPr>
            </w:pPr>
            <w:r>
              <w:rPr>
                <w:rFonts w:ascii="Arial" w:cs="Arial" w:eastAsia="Arial" w:hAnsi="Arial"/>
                <w:sz w:val="18"/>
                <w:szCs w:val="18"/>
                <w:color w:val="auto"/>
              </w:rPr>
              <w:t>Schedule 2.01</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Term Commitments</w:t>
            </w:r>
          </w:p>
        </w:tc>
        <w:tc>
          <w:tcPr>
            <w:tcW w:w="400" w:type="dxa"/>
            <w:vAlign w:val="bottom"/>
          </w:tcPr>
          <w:p>
            <w:pPr>
              <w:spacing w:after="0"/>
              <w:rPr>
                <w:sz w:val="24"/>
                <w:szCs w:val="24"/>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2.03</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Specified Litigation</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3.01</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Material Subsidiary Stocks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3.04(b)</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Material Adverse Changes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3.06</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Disclosed Matters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3.07</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Compliance with Laws and Agreements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6.01</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Existing Indebtedness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6.02</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Existing Liens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6.04</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Restricted Payments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6.05(e)</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6.06</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Affiliate Transactions</w:t>
            </w:r>
          </w:p>
        </w:tc>
        <w:tc>
          <w:tcPr>
            <w:tcW w:w="400" w:type="dxa"/>
            <w:vAlign w:val="bottom"/>
          </w:tcPr>
          <w:p>
            <w:pPr>
              <w:spacing w:after="0"/>
              <w:rPr>
                <w:sz w:val="18"/>
                <w:szCs w:val="18"/>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Schedule 9.01</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560" w:type="dxa"/>
            <w:vAlign w:val="bottom"/>
          </w:tcPr>
          <w:p>
            <w:pPr>
              <w:ind w:left="100"/>
              <w:spacing w:after="0"/>
              <w:rPr>
                <w:sz w:val="20"/>
                <w:szCs w:val="20"/>
                <w:color w:val="auto"/>
              </w:rPr>
            </w:pPr>
            <w:r>
              <w:rPr>
                <w:rFonts w:ascii="Arial" w:cs="Arial" w:eastAsia="Arial" w:hAnsi="Arial"/>
                <w:sz w:val="18"/>
                <w:szCs w:val="18"/>
                <w:color w:val="auto"/>
              </w:rPr>
              <w:t>Notices</w:t>
            </w:r>
          </w:p>
        </w:tc>
        <w:tc>
          <w:tcPr>
            <w:tcW w:w="400" w:type="dxa"/>
            <w:vAlign w:val="bottom"/>
          </w:tcPr>
          <w:p>
            <w:pPr>
              <w:spacing w:after="0"/>
              <w:rPr>
                <w:sz w:val="20"/>
                <w:szCs w:val="20"/>
                <w:color w:val="auto"/>
              </w:rPr>
            </w:pPr>
          </w:p>
        </w:tc>
      </w:tr>
      <w:tr>
        <w:trPr>
          <w:trHeight w:val="418"/>
        </w:trPr>
        <w:tc>
          <w:tcPr>
            <w:tcW w:w="1680" w:type="dxa"/>
            <w:vAlign w:val="bottom"/>
          </w:tcPr>
          <w:p>
            <w:pPr>
              <w:spacing w:after="0"/>
              <w:rPr>
                <w:sz w:val="20"/>
                <w:szCs w:val="20"/>
                <w:color w:val="auto"/>
              </w:rPr>
            </w:pPr>
            <w:r>
              <w:rPr>
                <w:rFonts w:ascii="Arial" w:cs="Arial" w:eastAsia="Arial" w:hAnsi="Arial"/>
                <w:sz w:val="18"/>
                <w:szCs w:val="18"/>
                <w:color w:val="auto"/>
              </w:rPr>
              <w:t>EXHIBITS:</w:t>
            </w:r>
          </w:p>
        </w:tc>
        <w:tc>
          <w:tcPr>
            <w:tcW w:w="3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A</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Assignment and Assumption</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B</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Term Note</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C</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Borrowing Request</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D</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Compliance Certificate</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E</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Guarantor Joinder Agreement</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F-1</w:t>
            </w:r>
          </w:p>
        </w:tc>
        <w:tc>
          <w:tcPr>
            <w:tcW w:w="9280" w:type="dxa"/>
            <w:vAlign w:val="bottom"/>
            <w:gridSpan w:val="3"/>
          </w:tcPr>
          <w:p>
            <w:pPr>
              <w:ind w:left="140"/>
              <w:spacing w:after="0"/>
              <w:rPr>
                <w:sz w:val="20"/>
                <w:szCs w:val="20"/>
                <w:color w:val="auto"/>
              </w:rPr>
            </w:pPr>
            <w:r>
              <w:rPr>
                <w:rFonts w:ascii="Arial" w:cs="Arial" w:eastAsia="Arial" w:hAnsi="Arial"/>
                <w:sz w:val="18"/>
                <w:szCs w:val="18"/>
                <w:color w:val="auto"/>
                <w:w w:val="94"/>
              </w:rPr>
              <w:t>–  Form of U.S. Tax Compliance Certificate (For Foreign Lenders That Are Not Partnerships For U.S. Federal Income Tax</w:t>
            </w:r>
          </w:p>
        </w:tc>
      </w:tr>
      <w:tr>
        <w:trPr>
          <w:trHeight w:val="216"/>
        </w:trPr>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Purposes)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F-2</w:t>
            </w:r>
          </w:p>
        </w:tc>
        <w:tc>
          <w:tcPr>
            <w:tcW w:w="9280" w:type="dxa"/>
            <w:vAlign w:val="bottom"/>
            <w:gridSpan w:val="3"/>
          </w:tcPr>
          <w:p>
            <w:pPr>
              <w:ind w:left="140"/>
              <w:spacing w:after="0"/>
              <w:rPr>
                <w:sz w:val="20"/>
                <w:szCs w:val="20"/>
                <w:color w:val="auto"/>
              </w:rPr>
            </w:pPr>
            <w:r>
              <w:rPr>
                <w:rFonts w:ascii="Arial" w:cs="Arial" w:eastAsia="Arial" w:hAnsi="Arial"/>
                <w:sz w:val="18"/>
                <w:szCs w:val="18"/>
                <w:color w:val="auto"/>
                <w:w w:val="94"/>
              </w:rPr>
              <w:t>–  Form of U.S. Tax Compliance Certificate (For Foreign Participants That Are Not Partnerships For U.S. Federal Income</w:t>
            </w:r>
          </w:p>
        </w:tc>
      </w:tr>
      <w:tr>
        <w:trPr>
          <w:trHeight w:val="216"/>
        </w:trPr>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Tax Purposes)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F-3</w:t>
            </w:r>
          </w:p>
        </w:tc>
        <w:tc>
          <w:tcPr>
            <w:tcW w:w="9280" w:type="dxa"/>
            <w:vAlign w:val="bottom"/>
            <w:gridSpan w:val="3"/>
          </w:tcPr>
          <w:p>
            <w:pPr>
              <w:ind w:left="140"/>
              <w:spacing w:after="0"/>
              <w:rPr>
                <w:sz w:val="20"/>
                <w:szCs w:val="20"/>
                <w:color w:val="auto"/>
              </w:rPr>
            </w:pPr>
            <w:r>
              <w:rPr>
                <w:rFonts w:ascii="Arial" w:cs="Arial" w:eastAsia="Arial" w:hAnsi="Arial"/>
                <w:sz w:val="18"/>
                <w:szCs w:val="18"/>
                <w:color w:val="auto"/>
                <w:w w:val="94"/>
              </w:rPr>
              <w:t>–  Form of U.S. Tax Compliance Certificate (For Foreign Participants That Are Partnerships For U.S. Federal Income Tax</w:t>
            </w:r>
          </w:p>
        </w:tc>
      </w:tr>
      <w:tr>
        <w:trPr>
          <w:trHeight w:val="216"/>
        </w:trPr>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Purposes)</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Exhibit F-4</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w w:val="93"/>
              </w:rPr>
              <w:t>–  Form of U.S. Tax Compliance Certificate (For Foreign Lenders That Are Partnerships For U.S. Federal Income Tax</w:t>
            </w:r>
          </w:p>
        </w:tc>
        <w:tc>
          <w:tcPr>
            <w:tcW w:w="40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Purposes)</w:t>
            </w:r>
          </w:p>
        </w:tc>
        <w:tc>
          <w:tcPr>
            <w:tcW w:w="400" w:type="dxa"/>
            <w:vAlign w:val="bottom"/>
          </w:tcPr>
          <w:p>
            <w:pPr>
              <w:spacing w:after="0"/>
              <w:rPr>
                <w:sz w:val="18"/>
                <w:szCs w:val="18"/>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Exhibit G</w:t>
            </w: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  Form of Solvency Certificate</w:t>
            </w:r>
          </w:p>
        </w:tc>
        <w:tc>
          <w:tcPr>
            <w:tcW w:w="40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DELAYED DRAW TERM LOAN CREDIT AGREEMENT</w:t>
      </w:r>
    </w:p>
    <w:p>
      <w:pPr>
        <w:spacing w:after="0" w:line="229"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This DELAYED DRAW TERM LOAN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June 16, 2020 among UPJOHN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certain Affiliates and Subsidiaries of the Borrower from time to time party hereto as Guarantors, each Lender from time to time party hereto, and MUFG BANK, LTD., as Administrative Agent.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WHEREAS, pursuant to (i) the Separation and Distribution Agreement dated as of July 29, 2019 (as amended from time to time and including the exhibits, schedules and all related documents, collectively the “</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by and among Pfizer, Inc. (“</w:t>
      </w:r>
      <w:r>
        <w:rPr>
          <w:rFonts w:ascii="Arial" w:cs="Arial" w:eastAsia="Arial" w:hAnsi="Arial"/>
          <w:sz w:val="18"/>
          <w:szCs w:val="18"/>
          <w:u w:val="single" w:color="auto"/>
          <w:color w:val="auto"/>
        </w:rPr>
        <w:t>Pfizer</w:t>
      </w:r>
      <w:r>
        <w:rPr>
          <w:rFonts w:ascii="Arial" w:cs="Arial" w:eastAsia="Arial" w:hAnsi="Arial"/>
          <w:sz w:val="18"/>
          <w:szCs w:val="18"/>
          <w:color w:val="auto"/>
        </w:rPr>
        <w:t>”) and the Borrower and (ii) the Business Combination Agreement, dated as of July 29, 2019 (as amended from time to time and including the exhibits, schedules and all related documents, collectively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by and among Pfizer, the Borrower, Mylan N.V. (“</w:t>
      </w:r>
      <w:r>
        <w:rPr>
          <w:rFonts w:ascii="Arial" w:cs="Arial" w:eastAsia="Arial" w:hAnsi="Arial"/>
          <w:sz w:val="18"/>
          <w:szCs w:val="18"/>
          <w:u w:val="single" w:color="auto"/>
          <w:color w:val="auto"/>
        </w:rPr>
        <w:t>Mylan</w:t>
      </w:r>
      <w:r>
        <w:rPr>
          <w:rFonts w:ascii="Arial" w:cs="Arial" w:eastAsia="Arial" w:hAnsi="Arial"/>
          <w:sz w:val="18"/>
          <w:szCs w:val="18"/>
          <w:color w:val="auto"/>
        </w:rPr>
        <w:t>”) and the other parties thereto, the following transactions will be consummated:</w:t>
      </w:r>
    </w:p>
    <w:p>
      <w:pPr>
        <w:spacing w:after="0" w:line="188" w:lineRule="exact"/>
        <w:rPr>
          <w:sz w:val="20"/>
          <w:szCs w:val="20"/>
          <w:color w:val="auto"/>
        </w:rPr>
      </w:pPr>
    </w:p>
    <w:p>
      <w:pPr>
        <w:ind w:right="280" w:firstLine="436"/>
        <w:spacing w:after="0" w:line="263" w:lineRule="auto"/>
        <w:tabs>
          <w:tab w:leader="none" w:pos="8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Pfizer (and together with Pfizer’s subsidiaries, the “</w:t>
      </w:r>
      <w:r>
        <w:rPr>
          <w:rFonts w:ascii="Arial" w:cs="Arial" w:eastAsia="Arial" w:hAnsi="Arial"/>
          <w:sz w:val="18"/>
          <w:szCs w:val="18"/>
          <w:u w:val="single" w:color="auto"/>
          <w:color w:val="auto"/>
        </w:rPr>
        <w:t>Pfizer Business</w:t>
      </w:r>
      <w:r>
        <w:rPr>
          <w:rFonts w:ascii="Arial" w:cs="Arial" w:eastAsia="Arial" w:hAnsi="Arial"/>
          <w:sz w:val="18"/>
          <w:szCs w:val="18"/>
          <w:color w:val="auto"/>
        </w:rPr>
        <w:t>”) will separate certain businesses, operations and activities, including Pfizer’s global, primarily off-patent branded and generic established medicines business (the “</w:t>
      </w:r>
      <w:r>
        <w:rPr>
          <w:rFonts w:ascii="Arial" w:cs="Arial" w:eastAsia="Arial" w:hAnsi="Arial"/>
          <w:sz w:val="18"/>
          <w:szCs w:val="18"/>
          <w:u w:val="single" w:color="auto"/>
          <w:color w:val="auto"/>
        </w:rPr>
        <w:t>Upjohn Business</w:t>
      </w:r>
      <w:r>
        <w:rPr>
          <w:rFonts w:ascii="Arial" w:cs="Arial" w:eastAsia="Arial" w:hAnsi="Arial"/>
          <w:sz w:val="18"/>
          <w:szCs w:val="18"/>
          <w:color w:val="auto"/>
        </w:rPr>
        <w:t>”) from the Pfizer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436"/>
        <w:spacing w:after="0" w:line="277" w:lineRule="auto"/>
        <w:tabs>
          <w:tab w:leader="none" w:pos="83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following the Separation, the Upjohn Business will be combined with Mylan (and together with Mylan’s subsidiaries, the “Mylan Business”, and the Mylan Business, together with the Upjohn Business, the “</w:t>
      </w:r>
      <w:r>
        <w:rPr>
          <w:rFonts w:ascii="Arial" w:cs="Arial" w:eastAsia="Arial" w:hAnsi="Arial"/>
          <w:sz w:val="18"/>
          <w:szCs w:val="18"/>
          <w:u w:val="single" w:color="auto"/>
          <w:color w:val="auto"/>
        </w:rPr>
        <w:t>Combined Businesses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436"/>
        <w:spacing w:after="0" w:line="277" w:lineRule="auto"/>
        <w:tabs>
          <w:tab w:leader="none" w:pos="8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Pfizer, in order to effect the Separation, will contribute the Upjohn Business to the Borrower, which is and will be a wholly owned subsidiary of Pfizer prior to the Distribution (as defined below) (the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80" w:firstLine="436"/>
        <w:spacing w:after="0" w:line="277" w:lineRule="auto"/>
        <w:tabs>
          <w:tab w:leader="none" w:pos="83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connection with the Separation and in partial consideration of the Contribution, the Borrower will make a cash payment to Pfizer in an aggregate amount of $12,000,000,000 (the “</w:t>
      </w:r>
      <w:r>
        <w:rPr>
          <w:rFonts w:ascii="Arial" w:cs="Arial" w:eastAsia="Arial" w:hAnsi="Arial"/>
          <w:sz w:val="18"/>
          <w:szCs w:val="18"/>
          <w:u w:val="single" w:color="auto"/>
          <w:color w:val="auto"/>
        </w:rPr>
        <w:t>Borrower Cash Distribution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436"/>
        <w:spacing w:after="0" w:line="263" w:lineRule="auto"/>
        <w:tabs>
          <w:tab w:leader="none" w:pos="8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substantially concurrently with or within one Business Day following the Borrower Cash Distribution, Pfizer will distribute to the holders of Pfizer common stock all of the issued and outstanding shares of the common stock of the Borrower by way of either, at Pfizer’s option, a spin-off or a split-off (the “</w:t>
      </w:r>
      <w:r>
        <w:rPr>
          <w:rFonts w:ascii="Arial" w:cs="Arial" w:eastAsia="Arial" w:hAnsi="Arial"/>
          <w:sz w:val="18"/>
          <w:szCs w:val="18"/>
          <w:u w:val="single" w:color="auto"/>
          <w:color w:val="auto"/>
        </w:rPr>
        <w:t>Distribution</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firstLine="436"/>
        <w:spacing w:after="0" w:line="263" w:lineRule="auto"/>
        <w:tabs>
          <w:tab w:leader="none" w:pos="8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immediately following the Distribution, the Borrower and Mylan will engage in a strategic business combination, following which Mylan (or its successor entity) shall become a wholly owned subsidiary of the Borrower (the “Combination”, and together with the Separation, the Contribution, the Borrower Cash Distribution and the Distribution, collectively, the “</w:t>
      </w:r>
      <w:r>
        <w:rPr>
          <w:rFonts w:ascii="Arial" w:cs="Arial" w:eastAsia="Arial" w:hAnsi="Arial"/>
          <w:sz w:val="18"/>
          <w:szCs w:val="18"/>
          <w:u w:val="single" w:color="auto"/>
          <w:color w:val="auto"/>
        </w:rPr>
        <w:t>Combination Transactions</w:t>
      </w:r>
      <w:r>
        <w:rPr>
          <w:rFonts w:ascii="Arial" w:cs="Arial" w:eastAsia="Arial" w:hAnsi="Arial"/>
          <w:sz w:val="18"/>
          <w:szCs w:val="18"/>
          <w:color w:val="auto"/>
        </w:rPr>
        <w:t>”);</w:t>
      </w:r>
    </w:p>
    <w:p>
      <w:pPr>
        <w:sectPr>
          <w:pgSz w:w="11900" w:h="16838" w:orient="portrait"/>
          <w:cols w:equalWidth="0" w:num="1">
            <w:col w:w="10980"/>
          </w:cols>
          <w:pgMar w:left="440" w:top="270" w:right="479" w:bottom="1440" w:gutter="0" w:footer="0" w:header="0"/>
        </w:sectPr>
      </w:pPr>
    </w:p>
    <w:bookmarkStart w:id="185" w:name="page186"/>
    <w:bookmarkEnd w:id="185"/>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WHEREAS, at the request of the Borrower, the Lenders have agreed to extend credit to the Borrower in the form of Loans on the Closing Date, in an aggregate principal amount of $600,000,000, subject to the terms and conditions hereinafter set forth;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premises and the mutual covenants contained in this Agreement, the parties hereto agree as follows: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 (capitalized terms used but not defined in this Section 1.01 have the meanings specified in the Preliminary Statements):</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means each Person, property, business or assets acquired by the Borrower or a Subsidiary, to the extent not subsequently sold, transferred or otherwise disposed of by the Borrower or such Subsidiary.</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Indebtedness</w:t>
      </w:r>
      <w:r>
        <w:rPr>
          <w:rFonts w:ascii="Arial" w:cs="Arial" w:eastAsia="Arial" w:hAnsi="Arial"/>
          <w:sz w:val="18"/>
          <w:szCs w:val="18"/>
          <w:color w:val="auto"/>
        </w:rPr>
        <w:t>” means any Indebtedness of the Loan Parties that has been issued for the purpose of financing, in part, the acquisition of an Acquired Entity or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has the meaning assigned in Section 9.13.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MUFG Bank (through itself or through one of its designated Affiliates or branch offices), in its capacity as administrative agent for the Lenders hereunder, or any successor administrative agent.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means, with respect to any currency, the Administrative Agent’s address and, as appropriate, account as set forth on Schedule 9.01 with respect to such currency, or such other address or account with respect to such currency as the Administrative Agent may from time to time notify the Borrower and the Lenders.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assigned in Section 9.01(c).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in the preamble hereto.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186" w:name="page187"/>
    <w:bookmarkEnd w:id="1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Applicable Foreign Obligor Documents</w:t>
      </w:r>
      <w:r>
        <w:rPr>
          <w:rFonts w:ascii="Arial" w:cs="Arial" w:eastAsia="Arial" w:hAnsi="Arial"/>
          <w:sz w:val="18"/>
          <w:szCs w:val="18"/>
          <w:color w:val="auto"/>
        </w:rPr>
        <w:t>” has the meaning assigned in Section 3.17(a).</w:t>
      </w:r>
    </w:p>
    <w:p>
      <w:pPr>
        <w:spacing w:after="0" w:line="22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at any time, the percentage (carried out to the ninth decimal place) of the Facility represented by (i) on or prior to the Closing Date, such Lender’s Commitment at such time and (ii) thereafter, the principal amount of such Lender’s Loans at such time. The initial Applicable Percentage of each Lender in respect of the Facility is set forth next to the name of such Lender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w:t>
      </w:r>
      <w:r>
        <w:rPr>
          <w:rFonts w:ascii="Arial" w:cs="Arial" w:eastAsia="Arial" w:hAnsi="Arial"/>
          <w:sz w:val="17"/>
          <w:szCs w:val="17"/>
          <w:color w:val="auto"/>
        </w:rPr>
        <w:t xml:space="preserve"> or in the Assignment and Assumption pursuant to which such Lender becomes a party hereto, as applicable.</w:t>
      </w:r>
    </w:p>
    <w:p>
      <w:pPr>
        <w:spacing w:after="0" w:line="17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1.625% per annum,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Applicable Rate for all Loans under the Facility shall increase automatically by 0.25% on the date that is nine months after the Closing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“Cash Equivalents.”</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collectively, MUFG Bank and Mizuho Bank, Ltd., as joint lead arrangers and bookrunners and/or syndication agent, as applicable.</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agreement entered into by a Lender and an assignee (with the consent of any party whose consent is required by Section 9.04 of this Agreement), and accepted by the Administrative Agent,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6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Receivables Indebtedness</w:t>
      </w:r>
      <w:r>
        <w:rPr>
          <w:rFonts w:ascii="Arial" w:cs="Arial" w:eastAsia="Arial" w:hAnsi="Arial"/>
          <w:sz w:val="18"/>
          <w:szCs w:val="18"/>
          <w:color w:val="auto"/>
        </w:rPr>
        <w:t>” at any time means the principal amount of Indebtedness which (i) if a Permitted Receivables Facility is structured as a secured lending agreement, would constitute the principal amount of such Indebtedness or (ii) if a Permitted Receivables Facility is structured as a purchase agreement, would be outstanding at such time under the Permitted Receivables Facility if the same were structured as a secured lending agreement rather than a purchase agreement.</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87" w:name="page188"/>
    <w:bookmarkEnd w:id="187"/>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of interest per annum (rounded upwards, if necessary, to the next 1/100 of 1%) equal to the highest of (a) the Federal Funds Effective Rate in effect on such day plus 1/2 of 1%, (b) the Prime Rate in effect for such day and (c) the LIBO Rate in effect on such day plus 1.00%,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Base Rate shall be less than zero, such rate shall be deemed to be zero for purposes of this Agreement. “Base Rate,” when used in reference to any Loan or Borrowing, refers to whether such Loan, or the Loans comprising such Borrowing, are bearing interest at a rate determined by reference to the Base Rate.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Cash Distribution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Type, made on the Closing Date, or converted or continued on the same date and, in the case of Eurocurrency Loans, as to which a single Interest Period is in effect.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means, with respect to Eurodollar Loans, $5,000,000.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means, with respect to Eurodollar Loans, $1,000,000.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 2.03.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or the state of New York and, if such day relates to any interest rate settings as to a Eurocurrency Loan, any fundings, disbursements, settlements and payments in respect of any such Eurocurrency Loan, or any other dealings to be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188" w:name="page189"/>
    <w:bookmarkEnd w:id="188"/>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carried out pursuant to this Agreement in respect of any such Eurocurrency Loan, means any such day on which dealings in deposits in Dollars are conducted by and between banks in the London interbank eurodollar market.</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 Closing Date, and the amount of such obligations as of any date shall be the capitalized amount thereof determined in accordance with GAAP as in effect on the Closing Date that would appear on a balance sheet of such Person prepared as of such date.</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American Triumvirate Insurance Company, a Vermont corporation or any successor thereto, so long as such Subsidiary is maintained as a special purpose self-insurance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obligations</w:t>
      </w:r>
      <w:r>
        <w:rPr>
          <w:rFonts w:ascii="Arial" w:cs="Arial" w:eastAsia="Arial" w:hAnsi="Arial"/>
          <w:sz w:val="18"/>
          <w:szCs w:val="18"/>
          <w:color w:val="auto"/>
        </w:rPr>
        <w:t>” means any Loan Party or any Subsidiary’s participation in commercial (or purchasing) card programs.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right="20" w:firstLine="436"/>
        <w:spacing w:after="0" w:line="277" w:lineRule="auto"/>
        <w:tabs>
          <w:tab w:leader="none" w:pos="83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evidence of Indebtedness issued or directly and fully guaranteed or insured by the government or any agency or instrumentality of (i) the United States, (ii) the United Kingdom or (iii) any member nation of the European Union;</w:t>
      </w:r>
    </w:p>
    <w:p>
      <w:pPr>
        <w:spacing w:after="0" w:line="170" w:lineRule="exact"/>
        <w:rPr>
          <w:rFonts w:ascii="Arial" w:cs="Arial" w:eastAsia="Arial" w:hAnsi="Arial"/>
          <w:sz w:val="18"/>
          <w:szCs w:val="18"/>
          <w:color w:val="auto"/>
        </w:rPr>
      </w:pPr>
    </w:p>
    <w:p>
      <w:pPr>
        <w:ind w:right="40" w:firstLine="436"/>
        <w:spacing w:after="0" w:line="259" w:lineRule="auto"/>
        <w:tabs>
          <w:tab w:leader="none" w:pos="83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time deposits, certificates of deposit, and bank notes of any financial institution that (i) is a Lender or (ii) is a member of the Federal Reserve System (or organized in any foreign country recognized by the United States) and whose senior unsecured debt is rated at least A-2, P-2, or F-2, short-term, or A or A2, long-term, by Moody’s, S&amp;P or Fitch (any such bank in the foregoing clause (i) or (ii)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Issues with only one short-term credit rating must have a minimum credit rating of A 1, P 1 or F 1;</w:t>
      </w:r>
    </w:p>
    <w:p>
      <w:pPr>
        <w:spacing w:after="0" w:line="186" w:lineRule="exact"/>
        <w:rPr>
          <w:rFonts w:ascii="Arial" w:cs="Arial" w:eastAsia="Arial" w:hAnsi="Arial"/>
          <w:sz w:val="18"/>
          <w:szCs w:val="18"/>
          <w:color w:val="auto"/>
        </w:rPr>
      </w:pPr>
    </w:p>
    <w:p>
      <w:pPr>
        <w:ind w:firstLine="436"/>
        <w:spacing w:after="0" w:line="259" w:lineRule="auto"/>
        <w:tabs>
          <w:tab w:leader="none" w:pos="83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commercial paper, including asset-backed commercial paper, and floating or fixed rate notes issued by an Approved Bank or a corporation or special purpose vehicle (other than an Affiliate or Subsidiary of the Borrower) organized and existing under the laws of the United States of America, any state thereof or the District of Columbia (or any foreign country recognized by the United States) and rated at least A 2 by S&amp;P and at least P 2 by Moody’s;</w:t>
      </w:r>
    </w:p>
    <w:p>
      <w:pPr>
        <w:spacing w:after="0" w:line="186" w:lineRule="exact"/>
        <w:rPr>
          <w:rFonts w:ascii="Arial" w:cs="Arial" w:eastAsia="Arial" w:hAnsi="Arial"/>
          <w:sz w:val="18"/>
          <w:szCs w:val="18"/>
          <w:color w:val="auto"/>
        </w:rPr>
      </w:pPr>
    </w:p>
    <w:p>
      <w:pPr>
        <w:ind w:left="820" w:hanging="384"/>
        <w:spacing w:after="0"/>
        <w:tabs>
          <w:tab w:leader="none" w:pos="8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asset-backed securities rated AAA by Moody’s, S&amp;P, or Fitch, with weighted average lives of 3 years or less (measured to the next maturity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right="100" w:firstLine="436"/>
        <w:spacing w:after="0" w:line="263" w:lineRule="auto"/>
        <w:tabs>
          <w:tab w:leader="none" w:pos="83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repurchase agreements and reverse repurchase agreements relating to marketable direct obligations issued or unconditionally guaranteed or insured by the government or any agency or instrumentality of (i) the United States, (ii) the United Kingdom or (ii) any member nation of the European Union maturing within 365 days from the date of acquisition;</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money market funds which invest substantially all of their assets in assets described in the preceding clauses (1) through (5);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89" w:name="page190"/>
    <w:bookmarkEnd w:id="189"/>
    <w:p>
      <w:pPr>
        <w:jc w:val="both"/>
        <w:ind w:firstLine="436"/>
        <w:spacing w:after="0" w:line="286" w:lineRule="auto"/>
        <w:tabs>
          <w:tab w:leader="none" w:pos="830" w:val="left"/>
        </w:tabs>
        <w:numPr>
          <w:ilvl w:val="0"/>
          <w:numId w:val="2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instruments equivalent to those referred to in clauses (1) through (6) above denominated in any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except in the case of clauses (4) and (5) above, the maximum maturity date of individual securities or deposits will be 3 years or less at the time of purchase or deposit.</w:t>
      </w:r>
    </w:p>
    <w:p>
      <w:pPr>
        <w:spacing w:after="0" w:line="170"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acquisition after the Combination of beneficial ownership, directly or indirectly, by any Person or group (within the meaning of the Securities Exchange Act of 1934 and the rules of the SEC thereunder as in effect on the Effective Date), of Equity Interests representing more than 35% of the aggregate ordinary voting power represented by the issued and outstanding Equity Interests of the Borrower.</w:t>
      </w:r>
    </w:p>
    <w:p>
      <w:pPr>
        <w:spacing w:after="0" w:line="149"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for purposes of Section 2.14(b), by any Lending Office of such Lender or by such Lender’s holding company, if any) with any request, guideline or directive (whether or not having the force of law) of any Governmental Authority made or issued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shall have the meaning assigned to such term in Section 9.14.</w:t>
      </w:r>
    </w:p>
    <w:p>
      <w:pPr>
        <w:spacing w:after="0" w:line="225" w:lineRule="exact"/>
        <w:rPr>
          <w:sz w:val="20"/>
          <w:szCs w:val="20"/>
          <w:color w:val="auto"/>
        </w:rPr>
      </w:pPr>
    </w:p>
    <w:p>
      <w:pPr>
        <w:ind w:right="6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means the date, on or after the Effective Date but not after the Commitment Termination Date, on which all the conditions specified in Section 4.02 of this Agreement are satisfied (or waived in accordance with Section 9.02 of this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Combination Transaction Representations</w:t>
      </w:r>
      <w:r>
        <w:rPr>
          <w:rFonts w:ascii="Arial" w:cs="Arial" w:eastAsia="Arial" w:hAnsi="Arial"/>
          <w:sz w:val="16"/>
          <w:szCs w:val="16"/>
          <w:color w:val="auto"/>
        </w:rPr>
        <w:t>” means the representations made by Pfizer with respect to the Borrower, the Spinco Subsidiaries (as defined in the Business Combination Agreement) or Spinco Sub (as defined in the Business Combination Agreement) in the Business Combination Agreement as are material to the interests of the Lenders and the Arrangers (in their capacities as such) (but only to the extent that Mylan has the right to terminate its obligation to consummate the Combination (or otherwise does not have an obligation to close) under the Business Combination Agreement as a result of a failure of such representations in the Business Combination Agreement to be accurate).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90" w:name="page191"/>
    <w:bookmarkEnd w:id="19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Combination Transactions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Businesses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Commitment.</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the earliest of (a) the date of termination of all Commitments pursuant to Section 2.08 hereof, (b) the date of termination of Mylan’s obligation to consummate the Combination pursuant to the Business Combination Agreement and (c) December 31, 2020, if the Closing Date has not occurred prior to such time.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Consolidated Net Income plus, without duplication and, except in the case of clause (xii), to the extent deducted from revenues in determining Consolidated Net Income, (i) Consolidated Interest Expense and charges, deferred financing fees and milestone payments in connection with any investment or series of related investments, losses on hedging obligations or other derivative instruments entered into for the purpose of hedging interest rate risk, net of gains on such hedging obligations, and costs of surety bonds in connection with financing activities,</w:t>
      </w:r>
    </w:p>
    <w:p>
      <w:pPr>
        <w:spacing w:after="0" w:line="1" w:lineRule="exact"/>
        <w:rPr>
          <w:sz w:val="20"/>
          <w:szCs w:val="20"/>
          <w:color w:val="auto"/>
        </w:rPr>
      </w:pPr>
    </w:p>
    <w:p>
      <w:pPr>
        <w:ind w:left="4" w:right="20" w:hanging="4"/>
        <w:spacing w:after="0" w:line="266" w:lineRule="auto"/>
        <w:tabs>
          <w:tab w:leader="none" w:pos="26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expense and provision for taxes paid or accrued, (iii) depreciation, (iv) amortization (including amortization of intangibles, including goodwill), (v) non-cash charges recorded in respect of purchase accounting or impairment of goodwill or assets and non-cash exchange, translation or performance losses relating to any foreign currency hedging transactions or currency fluctuations, (vi) any other non-cash items, (vii) any unusual, infrequent or extraordinary loss or charge (including the amount of any restructuring, integration, transition, executive severance, facility closing, unusual litigation and similar charges accrued during such period, including any charges to establish accruals and reserves or to make payments associated with the reassessment or realignment of the business and operations of the Borrower and its Subsidiaries, including the sale or closing of facilities, severance, stay bonuses and curtailments or modifications to pension and post-retirement employee benefit plans, asset write-downs or asset disposals (including leased facilities), write-downs for purchase and lease commitments, start-up costs for new facilities, writedowns of excess, obsolete or unbalanced inventories, relocation costs which are not otherwise capitalized and any related promotional costs of exiting products or product lines), (viii) non-recurring cash charges in connection with the litigation described on </w:t>
      </w:r>
      <w:r>
        <w:rPr>
          <w:rFonts w:ascii="Arial" w:cs="Arial" w:eastAsia="Arial" w:hAnsi="Arial"/>
          <w:sz w:val="17"/>
          <w:szCs w:val="17"/>
          <w:u w:val="single" w:color="auto"/>
          <w:color w:val="auto"/>
        </w:rPr>
        <w:t>Schedule 2.03</w:t>
      </w:r>
      <w:r>
        <w:rPr>
          <w:rFonts w:ascii="Arial" w:cs="Arial" w:eastAsia="Arial" w:hAnsi="Arial"/>
          <w:sz w:val="17"/>
          <w:szCs w:val="17"/>
          <w:color w:val="auto"/>
        </w:rPr>
        <w:t xml:space="preserve">, (ix) income of any non-wholly owned Subsidiaries and deductions attributable to minority interests, (x) any non-cash costs or expenses incurred by the Borrower or any Subsidiary pursuant to any management equity plan or stock plan, (xi) expenses with respect to casualty events, (xii) the amount of net cost savings in connection with any acquisition of an Acquired Entity or Business or otherwise projected by the Borrower in good faith to be realized as a result of specified actions taken prior to the last day of such period (calculated on a pro forma basis as though such cost savings had been realized since the first day of such period), net of the amount of actual benefits realized during such period from such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connection with (1) the Combination Transactions, such actions have been taken within 24 months after the Closing Date and (2) any other acquisition of an Acquired Entity or Business, such actions have been taken within 12 months after the closing date of an acquisition of an Acquired Entity or Business and (B) no cost savings shall be added pursuant to this clause (xii) to the extent</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91" w:name="page192"/>
    <w:bookmarkEnd w:id="191"/>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duplicative of any expenses or charges relating to such cost savings that are included in clause (vii) above with respect to such period, (xiii) expenses incurred in connection with any acquisition of an Acquired Entity or Business,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including transaction expenses incurred in connection therewith), (xiv) any contingent or deferred payments (including earn-out payments, non-compete payments and consulting payments but excluding ongoing royalty payments) made in connection with any acquisition of an Acquired Entity or Business, (xv) non-cash charges pursuant to ASC 715, </w:t>
      </w:r>
      <w:r>
        <w:rPr>
          <w:rFonts w:ascii="Arial" w:cs="Arial" w:eastAsia="Arial" w:hAnsi="Arial"/>
          <w:sz w:val="16"/>
          <w:szCs w:val="16"/>
          <w:u w:val="single" w:color="auto"/>
          <w:color w:val="auto"/>
        </w:rPr>
        <w:t>minus</w:t>
      </w:r>
      <w:r>
        <w:rPr>
          <w:rFonts w:ascii="Arial" w:cs="Arial" w:eastAsia="Arial" w:hAnsi="Arial"/>
          <w:sz w:val="16"/>
          <w:szCs w:val="16"/>
          <w:color w:val="auto"/>
        </w:rPr>
        <w:t>, to the extent included in Consolidated Net Income, the sum of (xvi) any unusual, infrequent or extraordinary income or gains,</w:t>
      </w:r>
    </w:p>
    <w:p>
      <w:pPr>
        <w:spacing w:after="0" w:line="2" w:lineRule="exact"/>
        <w:rPr>
          <w:sz w:val="20"/>
          <w:szCs w:val="20"/>
          <w:color w:val="auto"/>
        </w:rPr>
      </w:pPr>
    </w:p>
    <w:p>
      <w:pPr>
        <w:ind w:left="4" w:right="120" w:hanging="4"/>
        <w:spacing w:after="0" w:line="288" w:lineRule="auto"/>
        <w:tabs>
          <w:tab w:leader="none" w:pos="44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any other non-cash income or gains (except to the extent representing (x) an accrual for future cash income or in respect of which cash was received in a prior period or (y) the reversal of any cash reserves established in a prior period), and (xviii) any cash payment made with respect to any non-cash items added back in computing Consolidated EBITDA in a prior period pursuant to clause (vi) above), all calculated for the Borrower and its Subsidiaries (other than the Captive Insurance Subsidiary) in accordance with GAAP on a consolidated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included in Consolidated Net Income, (A) there shall be excluded in determining Consolidated EBITDA currency translation gains and losses related to currency remeasurements of Indebtedness (including the net loss or gain resulting from Swap Agreements for currency exchange risk) and (B) there shall be excluded in determining Consolidated EBITDA for any period any adjustments resulting from the application of SFAS 133.</w:t>
      </w:r>
    </w:p>
    <w:p>
      <w:pPr>
        <w:spacing w:after="0" w:line="168"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with reference to any period, the interest expense whether or not paid in cash (including interest expense under Capital Lease Obligations that is treated as interest in accordance with GAAP, but excluding, any (i) non-cash interest expense attributable to the movement in mark-to-market valuation under Swap Agreements or other derivative instruments, (ii) non-cash interest expense attributable to the amortization of gains or losses resulting from the termination of Swap Agreements prior to or reasonably contemporaneously with the Closing Date,</w:t>
      </w:r>
    </w:p>
    <w:p>
      <w:pPr>
        <w:spacing w:after="0" w:line="1" w:lineRule="exact"/>
        <w:rPr>
          <w:sz w:val="20"/>
          <w:szCs w:val="20"/>
          <w:color w:val="auto"/>
        </w:rPr>
      </w:pPr>
    </w:p>
    <w:p>
      <w:pPr>
        <w:ind w:left="4" w:right="300" w:hanging="4"/>
        <w:spacing w:after="0" w:line="281" w:lineRule="auto"/>
        <w:tabs>
          <w:tab w:leader="none" w:pos="31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amortization of deferred financing fees and (iv) expensing of bridge or other financing fees) of the Borrower and its Subsidiaries (other than the Captive Insurance Subsidiary) calculated on a consolidated basis for such period in accordance with GAAP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(a) imputed interest attributable to Capital Lease Obligations of the Borrower and its Subsidiaries (other than the Captive Insurance Subsidiary) for such period,</w:t>
      </w:r>
    </w:p>
    <w:p>
      <w:pPr>
        <w:spacing w:after="0" w:line="1" w:lineRule="exact"/>
        <w:rPr>
          <w:rFonts w:ascii="Arial" w:cs="Arial" w:eastAsia="Arial" w:hAnsi="Arial"/>
          <w:sz w:val="16"/>
          <w:szCs w:val="16"/>
          <w:color w:val="auto"/>
        </w:rPr>
      </w:pPr>
    </w:p>
    <w:p>
      <w:pPr>
        <w:ind w:left="4" w:hanging="4"/>
        <w:spacing w:after="0" w:line="281" w:lineRule="auto"/>
        <w:tabs>
          <w:tab w:leader="none" w:pos="259" w:val="left"/>
        </w:tabs>
        <w:numPr>
          <w:ilvl w:val="0"/>
          <w:numId w:val="211"/>
        </w:numPr>
        <w:rPr>
          <w:rFonts w:ascii="Arial" w:cs="Arial" w:eastAsia="Arial" w:hAnsi="Arial"/>
          <w:sz w:val="16"/>
          <w:szCs w:val="16"/>
          <w:color w:val="auto"/>
        </w:rPr>
      </w:pPr>
      <w:r>
        <w:rPr>
          <w:rFonts w:ascii="Arial" w:cs="Arial" w:eastAsia="Arial" w:hAnsi="Arial"/>
          <w:sz w:val="16"/>
          <w:szCs w:val="16"/>
          <w:color w:val="auto"/>
        </w:rPr>
        <w:t>commissions, discounts and other fees and charges owed by the Borrower or any of its Subsidiaries (other than the Captive Insurance Subsidiary) with respect to letters of credit securing financial obligations, bankers’ acceptance financing and receivables financings for such period, (c) amortization or write-off of debt discount and debt issuance costs, premium, commissions, discounts and other fees and charges associated with Indebtedness of the Borrower and its Subsidiaries (other than the Captive Insurance Subsidiary) for such period, (d) cash contributions to any employee stock ownership plan or similar trust made by the Borrower or any of its Subsidiaries to the extent such contributions are used by such plan or trust to pay interest or fees to any Person (other than the Borrower or a wholly owned Subsidiary) in connection with Indebtedness incurred by such plan or trust for such period,</w:t>
      </w:r>
    </w:p>
    <w:p>
      <w:pPr>
        <w:spacing w:after="0" w:line="3" w:lineRule="exact"/>
        <w:rPr>
          <w:rFonts w:ascii="Arial" w:cs="Arial" w:eastAsia="Arial" w:hAnsi="Arial"/>
          <w:sz w:val="16"/>
          <w:szCs w:val="16"/>
          <w:color w:val="auto"/>
        </w:rPr>
      </w:pPr>
    </w:p>
    <w:p>
      <w:pPr>
        <w:ind w:left="4" w:right="120" w:hanging="4"/>
        <w:spacing w:after="0" w:line="255" w:lineRule="auto"/>
        <w:tabs>
          <w:tab w:leader="none" w:pos="24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all interest paid or payable with respect to discontinued operations of the Borrower or any of its Subsidiaries for such period, (f) the interest portion of any deferred payment obligations of the Borrower or any of its Subsidiaries (other than the Captive Insurance Subsidiary) for such period, (g) all interest on any Indebtedness</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Borrower or any of its Subsidiaries (other than the Captive Insurance Subsidiary) of the type described in clause (e) or (f) of the definition of</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for such period and (h) the interest component of all Attributable Receivables Indebtedness of the Borrower and its Subsidiaries (other than the Captive Insurance Subsidiary).</w:t>
      </w:r>
    </w:p>
    <w:p>
      <w:pPr>
        <w:spacing w:after="0" w:line="18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for any Test Period, the ratio of (a) Consolidated Total Indebtedness net of Unrestricted Cash of the Borrower and its Subsidiaries in an amount not exceeding $1,000,000,000 as of the last day of such Test Period to (b) Consolidated EBITDA for such Test Period.</w:t>
      </w:r>
    </w:p>
    <w:p>
      <w:pPr>
        <w:spacing w:after="0" w:line="184"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with reference to any period, the net income (or loss) of the Borrower and its Subsidiaries calculated in accordance with GAAP on a consolidated basis (without duplication)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calculating Consolidated Net Income of the Borrower and its Subsidiaries for any period,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(c) the income or deficit of the Captive Insurance Subsidiary, (d) any fees and expenses incurred during such period, or any amortization thereof for such period, in connection with the consummation of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amortization of deferred charges resulting from the application of “Accounting Principles Board Opinion No. APB 14-1 — Accounting for Convertible Debt Instruments” that may be settled in cash upon conversion (including partial cash settlement) and (f) any income (loss) for such period attributable to the early extinguishment of Indebtedness, together with any related provision for taxes on any such income. There shall be excluded from Consolidated Net Income for any period (i) any gains or losses resulting from any reappraisal, revaluation or write-up or write-down of assets (including any gains and losses attributable to movement in the mark-to-market valuation of (1) any Permitted Convertible Indebtedness, (2) any Permitted Bond Hedge Transaction, (3) any Permitted Warrant Transaction and (4) purchase options and related contingencies), (ii) any non-cash charges recorded in respect of intangible assets (but excluding scheduled amortization of intangible assets), and (iii) the purchase accounting effects of in process research and development expenses and adjustments to property, inventory and equipment, software and other intangible assets and deferred revenue and deferred expenses in component amounts required or permitted by GAAP and related authoritative pronouncements (including the effects of such adjustments pushed down to the Borrower and its Subsidiaries), as a result of any acquisition, or the amortization or write-off of any amounts thereof.</w:t>
      </w:r>
    </w:p>
    <w:p>
      <w:pPr>
        <w:spacing w:after="0" w:line="185" w:lineRule="exact"/>
        <w:rPr>
          <w:sz w:val="20"/>
          <w:szCs w:val="20"/>
          <w:color w:val="auto"/>
        </w:rPr>
      </w:pPr>
    </w:p>
    <w:p>
      <w:pPr>
        <w:ind w:right="24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Tangible Assets</w:t>
      </w:r>
      <w:r>
        <w:rPr>
          <w:rFonts w:ascii="Arial" w:cs="Arial" w:eastAsia="Arial" w:hAnsi="Arial"/>
          <w:sz w:val="18"/>
          <w:szCs w:val="18"/>
          <w:color w:val="auto"/>
        </w:rPr>
        <w:t>” means, with respect to the Borrower, the total amount of assets (less applicable reserves and other properly deductible items) after deducting all goodwill, tradenames, trademarks, patents, unamortized debt discount and expense and other like intangible assets, all as set forth on the most recent consolidated balance sheet of the Borrower and its Subsidiaries delivered pursuant to Section 5.01(a) or Section 5.01(b).</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93" w:name="page194"/>
    <w:bookmarkEnd w:id="19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means Subsidiaries that would be consolidated with the Borrower in accordance with GAAP.</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Borrower and its Subsidiaries calculated in accordance with GAAP on a consolidated basis as of such date.</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Indebtedness</w:t>
      </w:r>
      <w:r>
        <w:rPr>
          <w:rFonts w:ascii="Arial" w:cs="Arial" w:eastAsia="Arial" w:hAnsi="Arial"/>
          <w:sz w:val="16"/>
          <w:szCs w:val="16"/>
          <w:color w:val="auto"/>
        </w:rPr>
        <w:t>” means at any time the sum, without duplication, of (i) the aggregate principal amount of Indebtedness of the Borrower and its Subsidiaries (other than the Captive Insurance Subsidiary) outstanding as of such time calculated on a consolidated basis (other than Indebtedness described in clause (h), (i) or (j) of the definition of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included in Consolidated Total Indebtedness, any Indebtedness (x) in respect of drawings under the items in such clauses (h) and (i) to the extent not reimbursed within two Business Days after the date of such drawing and (y) in respect of any Swap Agreement entered into for speculative purposes))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principal amount of any obligations of any Person (other than the Borrower or any Subsidiary) of the type described in the foregoing clause (i) that are Guaranteed by the Borrower or any Subsidiary (whether or not reflected on a consolidated balance sheet of the Borrower). Notwithstanding the foregoing, solely for the purposes of determining Consolidated Total Indebtedness at any time on or prior to the consummation of the acquisition of an Acquired Entity or Business, the aggregate principal amount of Acquisition Indebtedness that would otherwise be included in “Consolidated Total Indebtedness” shall exclude any such Acquisition Indebtedness that includes a customary “special mandatory redemption” provision (or other similar provision) requiring a Loan Party (within a reasonable period of time following the occurrence of an event set forth in clause (a) or (b) below) to redeem such Acquisition Indebtedness if (a) such acquisition is not consummated within a number of days reasonably acceptable to the Administrative Agent or (b) the acquisition agreement related to such acquisition terminates in accordance with its terms. For avoidance of doubt, the exclusion in the immediately preceding sentence shall not apply after consummation of the applicable acquisition.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Person, the power, directly or indirectly, to direct or cause the direction of the management and policies of such Person, whether by contract or otherwise.</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the Coronavirus Disease 2019, as defined by the International Committee on Taxonomy of Viruses and the World Health Organization.</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194" w:name="page195"/>
    <w:bookmarkEnd w:id="194"/>
    <w:p>
      <w:pPr>
        <w:ind w:left="4"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has the meaning set forth in Section 2.12(c).</w:t>
      </w:r>
    </w:p>
    <w:p>
      <w:pPr>
        <w:spacing w:after="0" w:line="225"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to (i) fund all or any portion of any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generally under other agreements in which it has committed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(d) has, or has a direct or indirect parent company that has, (i) become the subject of a proceeding under any Debtor Relief Law, (ii) had publicly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w:t>
      </w:r>
    </w:p>
    <w:p>
      <w:pPr>
        <w:spacing w:after="0" w:line="11" w:lineRule="exact"/>
        <w:rPr>
          <w:sz w:val="20"/>
          <w:szCs w:val="20"/>
          <w:color w:val="auto"/>
        </w:rPr>
      </w:pPr>
    </w:p>
    <w:p>
      <w:pPr>
        <w:jc w:val="both"/>
        <w:ind w:left="4" w:right="100" w:hanging="4"/>
        <w:spacing w:after="0" w:line="302" w:lineRule="auto"/>
        <w:tabs>
          <w:tab w:leader="none" w:pos="24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has, or has a direct or indirect parent company that has, become the subject of a Bail-In Action. Any determination by the Administrative Agent that a Lender is a Defaulting Lender under any one or more of clauses (a) through (e) above shall be conclusive and binding absent manifest error, and such Lender shall be deemed to be a Defaulting Lender upon delivery of written notice of such determination to the Borrower and each Lender.</w:t>
      </w:r>
    </w:p>
    <w:p>
      <w:pPr>
        <w:spacing w:after="0" w:line="155"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Disclosed Matters</w:t>
      </w:r>
      <w:r>
        <w:rPr>
          <w:rFonts w:ascii="Arial" w:cs="Arial" w:eastAsia="Arial" w:hAnsi="Arial"/>
          <w:sz w:val="17"/>
          <w:szCs w:val="17"/>
          <w:color w:val="auto"/>
        </w:rPr>
        <w:t xml:space="preserve">” means the actions, suits and proceedings and the environmental matters disclosed (a) in any reports, schedules, forms, proxy statements, prospectuses (including prospectus supplements), registration statements and other information filed by the Borrower or Mylan with the SEC or furnished by the Borrower or Mylan to the SEC pursuant to the Securities Exchange Act, in each case, filed or furnished before the Effective Date and which are available to the Lenders before the Effective Date and (b) on </w:t>
      </w:r>
      <w:r>
        <w:rPr>
          <w:rFonts w:ascii="Arial" w:cs="Arial" w:eastAsia="Arial" w:hAnsi="Arial"/>
          <w:sz w:val="17"/>
          <w:szCs w:val="17"/>
          <w:u w:val="single" w:color="auto"/>
          <w:color w:val="auto"/>
        </w:rPr>
        <w:t>Schedule 3.06</w:t>
      </w:r>
      <w:r>
        <w:rPr>
          <w:rFonts w:ascii="Arial" w:cs="Arial" w:eastAsia="Arial" w:hAnsi="Arial"/>
          <w:sz w:val="17"/>
          <w:szCs w:val="17"/>
          <w:color w:val="auto"/>
        </w:rPr>
        <w: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95" w:name="page196"/>
    <w:bookmarkEnd w:id="195"/>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Disqualified Equity Interests</w:t>
      </w:r>
      <w:r>
        <w:rPr>
          <w:rFonts w:ascii="Arial" w:cs="Arial" w:eastAsia="Arial" w:hAnsi="Arial"/>
          <w:sz w:val="17"/>
          <w:szCs w:val="17"/>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public equity offering or asset sale so long as any rights of the holders thereof upon the occurrence of a change of control, public equity offering or asset sale event shall be subject to the prior repayment in full of the Term Loan and all other Obligations that are accrued and payable), (b) is redeemable at the option of the holder thereof (other than solely for Qualified Equity Interests and except as permitted in clause (a) above), in whole or in part, (c) requires the scheduled payments of dividends in cash (for this purpose, dividends shall not be considered required if the issuer has the option to permit them to accrue, cumulate, accrete or increase in liquidation preference or if the Borrower has the option to pay such dividends solely in Qualified Equity Interests), or (d) is or becomes convertible into or exchangeable for Indebtedness or any other Equity Interests that would constitute Disqualified Equity Interests, in each case, prior to the date that is 91 days after the Maturity Date.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member state of the European Union, Iceland, Liechtenstein and Norway.</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all of the conditions specified in Section 4.01 shall have been satisfied.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Copy</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has the meaning assigned in Section 9.16(b).</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196" w:name="page197"/>
    <w:bookmarkEnd w:id="196"/>
    <w:p>
      <w:pPr>
        <w:ind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any Person that meets the requirements to be an assignee under Section 9.04(b)(iii), (v) and (vi) (subject to such consents, if any, as may be required under Section 9.04(b)(iii)).</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imposing liability or standards of conduct concerning protection of the environment, preservation or reclamation of natural resources, the management, release or threatened release of any Hazardous Material or the effect of Hazardous Materials in the environment on health and safety matters.</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6"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such conversion, Indebtedness that is convertible into any such equity interests).</w:t>
      </w:r>
    </w:p>
    <w:p>
      <w:pPr>
        <w:spacing w:after="0" w:line="16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of any Loan Party or any of its ERISA Affiliates from any Plan or Multiemployer Plan; or (g) the receipt by any Loan Party or any ERISA Affiliate of any notice, or the receipt by 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97" w:name="page198"/>
    <w:bookmarkEnd w:id="197"/>
    <w:p>
      <w:pPr>
        <w:ind w:left="4"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Multiemployer Plan from any Loan Party or any ERISA Affiliate of any notice, concerning the imposition upon any Loan Party or any of its ERISA Affiliates of Withdrawal Liability or a determination that a Multiemployer Plan is, or is expected to be, insolvent, within the meaning of Title IV of ERISA.</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EU/UK Listed Person</w:t>
      </w:r>
      <w:r>
        <w:rPr>
          <w:rFonts w:ascii="Arial" w:cs="Arial" w:eastAsia="Arial" w:hAnsi="Arial"/>
          <w:sz w:val="18"/>
          <w:szCs w:val="18"/>
          <w:color w:val="auto"/>
        </w:rPr>
        <w:t>” has the meaning assigned in Section 3.15(a).</w:t>
      </w:r>
    </w:p>
    <w:p>
      <w:pPr>
        <w:spacing w:after="0" w:line="22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LIBO Rate.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Finco</w:t>
      </w:r>
      <w:r>
        <w:rPr>
          <w:rFonts w:ascii="Arial" w:cs="Arial" w:eastAsia="Arial" w:hAnsi="Arial"/>
          <w:sz w:val="16"/>
          <w:szCs w:val="16"/>
          <w:color w:val="auto"/>
        </w:rPr>
        <w:t>” means Finco, so long as (i) it holds (directly, and together with its Subsidiaries), not more than de minimis assets (other than</w:t>
      </w:r>
    </w:p>
    <w:p>
      <w:pPr>
        <w:spacing w:after="0" w:line="46" w:lineRule="exact"/>
        <w:rPr>
          <w:sz w:val="20"/>
          <w:szCs w:val="20"/>
          <w:color w:val="auto"/>
        </w:rPr>
      </w:pPr>
    </w:p>
    <w:p>
      <w:pPr>
        <w:ind w:left="4" w:hanging="4"/>
        <w:spacing w:after="0" w:line="253" w:lineRule="auto"/>
        <w:tabs>
          <w:tab w:leader="none" w:pos="25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intercompany notes or receivables that relate to the repayment of principal and interest of the Finco Designated Indebtedness or (y) any proceeds from any Indebtedness of Finco (so long as such proceeds are intended to be distributed to the Borrower) or intercompany notes or receivables that relate to the distribution of such proceeds to the Borrower), (ii) it does not generate more than de minimis Consolidated EBITDA and (iii) it does not at any time guarantee any third-party Indebtedness of the Borrower.</w:t>
      </w:r>
    </w:p>
    <w:p>
      <w:pPr>
        <w:spacing w:after="0" w:line="193"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withholding Taxes imposed on amounts payable to or for the account of such Lender with respect to an applicable interest in a Loan or Commitment pursuant to a law in effect on the date of which (i) such Lender acquires such interest in the Loan or Commitment (other than pursuant to an assignment request by the Borrower under Section 2.18)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2.16(e), and (d) withholding Taxes imposed pursuant to FATCA.</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at any time, (a) on or prior to the Closing Date, the aggregate Term Commitments at such time and (b) thereafter, the aggregate principal amount of the Loans of all Lenders outstanding at such time.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198" w:name="page199"/>
    <w:bookmarkEnd w:id="198"/>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spacing w:after="0" w:line="176"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if the Federal Funds Effective Rate shall be less than zero, the Federal Funds Effective Rate shall be deemed zero for purposes of this Agreement.</w:t>
      </w:r>
    </w:p>
    <w:p>
      <w:pPr>
        <w:spacing w:after="0" w:line="178"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each of the fee letters entered into by and among the Borrower and any of the Arrangers (or any of their respective affiliates) and/or the Administrative Agent in connection with this Agreement.</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 or the relevant Loan Party,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Finco</w:t>
      </w:r>
      <w:r>
        <w:rPr>
          <w:rFonts w:ascii="Arial" w:cs="Arial" w:eastAsia="Arial" w:hAnsi="Arial"/>
          <w:sz w:val="18"/>
          <w:szCs w:val="18"/>
          <w:color w:val="auto"/>
        </w:rPr>
        <w:t>” means Upjohn Finance B.V., a wholly owned financing subsidiary of the Borrower.</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Finco Designated Indebtedness</w:t>
      </w:r>
      <w:r>
        <w:rPr>
          <w:rFonts w:ascii="Arial" w:cs="Arial" w:eastAsia="Arial" w:hAnsi="Arial"/>
          <w:sz w:val="18"/>
          <w:szCs w:val="18"/>
          <w:color w:val="auto"/>
        </w:rPr>
        <w:t>” means Indebtedness of Finco issued after the Effective Date and on or prior to the Closing Date, the proceeds of which are used to fund, in full or in part, the Borrower Cash Distribution and related transaction fees and expenses.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 or any successor to its rating agency business.</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Jurisdiction Deposit</w:t>
      </w:r>
      <w:r>
        <w:rPr>
          <w:rFonts w:ascii="Arial" w:cs="Arial" w:eastAsia="Arial" w:hAnsi="Arial"/>
          <w:sz w:val="18"/>
          <w:szCs w:val="18"/>
          <w:color w:val="auto"/>
        </w:rPr>
        <w:t>” means a deposit or Guarantee incurred in the ordinary course of business and required by any Governmental Authority in a foreign jurisdiction as a condition of doing business in such jurisdiction.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resident or organized under the laws of a jurisdiction other than that in which the Borrower is resident for tax purposes.</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resident or organized under the laws of a jurisdiction other than that in which the Borrower is resident, incorporated or organized.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199" w:name="page200"/>
    <w:bookmarkEnd w:id="199"/>
    <w:p>
      <w:pPr>
        <w:ind w:left="4"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left="4"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those set forth in the Financial Accounting Standards Board’s “Accounting Standards Codification” or in such other statements by such other entity as approved by a significant segment of the accounting profession.</w:t>
      </w:r>
    </w:p>
    <w:p>
      <w:pPr>
        <w:spacing w:after="0" w:line="187"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7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The amount of any Guarantee of any guaranteeing person shall be deemed to be the lower of</w:t>
      </w:r>
    </w:p>
    <w:p>
      <w:pPr>
        <w:spacing w:after="0" w:line="6" w:lineRule="exact"/>
        <w:rPr>
          <w:sz w:val="20"/>
          <w:szCs w:val="20"/>
          <w:color w:val="auto"/>
        </w:rPr>
      </w:pPr>
    </w:p>
    <w:p>
      <w:pPr>
        <w:ind w:left="244" w:hanging="244"/>
        <w:spacing w:after="0"/>
        <w:tabs>
          <w:tab w:leader="none" w:pos="24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 amount equal to the stated or determinable amount of the primary obligation, or portion thereof, in respect of which such Guarantee is made and</w:t>
      </w:r>
    </w:p>
    <w:p>
      <w:pPr>
        <w:spacing w:after="0" w:line="32" w:lineRule="exact"/>
        <w:rPr>
          <w:rFonts w:ascii="Arial" w:cs="Arial" w:eastAsia="Arial" w:hAnsi="Arial"/>
          <w:sz w:val="16"/>
          <w:szCs w:val="16"/>
          <w:color w:val="auto"/>
        </w:rPr>
      </w:pPr>
    </w:p>
    <w:p>
      <w:pPr>
        <w:ind w:left="4" w:right="160" w:hanging="4"/>
        <w:spacing w:after="0" w:line="253" w:lineRule="auto"/>
        <w:tabs>
          <w:tab w:leader="none" w:pos="25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maximum amount for which such guaranteeing person may be liable pursuant to the terms of the instrument embodying such Guarantee, unless such primary obligation or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w:t>
      </w:r>
    </w:p>
    <w:p>
      <w:pPr>
        <w:spacing w:after="0" w:line="193" w:lineRule="exact"/>
        <w:rPr>
          <w:sz w:val="20"/>
          <w:szCs w:val="20"/>
          <w:color w:val="auto"/>
        </w:rPr>
      </w:pPr>
    </w:p>
    <w:p>
      <w:pPr>
        <w:ind w:left="4"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means the Guarantee set forth in Article X or other form of guarantee agreement reasonably acceptable to the Administrative Agent and the Borrower.</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from and after the consummation of the Combination, each Affiliate or Subsidiary of the Borrower (including each Mylan Guarantor), if any, that provides a guarantee of the Obligations pursuant to Section 5.09(a) or otherwise.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Joinder Agreement</w:t>
      </w:r>
      <w:r>
        <w:rPr>
          <w:rFonts w:ascii="Arial" w:cs="Arial" w:eastAsia="Arial" w:hAnsi="Arial"/>
          <w:sz w:val="18"/>
          <w:szCs w:val="18"/>
          <w:color w:val="auto"/>
        </w:rPr>
        <w:t>” has the meaning assigned in Section 5.09(a).</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00" w:name="page201"/>
    <w:bookmarkEnd w:id="200"/>
    <w:p>
      <w:pPr>
        <w:jc w:val="both"/>
        <w:ind w:left="4" w:right="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(including infectious or medical wastes) of any nature regulated pursuant to any Environmental Law.</w:t>
      </w:r>
    </w:p>
    <w:p>
      <w:pPr>
        <w:spacing w:after="0" w:line="165"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milestone payments incurred in connection with any investment or series of related investments, any earn-out obligation except to the extent such obligation is no longer contingent and appears as a liability on the balance sheet of such Person in accordance with GAAP and deferred or equity compensation arrangements payable to directors, officers or employees),</w:t>
      </w:r>
    </w:p>
    <w:p>
      <w:pPr>
        <w:spacing w:after="0" w:line="4" w:lineRule="exact"/>
        <w:rPr>
          <w:sz w:val="20"/>
          <w:szCs w:val="20"/>
          <w:color w:val="auto"/>
        </w:rPr>
      </w:pPr>
    </w:p>
    <w:p>
      <w:pPr>
        <w:ind w:left="4" w:right="140" w:hanging="4"/>
        <w:spacing w:after="0" w:line="281" w:lineRule="auto"/>
        <w:tabs>
          <w:tab w:leader="none" w:pos="249"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 but limited to the fair market value of such Property (except to the extent otherwise provided in this definition), (f) all Guarantees by such Person of Indebtedness of others,</w:t>
      </w:r>
    </w:p>
    <w:p>
      <w:pPr>
        <w:spacing w:after="0" w:line="1" w:lineRule="exact"/>
        <w:rPr>
          <w:rFonts w:ascii="Arial" w:cs="Arial" w:eastAsia="Arial" w:hAnsi="Arial"/>
          <w:sz w:val="16"/>
          <w:szCs w:val="16"/>
          <w:color w:val="auto"/>
        </w:rPr>
      </w:pPr>
    </w:p>
    <w:p>
      <w:pPr>
        <w:ind w:left="4" w:hanging="4"/>
        <w:spacing w:after="0" w:line="284" w:lineRule="auto"/>
        <w:tabs>
          <w:tab w:leader="none" w:pos="25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all Capital Lease Obligations of such Person, (h) all obligations, contingent or otherwise, of such Person as an account party in respect of letters of credit and letters of guaranty, (i) all obligations, contingent or otherwise, of such Person in respect of bankers’ acceptances, (j) all obligations of such Person under any Swap Agreement (with the “principal” amount of any Swap Agreement on any date being equal to the early termination value thereof on such date) and (k) all Attributable Receivables Indebtedness. The Indebtedness of any Person shall (i) include the Indebtedness of any other entity (including any partnership in which such Person is a general partner) to the extent such Person is expressly liable therefor as a result of such Person’s ownership interest in or other relationship with such entity and pursuant to contractual arrangements, except to the extent the terms of such Indebtedness provide that such Person is not liable therefor and (ii) exclude (A) customer deposits and advances and interest payable thereon in the ordinary course of business in accordance with customary trade terms and other obligations incurred in the ordinary course of business through credit on an open account basis customarily extended to such Person, (B) obligations under customary overdraft arrangements with banks outside the United States incurred in the ordinary course of business to cover working capital needs and (C) bona fide indemnification, purchase price adjustment, earn-outs, holdback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time of closing, the amount of any such payment is not determinable or is contingent and, to the extent such payment thereafter becomes fixed and determined and no longer contingent, the amount is paid within 60 days thereafter and included as Indebtedness of such Person.</w:t>
      </w:r>
    </w:p>
    <w:p>
      <w:pPr>
        <w:spacing w:after="0" w:line="178" w:lineRule="exact"/>
        <w:rPr>
          <w:sz w:val="20"/>
          <w:szCs w:val="20"/>
          <w:color w:val="auto"/>
        </w:rPr>
      </w:pPr>
    </w:p>
    <w:p>
      <w:pPr>
        <w:ind w:left="4" w:right="4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9.03(b).</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01" w:name="page202"/>
    <w:bookmarkEnd w:id="20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specified in Section 9.12.</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Borrower to convert or continue a Borrowing in accordance with Section 2.03.</w:t>
      </w:r>
    </w:p>
    <w:p>
      <w:pPr>
        <w:spacing w:after="0" w:line="22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Base Rate Loan, the last day of each March, June, September and December, and (b) with respect to any Eurocurrency Loan, the last day of the Interest Period applicable thereto and, in the case of a Eurocurrency Loan with an Interest Period of more than three months’ duration, each day prior to the last day of such Interest Period that occurs at intervals of three months’ duration after the first day of such Interest Period.</w:t>
      </w:r>
    </w:p>
    <w:p>
      <w:pPr>
        <w:spacing w:after="0" w:line="18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Eurocurrency Borrowing, the period commencing on the date of such Borrowing and ending on the numerically corresponding day in the calendar month that is one, two, three or six months thereafter (in each case, subject to availability), or such other period that is twelve months or less requested by the Borrower and that is consented to by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Interest Period would end on a day other than a Business Day, such Interest Period shall be extended to the next succeeding Business Day unless, in the case of a Eurocurrency Borrowing only, such next succeeding Business Day would fall in the next calendar month, in which case such Interest Period shall end on the next preceding Business Day,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Maturity Date. For purposes hereof, the date of a Borrowing initially shall be the date on which such Borrowing is made and thereafter shall be the effective date of the most recent conversion or continuation of such Borrowing.</w:t>
      </w:r>
    </w:p>
    <w:p>
      <w:pPr>
        <w:spacing w:after="0" w:line="185"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Rate</w:t>
      </w:r>
      <w:r>
        <w:rPr>
          <w:rFonts w:ascii="Arial" w:cs="Arial" w:eastAsia="Arial" w:hAnsi="Arial"/>
          <w:sz w:val="16"/>
          <w:szCs w:val="16"/>
          <w:color w:val="auto"/>
        </w:rPr>
        <w:t>” means, at any time and in relation to any Interest Period, the rate per annum determined by the Administrative Agent (which determination shall be conclusive and binding absent manifest error) to be equal to the rate that results from interpolating on a linear basis between:</w:t>
      </w:r>
    </w:p>
    <w:p>
      <w:pPr>
        <w:ind w:left="4" w:hanging="4"/>
        <w:spacing w:after="0" w:line="277" w:lineRule="auto"/>
        <w:tabs>
          <w:tab w:leader="none" w:pos="24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applicable LIBOR Screen Rate for the longest period (for which that LIBOR Screen Rate is available) that is shorter than such Interest Period and (b) the LIBOR Screen Rate for the shortest period (for which that LIBOR Screen Rate is available) that exceeds such Interest Period, in each case, at approximately 11:00 a.m., London time, two Business Days prior to the commencement of such Interest Period.</w:t>
      </w:r>
    </w:p>
    <w:p>
      <w:pPr>
        <w:spacing w:after="0" w:line="173" w:lineRule="exact"/>
        <w:rPr>
          <w:sz w:val="20"/>
          <w:szCs w:val="20"/>
          <w:color w:val="auto"/>
        </w:rPr>
      </w:pPr>
    </w:p>
    <w:p>
      <w:pPr>
        <w:ind w:left="4" w:right="1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as to any Person, any direct or indirect acquisition or investment by such Person, whether by means of (a) the purchase or other acquisition of Equity Interests or debt or other securities of another Person or (b) a loan, advance or capital contribution to, Guarantee of Indebtedness of,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Section 6.05, (i) the amount of any Investment shall be the amount actually invested, without adjustment for subsequent increases or decreases in the value of such Investment, less any amount paid, repaid, returned, distributed or otherwise received in cash in respect of such Investment not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02" w:name="page203"/>
    <w:bookmarkEnd w:id="20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exceed the original amount of such Investment and (ii) in the event the Borrower or any Subsidiary (an “</w:t>
      </w:r>
      <w:r>
        <w:rPr>
          <w:rFonts w:ascii="Arial" w:cs="Arial" w:eastAsia="Arial" w:hAnsi="Arial"/>
          <w:sz w:val="16"/>
          <w:szCs w:val="16"/>
          <w:u w:val="single" w:color="auto"/>
          <w:color w:val="auto"/>
        </w:rPr>
        <w:t>Initial Investing Person</w:t>
      </w:r>
      <w:r>
        <w:rPr>
          <w:rFonts w:ascii="Arial" w:cs="Arial" w:eastAsia="Arial" w:hAnsi="Arial"/>
          <w:sz w:val="16"/>
          <w:szCs w:val="16"/>
          <w:color w:val="auto"/>
        </w:rPr>
        <w:t>”) transfers an amount of cash or other Property (the “</w:t>
      </w:r>
      <w:r>
        <w:rPr>
          <w:rFonts w:ascii="Arial" w:cs="Arial" w:eastAsia="Arial" w:hAnsi="Arial"/>
          <w:sz w:val="16"/>
          <w:szCs w:val="16"/>
          <w:u w:val="single" w:color="auto"/>
          <w:color w:val="auto"/>
        </w:rPr>
        <w:t>Invested Amount</w:t>
      </w:r>
      <w:r>
        <w:rPr>
          <w:rFonts w:ascii="Arial" w:cs="Arial" w:eastAsia="Arial" w:hAnsi="Arial"/>
          <w:sz w:val="16"/>
          <w:szCs w:val="16"/>
          <w:color w:val="auto"/>
        </w:rPr>
        <w:t>”) for purposes of permitting the Borrower or one or more other Subsidiaries to ultimately make an Investment of the Invested Amount in the Borrower, any Subsidiary or any other Person (the Person in which such Investment is ultimately made, the “</w:t>
      </w:r>
      <w:r>
        <w:rPr>
          <w:rFonts w:ascii="Arial" w:cs="Arial" w:eastAsia="Arial" w:hAnsi="Arial"/>
          <w:sz w:val="16"/>
          <w:szCs w:val="16"/>
          <w:u w:val="single" w:color="auto"/>
          <w:color w:val="auto"/>
        </w:rPr>
        <w:t>Subject Person</w:t>
      </w:r>
      <w:r>
        <w:rPr>
          <w:rFonts w:ascii="Arial" w:cs="Arial" w:eastAsia="Arial" w:hAnsi="Arial"/>
          <w:sz w:val="16"/>
          <w:szCs w:val="16"/>
          <w:color w:val="auto"/>
        </w:rPr>
        <w:t>”) through a series of substantially concurrent intermediate transfers of the Invested Amount to the Borrower or one or more other Subsidiaries other than the Subject Person (each an “</w:t>
      </w:r>
      <w:r>
        <w:rPr>
          <w:rFonts w:ascii="Arial" w:cs="Arial" w:eastAsia="Arial" w:hAnsi="Arial"/>
          <w:sz w:val="16"/>
          <w:szCs w:val="16"/>
          <w:u w:val="single" w:color="auto"/>
          <w:color w:val="auto"/>
        </w:rPr>
        <w:t>Intermediate Investing Person</w:t>
      </w:r>
      <w:r>
        <w:rPr>
          <w:rFonts w:ascii="Arial" w:cs="Arial" w:eastAsia="Arial" w:hAnsi="Arial"/>
          <w:sz w:val="16"/>
          <w:szCs w:val="16"/>
          <w:color w:val="auto"/>
        </w:rPr>
        <w:t>”), including through the incurrence or repayment of intercompany Indebtedness, capital contributions or redemptions of Equity Interests, then, for all purposes of Section 6.05, any transfers of the Invested Amount to Intermediate Investing Persons in connection therewith shall be disregarded and such transaction, taken as a whole, shall be deemed to have been solely an Investment of the Invested Amount by the Initial Investing Person in the Subject Person and not an Investment in any Intermediate Investing Person.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laws, statutes, treaties, rules, guidelines, regulations, ordinances, codes and administrative or judicial precedents or authorities.</w:t>
      </w:r>
    </w:p>
    <w:p>
      <w:pPr>
        <w:spacing w:after="0" w:line="170"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means the Persons listed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and any other Person that shall have become a Lender hereunder pursuant to an Assignment and Assumption, other than any such Person that ceases to be a party hereto pursuant to an Assignment and Assumption.</w:t>
      </w:r>
    </w:p>
    <w:p>
      <w:pPr>
        <w:spacing w:after="0" w:line="146"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xml:space="preserve">” means, collectively, the Administrative Agent, the Lenders and each co-agent or sub-agent appointed by the Administrative Agent from time to time pursuant to clause (e)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7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03" w:name="page204"/>
    <w:bookmarkEnd w:id="2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LIBO Rate</w:t>
      </w:r>
      <w:r>
        <w:rPr>
          <w:rFonts w:ascii="Arial" w:cs="Arial" w:eastAsia="Arial" w:hAnsi="Arial"/>
          <w:sz w:val="18"/>
          <w:szCs w:val="18"/>
          <w:color w:val="auto"/>
        </w:rPr>
        <w:t>” means:</w:t>
      </w:r>
    </w:p>
    <w:p>
      <w:pPr>
        <w:spacing w:after="0" w:line="225" w:lineRule="exact"/>
        <w:rPr>
          <w:sz w:val="20"/>
          <w:szCs w:val="20"/>
          <w:color w:val="auto"/>
        </w:rPr>
      </w:pPr>
    </w:p>
    <w:p>
      <w:pPr>
        <w:ind w:firstLine="987"/>
        <w:spacing w:after="0" w:line="272" w:lineRule="auto"/>
        <w:tabs>
          <w:tab w:leader="none" w:pos="137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for any Interest Period with respect to a Eurocurrency Borrowing or Loan, the rate per annum (rounded upwards, if necessary, to the next 1/100 of 1%) equal to the London Interbank Offered Rate (“</w:t>
      </w:r>
      <w:r>
        <w:rPr>
          <w:rFonts w:ascii="Arial" w:cs="Arial" w:eastAsia="Arial" w:hAnsi="Arial"/>
          <w:sz w:val="17"/>
          <w:szCs w:val="17"/>
          <w:u w:val="single" w:color="auto"/>
          <w:color w:val="auto"/>
        </w:rPr>
        <w:t>LIBOR</w:t>
      </w:r>
      <w:r>
        <w:rPr>
          <w:rFonts w:ascii="Arial" w:cs="Arial" w:eastAsia="Arial" w:hAnsi="Arial"/>
          <w:sz w:val="17"/>
          <w:szCs w:val="17"/>
          <w:color w:val="auto"/>
        </w:rPr>
        <w:t xml:space="preserve">”),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rate is not available at such time for any reason (other than as a result of the circumstances set forth in Section 2.07(a) or Section 2.07(b)), then the “LIBO Rate” with respect to such Eurocurrency Loan for such Interest Period shall be the Interpolated Rate; and</w:t>
      </w:r>
    </w:p>
    <w:p>
      <w:pPr>
        <w:spacing w:after="0" w:line="177" w:lineRule="exact"/>
        <w:rPr>
          <w:rFonts w:ascii="Arial" w:cs="Arial" w:eastAsia="Arial" w:hAnsi="Arial"/>
          <w:sz w:val="17"/>
          <w:szCs w:val="17"/>
          <w:color w:val="auto"/>
        </w:rPr>
      </w:pPr>
    </w:p>
    <w:p>
      <w:pPr>
        <w:jc w:val="both"/>
        <w:ind w:right="40" w:firstLine="987"/>
        <w:spacing w:after="0" w:line="263" w:lineRule="auto"/>
        <w:tabs>
          <w:tab w:leader="none" w:pos="138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any rate calculation with respect to a Base Rate Loan on any date, the rate per annum (rounded upwards, if necessary, to the next 1/100 of 1%) equal to LIBOR, at or about 11:00 a.m., London time determined two Business Days prior to such date for Dollar deposits with a term of one month commencing that day;</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LIBOR shall be less than zero, such rate shall be deemed zero for purposes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LIBO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deed of trust, lien, pledge, hypothecation, encumbrance, charge or security interest in, on or of such asset (or any capital lease having substantially the same economic effect as any of the foregoing).</w:t>
      </w:r>
    </w:p>
    <w:p>
      <w:pPr>
        <w:spacing w:after="0" w:line="170"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any Guarantee Agreement, any Guarantor Joinder Agreement, any promissory notes executed and delivered pursuant to Section 2.09(e) and any amendments, waivers, supplements or other modifications to any of the foregoing.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the Guarantors from time to time party hereto, if 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 comprising the Term Loan.</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property or financial condition of the Borrower and its Subsidiaries taken as a whole or (b) the validity or enforceability of this Agreement or any and all other Loan Documents, or the rights and remedies of the Administrative Agent and the Lenders thereunder.</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204" w:name="page205"/>
    <w:bookmarkEnd w:id="20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of any one or more of the Loan Parties and their Subsidiaries in an aggregate principal amount exceeding $250,000,000.</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Guarantor or any Subsidiary (or group of Subsidiaries as to which a specified condition applies) that would be a “significant subsidiary” under Rule 1-02(w) of Regulation S-X.</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date that is eighteen months from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day is not a Business Day, the Maturity Date shall be the Business Day immediately preceding such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MUFG Bank</w:t>
      </w:r>
      <w:r>
        <w:rPr>
          <w:rFonts w:ascii="Arial" w:cs="Arial" w:eastAsia="Arial" w:hAnsi="Arial"/>
          <w:sz w:val="18"/>
          <w:szCs w:val="18"/>
          <w:color w:val="auto"/>
        </w:rPr>
        <w:t>” means MUFG Bank, Ltd. and its permitted successors and assigns.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Guarantors</w:t>
      </w:r>
      <w:r>
        <w:rPr>
          <w:rFonts w:ascii="Arial" w:cs="Arial" w:eastAsia="Arial" w:hAnsi="Arial"/>
          <w:sz w:val="18"/>
          <w:szCs w:val="18"/>
          <w:color w:val="auto"/>
        </w:rPr>
        <w:t>” means each Affiliate or Subsidiary of the Borrower, including Mylan Inc., that, immediately following the consummation of the Combination, is an issuer or guarantor of any Mylan Notes or is otherwise required to provide a guarantee of the Obligations pursuant to Section 5.09(a).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Indentures</w:t>
      </w:r>
      <w:r>
        <w:rPr>
          <w:rFonts w:ascii="Arial" w:cs="Arial" w:eastAsia="Arial" w:hAnsi="Arial"/>
          <w:sz w:val="18"/>
          <w:szCs w:val="18"/>
          <w:color w:val="auto"/>
        </w:rPr>
        <w:t>” means the following:</w:t>
      </w:r>
    </w:p>
    <w:p>
      <w:pPr>
        <w:spacing w:after="0" w:line="225" w:lineRule="exact"/>
        <w:rPr>
          <w:sz w:val="20"/>
          <w:szCs w:val="20"/>
          <w:color w:val="auto"/>
        </w:rPr>
      </w:pPr>
    </w:p>
    <w:p>
      <w:pPr>
        <w:ind w:left="1360" w:hanging="373"/>
        <w:spacing w:after="0"/>
        <w:tabs>
          <w:tab w:leader="none" w:pos="13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Indenture dated as of December 21, 2012, among Mylan Inc., as issuer, the subsidiaries party thereto, and The Bank of New York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Mellon, as trustee;</w:t>
      </w:r>
    </w:p>
    <w:p>
      <w:pPr>
        <w:spacing w:after="0" w:line="210" w:lineRule="exact"/>
        <w:rPr>
          <w:rFonts w:ascii="Arial" w:cs="Arial" w:eastAsia="Arial" w:hAnsi="Arial"/>
          <w:sz w:val="16"/>
          <w:szCs w:val="16"/>
          <w:color w:val="auto"/>
        </w:rPr>
      </w:pPr>
    </w:p>
    <w:p>
      <w:pPr>
        <w:ind w:firstLine="987"/>
        <w:spacing w:after="0" w:line="277" w:lineRule="auto"/>
        <w:tabs>
          <w:tab w:leader="none" w:pos="138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as guarantor, and The Bank of New York Mellon, as trustee, to the indenture dated as of December 21, 2012;</w:t>
      </w:r>
    </w:p>
    <w:p>
      <w:pPr>
        <w:spacing w:after="0" w:line="170" w:lineRule="exact"/>
        <w:rPr>
          <w:rFonts w:ascii="Arial" w:cs="Arial" w:eastAsia="Arial" w:hAnsi="Arial"/>
          <w:sz w:val="18"/>
          <w:szCs w:val="18"/>
          <w:color w:val="auto"/>
        </w:rPr>
      </w:pPr>
    </w:p>
    <w:p>
      <w:pPr>
        <w:ind w:right="220" w:firstLine="987"/>
        <w:spacing w:after="0" w:line="277" w:lineRule="auto"/>
        <w:tabs>
          <w:tab w:leader="none" w:pos="137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as parent, and The Bank of New York Mellon, as trustee, to the indenture dated as of December 21, 2012;</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Indenture dated as of November 29, 2013, by and between Mylan Inc., as issuer, and The Bank of New York Mellon, as trustee;</w:t>
      </w:r>
    </w:p>
    <w:p>
      <w:pPr>
        <w:spacing w:after="0" w:line="248" w:lineRule="exact"/>
        <w:rPr>
          <w:rFonts w:ascii="Arial" w:cs="Arial" w:eastAsia="Arial" w:hAnsi="Arial"/>
          <w:sz w:val="16"/>
          <w:szCs w:val="16"/>
          <w:color w:val="auto"/>
        </w:rPr>
      </w:pPr>
    </w:p>
    <w:p>
      <w:pPr>
        <w:ind w:right="380" w:firstLine="987"/>
        <w:spacing w:after="0" w:line="277" w:lineRule="auto"/>
        <w:tabs>
          <w:tab w:leader="none" w:pos="137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40" w:top="274" w:right="519" w:bottom="1440" w:gutter="0" w:footer="0" w:header="0"/>
        </w:sectPr>
      </w:pPr>
    </w:p>
    <w:bookmarkStart w:id="205" w:name="page206"/>
    <w:bookmarkEnd w:id="205"/>
    <w:p>
      <w:pPr>
        <w:ind w:right="280" w:firstLine="987"/>
        <w:spacing w:after="0" w:line="277" w:lineRule="auto"/>
        <w:tabs>
          <w:tab w:leader="none" w:pos="1351"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 supplemental indenture dated as of February 27, 2015, among Mylan Inc., as issuer, Mylan, as guarantor, and The Bank of New York Mellon, as trustee, to the indenture dated as of November 29, 2013;</w:t>
      </w:r>
    </w:p>
    <w:p>
      <w:pPr>
        <w:spacing w:after="0" w:line="170" w:lineRule="exact"/>
        <w:rPr>
          <w:rFonts w:ascii="Arial" w:cs="Arial" w:eastAsia="Arial" w:hAnsi="Arial"/>
          <w:sz w:val="18"/>
          <w:szCs w:val="18"/>
          <w:color w:val="auto"/>
        </w:rPr>
      </w:pPr>
    </w:p>
    <w:p>
      <w:pPr>
        <w:ind w:right="20" w:firstLine="987"/>
        <w:spacing w:after="0" w:line="277" w:lineRule="auto"/>
        <w:tabs>
          <w:tab w:leader="none" w:pos="137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as parent, and The Bank of New York Mellon, as trustee, to the indenture dated as of November 29, 2013;</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Indenture dated as of December 9, 2015, among Mylan, as issuer, Mylan Inc., as guarantor, and The Bank of New York Mellon,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left="1340" w:hanging="353"/>
        <w:spacing w:after="0"/>
        <w:tabs>
          <w:tab w:leader="none" w:pos="13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Indenture dated as of June 9, 2016, among Mylan, as issuer, Mylan Inc., as guarantor, and The Bank of New York Mellon, as trustee;</w:t>
      </w:r>
    </w:p>
    <w:p>
      <w:pPr>
        <w:spacing w:after="0" w:line="248" w:lineRule="exact"/>
        <w:rPr>
          <w:rFonts w:ascii="Arial" w:cs="Arial" w:eastAsia="Arial" w:hAnsi="Arial"/>
          <w:sz w:val="16"/>
          <w:szCs w:val="16"/>
          <w:color w:val="auto"/>
        </w:rPr>
      </w:pPr>
    </w:p>
    <w:p>
      <w:pPr>
        <w:ind w:left="1340" w:hanging="353"/>
        <w:spacing w:after="0"/>
        <w:tabs>
          <w:tab w:leader="none" w:pos="13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Indenture dated as of November 22, 2016, among Mylan, as issuer, Mylan Inc., as guarantor, and Citibank, N.A., London Branch,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left="1380" w:hanging="393"/>
        <w:spacing w:after="0"/>
        <w:tabs>
          <w:tab w:leader="none" w:pos="138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Indenture dated as of May 24, 2017, among Mylan, as issuer, Mylan Inc., as guarantor, and Citibank, N.A., London Branch,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trustee;</w:t>
      </w:r>
    </w:p>
    <w:p>
      <w:pPr>
        <w:spacing w:after="0" w:line="210" w:lineRule="exact"/>
        <w:rPr>
          <w:rFonts w:ascii="Arial" w:cs="Arial" w:eastAsia="Arial" w:hAnsi="Arial"/>
          <w:sz w:val="17"/>
          <w:szCs w:val="17"/>
          <w:color w:val="auto"/>
        </w:rPr>
      </w:pPr>
    </w:p>
    <w:p>
      <w:pPr>
        <w:ind w:left="1340" w:hanging="353"/>
        <w:spacing w:after="0"/>
        <w:tabs>
          <w:tab w:leader="none" w:pos="13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Indenture dated as of April 9, 2018, by and between Mylan Inc., as issuer, Mylan, as guarantor, and The Bank of New York Mellon,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trustee; and</w:t>
      </w:r>
    </w:p>
    <w:p>
      <w:pPr>
        <w:spacing w:after="0" w:line="210" w:lineRule="exact"/>
        <w:rPr>
          <w:rFonts w:ascii="Arial" w:cs="Arial" w:eastAsia="Arial" w:hAnsi="Arial"/>
          <w:sz w:val="16"/>
          <w:szCs w:val="16"/>
          <w:color w:val="auto"/>
        </w:rPr>
      </w:pPr>
    </w:p>
    <w:p>
      <w:pPr>
        <w:ind w:left="1420" w:hanging="433"/>
        <w:spacing w:after="0"/>
        <w:tabs>
          <w:tab w:leader="none" w:pos="14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Indenture dated as of May 23, 2018, by and between Mylan Inc., as issuer, Mylan, as guarantor, and Citibank, N.A., London Branch,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trustee.</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Notes</w:t>
      </w:r>
      <w:r>
        <w:rPr>
          <w:rFonts w:ascii="Arial" w:cs="Arial" w:eastAsia="Arial" w:hAnsi="Arial"/>
          <w:sz w:val="18"/>
          <w:szCs w:val="18"/>
          <w:color w:val="auto"/>
        </w:rPr>
        <w:t>” means any senior notes issued by Mylan and Mylan Inc., as applicable, under the Mylan Indentures and that remain outstanding upon the consummation of the Combination.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made by such Lender to the Borrower,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indebtedness (including interest accruing during the pendency of any bankruptcy, insolvency, receivership or other similar proceeding, regardless of whether allowed or allowable in such proceeding) and other monetary obligations of any of the Loan Parties to any of the Lenders, their Affiliates and the Administrative Agent, individually or collectively, existing on the Closing Date or arising thereafter (direct or indirect, joint or several, absolute or contingent, matured or unmatured, liquidated or unliquidated, secured or unsecured) arising or incurred under this Agreement or any of the other Loan Documents (including under any of the Loans made or other instruments at any time evidencing any thereof), in each case whether now existing or hereafter arising, whether all such obligations arise or accrue before or after the commencement of any bankruptcy, insolvency or receivership proceedings (and whether or not such claims, interest, costs, expenses or fees are allowed or allowable in any such proceeding).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06" w:name="page207"/>
    <w:bookmarkEnd w:id="2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Countries</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Listed Person</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the greater of (i) the Federal Funds Effective Rate and (ii) an overnight rate as reasonably determined by the Administrative Agent in accordance with banking industry rules on interbank compensation.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Bond Hedge Transaction</w:t>
      </w:r>
      <w:r>
        <w:rPr>
          <w:rFonts w:ascii="Arial" w:cs="Arial" w:eastAsia="Arial" w:hAnsi="Arial"/>
          <w:sz w:val="17"/>
          <w:szCs w:val="17"/>
          <w:color w:val="auto"/>
        </w:rPr>
        <w:t xml:space="preserve">” means (a) any call option or capped call option (or substantively equivalent derivative transaction) on the Borrower’s common stock purchased by the Borrower in connection with an incurrence of Permitted Convertible Indebtedness and (b) any call option or capped call option (or substantively equivalent derivative transaction) replacing or refinancing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sum of (i) the purchase price for any Permitted Bond Hedge Transaction occurring after the Closing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purchase price for any Permitted Bond Hedge Transaction it is refinancing or replacing,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cash proceeds received upon the termination or the retirement of the Permitted Bond Hedge Transaction it is replacing or refinancing, if any, less (y) the sum of (i) the cash proceeds from the sale of the related Permitted Warrant Transaction plus (ii) the cash proceeds from the sale of any Permitted Warrant Transaction refinancing or replacing such related Permitted Warrant Transaction,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amount paid upon termination or retirement of such related Permitted Warrant Transaction, if any, does not exceed the net cash proceeds from the incurrence of the related Permitted Convertible Indebtedness.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07" w:name="page208"/>
    <w:bookmarkEnd w:id="207"/>
    <w:p>
      <w:pPr>
        <w:ind w:right="1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Permitted Convertible Indebtedness</w:t>
      </w:r>
      <w:r>
        <w:rPr>
          <w:rFonts w:ascii="Arial" w:cs="Arial" w:eastAsia="Arial" w:hAnsi="Arial"/>
          <w:sz w:val="18"/>
          <w:szCs w:val="18"/>
          <w:color w:val="auto"/>
        </w:rPr>
        <w:t>” means Indebtedness of the Borrower or any Subsidiary (which may be Guaranteed by the Guarantors) that is (a) convertible into common stock of the Borrower (and cash in lieu of fractional shares) and/or cash (in an amount determined by reference to the price of such common stock) or (b) sold as units with call options, warrants, rights or obligations to purchase (or substantially equivalent derivative transactions) that are exercisable for common stock of the Borrower and/or cash (in an amount determined by reference to the price of such common stock).</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left="1240" w:hanging="381"/>
        <w:spacing w:after="0"/>
        <w:tabs>
          <w:tab w:leader="none" w:pos="124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Liens imposed by law for taxes, assessments or other governmental charges that are not overdue for a period of more than thirty</w:t>
      </w:r>
    </w:p>
    <w:p>
      <w:pPr>
        <w:spacing w:after="0" w:line="34" w:lineRule="exact"/>
        <w:rPr>
          <w:rFonts w:ascii="Arial" w:cs="Arial" w:eastAsia="Arial" w:hAnsi="Arial"/>
          <w:sz w:val="17"/>
          <w:szCs w:val="17"/>
          <w:color w:val="auto"/>
        </w:rPr>
      </w:pPr>
    </w:p>
    <w:p>
      <w:pPr>
        <w:ind w:left="780" w:hanging="344"/>
        <w:spacing w:after="0"/>
        <w:tabs>
          <w:tab w:leader="none" w:pos="7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days or are being contested in compliance with Section 5.04;</w:t>
      </w:r>
    </w:p>
    <w:p>
      <w:pPr>
        <w:spacing w:after="0" w:line="102" w:lineRule="exact"/>
        <w:rPr>
          <w:rFonts w:ascii="Arial" w:cs="Arial" w:eastAsia="Arial" w:hAnsi="Arial"/>
          <w:sz w:val="18"/>
          <w:szCs w:val="18"/>
          <w:color w:val="auto"/>
        </w:rPr>
      </w:pPr>
    </w:p>
    <w:p>
      <w:pPr>
        <w:ind w:left="440" w:right="20" w:firstLine="419"/>
        <w:spacing w:after="0" w:line="263" w:lineRule="auto"/>
        <w:tabs>
          <w:tab w:leader="none" w:pos="125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workmen’s, suppliers’ and other Liens imposed by law, arising in the ordinary course of business and securing obligations that are not overdue by more than sixty (60) days or are being contested in compliance with Section 5.04;</w:t>
      </w:r>
    </w:p>
    <w:p>
      <w:pPr>
        <w:spacing w:after="0" w:line="75" w:lineRule="exact"/>
        <w:rPr>
          <w:rFonts w:ascii="Arial" w:cs="Arial" w:eastAsia="Arial" w:hAnsi="Arial"/>
          <w:sz w:val="18"/>
          <w:szCs w:val="18"/>
          <w:color w:val="auto"/>
        </w:rPr>
      </w:pPr>
    </w:p>
    <w:p>
      <w:pPr>
        <w:ind w:left="440" w:right="20" w:firstLine="419"/>
        <w:spacing w:after="0" w:line="257" w:lineRule="auto"/>
        <w:tabs>
          <w:tab w:leader="none" w:pos="124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(ii)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Borrower or any Subsidiary;</w:t>
      </w:r>
    </w:p>
    <w:p>
      <w:pPr>
        <w:spacing w:after="0" w:line="79" w:lineRule="exact"/>
        <w:rPr>
          <w:rFonts w:ascii="Arial" w:cs="Arial" w:eastAsia="Arial" w:hAnsi="Arial"/>
          <w:sz w:val="18"/>
          <w:szCs w:val="18"/>
          <w:color w:val="auto"/>
        </w:rPr>
      </w:pPr>
    </w:p>
    <w:p>
      <w:pPr>
        <w:jc w:val="both"/>
        <w:ind w:left="440" w:right="120" w:firstLine="419"/>
        <w:spacing w:after="0" w:line="263" w:lineRule="auto"/>
        <w:tabs>
          <w:tab w:leader="none" w:pos="125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Liens or deposits to secure the performance of bids, trade contracts, governmental contracts, tenders, statutory bonds, leases, statutory obligations, surety, stay, customs, appeal and replevin bonds, performance bonds and other obligations of a like nature (including those to secure health, safety and environmental obligations), in each case in the ordinary course of business;</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Liens in respect of judgments, decrees, attachments or awards that do not constitute an Event of Default under clause (k) of Article VII;</w:t>
      </w:r>
    </w:p>
    <w:p>
      <w:pPr>
        <w:spacing w:after="0" w:line="140" w:lineRule="exact"/>
        <w:rPr>
          <w:rFonts w:ascii="Arial" w:cs="Arial" w:eastAsia="Arial" w:hAnsi="Arial"/>
          <w:sz w:val="16"/>
          <w:szCs w:val="16"/>
          <w:color w:val="auto"/>
        </w:rPr>
      </w:pPr>
    </w:p>
    <w:p>
      <w:pPr>
        <w:ind w:left="440" w:right="220" w:firstLine="419"/>
        <w:spacing w:after="0" w:line="311" w:lineRule="auto"/>
        <w:tabs>
          <w:tab w:leader="none" w:pos="1223"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Borrower or any Subsidiary; and</w:t>
      </w:r>
    </w:p>
    <w:p>
      <w:pPr>
        <w:spacing w:after="0" w:line="40" w:lineRule="exact"/>
        <w:rPr>
          <w:rFonts w:ascii="Arial" w:cs="Arial" w:eastAsia="Arial" w:hAnsi="Arial"/>
          <w:sz w:val="16"/>
          <w:szCs w:val="16"/>
          <w:color w:val="auto"/>
        </w:rPr>
      </w:pPr>
    </w:p>
    <w:p>
      <w:pPr>
        <w:ind w:left="440" w:right="260" w:firstLine="419"/>
        <w:spacing w:after="0" w:line="277" w:lineRule="auto"/>
        <w:tabs>
          <w:tab w:leader="none" w:pos="125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licensor or sublicensor under any lease, sub-lease, license or sublicense entered into by the Borrower or any of its Subsidiaries as a part of its business and covering only the assets so leased;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8"/>
          <w:szCs w:val="18"/>
          <w:color w:val="auto"/>
        </w:rPr>
        <w:t xml:space="preserve"> that the term “Permitted Encumbrances” shall not include any Lien securing Indebtedness.</w:t>
      </w:r>
    </w:p>
    <w:p>
      <w:pPr>
        <w:spacing w:after="0" w:line="225"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w:t>
      </w:r>
      <w:r>
        <w:rPr>
          <w:rFonts w:ascii="Arial" w:cs="Arial" w:eastAsia="Arial" w:hAnsi="Arial"/>
          <w:sz w:val="16"/>
          <w:szCs w:val="16"/>
          <w:color w:val="auto"/>
        </w:rPr>
        <w:t>” means any receivables facility or facilities created under the Permitted Receivables Facility Documents from time to time, providing for the sale or pledge by the Borrower and/or one or more other Receivables Sellers of Permitted Receivables Facility Assets (thereby providing financing to the Borrower and the Receivables Sellers) to the Receivables Entity (either directly or through another Receivables Seller), which in turn shall sell or pledge interests in the respective Permitted Receivables Facility Assets to third-party lenders or investors pursuant to the Permitted Receivables Facility Documents (with the Receivables Entity permitted to issue notes or other evidences of Indebtedness secured by Permitted Receivables Facility Assets or investor certificates, purchased interest certificates or other similar documentation evidencing interests in Permitted Receivables Facility Assets) in return for the cash used by the Receivables Entity to purchase Permitted Receivables Facility Assets from the Borrower and/or the respective Receivables Sellers, in each case as more fully set forth in the Permitted Receivables Facility Documents.</w:t>
      </w:r>
    </w:p>
    <w:p>
      <w:pPr>
        <w:spacing w:after="0" w:line="16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Facility Assets</w:t>
      </w:r>
      <w:r>
        <w:rPr>
          <w:rFonts w:ascii="Arial" w:cs="Arial" w:eastAsia="Arial" w:hAnsi="Arial"/>
          <w:sz w:val="18"/>
          <w:szCs w:val="18"/>
          <w:color w:val="auto"/>
        </w:rPr>
        <w:t>” means (i) Receivables (whether now existing or arising in the future) of the Borrower and its Subsidiaries which are transferred or pledged to a Receivables Entity pursuant to the Permitted Receivables Facility and any related Permitted Receivables Related Assets which are also so transferred or pledged to a Receivables Entity and all proceeds thereof and (ii) loans to the Borrower and its Subsidiaries secured by Receivables (whether now existing or arising in the future) of the Borrower and its Subsidiaries which are made pursuant to a Permitted Receivables Facility.</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 Documents</w:t>
      </w:r>
      <w:r>
        <w:rPr>
          <w:rFonts w:ascii="Arial" w:cs="Arial" w:eastAsia="Arial" w:hAnsi="Arial"/>
          <w:sz w:val="16"/>
          <w:szCs w:val="16"/>
          <w:color w:val="auto"/>
        </w:rPr>
        <w:t>” means each of the documents and agreements entered into from time to time in connection with a Permitted Receivables Facility, including all documents and agreements relating to the issuance, funding and/or purchase of certificates and purchased interests, or the issuance of notes or other evidence of Indebtedness secured by such notes, all of which documents and agreements shall be in form and substance reasonably customary for transactions of this type, in each case as such documents and agreements may be amended, modified, supplemented, refinanced or replaced from time to time so long as (in the good faith determination of the Borrower) either (i) the terms as so amended, modified, supplemented, refinanced or replaced are reasonably customary for transactions of this type or (ii)(x) any such amendments, modifications, supplements, refinancings or replacements do not impose any conditions or requirements on the Borrower or any of its Subsidiaries that, taken as a whole, are more restrictive in any material respect than those in existence immediately prior to any such amendment, modification, supplement, refinancing or replacement as determined by the Borrower in good faith and (y) any such amendments, modifications, supplements, refinancings or replacements are not adverse in any material respect to the interests of the Lenders as determined by the Borrower in good faith.</w:t>
      </w:r>
    </w:p>
    <w:p>
      <w:pPr>
        <w:spacing w:after="0" w:line="16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Related Assets</w:t>
      </w:r>
      <w:r>
        <w:rPr>
          <w:rFonts w:ascii="Arial" w:cs="Arial" w:eastAsia="Arial" w:hAnsi="Arial"/>
          <w:sz w:val="18"/>
          <w:szCs w:val="18"/>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09" w:name="page210"/>
    <w:bookmarkEnd w:id="209"/>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means, with respect to any Person, any amendment, modification, refinancing, refunding, renewal, replacement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(in each case, provided that Indebtedness in respect of such existing unutilized commitments is then permitted under Section 6.01) (in each case, it being understood that incurrence of Indebtedness in excess of the principal amount (plus any unpaid accrued interest and premium thereon and other reasonable amounts paid, and fees and expenses reasonably incurred in connection therewith) of the Indebtedness so modified, refinanced, refunded, renewed, replaced or extended (including the amount equal to any existing commitments unutilized thereunder) shall be permitted if such excess amount is then permitted under Section 6.01 and reduces the otherwise permitted Indebtedness under Section 6.01), (b) other than with respect to Permitted Refinancing Indebtedness in respect of Indebtedness permitted pursuant to Section 6.01(d), such modification, refinancing, refunding, renewal, replacement or extension has a final maturity date equal to or later than the earlier of (x) the final maturity date of the Indebtedness so modified, refinanced, refunded, renewed, replaced or extended and (y) the date which is 91 days after the Maturity Date, (c) other than with respect to Permitted Refinancing Indebtedness in respect of Indebtedness permitted pursuant to Section 6.01(d), such modification, refinancing, refunding, renewal, replacement or extension has a Weighted Average Life to Maturity equal to or greater than the shorter of (x) the remaining Weighted Average Life to Maturity of, the Indebtedness being modified, refinanced, refunded, renewed, replaced or extended and (y) the Weighted Average Life to Maturity of the portion of such Indebtedness being modified, refinanced, refunded, renewed, replaced or extended that matures on or prior to the Maturity Date and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Borrower) as those contained in the documentation governing the Indebtedness being modified, refinanced, refunded, renewed, replaced or extended.</w:t>
      </w:r>
    </w:p>
    <w:p>
      <w:pPr>
        <w:spacing w:after="0" w:line="180"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Warrant Transaction</w:t>
      </w:r>
      <w:r>
        <w:rPr>
          <w:rFonts w:ascii="Arial" w:cs="Arial" w:eastAsia="Arial" w:hAnsi="Arial"/>
          <w:sz w:val="16"/>
          <w:szCs w:val="16"/>
          <w:color w:val="auto"/>
        </w:rPr>
        <w:t>” means any call options, warrants or rights to purchase (or substantively equivalent derivative transactions) on common stock of the Borrower purchased by the Borrower substantially concurrently with a Permitted Bond Hedge Transaction.</w:t>
      </w:r>
    </w:p>
    <w:p>
      <w:pPr>
        <w:spacing w:after="0" w:line="12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Pfizer</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Pfizer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10" w:name="page211"/>
    <w:bookmarkEnd w:id="21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Post-Acquisition Period</w:t>
      </w:r>
      <w:r>
        <w:rPr>
          <w:rFonts w:ascii="Arial" w:cs="Arial" w:eastAsia="Arial" w:hAnsi="Arial"/>
          <w:sz w:val="18"/>
          <w:szCs w:val="18"/>
          <w:color w:val="auto"/>
        </w:rPr>
        <w:t>” means, with respect to (a) the Combination Transactions, the period beginning on the Closing Date and ending on the two-year anniversary of the Closing Date and (b) any other acquisition, the period beginning on the date such acquisition is consummated and ending on the one-year anniversary of the date on which such acquisition is consummated.</w:t>
      </w:r>
    </w:p>
    <w:p>
      <w:pPr>
        <w:spacing w:after="0" w:line="184"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xml:space="preserve">” means the rate of interest quoted in the print edition of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Money Rates Section or another national publication selected by the Administrative Agent as the Prime Rate (currently defined as the base rate on corporate loans posted by at least 75% of the nation’s thirty</w:t>
      </w:r>
    </w:p>
    <w:p>
      <w:pPr>
        <w:ind w:left="4" w:right="200" w:hanging="4"/>
        <w:spacing w:after="0" w:line="255" w:lineRule="auto"/>
        <w:tabs>
          <w:tab w:leader="none" w:pos="34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largest banks), as in effect from time to time. The Prime Rate is a reference rate and does not necessarily represent the lowest or best rate actually charged to any customer. The Administrative Agent or any other Lender may make commercial loans or other loans at rates of interest at, above or below the Prime Rate.</w:t>
      </w:r>
    </w:p>
    <w:p>
      <w:pPr>
        <w:spacing w:after="0" w:line="190"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Adjustment</w:t>
      </w:r>
      <w:r>
        <w:rPr>
          <w:rFonts w:ascii="Arial" w:cs="Arial" w:eastAsia="Arial" w:hAnsi="Arial"/>
          <w:sz w:val="17"/>
          <w:szCs w:val="17"/>
          <w:color w:val="auto"/>
        </w:rPr>
        <w:t xml:space="preserve">” means, for any applicable period of measurement that includes all or any part of a fiscal quarter included in the Post-Acquisition Period, with respect to the Consolidated EBITDA of the applicable Acquired Entity or Business or the Consolidated EBITDA of the Borrower, the pro forma increase or decrease in such Consolidated EBITDA, projected by the Borrower in good faith as a result of (a) actions that have been taken during such Post-Acquisition Period for the purposes of realizing reasonably identifiable and factually supportable cost savings or (b) any additional costs incurred during such Post-Acquisition Period, in each case in connection with the combination of the operations of such Acquired Entity or Business with the operations of the Borrower and its Subsidiaries and, in each case, which are expected to have a continuing impact on the consolidated financial results of the Borrower, calculated assuming that such actions had been taken on, or such costs had been incurred since, the first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pro forma increase or decrease to such Consolidated EBITDA shall be without duplication for cost savings or additional costs already included in such Consolidated EBITDA for such period of measurement.</w:t>
      </w:r>
    </w:p>
    <w:p>
      <w:pPr>
        <w:spacing w:after="0" w:line="181" w:lineRule="exact"/>
        <w:rPr>
          <w:sz w:val="20"/>
          <w:szCs w:val="20"/>
          <w:color w:val="auto"/>
        </w:rPr>
      </w:pPr>
    </w:p>
    <w:p>
      <w:pPr>
        <w:ind w:left="4" w:right="14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xml:space="preserve">” means with respect to compliance with any test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Equity Interests in any Subsidiary of the Borrower owned by the Borrower or any of its Subsidiaries or any division, product line, or facility used for operations of the Borrower or any of its Subsidiaries, shall be excluded, and (ii) in the case of an acquisition or Investment described in the definition of “Specified Transaction,” shall be included, (b) any retirement of Indebtedness and (c) any Indebtedness incurred or assumed by the Borrower or any of the Subsidiaries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application of the Pro Forma Adjustment pursuant to clause (A) above (but without duplication thereof), the foregoing pro forma adjustments may be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211" w:name="page212"/>
    <w:bookmarkEnd w:id="211"/>
    <w:p>
      <w:pPr>
        <w:jc w:val="both"/>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applied to any such test or covenant solely to the extent that such adjustments are (x) consistent with the definition of Consolidated EBITDA and give effect to events (including operating expense reductions) that are in the good faith determination of the Borrower reasonably identifiable and factually supportable and (y) expected to have a continuing impact on the consolidated financial results of the Borrower and its Subsidiaries.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Prohibition</w:t>
      </w:r>
      <w:r>
        <w:rPr>
          <w:rFonts w:ascii="Arial" w:cs="Arial" w:eastAsia="Arial" w:hAnsi="Arial"/>
          <w:sz w:val="18"/>
          <w:szCs w:val="18"/>
          <w:color w:val="auto"/>
        </w:rPr>
        <w:t>” has the meaning assigned in Section 10.01.</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Equity Interests.</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assigned in Section 5.01.</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Acquisition</w:t>
      </w:r>
      <w:r>
        <w:rPr>
          <w:rFonts w:ascii="Arial" w:cs="Arial" w:eastAsia="Arial" w:hAnsi="Arial"/>
          <w:sz w:val="17"/>
          <w:szCs w:val="17"/>
          <w:color w:val="auto"/>
        </w:rPr>
        <w:t>” means the acquisition by the Borrower or a Subsidiary of an Acquired Entity or Business which acquisition has been designated to the Lenders by a Responsible Officer of the Borrower as a “Qualified Acquisition” so long as, on a Pro Forma Basis, the Consolidated Leverage Ratio as of the last day of the most recently completed Test Period (for which financial statements have been delivered pursuant to Section 5.01(a) or (b)) prior to such acquisition would be at least 3.25 to 1.0; provided that no such designation may be made with respect to any acquisition prior to the end of the fourth full fiscal quarter following the completion of the most recently consummated Qualified Acquisition unless the Consolidated Leverage Ratio as of the last day of the most recently completed Test Period (for which financial statements have been delivered pursuant to Section 5.01(a) or (b)) prior to the consummation of such acquisition was no greater than 3.0 to 1.0.</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Borrower other than Disqualified Equity Interests.</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all accounts receivable (including all rights to payment created by or arising from sales of goods, leases of goods or the rendition of services rendered no matter how evidenced whether or not earned by performance).</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Entity</w:t>
      </w:r>
      <w:r>
        <w:rPr>
          <w:rFonts w:ascii="Arial" w:cs="Arial" w:eastAsia="Arial" w:hAnsi="Arial"/>
          <w:sz w:val="17"/>
          <w:szCs w:val="17"/>
          <w:color w:val="auto"/>
        </w:rPr>
        <w:t>” means a wholly owned Subsidiary of the Borrower which engages in no activities other than in connection with the financing of Receivables of the Receivables Sellers and which is designated (as provided below) as a “Receivables Entity”.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spacing w:after="0" w:line="17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Sellers</w:t>
      </w:r>
      <w:r>
        <w:rPr>
          <w:rFonts w:ascii="Arial" w:cs="Arial" w:eastAsia="Arial" w:hAnsi="Arial"/>
          <w:sz w:val="18"/>
          <w:szCs w:val="18"/>
          <w:color w:val="auto"/>
        </w:rPr>
        <w:t>” means the Borrower and those Subsidiaries (other than Receivables Entities) that are from time to time party to the Permitted Receivables Facility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and any Lender,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9.04(c).</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40" w:top="274" w:right="539" w:bottom="1440" w:gutter="0" w:footer="0" w:header="0"/>
        </w:sectPr>
      </w:pPr>
    </w:p>
    <w:bookmarkStart w:id="212" w:name="page213"/>
    <w:bookmarkEnd w:id="2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 of 1933, as amended.</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administrators of such Person and of such Person’s Affiliates.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set forth in clause (f)(ii)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with Term Commitment or Loans, as the case may be, aggregating more than 50% of the aggregate principal amount of all Term Commitments or Loans, as the case may be, outstanding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Commitment or Loans, as the case may be, of any Defaulting Lender shall be excluded for purposes of making a determination of Required Lenders.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set forth in clause (f)(i)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(a) the chief executive officer, executive director, president, vice president, chief financial officer, treasurer, assistant treasurer or controller of the Borrower or another Loan Party, as context shall require, and (b) solely for purposes of notices given pursuant to Article II,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or another Loan Party shall be conclusively presumed to have been authorized by all necessary corporate, partnership and/or other action on the part of the Borrower or such Loan Party and such Responsible Officer shall be conclusively presumed to have acted on behalf of the Borrower or such Loan Party.</w:t>
      </w:r>
    </w:p>
    <w:p>
      <w:pPr>
        <w:spacing w:after="0" w:line="17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means, for any Person, any amount of cash of such Person that is contractually required to be set aside, segregated or otherwise reserved.</w:t>
      </w:r>
    </w:p>
    <w:p>
      <w:pPr>
        <w:spacing w:after="0" w:line="170" w:lineRule="exact"/>
        <w:rPr>
          <w:sz w:val="20"/>
          <w:szCs w:val="20"/>
          <w:color w:val="auto"/>
        </w:rPr>
      </w:pPr>
    </w:p>
    <w:p>
      <w:pPr>
        <w:ind w:right="4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Payments</w:t>
      </w:r>
      <w:r>
        <w:rPr>
          <w:rFonts w:ascii="Arial" w:cs="Arial" w:eastAsia="Arial" w:hAnsi="Arial"/>
          <w:sz w:val="16"/>
          <w:szCs w:val="16"/>
          <w:color w:val="auto"/>
        </w:rPr>
        <w:t>” means any dividend or other distribution (whether in cash, securities or other property (other than Qualified Equity Interests)), with respect to any Equity Interests in the Borrower, or any payment (whether in cash, securities or other property (other than Qualified Equity Interests)),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5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means that certain Revolving Credit Agreement dated as of the date hereof, among the Borrower, certain Affiliates and Subsidiaries of the Borrower from time to time party thereto, each lender from time to time party thereto, each issuing bank from time to time party thereto and Bank of America, N.A., as administrative agent thereunder.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213" w:name="page214"/>
    <w:bookmarkEnd w:id="2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immediately available funds.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any successor thereto and any analogous Governmental Authority succeeding to any of its principal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SOFR-Based Rate</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become absolute and matured and (d) such Person is not engaged in any business, as conducted on such date and as proposed to be conducted following such date,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currency</w:t>
      </w:r>
      <w:r>
        <w:rPr>
          <w:rFonts w:ascii="Arial" w:cs="Arial" w:eastAsia="Arial" w:hAnsi="Arial"/>
          <w:sz w:val="18"/>
          <w:szCs w:val="18"/>
          <w:color w:val="auto"/>
        </w:rPr>
        <w:t>” has the meaning assigned in Section 2.19.</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the representations and warranties with respect to the Borrower made by the Borrower set forth in the following sections of this Agreement:</w:t>
      </w:r>
    </w:p>
    <w:p>
      <w:pPr>
        <w:spacing w:after="0" w:line="170" w:lineRule="exact"/>
        <w:rPr>
          <w:sz w:val="20"/>
          <w:szCs w:val="20"/>
          <w:color w:val="auto"/>
        </w:rPr>
      </w:pPr>
    </w:p>
    <w:p>
      <w:pPr>
        <w:ind w:left="1360" w:hanging="373"/>
        <w:spacing w:after="0"/>
        <w:tabs>
          <w:tab w:leader="none" w:pos="1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Section 3.01(with respect to the incorporation or formation and status of the Borrower);</w:t>
      </w:r>
    </w:p>
    <w:p>
      <w:pPr>
        <w:spacing w:after="0" w:line="225" w:lineRule="exact"/>
        <w:rPr>
          <w:rFonts w:ascii="Arial" w:cs="Arial" w:eastAsia="Arial" w:hAnsi="Arial"/>
          <w:sz w:val="18"/>
          <w:szCs w:val="18"/>
          <w:color w:val="auto"/>
        </w:rPr>
      </w:pPr>
    </w:p>
    <w:p>
      <w:pPr>
        <w:ind w:right="80" w:firstLine="987"/>
        <w:spacing w:after="0" w:line="277" w:lineRule="auto"/>
        <w:tabs>
          <w:tab w:leader="none" w:pos="138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Section 3.02 (in the case of the first sentence of Section 3.02, with respect to the organizational power and authority of the Borrower to enter into, deliver and perform this Agreement and the other Loan Documents);</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Section 3.03(b)(i);</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Section 3.03(b)(ii);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14" w:name="page215"/>
    <w:bookmarkEnd w:id="214"/>
    <w:p>
      <w:pPr>
        <w:ind w:firstLine="987"/>
        <w:spacing w:after="0" w:line="259" w:lineRule="auto"/>
        <w:tabs>
          <w:tab w:leader="none" w:pos="1371"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3.03(c) (with respect to any indenture, agreement or other instrument binding on the Borrower or its assets with respect to indebtedness for borrowed money of the Borrower or its subsidiaries (after giving effect to the Combination Transactions) in a committed or outstanding principal amount of $500 million or more,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representation and warranty shall not be subject to the Material Adverse Effect proviso to Section 3.03);</w:t>
      </w:r>
    </w:p>
    <w:p>
      <w:pPr>
        <w:spacing w:after="0" w:line="186" w:lineRule="exact"/>
        <w:rPr>
          <w:rFonts w:ascii="Arial" w:cs="Arial" w:eastAsia="Arial" w:hAnsi="Arial"/>
          <w:sz w:val="18"/>
          <w:szCs w:val="18"/>
          <w:color w:val="auto"/>
        </w:rPr>
      </w:pPr>
    </w:p>
    <w:p>
      <w:pPr>
        <w:ind w:left="1340" w:hanging="353"/>
        <w:spacing w:after="0"/>
        <w:tabs>
          <w:tab w:leader="none" w:pos="1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Section 3.08;</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Section 3.10(a);</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Section 3.13;</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Section 3.14 (with respect to the second sentence of Section 3.14 only); and</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Section 3.15(b).</w:t>
      </w:r>
    </w:p>
    <w:p>
      <w:pPr>
        <w:spacing w:after="0" w:line="22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means, with respect to any Test Period, any of the following events occurring after the first day of such Test Period and prior to the applicable date of determination: (i) any Investment by the Borrower or any Subsidiary in any Person (including in connection with any acquisition) other than a Person that was a wholly-owned Subsidiary on the first day of such period involving consideration paid by the Borrower or such Subsidiary in excess of $50,000,000, (ii) any disposition outside the ordinary course of business of assets by the Borrower or any Subsidiary with a fair market value in excess of $50,000,000, (iii) any incurrence or repayment of Indebtedness (in each case, other than borrowings and repayments of Indebtedness in the ordinary course of business under revolving credit facilities except to the extent there is a reduction in the related revolving credit commitment) and (iv) any Restricted Payment involving consideration paid by the Borrower or any Subsidiary in excess of $50,000,000.</w:t>
      </w:r>
    </w:p>
    <w:p>
      <w:pPr>
        <w:spacing w:after="0" w:line="16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“parent”) at any date, any corporation, limited liability company, partnership, association or other entity of which securities or other ownership interests representing more than 50% of the ordinary voting power for the election of directors or other governing body are at the time beneficially owned, directly or indirectly, by the parent or one or more subsidiaries of the parent or by the parent and one or more subsidiaries of the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15" w:name="page216"/>
    <w:bookmarkEnd w:id="215"/>
    <w:p>
      <w:pPr>
        <w:ind w:right="2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has the meaning assigned in Section 2.07.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the period of four fiscal quarters of the Borrower ending on a specified date.</w:t>
      </w:r>
    </w:p>
    <w:p>
      <w:pPr>
        <w:spacing w:after="0" w:line="22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Commitment</w:t>
      </w:r>
      <w:r>
        <w:rPr>
          <w:rFonts w:ascii="Arial" w:cs="Arial" w:eastAsia="Arial" w:hAnsi="Arial"/>
          <w:sz w:val="16"/>
          <w:szCs w:val="16"/>
          <w:color w:val="auto"/>
        </w:rPr>
        <w:t xml:space="preserve">” means, with respect to each Lender, the commitment, if any, of such Lender on or prior to the Closing Date to make the Term Loan to the Borrower hereunder in an aggregate principal amount equal to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as such commitment may be reduced or increased from time to time pursuant to assignments by or to such Lender pursuant to Section 9.04 of this Agreement. The initial amount of each Lender’s Term Commitment is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to which such Lender becomes a party hereto, as applicable. The aggregate amount of the Lenders’ Term Commitments on the Closing Date is $600,000,000.</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has the meaning set forth in Section 2.01.</w:t>
      </w:r>
    </w:p>
    <w:p>
      <w:pPr>
        <w:spacing w:after="0" w:line="225" w:lineRule="exact"/>
        <w:rPr>
          <w:sz w:val="20"/>
          <w:szCs w:val="20"/>
          <w:color w:val="auto"/>
        </w:rPr>
      </w:pPr>
    </w:p>
    <w:p>
      <w:pPr>
        <w:ind w:right="5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xml:space="preserve">” means the execution, delivery and performance by the Loan Parties of this Agreement and the other Loan Documents, the borrowing of the Term Loan hereunder, the use of the proceeds thereof and the payment of fees and expenses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the consummation of the Combination, “Transactions” shall also include the Combination Transactions and the payment of fees and expenses related thereto.</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Indebtedness</w:t>
      </w:r>
      <w:r>
        <w:rPr>
          <w:rFonts w:ascii="Arial" w:cs="Arial" w:eastAsia="Arial" w:hAnsi="Arial"/>
          <w:sz w:val="18"/>
          <w:szCs w:val="18"/>
          <w:color w:val="auto"/>
        </w:rPr>
        <w:t>” has the meaning assigned in Section 5.09(a).</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Eurocurrency or the Base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w:t>
      </w:r>
      <w:r>
        <w:rPr>
          <w:rFonts w:ascii="Arial" w:cs="Arial" w:eastAsia="Arial" w:hAnsi="Arial"/>
          <w:sz w:val="18"/>
          <w:szCs w:val="18"/>
          <w:color w:val="auto"/>
        </w:rPr>
        <w:t>” and “</w:t>
      </w:r>
      <w:r>
        <w:rPr>
          <w:rFonts w:ascii="Arial" w:cs="Arial" w:eastAsia="Arial" w:hAnsi="Arial"/>
          <w:sz w:val="18"/>
          <w:szCs w:val="18"/>
          <w:u w:val="single" w:color="auto"/>
          <w:color w:val="auto"/>
        </w:rPr>
        <w:t>United Kingdom</w:t>
      </w:r>
      <w:r>
        <w:rPr>
          <w:rFonts w:ascii="Arial" w:cs="Arial" w:eastAsia="Arial" w:hAnsi="Arial"/>
          <w:sz w:val="18"/>
          <w:szCs w:val="18"/>
          <w:color w:val="auto"/>
        </w:rPr>
        <w:t>” each mean the United Kingdom of Great Britain and Northern Ireland.</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set forth in Section 2.16(e).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216" w:name="page217"/>
    <w:bookmarkEnd w:id="2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cash other than Restricted Cash.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Upjohn Business</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when applied to any Indebtedness at any date, the number of years obtained by dividing (a) the then outstanding aggregate principal amount of such Indebtedness into (b) the sum of the total of the products obtained by multiplying (i) the amount of each then remaining scheduled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15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w:t>
      </w:r>
      <w:r>
        <w:rPr>
          <w:rFonts w:ascii="Arial" w:cs="Arial" w:eastAsia="Arial" w:hAnsi="Arial"/>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84"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and Borrowings may be classified and referred to by Type (e.g., a “Eurocurrency Loan”).</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refinanced, restated, replaced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217" w:name="page218"/>
    <w:bookmarkEnd w:id="2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30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Accounting Terms; GAAP</w:t>
      </w:r>
      <w:r>
        <w:rPr>
          <w:rFonts w:ascii="Arial" w:cs="Arial" w:eastAsia="Arial" w:hAnsi="Arial"/>
          <w:sz w:val="16"/>
          <w:szCs w:val="16"/>
          <w:color w:val="auto"/>
        </w:rPr>
        <w:t>.</w:t>
      </w:r>
    </w:p>
    <w:p>
      <w:pPr>
        <w:spacing w:after="0" w:line="117" w:lineRule="exact"/>
        <w:rPr>
          <w:sz w:val="20"/>
          <w:szCs w:val="20"/>
          <w:color w:val="auto"/>
        </w:rPr>
      </w:pPr>
    </w:p>
    <w:p>
      <w:pPr>
        <w:ind w:right="60" w:firstLine="987"/>
        <w:spacing w:after="0" w:line="269" w:lineRule="auto"/>
        <w:tabs>
          <w:tab w:leader="none" w:pos="137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GAAP to the contrary, for purposes of all financial calculations hereunder, the amount of any Indebtedness outstanding at any time shall be the stated principal amount thereof (except to the extent such Indebtedness provides by its terms for the accretion of principal, in which case the amount of such Indebtedness at any time shall be its accreted amount at such time).</w:t>
      </w:r>
    </w:p>
    <w:p>
      <w:pPr>
        <w:spacing w:after="0" w:line="185" w:lineRule="exact"/>
        <w:rPr>
          <w:rFonts w:ascii="Arial" w:cs="Arial" w:eastAsia="Arial" w:hAnsi="Arial"/>
          <w:sz w:val="17"/>
          <w:szCs w:val="17"/>
          <w:color w:val="auto"/>
        </w:rPr>
      </w:pPr>
    </w:p>
    <w:p>
      <w:pPr>
        <w:ind w:firstLine="987"/>
        <w:spacing w:after="0" w:line="263" w:lineRule="auto"/>
        <w:tabs>
          <w:tab w:leader="none" w:pos="138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or the compliance with or availability of any basket contained in this Agreement, the Consolidated Leverage Ratio, Consolidated Total Assets and Consolidated Net Tangible Assets shall be calculated with respect to such period on a Pro Forma Basis.</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Payments on Business Days</w:t>
      </w:r>
      <w:r>
        <w:rPr>
          <w:rFonts w:ascii="Arial" w:cs="Arial" w:eastAsia="Arial" w:hAnsi="Arial"/>
          <w:sz w:val="17"/>
          <w:szCs w:val="17"/>
          <w:color w:val="auto"/>
        </w:rPr>
        <w:t>.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provided that, with respect to any payment of interest on or principal of Eurocurrency Loans, if such extension would cause any such payment to be made in the next succeeding calendar month, such payment shall be made on the immediately preceding Business Day.</w:t>
      </w:r>
    </w:p>
    <w:p>
      <w:pPr>
        <w:spacing w:after="0" w:line="176"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Rounding</w:t>
      </w:r>
      <w:r>
        <w:rPr>
          <w:rFonts w:ascii="Arial" w:cs="Arial" w:eastAsia="Arial" w:hAnsi="Arial"/>
          <w:sz w:val="16"/>
          <w:szCs w:val="16"/>
          <w:color w:val="auto"/>
        </w:rPr>
        <w:t>. Any financial ratios required to be maintained by the Borrower and its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218" w:name="page219"/>
    <w:bookmarkEnd w:id="21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1.07 </w:t>
      </w:r>
      <w:r>
        <w:rPr>
          <w:rFonts w:ascii="Arial" w:cs="Arial" w:eastAsia="Arial" w:hAnsi="Arial"/>
          <w:sz w:val="17"/>
          <w:szCs w:val="17"/>
          <w:u w:val="single" w:color="auto"/>
          <w:color w:val="auto"/>
        </w:rPr>
        <w:t>Divisions</w:t>
      </w:r>
      <w:r>
        <w:rPr>
          <w:rFonts w:ascii="Arial" w:cs="Arial" w:eastAsia="Arial" w:hAnsi="Arial"/>
          <w:sz w:val="17"/>
          <w:szCs w:val="17"/>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Any reference herein and in the Loan Documents to a merger, transfer, consolidation, amalgamation, consolidation, assignment, sale, disposition or transfer, or similar term, shall be deemed to apply to a division or plan of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LIBO Rate</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the rates in the definition of “LIBO Rate” or with respect to any rate that is an alternative or replacement for or successor to any of such rate (including any LIBOR Successor Rate) or the effect of any of the foregoing, or of any LIBOR Successor Rate Conforming Changes.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Term Commitments</w:t>
      </w:r>
      <w:r>
        <w:rPr>
          <w:rFonts w:ascii="Arial" w:cs="Arial" w:eastAsia="Arial" w:hAnsi="Arial"/>
          <w:sz w:val="16"/>
          <w:szCs w:val="16"/>
          <w:color w:val="auto"/>
        </w:rPr>
        <w:t>.</w:t>
      </w:r>
    </w:p>
    <w:p>
      <w:pPr>
        <w:spacing w:after="0" w:line="11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Subject to the terms and conditions set forth herein, each Lender severally agrees to make a single loan to the Borrower on the Closing Date in Dollars in an amount not to exceed such Lender’s Term Commitment (collectively, the “</w:t>
      </w:r>
      <w:r>
        <w:rPr>
          <w:rFonts w:ascii="Arial" w:cs="Arial" w:eastAsia="Arial" w:hAnsi="Arial"/>
          <w:sz w:val="18"/>
          <w:szCs w:val="18"/>
          <w:u w:val="single" w:color="auto"/>
          <w:color w:val="auto"/>
        </w:rPr>
        <w:t>Term Loan</w:t>
      </w:r>
      <w:r>
        <w:rPr>
          <w:rFonts w:ascii="Arial" w:cs="Arial" w:eastAsia="Arial" w:hAnsi="Arial"/>
          <w:sz w:val="18"/>
          <w:szCs w:val="18"/>
          <w:color w:val="auto"/>
        </w:rPr>
        <w:t>”). The borrowing on the Closing Date shall consist of Loans made simultaneously by the Lenders in accordance with their respective Term Commitments. Amounts borrowed under this Section 2.01 and repaid or prepaid may not be reborrowed. The Loans may, from time to time, be Base Rate Loans, Eurocurrency Loans, or a combination thereof, as further provided herein.</w:t>
      </w:r>
    </w:p>
    <w:p>
      <w:pPr>
        <w:spacing w:after="0" w:line="29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Loan and Borrowings</w:t>
      </w:r>
      <w:r>
        <w:rPr>
          <w:rFonts w:ascii="Arial" w:cs="Arial" w:eastAsia="Arial" w:hAnsi="Arial"/>
          <w:sz w:val="16"/>
          <w:szCs w:val="16"/>
          <w:color w:val="auto"/>
        </w:rPr>
        <w:t>.</w:t>
      </w:r>
    </w:p>
    <w:p>
      <w:pPr>
        <w:spacing w:after="0" w:line="117" w:lineRule="exact"/>
        <w:rPr>
          <w:sz w:val="20"/>
          <w:szCs w:val="20"/>
          <w:color w:val="auto"/>
        </w:rPr>
      </w:pPr>
    </w:p>
    <w:p>
      <w:pPr>
        <w:ind w:right="180" w:firstLine="987"/>
        <w:spacing w:after="0" w:line="277" w:lineRule="auto"/>
        <w:tabs>
          <w:tab w:leader="none" w:pos="136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funding of the Term Loan on the Closing Date shall be made as part of a Borrowing consisting of Loans funded by the Lenders ratably in accordance with their respective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219" w:name="page220"/>
    <w:bookmarkEnd w:id="21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Term Commitments. The failure of any Lender to make the portion of the Term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Commitments of the Lenders are several and no Lender shall be responsible for any other Lender’s failure to fund the Term Loan as required.</w:t>
      </w:r>
    </w:p>
    <w:p>
      <w:pPr>
        <w:spacing w:after="0" w:line="184" w:lineRule="exact"/>
        <w:rPr>
          <w:sz w:val="20"/>
          <w:szCs w:val="20"/>
          <w:color w:val="auto"/>
        </w:rPr>
      </w:pPr>
    </w:p>
    <w:p>
      <w:pPr>
        <w:ind w:firstLine="987"/>
        <w:spacing w:after="0" w:line="259" w:lineRule="auto"/>
        <w:tabs>
          <w:tab w:leader="none" w:pos="138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Subject to Section 2.13, each Borrowing shall be comprised entirely of Base Rate Loans or Eurocurrency Loans as the Borrower may request in accordance herewith. Each Lender at its option may make any Eurocurrency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86" w:lineRule="exact"/>
        <w:rPr>
          <w:rFonts w:ascii="Arial" w:cs="Arial" w:eastAsia="Arial" w:hAnsi="Arial"/>
          <w:sz w:val="18"/>
          <w:szCs w:val="18"/>
          <w:color w:val="auto"/>
        </w:rPr>
      </w:pPr>
    </w:p>
    <w:p>
      <w:pPr>
        <w:ind w:right="60" w:firstLine="987"/>
        <w:spacing w:after="0" w:line="257" w:lineRule="auto"/>
        <w:tabs>
          <w:tab w:leader="none" w:pos="137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Each Borrowing of, conversion to or continuation of Eurocurrency Loans shall be in an aggregate amount that is an integral multiple of the Borrowing Multiple (or, if not an integral multiple, the entire available amount) and not less than the Borrowing Minimum. Each Borrowing of, conversion to or continuation of Base Rate Loans shall be in an aggregate amount that is an integral multiple of $1,000,000 and not less than $1,000,000. Borrowings of more than one Type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twenty (20) Eurocurrency Borrowings outstanding.</w:t>
      </w:r>
    </w:p>
    <w:p>
      <w:pPr>
        <w:spacing w:after="0" w:line="187" w:lineRule="exact"/>
        <w:rPr>
          <w:rFonts w:ascii="Arial" w:cs="Arial" w:eastAsia="Arial" w:hAnsi="Arial"/>
          <w:sz w:val="18"/>
          <w:szCs w:val="18"/>
          <w:color w:val="auto"/>
        </w:rPr>
      </w:pPr>
    </w:p>
    <w:p>
      <w:pPr>
        <w:ind w:right="580" w:firstLine="987"/>
        <w:spacing w:after="0" w:line="277" w:lineRule="auto"/>
        <w:tabs>
          <w:tab w:leader="none" w:pos="138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would end after the Maturity Date.</w:t>
      </w:r>
    </w:p>
    <w:p>
      <w:pPr>
        <w:spacing w:after="0" w:line="170"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Borrowings</w:t>
      </w:r>
      <w:r>
        <w:rPr>
          <w:rFonts w:ascii="Arial" w:cs="Arial" w:eastAsia="Arial" w:hAnsi="Arial"/>
          <w:sz w:val="17"/>
          <w:szCs w:val="17"/>
          <w:color w:val="auto"/>
        </w:rPr>
        <w:t>. To request a Borrowing of the Term Loan on the Closing Date, a conversion of Loans from one Type to the other or a continuation of Eurocurrency Loans, the Borrower shall irrevocably notify the Administrative Agent of such request by a written Borrowing Request in a form attached hereto as Exhibit C or such other form as may be approved by the Administrative Agent (including any form on an electronic platform or electronic transmission system as shall be approved by the Administrative Agent), appropriately completed and signed by a Responsible Officer of the Borrower. Each such Borrowing Request must be received by the Administrative Agent not later than noon (i) three Business Days prior to the requested date of the Borrowing of, conversion to or continuation of Eurocurrency Loans or of any conversion of Eurocurrency Loans to Base Rate Loans, and (ii) on the requested date of the Borrowing of Base Rate Loans; provided, however, that if the Borrower wishes to request Eurocurrency Loans having an Interest Period other than one, two, three or six months in duration as provided in the definition of “Interest Period,” the applicable notice must be received by the Administrative Agent not later than noon four Business Days prior to the requested date of such Borrowing, conversion or continuation of Eurocurrency Loans, whereupon the Administrative Agent shall give prompt notice to the applicable Lenders of such request and determine whether the requested Interest Period is acceptable to all of them. Not later than 11:00 a.m., three Business Days before the requested date of such Borrowing, conversion or continuation of Eurocurrency Loans, the Administrative Agent shall notify the Borrower (which notice may be by telephone) whether or not the requested Interest Period has been consented to by all the applicable Lenders. Each Borrowing Request shall specify the following information in compliance with Section 2.02:</w:t>
      </w:r>
    </w:p>
    <w:p>
      <w:pPr>
        <w:spacing w:after="0" w:line="90" w:lineRule="exact"/>
        <w:rPr>
          <w:sz w:val="20"/>
          <w:szCs w:val="20"/>
          <w:color w:val="auto"/>
        </w:rPr>
      </w:pPr>
    </w:p>
    <w:p>
      <w:pPr>
        <w:ind w:left="5420" w:right="4380" w:hanging="4992"/>
        <w:spacing w:after="0" w:line="535" w:lineRule="auto"/>
        <w:tabs>
          <w:tab w:leader="none" w:pos="97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aggregate amount of the requested Borrowing, conversion or continuation; 36</w:t>
      </w:r>
    </w:p>
    <w:p>
      <w:pPr>
        <w:sectPr>
          <w:pgSz w:w="11900" w:h="16838" w:orient="portrait"/>
          <w:cols w:equalWidth="0" w:num="1">
            <w:col w:w="10980"/>
          </w:cols>
          <w:pgMar w:left="440" w:top="274" w:right="479" w:bottom="1440" w:gutter="0" w:footer="0" w:header="0"/>
        </w:sectPr>
      </w:pPr>
    </w:p>
    <w:bookmarkStart w:id="220" w:name="page221"/>
    <w:bookmarkEnd w:id="220"/>
    <w:p>
      <w:pPr>
        <w:ind w:left="960" w:hanging="532"/>
        <w:spacing w:after="0"/>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date of such Borrowing, conversion or continuation, which shall be a Business Day;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whether such Borrowing, conversion or continuation is to be a Base Rate Borrowing or a Eurocurrency Borrowing;</w:t>
      </w:r>
    </w:p>
    <w:p>
      <w:pPr>
        <w:spacing w:after="0" w:line="130" w:lineRule="exact"/>
        <w:rPr>
          <w:rFonts w:ascii="Arial" w:cs="Arial" w:eastAsia="Arial" w:hAnsi="Arial"/>
          <w:sz w:val="18"/>
          <w:szCs w:val="18"/>
          <w:color w:val="auto"/>
        </w:rPr>
      </w:pPr>
    </w:p>
    <w:p>
      <w:pPr>
        <w:ind w:left="960" w:right="70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 case of a Eurocurrency Borrowing, the Interest Period to be applicable thereto, which shall be a period contemplated by the definition of the term “Interest Period”;</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with respect to the borrowing of the Term Loan on the Closing Date, the location and number of the Borrower’s account to which funds are to be disbursed, which shall comply with the requirements of Section 2.06;</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whether the Borrower is requesting the borrowing of the Term Loan, a conversion of Loans from one Type to the other, or a continuation of Eurocurrency Loans; and</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Type of Loans to be borrowed (in the case of the borrowing of the Term Loan on the Closing Date) or to which existing Loans are to be converted.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no election as to the Type of Borrowing is specified, then, the requested Borrowing shall be a Base Rate Borrowing. In the case of a failure to timely request a conversion or continuation of Eurocurrency Loans, such Loans shall be continued as Eurocurrency Loans with an Interest Period of one month’s duration. If no Interest Period is specified with respect to any requested Eurocurrency Borrowing or conversion or continuation of Eurocurrency Loans, then the Borrower shall be deemed to have selected an Interest Period of one month’s duration. Any automatic conversion to Base Rate Loans shall be effective as of the last day of the Interest Period then in effect with respect to the applicable Eurocurrency Loans. Promptly following receipt of a Borrowing Request in accordance with this Section, the Administrative Agent shall advise each Lender of the details thereof and of the amount of such Lender’s Loan to be made as part of the requested Borrowing. Except as otherwise provided herein, a Eurocurrency Loan may be continued or converted only on the last day of an Interest Period for such Eurocurrency Loan. During the existence of a Default, no Loans may be requested as, converted to or continued as Eurocurrency Loans without the consent of the Required Lenders.</w:t>
      </w:r>
    </w:p>
    <w:p>
      <w:pPr>
        <w:spacing w:after="0" w:line="181"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57" w:lineRule="auto"/>
        <w:tabs>
          <w:tab w:leader="none" w:pos="137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Lender shall make the portion of the Term Loan to be made by it hereunder on the Closing Date by wire transfer in Same Day Funds by 2:00 p.m., New York City time, to the account of the Administrative Agent designated by it for such purpose by notice to the Lenders in an amount equal to such Lender’s Applicable Percentage or other percentage provided for herein. The Administrative Agent will make the Term Loan available to the Borrower on the Closing Date by promptly crediting the amounts so received, in like funds, to an account designated by the Borrower in the Borrowing Request.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221" w:name="page222"/>
    <w:bookmarkEnd w:id="221"/>
    <w:p>
      <w:pPr>
        <w:ind w:left="1384" w:hanging="393"/>
        <w:spacing w:after="0"/>
        <w:tabs>
          <w:tab w:leader="none" w:pos="1384" w:val="left"/>
        </w:tabs>
        <w:numPr>
          <w:ilvl w:val="1"/>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the Administrative Agent shall have received notice from a Lender prior to the proposed time of the Borrowing in paragraph</w:t>
      </w:r>
    </w:p>
    <w:p>
      <w:pPr>
        <w:spacing w:after="0" w:line="46" w:lineRule="exact"/>
        <w:rPr>
          <w:rFonts w:ascii="Arial" w:cs="Arial" w:eastAsia="Arial" w:hAnsi="Arial"/>
          <w:sz w:val="16"/>
          <w:szCs w:val="16"/>
          <w:color w:val="auto"/>
        </w:rPr>
      </w:pPr>
    </w:p>
    <w:p>
      <w:pPr>
        <w:ind w:left="4" w:hanging="4"/>
        <w:spacing w:after="0" w:line="267" w:lineRule="auto"/>
        <w:tabs>
          <w:tab w:leader="none" w:pos="24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of this Section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Borrowing on the Closing Date available to the Administrative Agent, then the applicable Lender and the Borrower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Overnight Rate plus any administrative, processing or similar fees customarily charged by the Administrative Agent in connection with the foregoing or (ii) in the case of the Borrower, the interest rate applicable to Base Rate Loans. If such Lender pays such amount to the Administrative Agent, then such amount shall constitute such Lender’s Loan included in such Borrowing.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84"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Successor LIBOR</w:t>
      </w:r>
      <w:r>
        <w:rPr>
          <w:rFonts w:ascii="Arial" w:cs="Arial" w:eastAsia="Arial" w:hAnsi="Arial"/>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7" w:lineRule="exact"/>
        <w:rPr>
          <w:sz w:val="20"/>
          <w:szCs w:val="20"/>
          <w:color w:val="auto"/>
        </w:rPr>
      </w:pPr>
    </w:p>
    <w:p>
      <w:pPr>
        <w:ind w:left="4" w:right="100" w:firstLine="987"/>
        <w:spacing w:after="0" w:line="277" w:lineRule="auto"/>
        <w:tabs>
          <w:tab w:leader="none" w:pos="137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any requested Interest Period, including because the LIBOR Screen Rate is not available or published on a current basis and such circumstances are unlikely to be temporary;</w:t>
      </w:r>
    </w:p>
    <w:p>
      <w:pPr>
        <w:spacing w:after="0" w:line="170" w:lineRule="exact"/>
        <w:rPr>
          <w:rFonts w:ascii="Arial" w:cs="Arial" w:eastAsia="Arial" w:hAnsi="Arial"/>
          <w:sz w:val="18"/>
          <w:szCs w:val="18"/>
          <w:color w:val="auto"/>
        </w:rPr>
      </w:pPr>
    </w:p>
    <w:p>
      <w:pPr>
        <w:ind w:left="4" w:right="400" w:firstLine="987"/>
        <w:spacing w:after="0" w:line="301" w:lineRule="auto"/>
        <w:tabs>
          <w:tab w:leader="none" w:pos="138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provided that, at the time of such statement, there is no successor administrator that is satisfactory to the Administrative Agent, that will continue to provide LIBOR after such specific date (such specific date, the “</w:t>
      </w:r>
      <w:r>
        <w:rPr>
          <w:rFonts w:ascii="Arial" w:cs="Arial" w:eastAsia="Arial" w:hAnsi="Arial"/>
          <w:sz w:val="16"/>
          <w:szCs w:val="16"/>
          <w:u w:val="single" w:color="auto"/>
          <w:color w:val="auto"/>
        </w:rPr>
        <w:t>Scheduled Unavailability Date</w:t>
      </w:r>
      <w:r>
        <w:rPr>
          <w:rFonts w:ascii="Arial" w:cs="Arial" w:eastAsia="Arial" w:hAnsi="Arial"/>
          <w:sz w:val="16"/>
          <w:szCs w:val="16"/>
          <w:color w:val="auto"/>
        </w:rPr>
        <w:t>”); or</w:t>
      </w:r>
    </w:p>
    <w:p>
      <w:pPr>
        <w:spacing w:after="0" w:line="157" w:lineRule="exact"/>
        <w:rPr>
          <w:rFonts w:ascii="Arial" w:cs="Arial" w:eastAsia="Arial" w:hAnsi="Arial"/>
          <w:sz w:val="16"/>
          <w:szCs w:val="16"/>
          <w:color w:val="auto"/>
        </w:rPr>
      </w:pPr>
    </w:p>
    <w:p>
      <w:pPr>
        <w:ind w:left="4" w:right="120" w:firstLine="987"/>
        <w:spacing w:after="0" w:line="277" w:lineRule="auto"/>
        <w:tabs>
          <w:tab w:leader="none" w:pos="137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2.07, are being executed or amended (as applicable) to incorporate or adopt a new benchmark interest rate to replace LIBOR,</w:t>
      </w:r>
    </w:p>
    <w:p>
      <w:pPr>
        <w:spacing w:after="0" w:line="170"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 amend this Agreement solely for the purpose of replacing LIBOR in accordance with this Section 2.07(b) with (x) one or more SOFR-Based Rates or (y) another alternate benchmark rate giving due consideration to any evolving or then existing convention for similar syndicated credit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222" w:name="page223"/>
    <w:bookmarkEnd w:id="22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facilities syndicated in the U.S. and denominated in Dollars for such alternative benchmarks and, in each case, including any mathematical or other adjustments to such benchmark giving due consideration to any evolving or then existing convention for similar syndicated credit facilities syndicated in the U.S. and denominated in Dollars for such benchmarks, each of which adjustments or methods for calculating such adjustments shall be published on one or more information services as selected by the Administrative Agent from time to time in its reasonable discretion and may be periodically updated (each, an “</w:t>
      </w:r>
      <w:r>
        <w:rPr>
          <w:rFonts w:ascii="Arial" w:cs="Arial" w:eastAsia="Arial" w:hAnsi="Arial"/>
          <w:sz w:val="17"/>
          <w:szCs w:val="17"/>
          <w:u w:val="single" w:color="auto"/>
          <w:color w:val="auto"/>
        </w:rPr>
        <w:t>Adjustment</w:t>
      </w:r>
      <w:r>
        <w:rPr>
          <w:rFonts w:ascii="Arial" w:cs="Arial" w:eastAsia="Arial" w:hAnsi="Arial"/>
          <w:sz w:val="17"/>
          <w:szCs w:val="17"/>
          <w:color w:val="auto"/>
        </w:rPr>
        <w:t>;” and any such proposed rate, a “</w:t>
      </w:r>
      <w:r>
        <w:rPr>
          <w:rFonts w:ascii="Arial" w:cs="Arial" w:eastAsia="Arial" w:hAnsi="Arial"/>
          <w:sz w:val="17"/>
          <w:szCs w:val="17"/>
          <w:u w:val="single" w:color="auto"/>
          <w:color w:val="auto"/>
        </w:rPr>
        <w:t>LIBOR Successor Rate</w:t>
      </w:r>
      <w:r>
        <w:rPr>
          <w:rFonts w:ascii="Arial" w:cs="Arial" w:eastAsia="Arial" w:hAnsi="Arial"/>
          <w:sz w:val="17"/>
          <w:szCs w:val="17"/>
          <w:color w:val="auto"/>
        </w:rPr>
        <w:t xml:space="preserve">”), and any such amendment shall become effective at 5:00 p.m. (New York City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(A) in the case of an amendment to replace LIBOR with a rate described in clause (x), object to any Adjustment; or (B) in the case of an amendment to replace LIBOR with a rate described in clause (y), object to such amendment;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in the case of clause (A), the Required Lenders shall not be entitled to object to any SOFR-Based Rate contained in any such amendment. Such LIBOR Successor Rate shall be applied in a manner consistent with market practice;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market practice is not administratively feasible for the Administrative Agent, such LIBOR Successor Rate shall be applied in a manner as otherwise reasonably determined by the Administrative Agent after consultation with the Borrower.</w:t>
      </w:r>
    </w:p>
    <w:p>
      <w:pPr>
        <w:spacing w:after="0" w:line="18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If no LIBOR Successor Rate has been determined and the circumstances under clause (i) of this Section 2.07(b) exist or the Scheduled Unavailability Date has occurred (as applicable), the Administrative Agent will promptly so notify the Borrower and each Lender. Thereafter, (x) the obligation of the Lenders to make or maintain Eurocurrency Loans shall be suspended, (to the extent of the affected Eurocurrency Loans or Interest Periods), and (y) the Eurocurrency rate component shall no longer be utilized in determining the Base Rate. Upon receipt of such notice, (i) the Borrower may revoke any pending request for a Borrowing of, conversion to or continuation of Eurocurrency Loans (to the extent of the affected Eurocurrency Loans or Interest Periods) or, failing that, will be deemed to have converted such request into a request for a Borrowing of Base Rate Loans (subject to the foregoing clause (y)) in the amount specified therein and (ii) any outstanding affected Eurocurrency Loans will be deemed to have been converted into Base Rate Loans at the end of the applicable Interest Period.</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Notwithstanding anything else herein, any definition of LIBOR Successor Rate shall provide that in no event shall such LIBOR Successor Rate be less than zero for purposes of this Agreement.</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provided that, with respect to any such amendment effected, the Administrative Agent shall post each such amendment implementing such LIBOR Successor Conforming Changes to the Lenders reasonably promptly after such amendment becomes effective.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used above:</w:t>
      </w:r>
    </w:p>
    <w:p>
      <w:pPr>
        <w:spacing w:after="0" w:line="225"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Screen Rate</w:t>
      </w:r>
      <w:r>
        <w:rPr>
          <w:rFonts w:ascii="Arial" w:cs="Arial" w:eastAsia="Arial" w:hAnsi="Arial"/>
          <w:sz w:val="16"/>
          <w:szCs w:val="16"/>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24"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Successor Rate Conforming Changes</w:t>
      </w:r>
      <w:r>
        <w:rPr>
          <w:rFonts w:ascii="Arial" w:cs="Arial" w:eastAsia="Arial" w:hAnsi="Arial"/>
          <w:sz w:val="17"/>
          <w:szCs w:val="17"/>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reasonable discretion of the Administrative Agent in consultation with the Borrower,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reasonably determines in consultation with the Borrower).</w:t>
      </w:r>
    </w:p>
    <w:p>
      <w:pPr>
        <w:spacing w:after="0" w:line="17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8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SOFR-Based Rate</w:t>
      </w:r>
      <w:r>
        <w:rPr>
          <w:rFonts w:ascii="Arial" w:cs="Arial" w:eastAsia="Arial" w:hAnsi="Arial"/>
          <w:sz w:val="18"/>
          <w:szCs w:val="18"/>
          <w:color w:val="auto"/>
        </w:rPr>
        <w:t>” means SOFR or Term SOFR.</w:t>
      </w:r>
    </w:p>
    <w:p>
      <w:pPr>
        <w:spacing w:after="0" w:line="225"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Reduction of Commitments</w:t>
      </w:r>
      <w:r>
        <w:rPr>
          <w:rFonts w:ascii="Arial" w:cs="Arial" w:eastAsia="Arial" w:hAnsi="Arial"/>
          <w:sz w:val="16"/>
          <w:szCs w:val="16"/>
          <w:color w:val="auto"/>
        </w:rPr>
        <w:t>.</w:t>
      </w:r>
    </w:p>
    <w:p>
      <w:pPr>
        <w:spacing w:after="0" w:line="117" w:lineRule="exact"/>
        <w:rPr>
          <w:sz w:val="20"/>
          <w:szCs w:val="20"/>
          <w:color w:val="auto"/>
        </w:rPr>
      </w:pPr>
    </w:p>
    <w:p>
      <w:pPr>
        <w:ind w:right="60" w:firstLine="987"/>
        <w:spacing w:after="0" w:line="259" w:lineRule="auto"/>
        <w:tabs>
          <w:tab w:leader="none" w:pos="137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Unless previously terminated, the aggregate Term Commitments shall be automatically, permanently and irrevocably reduced to zero at 5:00 p.m., New York City time, on the Closing Date, such that no additional Term Loan or other extension of credit in respect thereof will be made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Closing Date has not occurred prior to the Commitment Termination Date, all Commitments shall terminate on the Commitment Termination Date.</w:t>
      </w:r>
    </w:p>
    <w:p>
      <w:pPr>
        <w:spacing w:after="0" w:line="186" w:lineRule="exact"/>
        <w:rPr>
          <w:rFonts w:ascii="Arial" w:cs="Arial" w:eastAsia="Arial" w:hAnsi="Arial"/>
          <w:sz w:val="18"/>
          <w:szCs w:val="18"/>
          <w:color w:val="auto"/>
        </w:rPr>
      </w:pPr>
    </w:p>
    <w:p>
      <w:pPr>
        <w:ind w:firstLine="987"/>
        <w:spacing w:after="0" w:line="263" w:lineRule="auto"/>
        <w:tabs>
          <w:tab w:leader="none" w:pos="137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Borrower (and, prior to the Combination, Mylan, acting together) may at any time terminate, or from time to time reduce, the Term Commitments; provided that each reduction of the Term Commitments shall be in an amount that is an integral multiple of $1,000,000 and not less than $1,000,000, (or, if less, the remaining amount of the Term Commitments).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24" w:name="page225"/>
    <w:bookmarkEnd w:id="224"/>
    <w:p>
      <w:pPr>
        <w:jc w:val="both"/>
        <w:ind w:left="4" w:right="200" w:firstLine="987"/>
        <w:spacing w:after="0" w:line="291" w:lineRule="auto"/>
        <w:tabs>
          <w:tab w:leader="none" w:pos="1372" w:val="left"/>
        </w:tabs>
        <w:numPr>
          <w:ilvl w:val="1"/>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shall notify the Administrative Agent in writing (including transmission by electronic communication in accordance with Section 9.01(b)) of any election to terminate or reduce the Term Commitments under paragraph (b) of this Section not later than 12:00 p.m. three</w:t>
      </w:r>
    </w:p>
    <w:p>
      <w:pPr>
        <w:ind w:left="4" w:hanging="4"/>
        <w:spacing w:after="0" w:line="269" w:lineRule="auto"/>
        <w:tabs>
          <w:tab w:leader="none" w:pos="25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provided that a notice of termination of the Term Commitments delivered by the Borrower may state that such notice is conditioned upon the effectiveness of other credit facilities or instruments of Indebtedness or the occurrence of any other specified event, in which case such notice may be revoked by the Borrower (by notice to the Administrative Agent on or prior to the specified effective date) if such condition is not satisfied. Any termination or reduction of the Term Commitments shall be permanent. Each reduction of the Term Commitments shall be made ratably among the Lenders in accordance with their respective Term Commitments.</w:t>
      </w:r>
    </w:p>
    <w:p>
      <w:pPr>
        <w:spacing w:after="0" w:line="28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117" w:lineRule="exact"/>
        <w:rPr>
          <w:sz w:val="20"/>
          <w:szCs w:val="20"/>
          <w:color w:val="auto"/>
        </w:rPr>
      </w:pPr>
    </w:p>
    <w:p>
      <w:pPr>
        <w:ind w:left="4" w:right="180" w:firstLine="987"/>
        <w:spacing w:after="0" w:line="263" w:lineRule="auto"/>
        <w:tabs>
          <w:tab w:leader="none" w:pos="137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Borrower hereby unconditionally promises to pay in Dollars to the Administrative Agent for the account of each Lender on the Maturity Date (or such earlier date on which the Loans become due and payable pursuant to Article VII) an amount equal to the then remaining aggregate principal amount of the Term Loan outstanding on such date in full.</w:t>
      </w:r>
    </w:p>
    <w:p>
      <w:pPr>
        <w:spacing w:after="0" w:line="183" w:lineRule="exact"/>
        <w:rPr>
          <w:rFonts w:ascii="Arial" w:cs="Arial" w:eastAsia="Arial" w:hAnsi="Arial"/>
          <w:sz w:val="18"/>
          <w:szCs w:val="18"/>
          <w:color w:val="auto"/>
        </w:rPr>
      </w:pPr>
    </w:p>
    <w:p>
      <w:pPr>
        <w:ind w:left="4" w:right="40" w:firstLine="987"/>
        <w:spacing w:after="0" w:line="263" w:lineRule="auto"/>
        <w:tabs>
          <w:tab w:leader="none" w:pos="138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left="4" w:right="40" w:firstLine="987"/>
        <w:spacing w:after="0" w:line="259" w:lineRule="auto"/>
        <w:tabs>
          <w:tab w:leader="none" w:pos="137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left="4" w:right="160" w:firstLine="987"/>
        <w:spacing w:after="0" w:line="259" w:lineRule="auto"/>
        <w:tabs>
          <w:tab w:leader="none" w:pos="138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prima facie evidence of the existence and amounts of the obligations recorded therein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86" w:lineRule="exact"/>
        <w:rPr>
          <w:rFonts w:ascii="Arial" w:cs="Arial" w:eastAsia="Arial" w:hAnsi="Arial"/>
          <w:sz w:val="18"/>
          <w:szCs w:val="18"/>
          <w:color w:val="auto"/>
        </w:rPr>
      </w:pPr>
    </w:p>
    <w:p>
      <w:pPr>
        <w:ind w:left="4" w:right="60" w:firstLine="987"/>
        <w:spacing w:after="0" w:line="308" w:lineRule="auto"/>
        <w:tabs>
          <w:tab w:leader="none" w:pos="136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Any Lender may request that Loans made by it be evidenced by promissory notes. In such event, the Borrower shall prepare, execute and deliver to such Lender promissory notes payable to such Lender and its registered assigns and in a form approved by the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225" w:name="page226"/>
    <w:bookmarkEnd w:id="225"/>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Agent. Thereafter, the Loans evidenced by such promissory notes and interest thereon shall at all times (including after assignment pursuant to Section 9.04 of this Agreement) be represented by one or more promissory notes in such form payable to the payee named therein and its registered assigns.</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Optional Prepayment of Loans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3" w:lineRule="auto"/>
        <w:tabs>
          <w:tab w:leader="none" w:pos="136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Borrower shall have the right at any time and from time to time to prepay any Borrowing in whole or in part, without premium or penalty, subject to prior notice given in accordance with paragraph (b) of this Section, or otherwise in form and substance reasonably acceptable to the Administrative Agent.</w:t>
      </w:r>
    </w:p>
    <w:p>
      <w:pPr>
        <w:spacing w:after="0" w:line="183" w:lineRule="exact"/>
        <w:rPr>
          <w:rFonts w:ascii="Arial" w:cs="Arial" w:eastAsia="Arial" w:hAnsi="Arial"/>
          <w:sz w:val="18"/>
          <w:szCs w:val="18"/>
          <w:color w:val="auto"/>
        </w:rPr>
      </w:pPr>
    </w:p>
    <w:p>
      <w:pPr>
        <w:ind w:right="20" w:firstLine="987"/>
        <w:spacing w:after="0" w:line="268" w:lineRule="auto"/>
        <w:tabs>
          <w:tab w:leader="none" w:pos="137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in writing (including transmission by electronic communication in accordance with Section 9.01(b)) of any prepayment hereunder (i) in the case of prepayment of a Eurocurrency Borrowing, not later than 2:00 p.m., New York City time, three (3) Business Days before the date of prepayment and (ii) in the case of prepayment of a Base Rate Borrowing, not later than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of the then outstanding principal amount of the Loans delivered by the Borrower may state that such notice is conditioned upon the effectiveness of other credit facilities or instruments of Indebtedness or the occurrence of any other specified event, in which case such notice may be revoked by the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(x) any Eurocurrency Borrowing shall be in an aggregate amount that is an integral multiple of the Borrowing Multiple and not less than the Borrowing Minimum and (y) any Base Rate Borrowing shall be in an aggregate amount that is an integral multiple of $1,000,000 and not less than $1,000,000. Each prepayment of a Borrowing shall be applied ratably to the Loans included in the notice of prepayment. Prepayments pursuant to this Section 2.10 shall be accompanied by accrued interest to the extent required by Section 2.12 and shall be subject to Section 2.15.</w:t>
      </w:r>
    </w:p>
    <w:p>
      <w:pPr>
        <w:spacing w:after="0" w:line="294"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117" w:lineRule="exact"/>
        <w:rPr>
          <w:sz w:val="20"/>
          <w:szCs w:val="20"/>
          <w:color w:val="auto"/>
        </w:rPr>
      </w:pPr>
    </w:p>
    <w:p>
      <w:pPr>
        <w:ind w:right="100" w:firstLine="987"/>
        <w:spacing w:after="0" w:line="273" w:lineRule="auto"/>
        <w:tabs>
          <w:tab w:leader="none" w:pos="136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the account of each Lender a ticking fee in an amount equal to the product of (i) 0.15% per annum multiplied by (ii) the average daily amount of the Commitments held by each Lender. The ticking fee shall accrue from and including the date that is 90 days from the Effective Date until the earlier of (x) the Closing Date and (y) the termination or abandonment of the Business Combination Agreement, which ticking fee shall be due and payable on such earlier date. The ticking fee shall be computed on the basis of a year of 360 days and shall be payable for the actual number of days elapsed (including the first day but excluding the last day). For the avoidance of doubt, the ticking fee shall be payable irrespective of whether the Closing Date occurs or any Term Loan is made.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226" w:name="page227"/>
    <w:bookmarkEnd w:id="226"/>
    <w:p>
      <w:pPr>
        <w:ind w:right="40" w:firstLine="987"/>
        <w:spacing w:after="0" w:line="277" w:lineRule="auto"/>
        <w:tabs>
          <w:tab w:leader="none" w:pos="1378"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ind w:right="620" w:firstLine="987"/>
        <w:spacing w:after="0" w:line="308" w:lineRule="auto"/>
        <w:tabs>
          <w:tab w:leader="none" w:pos="1361"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All fees payable hereunder shall be paid on the dates due, in Dollars and in Same Day Funds, to the Administrative Agent for distribution, in the case of ticking fees, to the Lenders. Fees paid shall not be refundable under any circumstances.</w:t>
      </w:r>
    </w:p>
    <w:p>
      <w:pPr>
        <w:spacing w:after="0" w:line="25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17"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The Loans comprising each Base Rate Borrowing shall bear interest at the Base Rate in effect from time to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right="300" w:firstLine="987"/>
        <w:spacing w:after="0" w:line="277" w:lineRule="auto"/>
        <w:tabs>
          <w:tab w:leader="none" w:pos="137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The Loans comprising each Eurocurrency Borrowing shall bear interest at the LIBO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right="200" w:firstLine="987"/>
        <w:spacing w:after="0" w:line="273" w:lineRule="auto"/>
        <w:tabs>
          <w:tab w:leader="none" w:pos="137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Notwithstanding the foregoing, at any time (x) an Event of Default has occurred and is continuing under clauses (h), (i) or (j) of Article VII or (y) if any principal of or interest on the Term Loan or any fee or other amount payable by the Borrower hereunder is not paid when due, whether at stated maturity, upon acceleration or otherwise, then such overdue amount shall bear interest, after as well as before judgment, at a rate per annum equal to (i) in the case of overdue principal of the Term Loan, 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otherwise applicable to the Term Loan as provided in the preceding paragraphs of this Section or (ii) in the case of any other amount, upon the request of the Required Lenders, 2% plus the rate applicable to Base Rate Loans as provided in paragraph (a) of this Section (the “</w:t>
      </w:r>
      <w:r>
        <w:rPr>
          <w:rFonts w:ascii="Arial" w:cs="Arial" w:eastAsia="Arial" w:hAnsi="Arial"/>
          <w:sz w:val="17"/>
          <w:szCs w:val="17"/>
          <w:u w:val="single" w:color="auto"/>
          <w:color w:val="auto"/>
        </w:rPr>
        <w:t>Default Rate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987"/>
        <w:spacing w:after="0" w:line="296" w:lineRule="auto"/>
        <w:tabs>
          <w:tab w:leader="none" w:pos="137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on the Maturity Date (or such earlier date on which the Loans become due and payable pursuant to Article VII);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on demand, (ii) in the event of any repayment or prepayment of the Loans,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61" w:lineRule="exact"/>
        <w:rPr>
          <w:rFonts w:ascii="Arial" w:cs="Arial" w:eastAsia="Arial" w:hAnsi="Arial"/>
          <w:sz w:val="16"/>
          <w:szCs w:val="16"/>
          <w:color w:val="auto"/>
        </w:rPr>
      </w:pPr>
    </w:p>
    <w:p>
      <w:pPr>
        <w:ind w:right="120" w:firstLine="987"/>
        <w:spacing w:after="0" w:line="279" w:lineRule="auto"/>
        <w:tabs>
          <w:tab w:leader="none" w:pos="136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interest computed by reference to the Base Rate shall be computed on the basis of a year of 365 days (or 366 days in a leap year) and, in each case, shall be payable for the actual number of days elapsed (including the first day but excluding the last day). The applicable Base Rate or LIBO Rate shall be determined by the Administrative Agent in accordance with the provisions of this Agreement, and such determination shall be conclusive absent manifest error.</w:t>
      </w:r>
    </w:p>
    <w:p>
      <w:pPr>
        <w:spacing w:after="0" w:line="171"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 If prior to the commencement of any Interest Period for a Eurocurrency Borrowing:</w:t>
      </w:r>
    </w:p>
    <w:p>
      <w:pPr>
        <w:spacing w:after="0" w:line="225" w:lineRule="exact"/>
        <w:rPr>
          <w:sz w:val="20"/>
          <w:szCs w:val="20"/>
          <w:color w:val="auto"/>
        </w:rPr>
      </w:pPr>
    </w:p>
    <w:p>
      <w:pPr>
        <w:ind w:right="160" w:firstLine="987"/>
        <w:spacing w:after="0" w:line="308" w:lineRule="auto"/>
        <w:tabs>
          <w:tab w:leader="none" w:pos="1371"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absent manifest error) that (x) deposits are not being offered to banks in the applicable offshore interbank eurodollar market for Dollars for the applicable amount and Interest Period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27" w:name="page228"/>
    <w:bookmarkEnd w:id="227"/>
    <w:p>
      <w:pPr>
        <w:ind w:right="10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Eurocurrency Loan or (y) adequate and reasonable means do not exist for ascertaining the LIBO Rate for such Interest Period and the circumstances specified in Section 2.07(b)(i)(b) do not apply (in each case with respect to clause (a), the “</w:t>
      </w:r>
      <w:r>
        <w:rPr>
          <w:rFonts w:ascii="Arial" w:cs="Arial" w:eastAsia="Arial" w:hAnsi="Arial"/>
          <w:sz w:val="16"/>
          <w:szCs w:val="16"/>
          <w:u w:val="single" w:color="auto"/>
          <w:color w:val="auto"/>
        </w:rPr>
        <w:t>Impacted Loans</w:t>
      </w:r>
      <w:r>
        <w:rPr>
          <w:rFonts w:ascii="Arial" w:cs="Arial" w:eastAsia="Arial" w:hAnsi="Arial"/>
          <w:sz w:val="16"/>
          <w:szCs w:val="16"/>
          <w:color w:val="auto"/>
        </w:rPr>
        <w:t>”); or</w:t>
      </w:r>
    </w:p>
    <w:p>
      <w:pPr>
        <w:spacing w:after="0" w:line="124" w:lineRule="exact"/>
        <w:rPr>
          <w:sz w:val="20"/>
          <w:szCs w:val="20"/>
          <w:color w:val="auto"/>
        </w:rPr>
      </w:pPr>
    </w:p>
    <w:p>
      <w:pPr>
        <w:ind w:right="340" w:firstLine="987"/>
        <w:spacing w:after="0" w:line="308" w:lineRule="auto"/>
        <w:tabs>
          <w:tab w:leader="none" w:pos="138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Administrative Agent is advised by the Required Lenders that the LIBO Rate for such Interest Period will not adequately and fairly reflect the cost to such Lenders of making or maintaining their Loans included in such Borrowing for such Interest Period;</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then the Administrative Agent shall give notice thereof to the Borrower and the Lenders by telephone or telecopy or transmission by electronic communication in accordance with Section 9.01 as promptly as practicable thereafter and, until the Administrative Agent notifies the Borrower and the Lenders that the circumstances giving rise to such notice no longer exist, any Interest Election Request that requests the conversion of any Borrowing to, or continuation of any Borrowing as, a Eurocurrency Borrowing shall be ineffective and such Borrowing shall be converted to or continued on the last day of the Interest Period applicable thereto as a Base Rate Borrowing.</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Notwithstanding the foregoing, if the Administrative Agent has made the determination described in this section, the Administrative Agent, in consultation with the Borrower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 Upon the Administrative Agent’s election to establish an alternative rate of interest pursuant to this paragraph, the Borrower may revoke any pending request for a conversion to or continuation of Eurocurrency Loans without payment of any amount specified in Section 2.15, provided that such repayment is effected promptly upon receipt of such notice.</w:t>
      </w:r>
    </w:p>
    <w:p>
      <w:pPr>
        <w:spacing w:after="0" w:line="28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117" w:lineRule="exact"/>
        <w:rPr>
          <w:sz w:val="20"/>
          <w:szCs w:val="20"/>
          <w:color w:val="auto"/>
        </w:rPr>
      </w:pPr>
    </w:p>
    <w:p>
      <w:pPr>
        <w:ind w:left="1360" w:hanging="373"/>
        <w:spacing w:after="0"/>
        <w:tabs>
          <w:tab w:leader="none" w:pos="13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ind w:right="400" w:firstLine="1428"/>
        <w:spacing w:after="0" w:line="277" w:lineRule="auto"/>
        <w:tabs>
          <w:tab w:leader="none" w:pos="178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228" w:name="page229"/>
    <w:bookmarkEnd w:id="228"/>
    <w:p>
      <w:pPr>
        <w:ind w:right="320" w:firstLine="1428"/>
        <w:spacing w:after="0" w:line="308" w:lineRule="auto"/>
        <w:tabs>
          <w:tab w:leader="none" w:pos="1832" w:val="left"/>
        </w:tabs>
        <w:numPr>
          <w:ilvl w:val="0"/>
          <w:numId w:val="2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146" w:lineRule="exact"/>
        <w:rPr>
          <w:rFonts w:ascii="Arial" w:cs="Arial" w:eastAsia="Arial" w:hAnsi="Arial"/>
          <w:sz w:val="17"/>
          <w:szCs w:val="17"/>
          <w:color w:val="auto"/>
        </w:rPr>
      </w:pPr>
    </w:p>
    <w:p>
      <w:pPr>
        <w:ind w:left="1880" w:hanging="452"/>
        <w:spacing w:after="0"/>
        <w:tabs>
          <w:tab w:leader="none" w:pos="18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impose on any Lender or the London interbank market any other condition affecting this Agreement or Eurocurrency Loans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made by such Lender;</w:t>
      </w:r>
    </w:p>
    <w:p>
      <w:pPr>
        <w:spacing w:after="0" w:line="21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any Loan under this Agreement or of maintaining its obligation to make any such Loan or to reduce the amount of any sum received or receivable by such Lender hereunder, whether of principal, interest or otherwise, in each case by an amount deemed by such Lender to be material in the context of its making of, and participation in, extensions of credit under this Agreement, then, upon the request of such Lender, the Borrower will pay to such Lender, such additional amount or amounts as will compensate such Lender, for such additional costs incurred or reduction suffered.</w:t>
      </w:r>
    </w:p>
    <w:p>
      <w:pPr>
        <w:spacing w:after="0" w:line="176" w:lineRule="exact"/>
        <w:rPr>
          <w:sz w:val="20"/>
          <w:szCs w:val="20"/>
          <w:color w:val="auto"/>
        </w:rPr>
      </w:pPr>
    </w:p>
    <w:p>
      <w:pPr>
        <w:ind w:right="140" w:firstLine="987"/>
        <w:spacing w:after="0" w:line="273" w:lineRule="auto"/>
        <w:tabs>
          <w:tab w:leader="none" w:pos="138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If any Lender determines in good faith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upon the request of such Lender, the Borrower will pay to such Lender, such additional amount or amounts as will compensate such Lender or such Lender’s holding company for any such reduction suffered.</w:t>
      </w:r>
    </w:p>
    <w:p>
      <w:pPr>
        <w:spacing w:after="0" w:line="177" w:lineRule="exact"/>
        <w:rPr>
          <w:rFonts w:ascii="Arial" w:cs="Arial" w:eastAsia="Arial" w:hAnsi="Arial"/>
          <w:sz w:val="17"/>
          <w:szCs w:val="17"/>
          <w:color w:val="auto"/>
        </w:rPr>
      </w:pPr>
    </w:p>
    <w:p>
      <w:pPr>
        <w:ind w:right="40" w:firstLine="987"/>
        <w:spacing w:after="0" w:line="259" w:lineRule="auto"/>
        <w:tabs>
          <w:tab w:leader="none" w:pos="136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certificate of a Lender setting forth in reasonable detail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spacing w:after="0" w:line="186" w:lineRule="exact"/>
        <w:rPr>
          <w:rFonts w:ascii="Arial" w:cs="Arial" w:eastAsia="Arial" w:hAnsi="Arial"/>
          <w:sz w:val="18"/>
          <w:szCs w:val="18"/>
          <w:color w:val="auto"/>
        </w:rPr>
      </w:pPr>
    </w:p>
    <w:p>
      <w:pPr>
        <w:ind w:firstLine="987"/>
        <w:spacing w:after="0" w:line="255" w:lineRule="auto"/>
        <w:tabs>
          <w:tab w:leader="none" w:pos="138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pursuant to this Section for any increased costs or reductions incurred more than 135 days prior to the date that such Lender notifies the Borrower of the Change in Law giving rise to such increased costs or reductions and of such Lender’s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135-day period referred to above shall be extended to include the period of retroactive effect thereof.</w:t>
      </w:r>
    </w:p>
    <w:p>
      <w:pPr>
        <w:spacing w:after="0" w:line="192" w:lineRule="exact"/>
        <w:rPr>
          <w:rFonts w:ascii="Arial" w:cs="Arial" w:eastAsia="Arial" w:hAnsi="Arial"/>
          <w:sz w:val="18"/>
          <w:szCs w:val="18"/>
          <w:color w:val="auto"/>
        </w:rPr>
      </w:pPr>
    </w:p>
    <w:p>
      <w:pPr>
        <w:ind w:right="180" w:firstLine="987"/>
        <w:spacing w:after="0" w:line="277" w:lineRule="auto"/>
        <w:tabs>
          <w:tab w:leader="none" w:pos="136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Lender’s claim for additional amounts pursuant to this Section 2.14 shall be generally consistent with such Lender’s treatment of customers of such Lender that such Lender considers, in its reasonable discretion, to be similarly situated as the Borrower.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229" w:name="page230"/>
    <w:bookmarkEnd w:id="229"/>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Eurocurrency Loan other than on the last day of an Interest Period applicable thereto (including as a result of an Event of Default or as a result of any prepayment pursuant to Section 2.10),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2.10 and is revoked in accordance therewith) or (d) the assignment of any Eurocurrency Loan other than on the last day of the Interest Period applicable thereto as a result of a request by the Borrower pursuant to Section 2.18, then, in any such event, the Borrower shall compensate each Lender for the loss, cost and expense (excluding loss of anticipated profit) attributable to such event. Such loss, cost or expense to any Lender may be deemed to include an amount determined by such Lender to be the excess, if any, of (i) the amount of interest which would have accrued on the principal amount of such Loan had such event not occurred, at the LIBO Rate that would have been applicable to such Loan (and excluding any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spacing w:after="0" w:line="2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firstLine="987"/>
        <w:spacing w:after="0" w:line="253" w:lineRule="auto"/>
        <w:tabs>
          <w:tab w:leader="none" w:pos="1371"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Laws. If any Loan Party or the Administrative Agent shall be required by any applicable Laws (as determined in good faith by the Administrative Agent or Loan Party) to withhold or deduct any Taxes from any payment, then (A) such Loan Party or the Administrative Agent, as required by such Laws, shall withhold or make such deductions as are determined by it to be required,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Section 2.16) the applicable Recipient receives an amount equal to the sum it would have received had no such withholding or deduction been made.</w:t>
      </w:r>
    </w:p>
    <w:p>
      <w:pPr>
        <w:spacing w:after="0" w:line="194" w:lineRule="exact"/>
        <w:rPr>
          <w:rFonts w:ascii="Arial" w:cs="Arial" w:eastAsia="Arial" w:hAnsi="Arial"/>
          <w:sz w:val="18"/>
          <w:szCs w:val="18"/>
          <w:color w:val="auto"/>
        </w:rPr>
      </w:pPr>
    </w:p>
    <w:p>
      <w:pPr>
        <w:jc w:val="both"/>
        <w:ind w:right="180" w:firstLine="987"/>
        <w:spacing w:after="0" w:line="263" w:lineRule="auto"/>
        <w:tabs>
          <w:tab w:leader="none" w:pos="1381"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to the relevant Governmental Authority in accordance with applicable law, or at the option of the Administrative Agent timely reimburse it for the payment of, any Other Taxes.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230" w:name="page231"/>
    <w:bookmarkEnd w:id="230"/>
    <w:p>
      <w:pPr>
        <w:ind w:left="1364" w:hanging="373"/>
        <w:spacing w:after="0"/>
        <w:tabs>
          <w:tab w:leader="none" w:pos="1364"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1428"/>
        <w:spacing w:after="0" w:line="254" w:lineRule="auto"/>
        <w:tabs>
          <w:tab w:leader="none" w:pos="1786" w:val="left"/>
        </w:tabs>
        <w:numPr>
          <w:ilvl w:val="2"/>
          <w:numId w:val="250"/>
        </w:numPr>
        <w:rPr>
          <w:rFonts w:ascii="Arial" w:cs="Arial" w:eastAsia="Arial" w:hAnsi="Arial"/>
          <w:sz w:val="18"/>
          <w:szCs w:val="18"/>
          <w:color w:val="auto"/>
        </w:rPr>
      </w:pPr>
      <w:r>
        <w:rPr>
          <w:rFonts w:ascii="Arial" w:cs="Arial" w:eastAsia="Arial" w:hAnsi="Arial"/>
          <w:sz w:val="18"/>
          <w:szCs w:val="18"/>
          <w:color w:val="auto"/>
        </w:rPr>
        <w:t>Each of the Loan Parties shall indemnify each Recipient, and shall make payment in respect thereof within 10 days after demand therefor, for the full amount of any Indemnified Taxes (including Indemnified Taxes imposed or asserted on or attributable to amounts payable under this Section 2.16)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4" w:lineRule="exact"/>
        <w:rPr>
          <w:rFonts w:ascii="Arial" w:cs="Arial" w:eastAsia="Arial" w:hAnsi="Arial"/>
          <w:sz w:val="18"/>
          <w:szCs w:val="18"/>
          <w:color w:val="auto"/>
        </w:rPr>
      </w:pPr>
    </w:p>
    <w:p>
      <w:pPr>
        <w:ind w:left="4" w:right="120" w:firstLine="1428"/>
        <w:spacing w:after="0" w:line="287" w:lineRule="auto"/>
        <w:tabs>
          <w:tab w:leader="none" w:pos="1836" w:val="left"/>
        </w:tabs>
        <w:numPr>
          <w:ilvl w:val="2"/>
          <w:numId w:val="250"/>
        </w:numPr>
        <w:rPr>
          <w:rFonts w:ascii="Arial" w:cs="Arial" w:eastAsia="Arial" w:hAnsi="Arial"/>
          <w:sz w:val="16"/>
          <w:szCs w:val="16"/>
          <w:color w:val="auto"/>
        </w:rPr>
      </w:pPr>
      <w:r>
        <w:rPr>
          <w:rFonts w:ascii="Arial" w:cs="Arial" w:eastAsia="Arial" w:hAnsi="Arial"/>
          <w:sz w:val="16"/>
          <w:szCs w:val="16"/>
          <w:color w:val="auto"/>
        </w:rPr>
        <w:t>Each Lender shall, and does hereby, severally indemnify, and shall make payment in respect thereof within 10 days after written demand therefor, (x) the Administrative Agent against any Indemnified Taxes attributable to such Lender (but only to the extent that any Loan Party has not already indemnified the Administrative Agent for such Indemnified Taxes and without limiting the obligation of the Loan Party to do so),</w:t>
      </w:r>
    </w:p>
    <w:p>
      <w:pPr>
        <w:spacing w:after="0" w:line="2" w:lineRule="exact"/>
        <w:rPr>
          <w:rFonts w:ascii="Arial" w:cs="Arial" w:eastAsia="Arial" w:hAnsi="Arial"/>
          <w:sz w:val="16"/>
          <w:szCs w:val="16"/>
          <w:color w:val="auto"/>
        </w:rPr>
      </w:pPr>
    </w:p>
    <w:p>
      <w:pPr>
        <w:ind w:left="4" w:right="100" w:hanging="4"/>
        <w:spacing w:after="0" w:line="287" w:lineRule="auto"/>
        <w:tabs>
          <w:tab w:leader="none" w:pos="25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Administrative Agent and the Loan Party, as applicable, against any Taxes attributable to such Lender’s failure to comply with the provisions of Section 9.04(d) relating to the maintenance of a Participant Register and (z) the Administrative Agent and the Loan Party,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as applicable, shall be conclusive absent manifest error. Each Lender hereby authorizes the Administrative Agent or any Loan Party, as applicable, to set off and apply any and all amounts at any time owing to such Lender, as the case may be, under this Agreement or any other Loan Document against any amount due to the Administrative Agent or any Loan Party, as applicable, under this clause (ii).</w:t>
      </w:r>
    </w:p>
    <w:p>
      <w:pPr>
        <w:spacing w:after="0" w:line="169" w:lineRule="exact"/>
        <w:rPr>
          <w:rFonts w:ascii="Arial" w:cs="Arial" w:eastAsia="Arial" w:hAnsi="Arial"/>
          <w:sz w:val="16"/>
          <w:szCs w:val="16"/>
          <w:color w:val="auto"/>
        </w:rPr>
      </w:pPr>
    </w:p>
    <w:p>
      <w:pPr>
        <w:ind w:left="4" w:firstLine="987"/>
        <w:spacing w:after="0" w:line="255" w:lineRule="auto"/>
        <w:tabs>
          <w:tab w:leader="none" w:pos="1385"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Upon request by the Borrower or the Administrative Agent, as the case may be, after any payment of Taxes on amounts payable under this Agreement or any other Loan Document by any Loan Party or by the Administrative Agent to a Governmental Authority as provided in this Section 2.16,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231" w:name="page232"/>
    <w:bookmarkEnd w:id="231"/>
    <w:p>
      <w:pPr>
        <w:ind w:left="1340" w:hanging="373"/>
        <w:spacing w:after="0"/>
        <w:tabs>
          <w:tab w:leader="none" w:pos="13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1428"/>
        <w:spacing w:after="0" w:line="269" w:lineRule="auto"/>
        <w:tabs>
          <w:tab w:leader="none" w:pos="1752" w:val="left"/>
        </w:tabs>
        <w:numPr>
          <w:ilvl w:val="1"/>
          <w:numId w:val="252"/>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 or the taxing authorities of a jurisdiction pursuant to such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required pursuant to Sections 2.16(e)(ii)(A),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rFonts w:ascii="Arial" w:cs="Arial" w:eastAsia="Arial" w:hAnsi="Arial"/>
          <w:sz w:val="17"/>
          <w:szCs w:val="17"/>
          <w:color w:val="auto"/>
        </w:rPr>
      </w:pPr>
    </w:p>
    <w:p>
      <w:pPr>
        <w:ind w:left="1800" w:hanging="392"/>
        <w:spacing w:after="0"/>
        <w:tabs>
          <w:tab w:leader="none" w:pos="18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60" w:right="20" w:firstLine="910"/>
        <w:spacing w:after="0" w:line="259" w:lineRule="auto"/>
        <w:tabs>
          <w:tab w:leader="none" w:pos="229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960" w:right="60" w:firstLine="910"/>
        <w:spacing w:after="0" w:line="259" w:lineRule="auto"/>
        <w:tabs>
          <w:tab w:leader="none" w:pos="228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92" w:lineRule="exact"/>
        <w:rPr>
          <w:rFonts w:ascii="Arial" w:cs="Arial" w:eastAsia="Arial" w:hAnsi="Arial"/>
          <w:sz w:val="18"/>
          <w:szCs w:val="18"/>
          <w:color w:val="auto"/>
        </w:rPr>
      </w:pPr>
    </w:p>
    <w:p>
      <w:pPr>
        <w:ind w:left="2820" w:hanging="428"/>
        <w:spacing w:after="0"/>
        <w:tabs>
          <w:tab w:leader="none" w:pos="2820" w:val="left"/>
        </w:tabs>
        <w:numPr>
          <w:ilvl w:val="3"/>
          <w:numId w:val="252"/>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ind w:left="2820" w:right="60"/>
        <w:spacing w:after="0" w:line="252" w:lineRule="auto"/>
        <w:rPr>
          <w:rFonts w:ascii="Arial" w:cs="Arial" w:eastAsia="Arial" w:hAnsi="Arial"/>
          <w:sz w:val="16"/>
          <w:szCs w:val="16"/>
          <w:color w:val="auto"/>
        </w:rPr>
      </w:pPr>
      <w:r>
        <w:rPr>
          <w:rFonts w:ascii="Arial" w:cs="Arial" w:eastAsia="Arial" w:hAnsi="Arial"/>
          <w:sz w:val="18"/>
          <w:szCs w:val="18"/>
          <w:color w:val="auto"/>
        </w:rPr>
        <w:t>(x) with respect to payments of interest under any Loan Document, executed copies of IRS Form W-8BEN or W-BEN-E (or successor form) establishing an exemption from, or reduction of, U.S. federal withholding Tax pursuant to the “interest” article of such tax treaty and (y) with respect to any other applicable payments under any Loan Document, IRS Form W-8BEN or W-8BEN-E (or successor form) establishing an exemption from, or reduction of, U.S. federal withholding Tax pursuant to the “business profits” or “other income” article of such tax treaty;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60" w:top="274" w:right="479" w:bottom="1440" w:gutter="0" w:footer="0" w:header="0"/>
        </w:sectPr>
      </w:pPr>
    </w:p>
    <w:bookmarkStart w:id="232" w:name="page233"/>
    <w:bookmarkEnd w:id="232"/>
    <w:p>
      <w:pPr>
        <w:ind w:left="1840" w:hanging="428"/>
        <w:spacing w:after="0"/>
        <w:tabs>
          <w:tab w:leader="none" w:pos="1840" w:val="left"/>
        </w:tabs>
        <w:numPr>
          <w:ilvl w:val="1"/>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executed copies of IRS Form W-8ECI;</w:t>
      </w:r>
    </w:p>
    <w:p>
      <w:pPr>
        <w:spacing w:after="0" w:line="130" w:lineRule="exact"/>
        <w:rPr>
          <w:rFonts w:ascii="Arial" w:cs="Arial" w:eastAsia="Arial" w:hAnsi="Arial"/>
          <w:sz w:val="18"/>
          <w:szCs w:val="18"/>
          <w:color w:val="auto"/>
        </w:rPr>
      </w:pPr>
    </w:p>
    <w:p>
      <w:pPr>
        <w:ind w:left="1840" w:hanging="428"/>
        <w:spacing w:after="0" w:line="273" w:lineRule="auto"/>
        <w:tabs>
          <w:tab w:leader="none" w:pos="184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 (c) of the Code, (x) a certificate substantially in the form of Exhibit G-1 to the effect that such Foreign Lender is not a “bank” within the meaning of Section 881(c)(3)(A) of the Code, a “10 percent shareholder” of the Borrower or any Affiliate within the meaning of Section 881(c)(3)(B) of the Code, or a “controlled foreign corporation” described in Section 881(c)(3)(C) of the Code (a “United States Tax Compliance Certificate”) and (y) executed copies of IRS Form W-8BEN or W-BEN-E (or successor form); or</w:t>
      </w:r>
    </w:p>
    <w:p>
      <w:pPr>
        <w:spacing w:after="0" w:line="83" w:lineRule="exact"/>
        <w:rPr>
          <w:rFonts w:ascii="Arial" w:cs="Arial" w:eastAsia="Arial" w:hAnsi="Arial"/>
          <w:sz w:val="17"/>
          <w:szCs w:val="17"/>
          <w:color w:val="auto"/>
        </w:rPr>
      </w:pPr>
    </w:p>
    <w:p>
      <w:pPr>
        <w:ind w:left="1840" w:right="20" w:hanging="428"/>
        <w:spacing w:after="0" w:line="272" w:lineRule="auto"/>
        <w:tabs>
          <w:tab w:leader="none" w:pos="184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executed copies of IRS Form W-8IMY, accompanied by IRS Form W-8ECI, IRS Form W-8BEN or W-8BEN-E (or successor form), a United States Tax Compliance Certificate substantially in the form of Exhibit G-2 or Exhibit G-3,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United States Tax Compliance Certificate substantially in the form of Exhibit G-4 on behalf of each such direct and indirect partner;</w:t>
      </w:r>
    </w:p>
    <w:p>
      <w:pPr>
        <w:spacing w:after="0" w:line="69" w:lineRule="exact"/>
        <w:rPr>
          <w:rFonts w:ascii="Arial" w:cs="Arial" w:eastAsia="Arial" w:hAnsi="Arial"/>
          <w:sz w:val="17"/>
          <w:szCs w:val="17"/>
          <w:color w:val="auto"/>
        </w:rPr>
      </w:pPr>
    </w:p>
    <w:p>
      <w:pPr>
        <w:ind w:left="-20" w:right="80" w:firstLine="910"/>
        <w:spacing w:after="0" w:line="293" w:lineRule="auto"/>
        <w:tabs>
          <w:tab w:leader="none" w:pos="1302"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000"/>
          </w:cols>
          <w:pgMar w:left="1440" w:top="274" w:right="459" w:bottom="1440" w:gutter="0" w:footer="0" w:header="0"/>
        </w:sectPr>
      </w:pPr>
    </w:p>
    <w:bookmarkStart w:id="233" w:name="page234"/>
    <w:bookmarkEnd w:id="233"/>
    <w:p>
      <w:pPr>
        <w:ind w:left="960" w:firstLine="910"/>
        <w:spacing w:after="0" w:line="270" w:lineRule="auto"/>
        <w:tabs>
          <w:tab w:leader="none" w:pos="2292" w:val="left"/>
        </w:tabs>
        <w:numPr>
          <w:ilvl w:val="2"/>
          <w:numId w:val="2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0" w:lineRule="exact"/>
        <w:rPr>
          <w:rFonts w:ascii="Arial" w:cs="Arial" w:eastAsia="Arial" w:hAnsi="Arial"/>
          <w:sz w:val="17"/>
          <w:szCs w:val="17"/>
          <w:color w:val="auto"/>
        </w:rPr>
      </w:pPr>
    </w:p>
    <w:p>
      <w:pPr>
        <w:ind w:left="-20" w:right="20" w:firstLine="1428"/>
        <w:spacing w:after="0" w:line="263" w:lineRule="auto"/>
        <w:tabs>
          <w:tab w:leader="none" w:pos="186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Each Lender agrees that if any form or certification it previously delivered pursuant to this Section 2.16(e) expires or becomes obsolete or inaccurate in any respect, it shall update such form or certification or promptly notify the Borrower and the Administrative Agent in writing of its legal inability to do so.</w:t>
      </w:r>
    </w:p>
    <w:p>
      <w:pPr>
        <w:spacing w:after="0" w:line="183" w:lineRule="exact"/>
        <w:rPr>
          <w:rFonts w:ascii="Arial" w:cs="Arial" w:eastAsia="Arial" w:hAnsi="Arial"/>
          <w:sz w:val="18"/>
          <w:szCs w:val="18"/>
          <w:color w:val="auto"/>
        </w:rPr>
      </w:pPr>
    </w:p>
    <w:p>
      <w:pPr>
        <w:ind w:left="-20" w:right="20" w:firstLine="987"/>
        <w:spacing w:after="0" w:line="285" w:lineRule="auto"/>
        <w:tabs>
          <w:tab w:leader="none" w:pos="1331"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2.16, it shall pay to such Loan Party an amount equal to such refund (but only to the extent of indemnity payments made, or additional amounts paid, by a Loan Party under this Section 2.16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Such Recipient shall, at the Borrower’s request, provide the Borrower with a copy of any notice of assessment or other evidence of the requirement to repay such refund received from the relevant Governmental Authority (provided that the Recipient may delete any information therein that Recipient deems confidential). This subsection shall not be construed to require any Recipient to make available its tax returns (or any other information relating to its taxes that it deems confidential) to any Loan Party or any other Person.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60" w:top="274" w:right="459" w:bottom="1440" w:gutter="0" w:footer="0" w:header="0"/>
        </w:sectPr>
      </w:pPr>
    </w:p>
    <w:bookmarkStart w:id="234" w:name="page235"/>
    <w:bookmarkEnd w:id="234"/>
    <w:p>
      <w:pPr>
        <w:ind w:left="1380" w:hanging="393"/>
        <w:spacing w:after="0"/>
        <w:tabs>
          <w:tab w:leader="none" w:pos="13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Section 2.16, the term “applicable law” includes FATCA.</w:t>
      </w:r>
    </w:p>
    <w:p>
      <w:pPr>
        <w:spacing w:after="0" w:line="225" w:lineRule="exact"/>
        <w:rPr>
          <w:rFonts w:ascii="Arial" w:cs="Arial" w:eastAsia="Arial" w:hAnsi="Arial"/>
          <w:sz w:val="18"/>
          <w:szCs w:val="18"/>
          <w:color w:val="auto"/>
        </w:rPr>
      </w:pPr>
    </w:p>
    <w:p>
      <w:pPr>
        <w:ind w:firstLine="987"/>
        <w:spacing w:after="0" w:line="263" w:lineRule="auto"/>
        <w:tabs>
          <w:tab w:leader="none" w:pos="1381"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2.16 shall survive the resignation or replacement of the Administrative Agent or any assignment of rights by, or the replacement of, a Lender, the termination of the Commitments and the repayment, satisfaction or discharge of all other Obligations.</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85" w:lineRule="auto"/>
        <w:tabs>
          <w:tab w:leader="none" w:pos="136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Borrower shall make each payment required to be made by it hereunder (whether of principal, interest, or fees, or of amounts payable under Section 2.14, 2.15 or 2.16, or otherwise) without condition or deduction for any counterclaim, defense, recoupment or setoff prior to 2:00 p.m., New York City time on the date when due, in Same Day Funds. Any amounts received after such time on any date may, in the discretion of the Administrative Agent, be deemed to have been received on the next succeeding Business Day for purposes of calculating interest thereon. All such payments shall be made in Dollars to the Administrative Agent at the Administrative Agent’s Office, except that payments pursuant to Sections 2.14,</w:t>
      </w:r>
    </w:p>
    <w:p>
      <w:pPr>
        <w:spacing w:after="0" w:line="1"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2.15, 2.16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92" w:lineRule="exact"/>
        <w:rPr>
          <w:rFonts w:ascii="Arial" w:cs="Arial" w:eastAsia="Arial" w:hAnsi="Arial"/>
          <w:sz w:val="16"/>
          <w:szCs w:val="16"/>
          <w:color w:val="auto"/>
        </w:rPr>
      </w:pPr>
    </w:p>
    <w:p>
      <w:pPr>
        <w:ind w:right="120" w:firstLine="987"/>
        <w:spacing w:after="0" w:line="257" w:lineRule="auto"/>
        <w:tabs>
          <w:tab w:leader="none" w:pos="138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based on the amount thereof among the parties entitled thereto in accordance with the amounts of interest and fees then due to such parties, and (ii) second, towards payment of principal then due hereunder, ratably based on the amount thereof among the parties entitled thereto in accordance with the amounts of principal then due to such parties.</w:t>
      </w:r>
    </w:p>
    <w:p>
      <w:pPr>
        <w:spacing w:after="0" w:line="187" w:lineRule="exact"/>
        <w:rPr>
          <w:rFonts w:ascii="Arial" w:cs="Arial" w:eastAsia="Arial" w:hAnsi="Arial"/>
          <w:sz w:val="18"/>
          <w:szCs w:val="18"/>
          <w:color w:val="auto"/>
        </w:rPr>
      </w:pPr>
    </w:p>
    <w:p>
      <w:pPr>
        <w:ind w:right="20" w:firstLine="987"/>
        <w:spacing w:after="0" w:line="269" w:lineRule="auto"/>
        <w:tabs>
          <w:tab w:leader="none" w:pos="137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in accordance with Section 9.04. The Borrower consents to the foregoing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235" w:name="page236"/>
    <w:bookmarkEnd w:id="235"/>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4" w:lineRule="exact"/>
        <w:rPr>
          <w:sz w:val="20"/>
          <w:szCs w:val="20"/>
          <w:color w:val="auto"/>
        </w:rPr>
      </w:pPr>
    </w:p>
    <w:p>
      <w:pPr>
        <w:ind w:right="20" w:firstLine="987"/>
        <w:spacing w:after="0" w:line="291" w:lineRule="auto"/>
        <w:tabs>
          <w:tab w:leader="none" w:pos="138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Same Day Funds with interest thereon, for each day from and including the date such amount is distributed to it to but excluding the date of payment to the Administrative Agent, at the Overnight Rate. A notice of the Administrative Agent to any Lender or the Borrower with respect to any amount owing under this subsection (d) shall be conclusive, absent manifest error.</w:t>
      </w:r>
    </w:p>
    <w:p>
      <w:pPr>
        <w:spacing w:after="0" w:line="166" w:lineRule="exact"/>
        <w:rPr>
          <w:rFonts w:ascii="Arial" w:cs="Arial" w:eastAsia="Arial" w:hAnsi="Arial"/>
          <w:sz w:val="16"/>
          <w:szCs w:val="16"/>
          <w:color w:val="auto"/>
        </w:rPr>
      </w:pPr>
    </w:p>
    <w:p>
      <w:pPr>
        <w:ind w:right="20" w:firstLine="987"/>
        <w:spacing w:after="0" w:line="273" w:lineRule="auto"/>
        <w:tabs>
          <w:tab w:leader="none" w:pos="1371"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pursuant to Section 2.06, 2.17 or 9.03,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The obligations of the Lenders hereunder to make Loans and to make payments are several and not joint. The failure of any Lender to make any Loan or to make any payment on any date required hereunder shall not relieve any other Lender of its corresponding obligation to do so on such date, and no Lender shall be responsible for the failure of any other Lender to so make its Loan or to make its payments.</w:t>
      </w:r>
    </w:p>
    <w:p>
      <w:pPr>
        <w:spacing w:after="0" w:line="28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90" w:lineRule="auto"/>
        <w:tabs>
          <w:tab w:leader="none" w:pos="137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If any Lender requests compensation under Section 2.14, or if the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2.14 or 2.16, as the case may be, in the future and (ii) would not subject such Lender to any unreimbursed cost or expense and would not otherwise be disadvantageous to such Lender. The Borrower hereby agrees to pay all reasonable out-of-pocket costs and expenses incurred by any Lender in connection with any such designation or assignment. Any Lender claiming reimbursement of such costs and expenses shall deliver to the Borrower a certificate setting forth such costs and expenses in reasonable detail which shall be conclusive absent manifest error.</w:t>
      </w:r>
    </w:p>
    <w:p>
      <w:pPr>
        <w:spacing w:after="0" w:line="165" w:lineRule="exact"/>
        <w:rPr>
          <w:rFonts w:ascii="Arial" w:cs="Arial" w:eastAsia="Arial" w:hAnsi="Arial"/>
          <w:sz w:val="16"/>
          <w:szCs w:val="16"/>
          <w:color w:val="auto"/>
        </w:rPr>
      </w:pPr>
    </w:p>
    <w:p>
      <w:pPr>
        <w:ind w:right="40" w:firstLine="987"/>
        <w:spacing w:after="0" w:line="308" w:lineRule="auto"/>
        <w:tabs>
          <w:tab w:leader="none" w:pos="138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If (1) any Lender requests compensation under Section 2.14, (2) the Borrower is required to pay any additional amount to any Lender or any Governmental Authority for the account of any Lender pursuant to Section 2.16, (3) any Lender is a Defaulting Lender, (4)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236" w:name="page237"/>
    <w:bookmarkEnd w:id="23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Lender fails to grant a consent in connection with any proposed change, waiver, discharge or termination of the provisions of this Agreement as contemplated by Section 9.02 for which the consent of each Lender or each affected Lender is required but the consent of the Required Lenders is obtained, or (5)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but excluding the consents required by, Section 9.04),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7" w:lineRule="exact"/>
        <w:rPr>
          <w:sz w:val="20"/>
          <w:szCs w:val="20"/>
          <w:color w:val="auto"/>
        </w:rPr>
      </w:pPr>
    </w:p>
    <w:p>
      <w:pPr>
        <w:ind w:right="60" w:firstLine="1428"/>
        <w:spacing w:after="0" w:line="277" w:lineRule="auto"/>
        <w:tabs>
          <w:tab w:leader="none" w:pos="178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specified in Section 9.04 (unless otherwise agreed by the Administrative Agent);</w:t>
      </w:r>
    </w:p>
    <w:p>
      <w:pPr>
        <w:spacing w:after="0" w:line="170" w:lineRule="exact"/>
        <w:rPr>
          <w:rFonts w:ascii="Arial" w:cs="Arial" w:eastAsia="Arial" w:hAnsi="Arial"/>
          <w:sz w:val="18"/>
          <w:szCs w:val="18"/>
          <w:color w:val="auto"/>
        </w:rPr>
      </w:pPr>
    </w:p>
    <w:p>
      <w:pPr>
        <w:ind w:firstLine="1428"/>
        <w:spacing w:after="0" w:line="311" w:lineRule="auto"/>
        <w:tabs>
          <w:tab w:leader="none" w:pos="183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such Lender shall have received payment of an amount equal to the outstanding principal of its Loans, accrued interest thereon, accrued fees and all other amounts payable to it hereunder and under the other Loan Documents (including any amounts under Section 2.15) from the assignee (to the extent of such outstanding principal and accrued interest and fees) or the Borrower (in the case of all other amounts);</w:t>
      </w:r>
    </w:p>
    <w:p>
      <w:pPr>
        <w:spacing w:after="0" w:line="148" w:lineRule="exact"/>
        <w:rPr>
          <w:rFonts w:ascii="Arial" w:cs="Arial" w:eastAsia="Arial" w:hAnsi="Arial"/>
          <w:sz w:val="16"/>
          <w:szCs w:val="16"/>
          <w:color w:val="auto"/>
        </w:rPr>
      </w:pPr>
    </w:p>
    <w:p>
      <w:pPr>
        <w:ind w:right="320" w:firstLine="1428"/>
        <w:spacing w:after="0" w:line="308" w:lineRule="auto"/>
        <w:tabs>
          <w:tab w:leader="none" w:pos="1882"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in the case of any such assignment resulting from a claim for compensation under Section 2.14 or payments required to be made pursuant to Section 2.16, such assignment will result in a reduction in such compensation or payments thereafter; and</w:t>
      </w:r>
    </w:p>
    <w:p>
      <w:pPr>
        <w:spacing w:after="0" w:line="146" w:lineRule="exact"/>
        <w:rPr>
          <w:rFonts w:ascii="Arial" w:cs="Arial" w:eastAsia="Arial" w:hAnsi="Arial"/>
          <w:sz w:val="17"/>
          <w:szCs w:val="17"/>
          <w:color w:val="auto"/>
        </w:rPr>
      </w:pPr>
    </w:p>
    <w:p>
      <w:pPr>
        <w:ind w:firstLine="1428"/>
        <w:spacing w:after="0" w:line="263" w:lineRule="auto"/>
        <w:tabs>
          <w:tab w:leader="none" w:pos="187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the case of an assignment resulting from an event described in clause (4) above, (A) the applicable assignee shall have consented to the applicable amendment, waiver or consent and (B) after giving effect to such assignment (and any other assignments made in connection therewith), each Lender shall have consented to the applicable amendment, waiver or consent;</w:t>
      </w:r>
    </w:p>
    <w:p>
      <w:pPr>
        <w:spacing w:after="0" w:line="183" w:lineRule="exact"/>
        <w:rPr>
          <w:rFonts w:ascii="Arial" w:cs="Arial" w:eastAsia="Arial" w:hAnsi="Arial"/>
          <w:sz w:val="18"/>
          <w:szCs w:val="18"/>
          <w:color w:val="auto"/>
        </w:rPr>
      </w:pPr>
    </w:p>
    <w:p>
      <w:pPr>
        <w:ind w:right="40" w:firstLine="1428"/>
        <w:spacing w:after="0" w:line="259" w:lineRule="auto"/>
        <w:tabs>
          <w:tab w:leader="none" w:pos="182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the case of an assignment resulting from a circumstance described in clause (5) above, (A) the applicable assignee shall be permitted under Law and licensed to make and maintain the Term Loan to the Borrower in accordance with the terms of this Agreement and (B) after giving effect to such assignment (and to any other assignments made in connection therewith), each Lender shall be permitted under applicable Law and licensed to make and maintain the Term Loan under this Agreement; and</w:t>
      </w:r>
    </w:p>
    <w:p>
      <w:pPr>
        <w:spacing w:after="0" w:line="186" w:lineRule="exact"/>
        <w:rPr>
          <w:rFonts w:ascii="Arial" w:cs="Arial" w:eastAsia="Arial" w:hAnsi="Arial"/>
          <w:sz w:val="18"/>
          <w:szCs w:val="18"/>
          <w:color w:val="auto"/>
        </w:rPr>
      </w:pPr>
    </w:p>
    <w:p>
      <w:pPr>
        <w:ind w:left="1860" w:hanging="432"/>
        <w:spacing w:after="0"/>
        <w:tabs>
          <w:tab w:leader="none" w:pos="18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from the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237" w:name="page238"/>
    <w:bookmarkEnd w:id="23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2.17, such Lender or the Administrative Agent, as the case may be, agrees to remit such excess to the Borrower.</w:t>
      </w:r>
    </w:p>
    <w:p>
      <w:pPr>
        <w:spacing w:after="0" w:line="28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u w:val="single" w:color="auto"/>
          <w:color w:val="auto"/>
        </w:rPr>
        <w:t>Defaulting Lender</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7" w:lineRule="auto"/>
        <w:tabs>
          <w:tab w:leader="none" w:pos="1371"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Defaulting Lender Adjustments</w:t>
      </w:r>
      <w:r>
        <w:rPr>
          <w:rFonts w:ascii="Arial" w:cs="Arial" w:eastAsia="Arial" w:hAnsi="Arial"/>
          <w:sz w:val="17"/>
          <w:szCs w:val="17"/>
          <w:color w:val="auto"/>
        </w:rPr>
        <w:t xml:space="preserve">. Notwithstanding anything to the contrary contained in this Agreement, if any Lender becomes a Defaulting Lender, then, until such time as such Lender is no longer a Defaulting Lender, to the extent permitted by applicable law,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4.02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238" w:name="page239"/>
    <w:bookmarkEnd w:id="238"/>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prepayments or other amounts paid or payable to a Defaulting Lender that are applied (or held) to pay amounts owed by a Defaulting Lender pursuant to this Section 2.20(a) shall be deemed paid to and redirected by such Defaulting Lender, and each Lender irrevocably consents hereto</w:t>
      </w:r>
    </w:p>
    <w:p>
      <w:pPr>
        <w:spacing w:after="0" w:line="146" w:lineRule="exact"/>
        <w:rPr>
          <w:sz w:val="20"/>
          <w:szCs w:val="20"/>
          <w:color w:val="auto"/>
        </w:rPr>
      </w:pPr>
    </w:p>
    <w:p>
      <w:pPr>
        <w:ind w:right="20" w:firstLine="987"/>
        <w:spacing w:after="0" w:line="271" w:lineRule="auto"/>
        <w:tabs>
          <w:tab w:leader="none" w:pos="1381"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 Commitments,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The Borrower represents and warrants to the Administrative Agent and the Lenders that (a) as of the Effective Date, the Specified Representations are true and correct in all material respects (except that any Specified Representation that is qualified by “materiality”, “material adverse effect” or a similar term shall be true and correct in all respects) and (b) as of the Closing Date, after giving effect to the Transactions (it being understood, in each case, that no representations or warranties relating to the Mylan Business shall be made prior to the consummation of the Combination), that:</w:t>
      </w:r>
    </w:p>
    <w:p>
      <w:pPr>
        <w:spacing w:after="0" w:line="188"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 Subsidiaries</w:t>
      </w:r>
      <w:r>
        <w:rPr>
          <w:rFonts w:ascii="Arial" w:cs="Arial" w:eastAsia="Arial" w:hAnsi="Arial"/>
          <w:sz w:val="16"/>
          <w:szCs w:val="16"/>
          <w:color w:val="auto"/>
        </w:rPr>
        <w:t>. The Borrower and its Material Subsidiaries are duly organized, validly existing and in good standing (to the extent such concept is applicable in the relevant jurisdiction) under the laws of the jurisdiction of its organization, have all requisite power and authority to carry on their respective business as now conducted and, except where the failure to do so, individually or in the aggregate, would not reasonably be expected to result in a Material Adverse Effect, are qualified to do business in, and are in good standing (to the extent such concept is applicable) in, every jurisdiction where such qualification is required. All of the outstanding shares of capital stock and other equity interests on the Closing Date, to the extent owned by the Borrower or any Subsidiary, of each Material Subsidiary are validly issued and outstanding and fully paid and nonassessable (if applicable) and all such shares and other equity interests are owned, beneficially and of record, by the Borrower or such other Subsidiary on the Closing Date free and clear of all Liens, other than Liens permitted under Section 6.02; provided that any untruth, misstatement or inaccuracy of the foregoing representation in this sentence shall only be deemed a breach of such representation to the extent such untruth, misstatement or inaccuracy is material to the interests of the Lenders. As of the Closing Date, there are no outstanding commitments or other obligations of the Borrower or any Subsidiary to issue, and no options, warrants or other rights of any Person other than the Borrower or any Subsidiary to acquire, any shares of any class of capital stock or other equity interests of any Material Subsidiary, except as disclosed on Schedule 3.01.</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239" w:name="page240"/>
    <w:bookmarkEnd w:id="239"/>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within each Loan Party’s corporate, limited liability company or partnership powers and have been duly authorized by all necessary corporate or other organizational and, if required, stockholder action. The Loan Documents have been duly executed and delivered by each Loan Party party thereto and constitute a legal, valid and binding obligation of each Loan Party party thereto, enforceable against such Loan Party in accordance with their terms, subject to applicable bankruptcy, insolvency, reorganization, moratorium or other Debtor Relief Laws and subject to general principles of equity, regardless of whether considered in a proceeding in equity or at law.</w:t>
      </w:r>
    </w:p>
    <w:p>
      <w:pPr>
        <w:spacing w:after="0" w:line="161"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for (A) the approvals, consents, registrations, actions and filings which have been duly obtained, taken, given or made and are in full force and effect and (B) those approvals, consents, registrations or other actions or filings, the failure of which to obtain or make would not reasonably be expected to have a Material Adverse Effect, (b) will not violate (i) any applicable law or regulation or order of any Governmental Authority or (ii) the charter, by-laws or other organizational documents of any Loan Party, (c) will not violate or result in a default under any indenture, agreement or other instrument binding upon any Loan Party or its assets, or give rise to a right thereunder to require any payment to be made by any Loan Party, and (d) will not result in the creation or imposition of any Lien on any material asset of any Loan Party (other than pursuant to the Loan Documents and Liens permitted by Section 6.02); except with respect to any violation or default referred to in clause (b)(i) or (c) above, to the extent that such violation or default would not reasonably be expected to have a Material Adverse Effect.</w:t>
      </w:r>
    </w:p>
    <w:p>
      <w:pPr>
        <w:spacing w:after="0" w:line="27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Financial Statements; Financial Condition; No Material Adverse Change</w:t>
      </w:r>
      <w:r>
        <w:rPr>
          <w:rFonts w:ascii="Arial" w:cs="Arial" w:eastAsia="Arial" w:hAnsi="Arial"/>
          <w:sz w:val="16"/>
          <w:szCs w:val="16"/>
          <w:color w:val="auto"/>
        </w:rPr>
        <w:t>.</w:t>
      </w:r>
    </w:p>
    <w:p>
      <w:pPr>
        <w:spacing w:after="0" w:line="117" w:lineRule="exact"/>
        <w:rPr>
          <w:sz w:val="20"/>
          <w:szCs w:val="20"/>
          <w:color w:val="auto"/>
        </w:rPr>
      </w:pPr>
    </w:p>
    <w:p>
      <w:pPr>
        <w:ind w:right="20" w:firstLine="987"/>
        <w:spacing w:after="0" w:line="293" w:lineRule="auto"/>
        <w:tabs>
          <w:tab w:leader="none" w:pos="136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Borrower has heretofore furnished to the Lenders (x) the combined balance sheets as of December 31, 2018 and December 31, 2019 of the Upjohn Business and combined statements of income, equity and cash flows of the Upjohn Business for each of the three fiscal years ended December 31, 2017, December 31, 2018 and December 31, 2019, in each case, reported on by KPMG LLP and (y) the unaudited financial statements as of, and for the fiscal quarter ended, March 29, 2020 and the other unaudited financial statements required to be delivered under Section 4.02(e), in each case certified by its chief financial officer which financial statements present fairly, in all material respects, the consolidated financial position and results of operations and cash flows of the Upjohn Business as of such dates and for such periods in accordance with GAAP.</w:t>
      </w:r>
    </w:p>
    <w:p>
      <w:pPr>
        <w:spacing w:after="0" w:line="164" w:lineRule="exact"/>
        <w:rPr>
          <w:rFonts w:ascii="Arial" w:cs="Arial" w:eastAsia="Arial" w:hAnsi="Arial"/>
          <w:sz w:val="16"/>
          <w:szCs w:val="16"/>
          <w:color w:val="auto"/>
        </w:rPr>
      </w:pPr>
    </w:p>
    <w:p>
      <w:pPr>
        <w:ind w:firstLine="987"/>
        <w:spacing w:after="0" w:line="301" w:lineRule="auto"/>
        <w:tabs>
          <w:tab w:leader="none" w:pos="138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3.04(b)</w:t>
      </w:r>
      <w:r>
        <w:rPr>
          <w:rFonts w:ascii="Arial" w:cs="Arial" w:eastAsia="Arial" w:hAnsi="Arial"/>
          <w:sz w:val="16"/>
          <w:szCs w:val="16"/>
          <w:color w:val="auto"/>
        </w:rPr>
        <w:t xml:space="preserve">, since December 31, 2019, there has been no material adverse change in the business, assets, properties or financial condition of the Borrower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period from the Effective Date through December 31, 2020, the impacts of the novel coronavirus COVID-19 pandemic on the business, assets, properties or financial condition of the Borrower and its Subsidiaries, taken as a whole, (i) that occurred prior to the Effective Date and that were publicly disclosed by the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240" w:name="page241"/>
    <w:bookmarkEnd w:id="240"/>
    <w:p>
      <w:pPr>
        <w:ind w:left="4" w:right="5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Borrower in its securities filings or disclosed to the Administrative Agent and the Lenders in writing prior to the Effective Date or (ii) that were reasonably foreseeable (in consequence and duration) as of the Effective Date in light of any event, development or circumstance described in the foregoing clause (i)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impacts described in this clause (ii) do not have a disproportionate impact on the Borrower and its Subsidiaries when compared to other comparably situated companies), will, in each case, be disregarded.</w:t>
      </w:r>
    </w:p>
    <w:p>
      <w:pPr>
        <w:spacing w:after="0" w:line="279"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117" w:lineRule="exact"/>
        <w:rPr>
          <w:sz w:val="20"/>
          <w:szCs w:val="20"/>
          <w:color w:val="auto"/>
        </w:rPr>
      </w:pPr>
    </w:p>
    <w:p>
      <w:pPr>
        <w:ind w:left="4" w:right="40" w:firstLine="987"/>
        <w:spacing w:after="0" w:line="259" w:lineRule="auto"/>
        <w:tabs>
          <w:tab w:leader="none" w:pos="137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Loan Party has good and marketable title to, or valid leasehold interests in, all its material real and personal property material to its business, except for minor defects in title that do not interfere with its ability to conduct its business as currently conducted or to utilize such properties for their intended purposes and except where the failure to have such title or interest would not reasonably be expected to have a Material Adverse Effect.</w:t>
      </w:r>
    </w:p>
    <w:p>
      <w:pPr>
        <w:spacing w:after="0" w:line="186" w:lineRule="exact"/>
        <w:rPr>
          <w:rFonts w:ascii="Arial" w:cs="Arial" w:eastAsia="Arial" w:hAnsi="Arial"/>
          <w:sz w:val="18"/>
          <w:szCs w:val="18"/>
          <w:color w:val="auto"/>
        </w:rPr>
      </w:pPr>
    </w:p>
    <w:p>
      <w:pPr>
        <w:jc w:val="both"/>
        <w:ind w:left="4" w:right="140" w:firstLine="987"/>
        <w:spacing w:after="0" w:line="279" w:lineRule="auto"/>
        <w:tabs>
          <w:tab w:leader="none" w:pos="1382"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Borrower and its Subsidiaries own, or are licensed or possesses the right to use, all trademarks, tradenames, copyrights, patents and other intellectual property material to the operation of the business of the Borrower and its Subsidiaries, taken as a whole, and, to the knowledge of the Borrower, the use thereof by the Borrower and its Subsidiaries does not infringe upon the rights of any other Person, except for any such infringements that, individually or in the aggregate, would not reasonably be expected to result in a Material Adverse Effect.</w:t>
      </w:r>
    </w:p>
    <w:p>
      <w:pPr>
        <w:spacing w:after="0" w:line="279"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75" w:lineRule="auto"/>
        <w:tabs>
          <w:tab w:leader="none" w:pos="1372"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There are no actions, suits or proceedings by or before any arbitrator or Governmental Authority pending against or, to the knowledge of the Borrower, threatened against or affecting the Borrower or any of its Subsidiaries as to which there is a reasonable possibility of an adverse determination that would reasonably be expected, individually or in the aggregate, to result in a Material Adverse Effect (other than the Disclosed Matters). There are no labor controversies pending against or, to the knowledge of the Borrower, threatened against or affecting the Borrower or any of its Subsidiaries which would reasonably be expected, individually or in the aggregate, to result in a Material Adverse Effect.</w:t>
      </w:r>
    </w:p>
    <w:p>
      <w:pPr>
        <w:spacing w:after="0" w:line="176" w:lineRule="exact"/>
        <w:rPr>
          <w:rFonts w:ascii="Arial" w:cs="Arial" w:eastAsia="Arial" w:hAnsi="Arial"/>
          <w:sz w:val="17"/>
          <w:szCs w:val="17"/>
          <w:color w:val="auto"/>
        </w:rPr>
      </w:pPr>
    </w:p>
    <w:p>
      <w:pPr>
        <w:ind w:left="4" w:right="460" w:firstLine="987"/>
        <w:spacing w:after="0" w:line="287" w:lineRule="auto"/>
        <w:tabs>
          <w:tab w:leader="none" w:pos="138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Except for the Disclosed Matters and except with respect to any other matters that, individually or in the aggregate, would not reasonably be expected to result in a Material Adverse Effect, neither the Borrower nor any of its Subsidiaries (i) has failed to comply with any applicable Environmental Law or to obtain, maintain or comply with any permit, license or other approval required under any Environmental Law,</w:t>
      </w:r>
    </w:p>
    <w:p>
      <w:pPr>
        <w:spacing w:after="0" w:line="2" w:lineRule="exact"/>
        <w:rPr>
          <w:rFonts w:ascii="Arial" w:cs="Arial" w:eastAsia="Arial" w:hAnsi="Arial"/>
          <w:sz w:val="16"/>
          <w:szCs w:val="16"/>
          <w:color w:val="auto"/>
        </w:rPr>
      </w:pPr>
    </w:p>
    <w:p>
      <w:pPr>
        <w:ind w:left="4" w:right="500" w:hanging="4"/>
        <w:spacing w:after="0" w:line="260" w:lineRule="auto"/>
        <w:tabs>
          <w:tab w:leader="none" w:pos="26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has become subject to any pending or known Environmental Liability, (iii) has received notice of any claim with respect to any Environmental Liability or (iv) knows of any basis for any Environmental Liability.</w:t>
      </w:r>
    </w:p>
    <w:p>
      <w:pPr>
        <w:spacing w:after="0" w:line="18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Except as set forth on Schedule 3.07, each of the Borrower and its Subsidiaries is in compliance with all laws, regulations and orders of any Governmental Authority applicable to it or its property and all agreements and other instruments (excluding agreements governing Indebtedness) binding upon it or its property, except where the failure to do so, individually or in the aggregate, would not reasonably be expected to result in a Material Adverse Effect.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4"/>
          </w:cols>
          <w:pgMar w:left="436" w:top="274" w:right="439" w:bottom="1440" w:gutter="0" w:footer="0" w:header="0"/>
        </w:sectPr>
      </w:pPr>
    </w:p>
    <w:bookmarkStart w:id="241" w:name="page242"/>
    <w:bookmarkEnd w:id="241"/>
    <w:p>
      <w:pPr>
        <w:ind w:left="4"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Borrower nor any other Loan Party is required to register as an “investment company” as defined in the Investment Company Act of 1940.</w:t>
      </w:r>
    </w:p>
    <w:p>
      <w:pPr>
        <w:spacing w:after="0" w:line="170"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Each of the Borrower and its Subsidiaries has filed or caused to be filed all Tax returns and reports required to have been filed and has paid or caused to be paid all Taxes (including any Taxes in the capacity of a withholding agent) required to have been paid by it, except</w:t>
      </w:r>
    </w:p>
    <w:p>
      <w:pPr>
        <w:jc w:val="both"/>
        <w:ind w:left="4" w:right="200" w:hanging="4"/>
        <w:spacing w:after="0" w:line="255" w:lineRule="auto"/>
        <w:tabs>
          <w:tab w:leader="none" w:pos="24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Taxes that are being contested in good faith by appropriate proceedings and for which the Borrower or such Subsidiary, as applicable, has set aside on its books reserves to the extent required by GAAP or (b) to the extent that the failure to do so would not reasonably be expected, individually or in the aggregate, to result in a Material Adverse Effect.</w:t>
      </w:r>
    </w:p>
    <w:p>
      <w:pPr>
        <w:spacing w:after="0" w:line="190"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Solvency</w:t>
      </w:r>
      <w:r>
        <w:rPr>
          <w:rFonts w:ascii="Arial" w:cs="Arial" w:eastAsia="Arial" w:hAnsi="Arial"/>
          <w:sz w:val="18"/>
          <w:szCs w:val="18"/>
          <w:color w:val="auto"/>
        </w:rPr>
        <w:t>. (a) On the Closing Date after giving effect to the Transactions, the Contribution, the Borrower Cash Distribution and the Distribution (but prior to the Combination), the Borrower and its Subsidiaries, on a consolidated basis, are Solvent and (b) from and after, as applicable, consummation of the Combination, after giving effect to the Combination Transactions, the Borrower and its Subsidiaries, on a consolidated basis, are Solvent.</w:t>
      </w:r>
    </w:p>
    <w:p>
      <w:pPr>
        <w:spacing w:after="0" w:line="187" w:lineRule="exact"/>
        <w:rPr>
          <w:sz w:val="20"/>
          <w:szCs w:val="20"/>
          <w:color w:val="auto"/>
        </w:rPr>
      </w:pPr>
    </w:p>
    <w:p>
      <w:pPr>
        <w:ind w:left="444"/>
        <w:spacing w:after="0"/>
        <w:tabs>
          <w:tab w:leader="none" w:pos="1704"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Disclosure</w:t>
      </w:r>
      <w:r>
        <w:rPr>
          <w:rFonts w:ascii="Arial" w:cs="Arial" w:eastAsia="Arial" w:hAnsi="Arial"/>
          <w:sz w:val="18"/>
          <w:szCs w:val="18"/>
          <w:color w:val="auto"/>
        </w:rPr>
        <w:t>. None of the reports, financial statements, certificates or other written information (excluding any financial projections or pro forma financial information and information of a general economic or general industry nature) furnished by or on behalf of the Borrower to the Administrative Agent or any Lender in connection with the negotiation of this Agreement or delivered hereunder (as modified or supplemented by other information so furnished), when taken as a whole and when taken together with the Borrower’s SEC filings at such time, contains as of the date such statement, information, document or certificate was so furnished any material misstatement of fact or omits to state any material fact necessary to make the statements therein, in the light of the circumstances under which they were made, not misleading. The projections and pro forma financial information contained in the materials referenced above have been prepared in good faith based upon assumptions believed by management of the Borrower to be reasonable at the time made, it being recognized by the Lenders that such financial information is not to be viewed as fact and that actual results during the period or periods covered by such financial information may differ from the projected results set forth therein by a material amount.</w:t>
      </w:r>
    </w:p>
    <w:p>
      <w:pPr>
        <w:spacing w:after="0" w:line="194" w:lineRule="exact"/>
        <w:rPr>
          <w:sz w:val="20"/>
          <w:szCs w:val="20"/>
          <w:color w:val="auto"/>
        </w:rPr>
      </w:pPr>
    </w:p>
    <w:p>
      <w:pPr>
        <w:ind w:left="4" w:right="400" w:firstLine="440"/>
        <w:spacing w:after="0" w:line="308"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Federal Reserve Regulations</w:t>
      </w:r>
      <w:r>
        <w:rPr>
          <w:rFonts w:ascii="Arial" w:cs="Arial" w:eastAsia="Arial" w:hAnsi="Arial"/>
          <w:sz w:val="17"/>
          <w:szCs w:val="17"/>
          <w:color w:val="auto"/>
        </w:rPr>
        <w:t>. No part of the proceeds of the Term Loan have been used or will be used, whether directly or indirectly, for any purpose that entails a violation of any of the Regulations of the Board, including Regulations T, U and X.</w:t>
      </w:r>
    </w:p>
    <w:p>
      <w:pPr>
        <w:spacing w:after="0" w:line="146"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PATRIOT Act</w:t>
      </w:r>
      <w:r>
        <w:rPr>
          <w:rFonts w:ascii="Arial" w:cs="Arial" w:eastAsia="Arial" w:hAnsi="Arial"/>
          <w:sz w:val="18"/>
          <w:szCs w:val="18"/>
          <w:color w:val="auto"/>
        </w:rPr>
        <w:t>. Each of the Loan Parties and each of their respective Subsidiaries are in compliance, in all material respects, with the Act. No part of the proceeds of the Term Loan will be used, directly or, to the knowledge of the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4" w:right="459" w:bottom="1440" w:gutter="0" w:footer="0" w:header="0"/>
        </w:sectPr>
      </w:pPr>
    </w:p>
    <w:bookmarkStart w:id="242" w:name="page243"/>
    <w:bookmarkEnd w:id="242"/>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3.15</w:t>
      </w:r>
      <w:r>
        <w:rPr>
          <w:sz w:val="20"/>
          <w:szCs w:val="20"/>
          <w:color w:val="auto"/>
        </w:rPr>
        <w:tab/>
      </w:r>
      <w:r>
        <w:rPr>
          <w:rFonts w:ascii="Arial" w:cs="Arial" w:eastAsia="Arial" w:hAnsi="Arial"/>
          <w:sz w:val="16"/>
          <w:szCs w:val="16"/>
          <w:u w:val="single" w:color="auto"/>
          <w:color w:val="auto"/>
        </w:rPr>
        <w:t>OFAC</w:t>
      </w:r>
      <w:r>
        <w:rPr>
          <w:rFonts w:ascii="Arial" w:cs="Arial" w:eastAsia="Arial" w:hAnsi="Arial"/>
          <w:sz w:val="16"/>
          <w:szCs w:val="16"/>
          <w:color w:val="auto"/>
        </w:rPr>
        <w:t>.</w:t>
      </w:r>
    </w:p>
    <w:p>
      <w:pPr>
        <w:spacing w:after="0" w:line="117" w:lineRule="exact"/>
        <w:rPr>
          <w:sz w:val="20"/>
          <w:szCs w:val="20"/>
          <w:color w:val="auto"/>
        </w:rPr>
      </w:pPr>
    </w:p>
    <w:p>
      <w:pPr>
        <w:ind w:right="180" w:firstLine="987"/>
        <w:spacing w:after="0" w:line="272" w:lineRule="auto"/>
        <w:tabs>
          <w:tab w:leader="none" w:pos="1371" w:val="left"/>
        </w:tabs>
        <w:numPr>
          <w:ilvl w:val="0"/>
          <w:numId w:val="270"/>
        </w:numPr>
        <w:rPr>
          <w:rFonts w:ascii="Arial" w:cs="Arial" w:eastAsia="Arial" w:hAnsi="Arial"/>
          <w:sz w:val="17"/>
          <w:szCs w:val="17"/>
          <w:color w:val="auto"/>
        </w:rPr>
      </w:pPr>
      <w:r>
        <w:rPr>
          <w:rFonts w:ascii="Arial" w:cs="Arial" w:eastAsia="Arial" w:hAnsi="Arial"/>
          <w:sz w:val="17"/>
          <w:szCs w:val="17"/>
          <w:color w:val="auto"/>
        </w:rPr>
        <w:t>Neither the Borrower, nor any Subsidiary is (i) a Person whose name appears on the list of Specially Designated Nationals and Blocked Persons published by OFAC (an “</w:t>
      </w:r>
      <w:r>
        <w:rPr>
          <w:rFonts w:ascii="Arial" w:cs="Arial" w:eastAsia="Arial" w:hAnsi="Arial"/>
          <w:sz w:val="17"/>
          <w:szCs w:val="17"/>
          <w:u w:val="single" w:color="auto"/>
          <w:color w:val="auto"/>
        </w:rPr>
        <w:t>OFAC Listed Person</w:t>
      </w:r>
      <w:r>
        <w:rPr>
          <w:rFonts w:ascii="Arial" w:cs="Arial" w:eastAsia="Arial" w:hAnsi="Arial"/>
          <w:sz w:val="17"/>
          <w:szCs w:val="17"/>
          <w:color w:val="auto"/>
        </w:rPr>
        <w:t>”) or a Person sanctioned by the United States of America pursuant to any of the regulations administered or enforced by OFAC (31 C.F.R., Subtitle B, Chapter V, as amended) or a Person whose name appears on any economic sanctions list administered by the European Union or Her Majesty’s Treasury (an “</w:t>
      </w:r>
      <w:r>
        <w:rPr>
          <w:rFonts w:ascii="Arial" w:cs="Arial" w:eastAsia="Arial" w:hAnsi="Arial"/>
          <w:sz w:val="17"/>
          <w:szCs w:val="17"/>
          <w:u w:val="single" w:color="auto"/>
          <w:color w:val="auto"/>
        </w:rPr>
        <w:t>EU/UK Listed Person</w:t>
      </w:r>
      <w:r>
        <w:rPr>
          <w:rFonts w:ascii="Arial" w:cs="Arial" w:eastAsia="Arial" w:hAnsi="Arial"/>
          <w:sz w:val="17"/>
          <w:szCs w:val="17"/>
          <w:color w:val="auto"/>
        </w:rPr>
        <w:t>”) or a Person that is the target of European Union or United Kingdom economic sanctions; or (ii) a department, agency or instrumentality of, or is otherwise controlled by or acting on behalf of, directly or indirectly, (x) any OFAC Listed Person or any EU/UK Listed Person, or (y) the government of a country the subject of comprehensive U.S. economic sanctions administered by OFAC (collectively, “</w:t>
      </w:r>
      <w:r>
        <w:rPr>
          <w:rFonts w:ascii="Arial" w:cs="Arial" w:eastAsia="Arial" w:hAnsi="Arial"/>
          <w:sz w:val="17"/>
          <w:szCs w:val="17"/>
          <w:u w:val="single" w:color="auto"/>
          <w:color w:val="auto"/>
        </w:rPr>
        <w:t>OFAC Countries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0" w:firstLine="987"/>
        <w:spacing w:after="0" w:line="254" w:lineRule="auto"/>
        <w:tabs>
          <w:tab w:leader="none" w:pos="137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Borrower represents and covenants that neither the Term Loan, nor the proceeds from the Term Loan, has been or will be used, directly or, to the knowledge of the Borrower, indirectly, to lend, contribute, provide or has otherwise been made or will otherwise be made available for the purpose of funding any activity or business in any OFAC Countries or for the purpose of funding any prohibited activity or business of any Person located, organized or residing in any OFAC Country or who is an OFAC Listed Person or an EU/UK Listed Person, absent valid and effective license and permits issued by the government of the United States or otherwise in accordance with applicable Laws, or in any other manner that will result in any material violation by any Lender, any Arranger or the Administrative Agent of the sanctions administered or enforced by OFAC (31 C.F.R., Subtitle B, Chapter V, as amended).</w:t>
      </w:r>
    </w:p>
    <w:p>
      <w:pPr>
        <w:spacing w:after="0" w:line="19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The information included in the Beneficial Ownership Certification, if applicable, is true and correct in all respects, as of the date such Beneficial Ownership Certification is delivered.</w:t>
      </w:r>
    </w:p>
    <w:p>
      <w:pPr>
        <w:spacing w:after="0" w:line="17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Representations as to Foreign Obligors</w:t>
      </w:r>
      <w:r>
        <w:rPr>
          <w:rFonts w:ascii="Arial" w:cs="Arial" w:eastAsia="Arial" w:hAnsi="Arial"/>
          <w:sz w:val="16"/>
          <w:szCs w:val="16"/>
          <w:color w:val="auto"/>
        </w:rPr>
        <w:t>. Each Foreign Obligor represents and warrants to the Administrative Agent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211" w:lineRule="exact"/>
        <w:rPr>
          <w:sz w:val="20"/>
          <w:szCs w:val="20"/>
          <w:color w:val="auto"/>
        </w:rPr>
      </w:pPr>
    </w:p>
    <w:p>
      <w:pPr>
        <w:ind w:firstLine="987"/>
        <w:spacing w:after="0" w:line="254" w:lineRule="auto"/>
        <w:tabs>
          <w:tab w:leader="none" w:pos="137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Such Foreign Obligor is subject to civil and commercial Laws with respect to its obligations under this Agreement and the other Loan Documents to which it is a party (collectively as to such Foreign Obligor, the “Applicable Foreign Obligor Documents”), and the execution, delivery and performance by such Foreign Obligor of the Applicable Foreign Obligor Documents constitute and will constitute private and commercial acts and not public or governmental acts. Neither such Foreign Obligor nor any of its property (other than, in case of a Foreign Obligor organized under the laws of the Netherlands, assets located in the Netherlands that are destined for public service and books and records)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91" w:lineRule="exact"/>
        <w:rPr>
          <w:rFonts w:ascii="Arial" w:cs="Arial" w:eastAsia="Arial" w:hAnsi="Arial"/>
          <w:sz w:val="18"/>
          <w:szCs w:val="18"/>
          <w:color w:val="auto"/>
        </w:rPr>
      </w:pPr>
    </w:p>
    <w:p>
      <w:pPr>
        <w:ind w:right="560" w:firstLine="987"/>
        <w:spacing w:after="0" w:line="277" w:lineRule="auto"/>
        <w:tabs>
          <w:tab w:leader="none" w:pos="137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Applicable Foreign Obligor Documents are in proper legal form under the Laws of the jurisdiction in which such Foreign Obligor is organized and existing for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243" w:name="page244"/>
    <w:bookmarkEnd w:id="243"/>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w:t>
      </w:r>
    </w:p>
    <w:p>
      <w:pPr>
        <w:spacing w:after="0" w:line="2" w:lineRule="exact"/>
        <w:rPr>
          <w:sz w:val="20"/>
          <w:szCs w:val="20"/>
          <w:color w:val="auto"/>
        </w:rPr>
      </w:pPr>
    </w:p>
    <w:p>
      <w:pPr>
        <w:ind w:left="4" w:right="20" w:hanging="4"/>
        <w:spacing w:after="0" w:line="260" w:lineRule="auto"/>
        <w:tabs>
          <w:tab w:leader="none" w:pos="21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85" w:lineRule="exact"/>
        <w:rPr>
          <w:rFonts w:ascii="Arial" w:cs="Arial" w:eastAsia="Arial" w:hAnsi="Arial"/>
          <w:sz w:val="18"/>
          <w:szCs w:val="18"/>
          <w:color w:val="auto"/>
        </w:rPr>
      </w:pPr>
    </w:p>
    <w:p>
      <w:pPr>
        <w:ind w:left="4" w:right="20" w:firstLine="987"/>
        <w:spacing w:after="0" w:line="279" w:lineRule="auto"/>
        <w:tabs>
          <w:tab w:leader="none" w:pos="1372" w:val="left"/>
        </w:tabs>
        <w:numPr>
          <w:ilvl w:val="1"/>
          <w:numId w:val="272"/>
        </w:numPr>
        <w:rPr>
          <w:rFonts w:ascii="Arial" w:cs="Arial" w:eastAsia="Arial" w:hAnsi="Arial"/>
          <w:sz w:val="17"/>
          <w:szCs w:val="17"/>
          <w:color w:val="auto"/>
        </w:rPr>
      </w:pPr>
      <w:r>
        <w:rPr>
          <w:rFonts w:ascii="Arial" w:cs="Arial" w:eastAsia="Arial" w:hAnsi="Arial"/>
          <w:sz w:val="17"/>
          <w:szCs w:val="17"/>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17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This Agreement shall become effective on and as of the first date on which the following conditions precedent have been satisfied:</w:t>
      </w:r>
    </w:p>
    <w:p>
      <w:pPr>
        <w:spacing w:after="0" w:line="170" w:lineRule="exact"/>
        <w:rPr>
          <w:sz w:val="20"/>
          <w:szCs w:val="20"/>
          <w:color w:val="auto"/>
        </w:rPr>
      </w:pPr>
    </w:p>
    <w:p>
      <w:pPr>
        <w:ind w:left="984"/>
        <w:spacing w:after="0"/>
        <w:tabs>
          <w:tab w:leader="none" w:pos="134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Administrative Agent (or its counsel) shall have received a counterpart of this Agreement duly executed and delivered by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4" w:right="20" w:firstLine="987"/>
        <w:spacing w:after="0" w:line="311" w:lineRule="auto"/>
        <w:tabs>
          <w:tab w:leader="none" w:pos="138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Specified Representations shall be true and correct in all material respects (except that any Specified Representation that is qualified by “materiality”, “material adverse effect” or a similar term shall be true and correct in all respects) as of the Effective Date. For the avoidance of doubt, no representations or warranties relating to the Mylan Business shall be made prior to the consummation of the Combination Transactions;</w:t>
      </w:r>
    </w:p>
    <w:p>
      <w:pPr>
        <w:spacing w:after="0" w:line="148" w:lineRule="exact"/>
        <w:rPr>
          <w:rFonts w:ascii="Arial" w:cs="Arial" w:eastAsia="Arial" w:hAnsi="Arial"/>
          <w:sz w:val="16"/>
          <w:szCs w:val="16"/>
          <w:color w:val="auto"/>
        </w:rPr>
      </w:pPr>
    </w:p>
    <w:p>
      <w:pPr>
        <w:ind w:left="4" w:right="720" w:firstLine="987"/>
        <w:spacing w:after="0" w:line="277" w:lineRule="auto"/>
        <w:tabs>
          <w:tab w:leader="none" w:pos="137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Administrative Agent shall have received the executed legal opinion letter of Cravath, Swaine &amp; Moore LLP, in a form reasonably satisfactory to the Administrative Agent;</w:t>
      </w:r>
    </w:p>
    <w:p>
      <w:pPr>
        <w:spacing w:after="0" w:line="170" w:lineRule="exact"/>
        <w:rPr>
          <w:rFonts w:ascii="Arial" w:cs="Arial" w:eastAsia="Arial" w:hAnsi="Arial"/>
          <w:sz w:val="18"/>
          <w:szCs w:val="18"/>
          <w:color w:val="auto"/>
        </w:rPr>
      </w:pPr>
    </w:p>
    <w:p>
      <w:pPr>
        <w:ind w:left="4" w:right="120" w:firstLine="987"/>
        <w:spacing w:after="0" w:line="263" w:lineRule="auto"/>
        <w:tabs>
          <w:tab w:leader="none" w:pos="138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customary closing documents and certificates as the Administrative Agent or its counsel may reasonably request relating to the organization, existence and good standing of the Borrower, the authorization of the Transactions and incumbency, all in form and substance reasonably satisfactory to the Administrative Agent and its counsel;</w:t>
      </w:r>
    </w:p>
    <w:p>
      <w:pPr>
        <w:spacing w:after="0" w:line="183" w:lineRule="exact"/>
        <w:rPr>
          <w:rFonts w:ascii="Arial" w:cs="Arial" w:eastAsia="Arial" w:hAnsi="Arial"/>
          <w:sz w:val="18"/>
          <w:szCs w:val="18"/>
          <w:color w:val="auto"/>
        </w:rPr>
      </w:pPr>
    </w:p>
    <w:p>
      <w:pPr>
        <w:ind w:left="4" w:right="280" w:firstLine="987"/>
        <w:spacing w:after="0" w:line="277" w:lineRule="auto"/>
        <w:tabs>
          <w:tab w:leader="none" w:pos="137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Administrative Agent shall have received at least three Business Days prior to the Effective Date all documentation and other information regarding the Borrower</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4"/>
          </w:cols>
          <w:pgMar w:left="436" w:top="274" w:right="479" w:bottom="1440" w:gutter="0" w:footer="0" w:header="0"/>
        </w:sectPr>
      </w:pPr>
    </w:p>
    <w:bookmarkStart w:id="244" w:name="page245"/>
    <w:bookmarkEnd w:id="244"/>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required by bank regulatory authorities under applicable “know-your-customer” and anti-money laundering rules and regulations, including the PATRIOT Act and the Beneficial Ownership Regulation, in each case to the extent reasonably requested at least ten Business Days prior to the Effective Date; and</w:t>
      </w:r>
    </w:p>
    <w:p>
      <w:pPr>
        <w:spacing w:after="0" w:line="184" w:lineRule="exact"/>
        <w:rPr>
          <w:sz w:val="20"/>
          <w:szCs w:val="20"/>
          <w:color w:val="auto"/>
        </w:rPr>
      </w:pPr>
    </w:p>
    <w:p>
      <w:pPr>
        <w:ind w:right="80" w:firstLine="987"/>
        <w:spacing w:after="0" w:line="311" w:lineRule="auto"/>
        <w:tabs>
          <w:tab w:leader="none" w:pos="1341"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All costs, fees, expenses (including legal fees and expenses) to the extent invoiced at least two Business Days prior to the Effective Date and the fees contemplated by the Fee Letters payable to the Arrangers, the Administrative Agent or the Lenders shall have been paid on or prior to the Effective Date, in each case, to the extent required by the Fee Letters or the Loan Documents to be paid on or prior to the Effective Date.</w:t>
      </w:r>
    </w:p>
    <w:p>
      <w:pPr>
        <w:spacing w:after="0" w:line="14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Without limiting the generality of the provisions of the sub-clause (e)(v) of clause (c) of Article VIII,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5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Conditions Precedent to Closing Date</w:t>
      </w:r>
      <w:r>
        <w:rPr>
          <w:rFonts w:ascii="Arial" w:cs="Arial" w:eastAsia="Arial" w:hAnsi="Arial"/>
          <w:sz w:val="18"/>
          <w:szCs w:val="18"/>
          <w:color w:val="auto"/>
        </w:rPr>
        <w:t>. The occurrence of the Closing Date and the obligations of the Lenders to make the Term Loan on the Closing Date are, in each case, subject to each of the following conditions being satisfied:</w:t>
      </w:r>
    </w:p>
    <w:p>
      <w:pPr>
        <w:spacing w:after="0" w:line="170" w:lineRule="exact"/>
        <w:rPr>
          <w:sz w:val="20"/>
          <w:szCs w:val="20"/>
          <w:color w:val="auto"/>
        </w:rPr>
      </w:pPr>
    </w:p>
    <w:p>
      <w:pPr>
        <w:ind w:right="100" w:firstLine="987"/>
        <w:spacing w:after="0" w:line="291" w:lineRule="auto"/>
        <w:tabs>
          <w:tab w:leader="none" w:pos="136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from a Responsible Officer of the Borrower certifying that (a) the conditions to the Combination set forth in the Business Combination Agreement (without giving effect to any modifications, consents, amendments or waivers thereto by Mylan that in each case are materially adverse to the interests of the Lenders or the Arrangers, in their capacities as such, unless the Arrangers shall have provided their written consent thereto (such consent not to be unreasonably withheld, conditioned or delayed)), in each case, other than such conditions that by their nature are to be satisfied upon the closing of such transaction, have been satisfied or waived or are expected to be satisfied and waived on the Closing Date or one Business Day thereafter and (b) the Distribution is expected to be, the Combination is expected to be and the Contribution has been or is expected to be consummated on the Closing Date or one Business Day thereafter;</w:t>
      </w:r>
    </w:p>
    <w:p>
      <w:pPr>
        <w:spacing w:after="0" w:line="166" w:lineRule="exact"/>
        <w:rPr>
          <w:rFonts w:ascii="Arial" w:cs="Arial" w:eastAsia="Arial" w:hAnsi="Arial"/>
          <w:sz w:val="16"/>
          <w:szCs w:val="16"/>
          <w:color w:val="auto"/>
        </w:rPr>
      </w:pPr>
    </w:p>
    <w:p>
      <w:pPr>
        <w:ind w:right="160" w:firstLine="987"/>
        <w:spacing w:after="0" w:line="286" w:lineRule="auto"/>
        <w:tabs>
          <w:tab w:leader="none" w:pos="1378"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certificate attesting to the Solvency of the Borrower and its Subsidiaries (taken as a whole) on the Closing Date after giving effect to the Transactions, the Contribution, the Borrower Cash Distribution and the Distribution (but prior to the Combination) in or substantially in the form attached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hereto, from a Financial Officer of the Borrower;</w:t>
      </w:r>
    </w:p>
    <w:p>
      <w:pPr>
        <w:spacing w:after="0" w:line="165" w:lineRule="exact"/>
        <w:rPr>
          <w:rFonts w:ascii="Arial" w:cs="Arial" w:eastAsia="Arial" w:hAnsi="Arial"/>
          <w:sz w:val="17"/>
          <w:szCs w:val="17"/>
          <w:color w:val="auto"/>
        </w:rPr>
      </w:pPr>
    </w:p>
    <w:p>
      <w:pPr>
        <w:ind w:firstLine="987"/>
        <w:spacing w:after="0" w:line="277" w:lineRule="auto"/>
        <w:tabs>
          <w:tab w:leader="none" w:pos="136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Administrative Agent shall have received Notes executed by the Borrower in favor of each Lender requesting Notes at least three Business Days prior to the Closing Date;</w:t>
      </w:r>
    </w:p>
    <w:p>
      <w:pPr>
        <w:spacing w:after="0" w:line="170" w:lineRule="exact"/>
        <w:rPr>
          <w:rFonts w:ascii="Arial" w:cs="Arial" w:eastAsia="Arial" w:hAnsi="Arial"/>
          <w:sz w:val="18"/>
          <w:szCs w:val="18"/>
          <w:color w:val="auto"/>
        </w:rPr>
      </w:pPr>
    </w:p>
    <w:p>
      <w:pPr>
        <w:ind w:right="300" w:firstLine="987"/>
        <w:spacing w:after="0" w:line="277" w:lineRule="auto"/>
        <w:tabs>
          <w:tab w:leader="none" w:pos="137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All costs, fees, expenses (including legal fees and expenses) to the extent invoiced at least two Business Days prior to the Closing Date and the fees contemplated by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245" w:name="page246"/>
    <w:bookmarkEnd w:id="245"/>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Fee Letters payable to the Arrangers, the Administrative Agent or the Lenders shall have been paid on or prior to the Closing Date, in each case, to the extent required by the Fee Letters or the Loan Documents to be paid on or prior to the Closing Date;</w:t>
      </w:r>
    </w:p>
    <w:p>
      <w:pPr>
        <w:spacing w:after="0" w:line="170" w:lineRule="exact"/>
        <w:rPr>
          <w:sz w:val="20"/>
          <w:szCs w:val="20"/>
          <w:color w:val="auto"/>
        </w:rPr>
      </w:pPr>
    </w:p>
    <w:p>
      <w:pPr>
        <w:jc w:val="both"/>
        <w:ind w:left="4" w:right="100" w:firstLine="987"/>
        <w:spacing w:after="0" w:line="285" w:lineRule="auto"/>
        <w:tabs>
          <w:tab w:leader="none" w:pos="1372"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The Administrative Agent shall have received (i) audited consolidated balance sheets of the Mylan Business for each of its two most recent fiscal years and audited consolidated statements of income and cash flows of the Mylan Business for each of its three most recent fiscal years, in each case, ended at least 60 days prior to the Closing Date and unaudited financial statements of the Mylan Business for any quarterly interim period or periods (other than the fourth fiscal quarter) ended after the date of its most recent audited financial statements (and corresponding periods of any prior year) and more than 40 days prior to the Closing Date (with respect to which independent auditors shall have performed a SAS 100 review) and</w:t>
      </w:r>
    </w:p>
    <w:p>
      <w:pPr>
        <w:spacing w:after="0" w:line="1" w:lineRule="exact"/>
        <w:rPr>
          <w:rFonts w:ascii="Arial" w:cs="Arial" w:eastAsia="Arial" w:hAnsi="Arial"/>
          <w:sz w:val="16"/>
          <w:szCs w:val="16"/>
          <w:color w:val="auto"/>
        </w:rPr>
      </w:pPr>
    </w:p>
    <w:p>
      <w:pPr>
        <w:ind w:left="4" w:right="40" w:hanging="4"/>
        <w:spacing w:after="0" w:line="287" w:lineRule="auto"/>
        <w:tabs>
          <w:tab w:leader="none" w:pos="26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audited combined balance sheets of the Upjohn Business for each of its two most recent fiscal years and audited combined statements of income and cash flows of the Upjohn Business for each of its three most recent fiscal years, in each case, ended at least 90 days prior to the Closing Date and unaudited financial statements of the Upjohn Business for any quarterly interim period or periods (other than the fourth fiscal quarter) ended after the date of its most recent audited financial statements (and corresponding periods of any prior year) and more than 90 days prior to the Closing Date (with respect to which independent auditors shall have performed a SAS 100 or equivalent review). The Administrative Agent hereby acknowledges that the public filing with the Securities and Exchange Commission under the Securities Exchange Act of 1934, as amended, of any of the foregoing financial statements will satisfy the requirements of this paragraph and hereby acknowledge receipt of the financial statements of the Upjohn Business as of, and for (i) the three fiscal years ended December 31, 2019 and (ii) the fiscal quarter ended March 29, 2020;</w:t>
      </w:r>
    </w:p>
    <w:p>
      <w:pPr>
        <w:spacing w:after="0" w:line="169" w:lineRule="exact"/>
        <w:rPr>
          <w:rFonts w:ascii="Arial" w:cs="Arial" w:eastAsia="Arial" w:hAnsi="Arial"/>
          <w:sz w:val="16"/>
          <w:szCs w:val="16"/>
          <w:color w:val="auto"/>
        </w:rPr>
      </w:pPr>
    </w:p>
    <w:p>
      <w:pPr>
        <w:ind w:left="1344" w:hanging="353"/>
        <w:spacing w:after="0"/>
        <w:tabs>
          <w:tab w:leader="none" w:pos="1344" w:val="left"/>
        </w:tabs>
        <w:numPr>
          <w:ilvl w:val="1"/>
          <w:numId w:val="277"/>
        </w:numPr>
        <w:rPr>
          <w:rFonts w:ascii="Arial" w:cs="Arial" w:eastAsia="Arial" w:hAnsi="Arial"/>
          <w:sz w:val="17"/>
          <w:szCs w:val="17"/>
          <w:color w:val="auto"/>
        </w:rPr>
      </w:pPr>
      <w:r>
        <w:rPr>
          <w:rFonts w:ascii="Arial" w:cs="Arial" w:eastAsia="Arial" w:hAnsi="Arial"/>
          <w:sz w:val="17"/>
          <w:szCs w:val="17"/>
          <w:color w:val="auto"/>
        </w:rPr>
        <w:t>At the time of and upon giving effect to the Borrowing and application of the proceeds of the Term Loan on the Closing Date,</w:t>
      </w:r>
    </w:p>
    <w:p>
      <w:pPr>
        <w:spacing w:after="0" w:line="35" w:lineRule="exact"/>
        <w:rPr>
          <w:sz w:val="20"/>
          <w:szCs w:val="20"/>
          <w:color w:val="auto"/>
        </w:rPr>
      </w:pPr>
    </w:p>
    <w:p>
      <w:pPr>
        <w:ind w:left="4" w:hanging="4"/>
        <w:spacing w:after="0" w:line="270" w:lineRule="auto"/>
        <w:tabs>
          <w:tab w:leader="none" w:pos="25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Combination Transaction Representation shall be true and correct as of the Closing Date (but only to the extent that Mylan has the right to terminate its obligation to consummate the Combination (or otherwise does not have an obligation to close) under the Business Combination Agreement as a result of a failure of such representations in the Business Combination Agreement to be accurate), (y) the Specified Representations shall be true and correct in all material respects (except that any Specified Representation that is qualified by “materiality”, “material adverse effect” or a similar term shall be true and correct in all respects) as of the Closing Date and (z) there shall not exist any Event of Default under clause (a), (b), (h), (i) or (j) of Article VII with respect to the Borrower under this Agreement;</w:t>
      </w:r>
    </w:p>
    <w:p>
      <w:pPr>
        <w:spacing w:after="0" w:line="178" w:lineRule="exact"/>
        <w:rPr>
          <w:rFonts w:ascii="Arial" w:cs="Arial" w:eastAsia="Arial" w:hAnsi="Arial"/>
          <w:sz w:val="17"/>
          <w:szCs w:val="17"/>
          <w:color w:val="auto"/>
        </w:rPr>
      </w:pPr>
    </w:p>
    <w:p>
      <w:pPr>
        <w:ind w:left="4" w:right="560" w:firstLine="987"/>
        <w:spacing w:after="0" w:line="277" w:lineRule="auto"/>
        <w:tabs>
          <w:tab w:leader="none" w:pos="138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signed by a Responsible Officer of the Borrower certifying that the conditions set forth in the preceding clause (f) have been satisfied;</w:t>
      </w:r>
    </w:p>
    <w:p>
      <w:pPr>
        <w:spacing w:after="0" w:line="170" w:lineRule="exact"/>
        <w:rPr>
          <w:rFonts w:ascii="Arial" w:cs="Arial" w:eastAsia="Arial" w:hAnsi="Arial"/>
          <w:sz w:val="18"/>
          <w:szCs w:val="18"/>
          <w:color w:val="auto"/>
        </w:rPr>
      </w:pPr>
    </w:p>
    <w:p>
      <w:pPr>
        <w:ind w:left="4" w:firstLine="987"/>
        <w:spacing w:after="0" w:line="279" w:lineRule="auto"/>
        <w:tabs>
          <w:tab w:leader="none" w:pos="1385" w:val="left"/>
        </w:tabs>
        <w:numPr>
          <w:ilvl w:val="1"/>
          <w:numId w:val="278"/>
        </w:numPr>
        <w:rPr>
          <w:rFonts w:ascii="Arial" w:cs="Arial" w:eastAsia="Arial" w:hAnsi="Arial"/>
          <w:sz w:val="17"/>
          <w:szCs w:val="17"/>
          <w:color w:val="auto"/>
        </w:rPr>
      </w:pPr>
      <w:r>
        <w:rPr>
          <w:rFonts w:ascii="Arial" w:cs="Arial" w:eastAsia="Arial" w:hAnsi="Arial"/>
          <w:sz w:val="17"/>
          <w:szCs w:val="17"/>
          <w:color w:val="auto"/>
        </w:rPr>
        <w:t xml:space="preserve">Except as otherwise disclosed or identified in (a) the Pluto SEC Documents (as defined in the Business Combination Agreement as in effect as of the date hereof) filed or furnished with the SEC (as defined in the Business Combination Agreement as in effect as of the date hereof) on or prior to the date hereof (excluding any risk factor disclosure and disclosure of risks included in any “forward-looking statements” disclaimer included in such Pluto SEC Documents that are predictive, forward-looking or primarily cautionary in nature);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246" w:name="page247"/>
    <w:bookmarkEnd w:id="24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exception shall apply only to the extent that the relevance of such disclosure to the applicable representation and warranty is reasonably apparent on its face, or (b) the Spinco Disclosure Schedule (as defined in the Business Combination Agreement as in effect as of the date hereof) (it being understood that any information set forth in one section or subsection of the Spinco Disclosure Schedule shall be deemed to apply to and qualify the representation and warranty set forth in the Section of the Business Combination Agreement to which it corresponds in number and, whether or not an explicit reference or cross-reference is made, each other representation and warranty set forth in each other Section of Article V or Article VI of the Business Combination Agreement for which it is reasonably apparent on the face of such information that such information is relevant to such other Section), since December 31, 2018, there has not been any change, event, development, occurrence or effect that would reasonably be expected to have, individually or in the aggregate, a Spinco Material Adverse Effect (as defined in the Business Combination Agreement as in effect as of the date hereof); and</w:t>
      </w:r>
    </w:p>
    <w:p>
      <w:pPr>
        <w:spacing w:after="0" w:line="196" w:lineRule="exact"/>
        <w:rPr>
          <w:sz w:val="20"/>
          <w:szCs w:val="20"/>
          <w:color w:val="auto"/>
        </w:rPr>
      </w:pPr>
    </w:p>
    <w:p>
      <w:pPr>
        <w:ind w:left="1340" w:hanging="353"/>
        <w:spacing w:after="0"/>
        <w:tabs>
          <w:tab w:leader="none" w:pos="13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 duly completed and executed by the Borrower.</w:t>
      </w:r>
    </w:p>
    <w:p>
      <w:pPr>
        <w:spacing w:after="0" w:line="225"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Applicable only from and after the consummation of the Combination and until the Commitment has expired or been terminated and the principal of and interest on the Term Loan and all fees payable hereunder shall have been paid in full, the Borrower covenants and agrees with the Administrative Agent and the Lenders that:</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(who shall promptly furnish a copy to each Lender):</w:t>
      </w:r>
    </w:p>
    <w:p>
      <w:pPr>
        <w:spacing w:after="0" w:line="170" w:lineRule="exact"/>
        <w:rPr>
          <w:sz w:val="20"/>
          <w:szCs w:val="20"/>
          <w:color w:val="auto"/>
        </w:rPr>
      </w:pPr>
    </w:p>
    <w:p>
      <w:pPr>
        <w:ind w:right="60" w:firstLine="987"/>
        <w:spacing w:after="0" w:line="293" w:lineRule="auto"/>
        <w:tabs>
          <w:tab w:leader="none" w:pos="1371"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as soon as available, but in any event within ninety (90) days after the end of each fiscal year of the Borrower, the audited consolidated balance sheet of the Borrower and its Consolidated Subsidiaries and related statements of operations, stockholders’ equity and cash flows as of the end of and for such year,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of the Borrower and its Consolidated Subsidiaries on a consolidated basis in accordance with GAAP;</w:t>
      </w:r>
    </w:p>
    <w:p>
      <w:pPr>
        <w:spacing w:after="0" w:line="164" w:lineRule="exact"/>
        <w:rPr>
          <w:rFonts w:ascii="Arial" w:cs="Arial" w:eastAsia="Arial" w:hAnsi="Arial"/>
          <w:sz w:val="16"/>
          <w:szCs w:val="16"/>
          <w:color w:val="auto"/>
        </w:rPr>
      </w:pPr>
    </w:p>
    <w:p>
      <w:pPr>
        <w:jc w:val="both"/>
        <w:ind w:right="140" w:firstLine="987"/>
        <w:spacing w:after="0" w:line="259" w:lineRule="auto"/>
        <w:tabs>
          <w:tab w:leader="none" w:pos="138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as soon as available, but in any event within forty-five (45) days after the end of each of the first three fiscal quarters of each fiscal year of the Borrower, the unaudited consolidated balance sheet of the Borrower and its Consolidated Subsidiaries and related statements of operations and cash flows as of the end of and for such fiscal quarter and the then elapsed portion of the fiscal year, setting forth in each case in comparative form the figures for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247" w:name="page248"/>
    <w:bookmarkEnd w:id="247"/>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corresponding period or periods of (or, in the case of the balance sheet, as of the end of) the previous fiscal year, all certified by one of its Financial Officers as presenting fairly in all material respects the financial position and results of operations of the Borrower and its Consolidated Subsidiaries on a consolidated basis in accordance with GAAP, subject to normal year-end audit adjustments and the absence of footnotes;</w:t>
      </w:r>
    </w:p>
    <w:p>
      <w:pPr>
        <w:spacing w:after="0" w:line="165" w:lineRule="exact"/>
        <w:rPr>
          <w:sz w:val="20"/>
          <w:szCs w:val="20"/>
          <w:color w:val="auto"/>
        </w:rPr>
      </w:pPr>
    </w:p>
    <w:p>
      <w:pPr>
        <w:ind w:right="120" w:firstLine="987"/>
        <w:spacing w:after="0" w:line="259" w:lineRule="auto"/>
        <w:tabs>
          <w:tab w:leader="none" w:pos="137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clause (a) or (b) above, a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executed by a Financial Officer (x) certifying as to whether, to the knowledge of such Financial Officer after reasonable inquiry, a Default has occurred and is continuing and, if so, specifying the details thereof and any action taken or proposed to be taken with respect thereto; and (y) setting forth reasonably detailed calculations demonstrating compliance with Section 6.07;</w:t>
      </w:r>
    </w:p>
    <w:p>
      <w:pPr>
        <w:spacing w:after="0" w:line="186" w:lineRule="exact"/>
        <w:rPr>
          <w:rFonts w:ascii="Arial" w:cs="Arial" w:eastAsia="Arial" w:hAnsi="Arial"/>
          <w:sz w:val="18"/>
          <w:szCs w:val="18"/>
          <w:color w:val="auto"/>
        </w:rPr>
      </w:pPr>
    </w:p>
    <w:p>
      <w:pPr>
        <w:ind w:left="1380" w:hanging="393"/>
        <w:spacing w:after="0"/>
        <w:tabs>
          <w:tab w:leader="none" w:pos="13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80" w:firstLine="987"/>
        <w:spacing w:after="0" w:line="308" w:lineRule="auto"/>
        <w:tabs>
          <w:tab w:leader="none" w:pos="137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annual, quarterly and current reports and proxy statements filed by the Borrower or any Subsidiary with the SEC, or any Governmental Authority succeeding to any or all of the functions of the SEC; and</w:t>
      </w:r>
    </w:p>
    <w:p>
      <w:pPr>
        <w:spacing w:after="0" w:line="146" w:lineRule="exact"/>
        <w:rPr>
          <w:rFonts w:ascii="Arial" w:cs="Arial" w:eastAsia="Arial" w:hAnsi="Arial"/>
          <w:sz w:val="17"/>
          <w:szCs w:val="17"/>
          <w:color w:val="auto"/>
        </w:rPr>
      </w:pPr>
    </w:p>
    <w:p>
      <w:pPr>
        <w:ind w:firstLine="987"/>
        <w:spacing w:after="0" w:line="263" w:lineRule="auto"/>
        <w:tabs>
          <w:tab w:leader="none" w:pos="135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Subsidiary, or compliance with the terms of this Agreement, as the Administrative Agent or any Lender (through the Administrative Agent) may reasonably request.</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Financial statements and other information required to be delivered pursuant to Sections 5.01(a), 5.01(b) and 5.01(e) shall be deemed to have been delivered if such statements and information shall have been posted by the Borrower on its website or shall have been posted on IntraLinks or similar site to which all of the Lenders have been granted access or are publicly available on the SEC’s website pursuant to the EDGAR system.</w:t>
      </w:r>
    </w:p>
    <w:p>
      <w:pPr>
        <w:spacing w:after="0" w:line="14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Borrower acknowledges that (a) the Administrative Agent and/or the Arrangers may, but shall not be obligated to, make available to the Lenders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such information on DebtDomain, IntraLinks, Syndtrak, ClearPar, or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may be “public side” Lenders (</w:t>
      </w:r>
      <w:r>
        <w:rPr>
          <w:rFonts w:ascii="Arial" w:cs="Arial" w:eastAsia="Arial" w:hAnsi="Arial"/>
          <w:sz w:val="18"/>
          <w:szCs w:val="18"/>
          <w:u w:val="single" w:color="auto"/>
          <w:color w:val="auto"/>
        </w:rPr>
        <w:t>i.e.</w:t>
      </w:r>
      <w:r>
        <w:rPr>
          <w:rFonts w:ascii="Arial" w:cs="Arial" w:eastAsia="Arial" w:hAnsi="Arial"/>
          <w:sz w:val="18"/>
          <w:szCs w:val="18"/>
          <w:color w:val="auto"/>
        </w:rPr>
        <w:t>, Lenders that do not wish to receive material non-public information with respect to the Borrower, its Subsidiaries or their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The Borrower agrees to identify that portion of the information to be provided to Public Lenders hereunder as “PUBLIC” and that such information will not contain material non-public information relating to the Borrower or its Subsidiaries (or any of their securities).</w:t>
      </w:r>
    </w:p>
    <w:p>
      <w:pPr>
        <w:spacing w:after="0" w:line="1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(for prompt notification to each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prompt (but in any event within five (5) Business Days) written notice after any Financial Officer obtains knowledge of the following:</w:t>
      </w:r>
    </w:p>
    <w:p>
      <w:pPr>
        <w:spacing w:after="0" w:line="211"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occurrence of any continuing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248" w:name="page249"/>
    <w:bookmarkEnd w:id="248"/>
    <w:p>
      <w:pPr>
        <w:ind w:right="500" w:firstLine="987"/>
        <w:spacing w:after="0" w:line="308" w:lineRule="auto"/>
        <w:tabs>
          <w:tab w:leader="none" w:pos="1381" w:val="left"/>
        </w:tabs>
        <w:numPr>
          <w:ilvl w:val="0"/>
          <w:numId w:val="2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filing or commencement of any action, suit or proceeding by or before any arbitrator or Governmental Authority against or affecting the Borrower or any Subsidiary thereof that would reasonably be expected to result in a Material Adverse Effect; and</w:t>
      </w:r>
    </w:p>
    <w:p>
      <w:pPr>
        <w:spacing w:after="0" w:line="146" w:lineRule="exact"/>
        <w:rPr>
          <w:rFonts w:ascii="Arial" w:cs="Arial" w:eastAsia="Arial" w:hAnsi="Arial"/>
          <w:sz w:val="17"/>
          <w:szCs w:val="17"/>
          <w:color w:val="auto"/>
        </w:rPr>
      </w:pPr>
    </w:p>
    <w:p>
      <w:pPr>
        <w:ind w:right="280" w:firstLine="987"/>
        <w:spacing w:after="0" w:line="277" w:lineRule="auto"/>
        <w:tabs>
          <w:tab w:leader="none" w:pos="137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would reasonably be expected to result in a Material Adverse Effect.</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The Borrower will, and will cause each of its Material Subsidiaries to, do or cause to be done all things necessary to preserve, renew and keep in full force and effect (i) its legal existence, and (ii) the rights, licenses, permits, privileges and franchises material to the conduct of its business, except, in the case of the preceding clause (ii), to the extent that the failure to do so would not reasonably be expected to have a Material Adverse Effect; provided that the foregoing shall not prohibit any transaction that is not otherwise prohibited under Section 6.03.</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Borrower will, and will cause each of its Subsidiaries to, pay its obligations (other than Indebtedness), including Tax liabilities, before the same shall become delinquent or in default, except where (a) (i) the validity or amount thereof is being contested in good faith by appropriate proceedings and (ii) the Borrower or such Subsidiary has set aside on its books reserves with respect thereto to the extent required by GAAP or (b) the failure to make payment would not reasonably be expected to, individually or in the aggregate, result in a Material Adverse Effect.</w:t>
      </w:r>
    </w:p>
    <w:p>
      <w:pPr>
        <w:spacing w:after="0" w:line="188" w:lineRule="exact"/>
        <w:rPr>
          <w:sz w:val="20"/>
          <w:szCs w:val="20"/>
          <w:color w:val="auto"/>
        </w:rPr>
      </w:pPr>
    </w:p>
    <w:p>
      <w:pPr>
        <w:ind w:right="380" w:firstLine="440"/>
        <w:spacing w:after="0" w:line="275"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 Insurance</w:t>
      </w:r>
      <w:r>
        <w:rPr>
          <w:rFonts w:ascii="Arial" w:cs="Arial" w:eastAsia="Arial" w:hAnsi="Arial"/>
          <w:sz w:val="17"/>
          <w:szCs w:val="17"/>
          <w:color w:val="auto"/>
        </w:rPr>
        <w:t>. The Borrower will, and will cause each of its Material Subsidiaries to, (a) keep and maintain all Property material to the conduct of its business in good working order and condition, ordinary wear and tear excepted and casualty or condemnation excepted, except if the failure to do so would not reasonably be expected to have a Material Adverse Effect, and (b) maintain, with financially sound and reputable insurance companies or through self-insurance, insurance in such amounts and against such risks as are customarily maintained by companies engaged in the same or similar businesses operating in the same or similar locations.</w:t>
      </w:r>
    </w:p>
    <w:p>
      <w:pPr>
        <w:spacing w:after="0" w:line="176"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Inspection Rights</w:t>
      </w:r>
      <w:r>
        <w:rPr>
          <w:rFonts w:ascii="Arial" w:cs="Arial" w:eastAsia="Arial" w:hAnsi="Arial"/>
          <w:sz w:val="17"/>
          <w:szCs w:val="17"/>
          <w:color w:val="auto"/>
        </w:rPr>
        <w:t>. The Borrower will, and will cause each of its Subsidiaries to, permit any representatives designated by the Administrative Agent or, during the continuance of an Event of Default, any Lender, upon reasonable prior notice, to visit and inspect its properties, to examine and make extracts from its books and records, and to discuss its affairs, finances and condition with its senior officers and use commercially reasonable efforts to make its independent accountants available to discuss the affairs, finances and condition of the Borrower, all at such reasonable times and as often as reasonably requested and in all cases subject to applicable Law and the terms of applicable confidentiality agreements and to the extent the Borrower reasonably determines that such inspection, examination or discussion will not violate or result in the waiver of any attorney-client privilege ; provided that (i) the Lenders will conduct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249" w:name="page250"/>
    <w:bookmarkEnd w:id="249"/>
    <w:p>
      <w:pPr>
        <w:jc w:val="both"/>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requests for visits and inspections through the Administrative Agent and (ii) unless an Event of Default has occurred and is continuing, such visits and inspections can occur no more frequently than once per year. The Administrative Agent and the Lenders shall give the Borrower the opportunity to participate in any discussions with the Borrower’s independent accountants.</w:t>
      </w:r>
    </w:p>
    <w:p>
      <w:pPr>
        <w:spacing w:after="0" w:line="184"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of its Subsidiaries to, comply with all laws, rules, regulations and orders of any Governmental Authority applicable to it or its property (including Environmental Laws), except where the failure to do so, individually or in the aggregate, would not reasonably be expected to result in a Material Adverse Effect.</w:t>
      </w:r>
    </w:p>
    <w:p>
      <w:pPr>
        <w:spacing w:after="0" w:line="184"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Term Loans will be used (a) to finance a portion of the Borrower Cash Distribution and</w:t>
      </w:r>
    </w:p>
    <w:p>
      <w:pPr>
        <w:spacing w:after="0" w:line="23" w:lineRule="exact"/>
        <w:rPr>
          <w:sz w:val="20"/>
          <w:szCs w:val="20"/>
          <w:color w:val="auto"/>
        </w:rPr>
      </w:pPr>
    </w:p>
    <w:p>
      <w:pPr>
        <w:ind w:left="4" w:right="60" w:hanging="4"/>
        <w:spacing w:after="0" w:line="323" w:lineRule="auto"/>
        <w:tabs>
          <w:tab w:leader="none" w:pos="259"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to pay fees and expenses associated with the Transactions and the Combination Transactions. No part of the proceeds of the Term Loan will be used, whether directly or indirectly, for any purpose that entails a violation of any of the Regulations of the Board, including Regulations T, U and X.</w:t>
      </w:r>
    </w:p>
    <w:p>
      <w:pPr>
        <w:spacing w:after="0" w:line="138" w:lineRule="exact"/>
        <w:rPr>
          <w:sz w:val="20"/>
          <w:szCs w:val="20"/>
          <w:color w:val="auto"/>
        </w:rPr>
      </w:pPr>
    </w:p>
    <w:p>
      <w:pPr>
        <w:ind w:left="4" w:firstLine="440"/>
        <w:spacing w:after="0" w:line="267"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Guarantees</w:t>
      </w:r>
      <w:r>
        <w:rPr>
          <w:rFonts w:ascii="Arial" w:cs="Arial" w:eastAsia="Arial" w:hAnsi="Arial"/>
          <w:sz w:val="17"/>
          <w:szCs w:val="17"/>
          <w:color w:val="auto"/>
        </w:rPr>
        <w:t>. (a) (i) In the event that any Subsidiary of the Borrower (other than an Excluded Finco or a Receivables Entity) incurs or guarantees (x) any Indebtedness of the Borrower, owed to a Person other than any Subsidiary, in excess of an aggregate principal amount of $500,000,000 for all such Indebtedness of such Subsidiary with respect to the Borrower (such Indebtedness of such Subsidiary with respect to the Borrower, “</w:t>
      </w:r>
      <w:r>
        <w:rPr>
          <w:rFonts w:ascii="Arial" w:cs="Arial" w:eastAsia="Arial" w:hAnsi="Arial"/>
          <w:sz w:val="17"/>
          <w:szCs w:val="17"/>
          <w:u w:val="single" w:color="auto"/>
          <w:color w:val="auto"/>
        </w:rPr>
        <w:t>Triggering Indebtedness</w:t>
      </w:r>
      <w:r>
        <w:rPr>
          <w:rFonts w:ascii="Arial" w:cs="Arial" w:eastAsia="Arial" w:hAnsi="Arial"/>
          <w:sz w:val="17"/>
          <w:szCs w:val="17"/>
          <w:color w:val="auto"/>
        </w:rPr>
        <w:t xml:space="preserve">”) or (y) Mylan Notes in excess of an aggregate principal amount of $500,000,000 and (ii) if Finco ceases to be an Excluded Finco and would otherwise satisfy clause (a)(i) above, then, in each case, the Borrower shall cause each such Subsidiary to Guarantee the Obligations in favor of the Administrative Agent for the benefit of the Administrative Agent and the Lenders and shall cause each such Subsidiary to deliver to the Administrative Agent (A) a joinder to this Agreement in or substantially in the form attached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(each such joinder, a “</w:t>
      </w:r>
      <w:r>
        <w:rPr>
          <w:rFonts w:ascii="Arial" w:cs="Arial" w:eastAsia="Arial" w:hAnsi="Arial"/>
          <w:sz w:val="17"/>
          <w:szCs w:val="17"/>
          <w:u w:val="single" w:color="auto"/>
          <w:color w:val="auto"/>
        </w:rPr>
        <w:t>Guarantor</w:t>
      </w:r>
      <w:r>
        <w:rPr>
          <w:rFonts w:ascii="Arial" w:cs="Arial" w:eastAsia="Arial" w:hAnsi="Arial"/>
          <w:sz w:val="17"/>
          <w:szCs w:val="17"/>
          <w:color w:val="auto"/>
        </w:rPr>
        <w:t xml:space="preserve"> </w:t>
      </w:r>
      <w:r>
        <w:rPr>
          <w:rFonts w:ascii="Arial" w:cs="Arial" w:eastAsia="Arial" w:hAnsi="Arial"/>
          <w:sz w:val="17"/>
          <w:szCs w:val="17"/>
          <w:u w:val="single" w:color="auto"/>
          <w:color w:val="auto"/>
        </w:rPr>
        <w:t>Joinder Agreement</w:t>
      </w:r>
      <w:r>
        <w:rPr>
          <w:rFonts w:ascii="Arial" w:cs="Arial" w:eastAsia="Arial" w:hAnsi="Arial"/>
          <w:sz w:val="17"/>
          <w:szCs w:val="17"/>
          <w:color w:val="auto"/>
        </w:rPr>
        <w:t>”) duly executed and delivered by such Subsidiary, (B) all documents and other information reasonably requested by the Lenders in order to allow the Lenders to comply with the Act and the Beneficial Ownership Regulation, (C) customary legal opinions substantially similar to those delivered pursuant to Section 4.01(d) (with such changes as may be appropriate to reflect local law concerns), (D) customary closing documents substantially similar to those delivered pursuant to Section 4.01(e) and (E) other documentation required under applicable Laws (it being understood that any such guarantee of Indebtedness by such Subsidiary shall be subject to the provisions of Section 6.01 of this Agreement). In the event that (1) the Administrative Agent receives evidence reasonably satisfactory to it that any Guarantor (other than Finco) has been or will concurrently be released from, or otherwise not be an issuer or guarantor in respect of, (i) Triggering Indebtedness of such Guarantor and (ii) Mylan Notes in excess of an aggregate principal amount of $500,000,000, or (2) Finco becomes an Excluded Finco, then, in each case, at the request of the Borrower, such Guarantor shall be released from the Guarantee Agreement (and, for the avoidance of doubt, such release shall not require the approval of the Lenders) so long as at the time of and after giving effect to such release and all such concurrent releases, all of such Guarantor’s then outstanding Indebtedness would then be permitted to be incurred at such time under Section 6.01 (treating, for this purpose, all Indebtedness of such Guarantor as being incurred at the time of such release).</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4"/>
          </w:cols>
          <w:pgMar w:left="436" w:top="274" w:right="459" w:bottom="1440" w:gutter="0" w:footer="0" w:header="0"/>
        </w:sectPr>
      </w:pPr>
    </w:p>
    <w:bookmarkStart w:id="250" w:name="page251"/>
    <w:bookmarkEnd w:id="250"/>
    <w:p>
      <w:pPr>
        <w:jc w:val="both"/>
        <w:ind w:right="140" w:firstLine="987"/>
        <w:spacing w:after="0" w:line="257" w:lineRule="auto"/>
        <w:tabs>
          <w:tab w:leader="none" w:pos="1378" w:val="left"/>
        </w:tabs>
        <w:numPr>
          <w:ilvl w:val="0"/>
          <w:numId w:val="2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Borrower shall, not later than one Business Day after the consummation of the Combination, cause each Mylan Guarantor and each other Guarantor to Guarantee the Obligations in favor of the Administrative Agent for the benefit of the Administrative Agent and the Lenders in accordance with Section 5.09(a) and deliver (or cause to be delivered) the documents referred to in Section 5.09(a);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Guarantee of each Mylan Guarantor and each other Guarantor shall be subject to release in accordance with Section 5.09(a) and clause (i) of Article VIII.</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Applicable only from and after the consummation of the Combination until the Commitment has expired or terminated and the principal of and interest on the Term Loan and all fees payable hereunder have been paid in full, the Borrower covenants and agrees with the Administrative Agent and the Lenders that:</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The Borrower will not permit any Subsidiary that is not a Loan Party to create, incur, assume or permit to exist any Indebtedness, except:</w:t>
      </w:r>
    </w:p>
    <w:p>
      <w:pPr>
        <w:spacing w:after="0" w:line="170" w:lineRule="exact"/>
        <w:rPr>
          <w:sz w:val="20"/>
          <w:szCs w:val="20"/>
          <w:color w:val="auto"/>
        </w:rPr>
      </w:pPr>
    </w:p>
    <w:p>
      <w:pPr>
        <w:ind w:left="1360" w:hanging="373"/>
        <w:spacing w:after="0"/>
        <w:tabs>
          <w:tab w:leader="none" w:pos="13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225" w:lineRule="exact"/>
        <w:rPr>
          <w:rFonts w:ascii="Arial" w:cs="Arial" w:eastAsia="Arial" w:hAnsi="Arial"/>
          <w:sz w:val="18"/>
          <w:szCs w:val="18"/>
          <w:color w:val="auto"/>
        </w:rPr>
      </w:pPr>
    </w:p>
    <w:p>
      <w:pPr>
        <w:ind w:right="260" w:firstLine="987"/>
        <w:spacing w:after="0" w:line="263" w:lineRule="auto"/>
        <w:tabs>
          <w:tab w:leader="none" w:pos="138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that could be incurred on the Closing Date pursuant to commitments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as contemplated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Permitted Refinancing Indebtedness in respect of Indebtedness permitted by this clause (b);</w:t>
      </w:r>
    </w:p>
    <w:p>
      <w:pPr>
        <w:spacing w:after="0" w:line="183" w:lineRule="exact"/>
        <w:rPr>
          <w:rFonts w:ascii="Arial" w:cs="Arial" w:eastAsia="Arial" w:hAnsi="Arial"/>
          <w:sz w:val="18"/>
          <w:szCs w:val="18"/>
          <w:color w:val="auto"/>
        </w:rPr>
      </w:pPr>
    </w:p>
    <w:p>
      <w:pPr>
        <w:ind w:right="80" w:firstLine="987"/>
        <w:spacing w:after="0" w:line="263" w:lineRule="auto"/>
        <w:tabs>
          <w:tab w:leader="none" w:pos="137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 Indebtedness of any Subsidiary that is not a Loan Party owing to (x) a Loan Party or (y) any other Subsidiary; and (ii) Guarantees of Indebtedness of any Loan Party or any Subsidiary by any other Subsidiary, to the extent such Indebtedness is otherwise permitted under this Agreement;</w:t>
      </w:r>
    </w:p>
    <w:p>
      <w:pPr>
        <w:spacing w:after="0" w:line="183" w:lineRule="exact"/>
        <w:rPr>
          <w:rFonts w:ascii="Arial" w:cs="Arial" w:eastAsia="Arial" w:hAnsi="Arial"/>
          <w:sz w:val="18"/>
          <w:szCs w:val="18"/>
          <w:color w:val="auto"/>
        </w:rPr>
      </w:pPr>
    </w:p>
    <w:p>
      <w:pPr>
        <w:ind w:firstLine="987"/>
        <w:spacing w:after="0" w:line="284" w:lineRule="auto"/>
        <w:tabs>
          <w:tab w:leader="none" w:pos="138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(i) Indebtedness incurred to finance the acquisition, construction, repair, replacement or improvement of any fixed or capital assets, including Capital Lease Obligations and any Indebtedness assumed in connection with the acquisition of any such assets or secured by a Lien on any such assets prior to the acquisition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Indebtedness is incurred prior to or within two hundred seventy (270) days after such acquisition or the completion of such construction, repair, replacement or improvement and (B) the aggregate principal amount of Indebtedness permitted by this clause (d) shall not exceed the greater of (x) $375,000,000 and (y) 1.05% of Consolidated Total Assets, determined as of the last day of the most recent fiscal quarter prior to the date such Indebtedness is incurred for which financial statements have been delivered pursuant to</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5.01(a) or (b) and (ii) any Permitted Refinancing Indebtedness in respect of Indebtedness permitted by clause (i) of this clause (d);</w:t>
      </w:r>
    </w:p>
    <w:p>
      <w:pPr>
        <w:spacing w:after="0" w:line="210" w:lineRule="exact"/>
        <w:rPr>
          <w:rFonts w:ascii="Arial" w:cs="Arial" w:eastAsia="Arial" w:hAnsi="Arial"/>
          <w:sz w:val="16"/>
          <w:szCs w:val="16"/>
          <w:color w:val="auto"/>
        </w:rPr>
      </w:pPr>
    </w:p>
    <w:p>
      <w:pPr>
        <w:ind w:right="20" w:firstLine="987"/>
        <w:spacing w:after="0" w:line="263" w:lineRule="auto"/>
        <w:tabs>
          <w:tab w:leader="none" w:pos="137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Indebtedness in respect of letters of credit (including trade letters of credit), bank guarantees or similar instruments issued or incurred in the ordinary course of business, including in respect of card obligations or any overdraft and related liabilities arising from treasury, depository and cash management services or any automated clearing house transfers, workers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251" w:name="page252"/>
    <w:bookmarkEnd w:id="251"/>
    <w:p>
      <w:pPr>
        <w:ind w:left="4"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compensation claims, health, disability or other employee benefits or property, casualty or liability insurance or self-insurance or other Indebtedness with respect to reimbursement-type obligations regarding workers compensation claims;</w:t>
      </w:r>
    </w:p>
    <w:p>
      <w:pPr>
        <w:spacing w:after="0" w:line="170" w:lineRule="exact"/>
        <w:rPr>
          <w:sz w:val="20"/>
          <w:szCs w:val="20"/>
          <w:color w:val="auto"/>
        </w:rPr>
      </w:pPr>
    </w:p>
    <w:p>
      <w:pPr>
        <w:ind w:left="4" w:right="180" w:firstLine="987"/>
        <w:spacing w:after="0" w:line="263" w:lineRule="auto"/>
        <w:tabs>
          <w:tab w:leader="none" w:pos="1355"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Indebtedness incurred pursuant to Permitted Receivables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Attributable Receivables Indebtedness thereunder shall not exceed at any time outstanding (x) $750,000,000, in the case of all Domestic Subsidiaries and (y) $750,000,000, in the case of all other Subsidiaries;</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Indebtedness under Swap Agreements entered into in the ordinary course of business and not for speculative purposes;</w:t>
      </w:r>
    </w:p>
    <w:p>
      <w:pPr>
        <w:spacing w:after="0" w:line="225" w:lineRule="exact"/>
        <w:rPr>
          <w:rFonts w:ascii="Arial" w:cs="Arial" w:eastAsia="Arial" w:hAnsi="Arial"/>
          <w:sz w:val="18"/>
          <w:szCs w:val="18"/>
          <w:color w:val="auto"/>
        </w:rPr>
      </w:pPr>
    </w:p>
    <w:p>
      <w:pPr>
        <w:ind w:left="4" w:right="400" w:firstLine="987"/>
        <w:spacing w:after="0" w:line="259" w:lineRule="auto"/>
        <w:tabs>
          <w:tab w:leader="none" w:pos="1385"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Indebtedness in respect of bid, performance, surety, stay, customs, appeal or replevin bonds or performance and completion guarantees and similar obligations issued or incurred in the ordinary course of business, including guarantees or obligations of any Subsidiary with respect to letters of credit, bank guarantees or similar instruments supporting such obligation, in each case, not in connection with Indebtedness for money borrowed;</w:t>
      </w:r>
    </w:p>
    <w:p>
      <w:pPr>
        <w:spacing w:after="0" w:line="186" w:lineRule="exact"/>
        <w:rPr>
          <w:rFonts w:ascii="Arial" w:cs="Arial" w:eastAsia="Arial" w:hAnsi="Arial"/>
          <w:sz w:val="18"/>
          <w:szCs w:val="18"/>
          <w:color w:val="auto"/>
        </w:rPr>
      </w:pPr>
    </w:p>
    <w:p>
      <w:pPr>
        <w:ind w:left="1344" w:hanging="353"/>
        <w:spacing w:after="0"/>
        <w:tabs>
          <w:tab w:leader="none" w:pos="1344"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Indebtedness in respect of judgments, decrees, attachments or awards that do not constitute an Event of Default under clause (k)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Article VII;</w:t>
      </w:r>
    </w:p>
    <w:p>
      <w:pPr>
        <w:spacing w:after="0" w:line="210" w:lineRule="exact"/>
        <w:rPr>
          <w:rFonts w:ascii="Arial" w:cs="Arial" w:eastAsia="Arial" w:hAnsi="Arial"/>
          <w:sz w:val="16"/>
          <w:szCs w:val="16"/>
          <w:color w:val="auto"/>
        </w:rPr>
      </w:pPr>
    </w:p>
    <w:p>
      <w:pPr>
        <w:ind w:left="4" w:right="60" w:firstLine="987"/>
        <w:spacing w:after="0" w:line="342" w:lineRule="auto"/>
        <w:tabs>
          <w:tab w:leader="none" w:pos="1345"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Indebtedness consisting of bona fide purchase price adjustments, earn-outs, indemnification obligations, obligations under deferred compensation or similar arrangements and similar items incurred in connection with acquisitions and asset sales not prohibited by Section 6.05 or 6.03;</w:t>
      </w:r>
    </w:p>
    <w:p>
      <w:pPr>
        <w:spacing w:after="0" w:line="123" w:lineRule="exact"/>
        <w:rPr>
          <w:rFonts w:ascii="Arial" w:cs="Arial" w:eastAsia="Arial" w:hAnsi="Arial"/>
          <w:sz w:val="16"/>
          <w:szCs w:val="16"/>
          <w:color w:val="auto"/>
        </w:rPr>
      </w:pPr>
    </w:p>
    <w:p>
      <w:pPr>
        <w:ind w:left="4" w:right="140" w:firstLine="987"/>
        <w:spacing w:after="0" w:line="287" w:lineRule="auto"/>
        <w:tabs>
          <w:tab w:leader="none" w:pos="1385"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Indebtedness in respect of letters of credit denominated in currencies other than Dollars in an aggregate amount outstanding not to exceed the greater of the foreign currency equivalent of (x) $325,000,000 and (y) 0.85% of Consolidated Total Assets, determined as of the last day of the most recent fiscal quarter prior to the date such Indebtedness is incurred for which financial statements have been delivered pursuant to</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5.01(a) or (b);</w:t>
      </w:r>
    </w:p>
    <w:p>
      <w:pPr>
        <w:spacing w:after="0" w:line="210" w:lineRule="exact"/>
        <w:rPr>
          <w:rFonts w:ascii="Arial" w:cs="Arial" w:eastAsia="Arial" w:hAnsi="Arial"/>
          <w:sz w:val="16"/>
          <w:szCs w:val="16"/>
          <w:color w:val="auto"/>
        </w:rPr>
      </w:pPr>
    </w:p>
    <w:p>
      <w:pPr>
        <w:ind w:left="4" w:right="780" w:firstLine="987"/>
        <w:spacing w:after="0" w:line="277" w:lineRule="auto"/>
        <w:tabs>
          <w:tab w:leader="none" w:pos="1345"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Indebtedness in respect of card obligations, netting services, overdraft protections and similar arrangements in each case in connection with deposit accounts;</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286"/>
        </w:numPr>
        <w:rPr>
          <w:rFonts w:ascii="Arial" w:cs="Arial" w:eastAsia="Arial" w:hAnsi="Arial"/>
          <w:sz w:val="17"/>
          <w:szCs w:val="17"/>
          <w:color w:val="auto"/>
        </w:rPr>
      </w:pPr>
      <w:r>
        <w:rPr>
          <w:rFonts w:ascii="Arial" w:cs="Arial" w:eastAsia="Arial" w:hAnsi="Arial"/>
          <w:sz w:val="17"/>
          <w:szCs w:val="17"/>
          <w:color w:val="auto"/>
        </w:rPr>
        <w:t>Indebtedness consisting of (x) the financing of insurance premiums with the providers of such insurance or their affiliates or</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take-or-pay obligations contained in supply arrangements, in each case, in the ordinary course of business;</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Foreign Jurisdiction Deposits;</w:t>
      </w:r>
    </w:p>
    <w:p>
      <w:pPr>
        <w:spacing w:after="0" w:line="225" w:lineRule="exact"/>
        <w:rPr>
          <w:rFonts w:ascii="Arial" w:cs="Arial" w:eastAsia="Arial" w:hAnsi="Arial"/>
          <w:sz w:val="18"/>
          <w:szCs w:val="18"/>
          <w:color w:val="auto"/>
        </w:rPr>
      </w:pPr>
    </w:p>
    <w:p>
      <w:pPr>
        <w:ind w:left="4" w:firstLine="987"/>
        <w:spacing w:after="0" w:line="273" w:lineRule="auto"/>
        <w:tabs>
          <w:tab w:leader="none" w:pos="1385" w:val="left"/>
        </w:tabs>
        <w:numPr>
          <w:ilvl w:val="1"/>
          <w:numId w:val="287"/>
        </w:numPr>
        <w:rPr>
          <w:rFonts w:ascii="Arial" w:cs="Arial" w:eastAsia="Arial" w:hAnsi="Arial"/>
          <w:sz w:val="17"/>
          <w:szCs w:val="17"/>
          <w:color w:val="auto"/>
        </w:rPr>
      </w:pPr>
      <w:r>
        <w:rPr>
          <w:rFonts w:ascii="Arial" w:cs="Arial" w:eastAsia="Arial" w:hAnsi="Arial"/>
          <w:sz w:val="17"/>
          <w:szCs w:val="17"/>
          <w:color w:val="auto"/>
        </w:rPr>
        <w:t>(i) so long as the Borrower is in compliance with Section 6.07 on a Pro Forma Basis as of the last day of the most recently completed Test Period (for which financial statements have been delivered pursuant to Section 5.01(a) or (b)), other Indebtedness in an aggregate amount, when aggregated with the amount of Indebtedness of the Loan Parties secured by Liens pursuant to Section 6.02(r), not to exceed the greater of (x) $2,500,000,000 and (y) 15% of Consolidated Net Tangible Assets, determined as of the last day of the most recent fiscal quarter prior to the date such Indebtedness is incurred for which financial statements have been delivered pursuant to Section 5.01(a) or (b) and (ii) Permitted Refinancing Indebtedness in respect of Indebtedness permitted by clause (i) of this clause (o);</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4"/>
          </w:cols>
          <w:pgMar w:left="436" w:top="274" w:right="499" w:bottom="1440" w:gutter="0" w:footer="0" w:header="0"/>
        </w:sectPr>
      </w:pPr>
    </w:p>
    <w:bookmarkStart w:id="252" w:name="page253"/>
    <w:bookmarkEnd w:id="252"/>
    <w:p>
      <w:pPr>
        <w:ind w:left="4" w:right="60" w:firstLine="987"/>
        <w:spacing w:after="0" w:line="287" w:lineRule="auto"/>
        <w:tabs>
          <w:tab w:leader="none" w:pos="1385" w:val="left"/>
        </w:tabs>
        <w:numPr>
          <w:ilvl w:val="1"/>
          <w:numId w:val="2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 Indebtedness of a Person existing at the time such Person becomes a Subsidiary and not created in contemplation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acquisition of such Person, on a Pro Forma Basis, the Borrower would be in compliance with Section 6.07 as of the last day of the most recent fiscal year or fiscal quarter for which financial statements have been delivered pursuant to Section 5.01(a) or 5.01(b)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Permitted Refinancing Indebtedness in respect of Indebtedness permitted by this clause (p);</w:t>
      </w:r>
    </w:p>
    <w:p>
      <w:pPr>
        <w:spacing w:after="0" w:line="210" w:lineRule="exact"/>
        <w:rPr>
          <w:rFonts w:ascii="Arial" w:cs="Arial" w:eastAsia="Arial" w:hAnsi="Arial"/>
          <w:sz w:val="18"/>
          <w:szCs w:val="18"/>
          <w:color w:val="auto"/>
        </w:rPr>
      </w:pPr>
    </w:p>
    <w:p>
      <w:pPr>
        <w:ind w:left="4" w:right="380" w:firstLine="987"/>
        <w:spacing w:after="0" w:line="277" w:lineRule="auto"/>
        <w:tabs>
          <w:tab w:leader="none" w:pos="1385"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Indebtedness supported by a letter of credit under the Revolving Credit Agreement, in a principal amount not to exceed the face amount of such letter of credit;</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Indebtedness in respect of Investments permitted by Section 6.05(q);</w:t>
      </w:r>
    </w:p>
    <w:p>
      <w:pPr>
        <w:spacing w:after="0" w:line="225" w:lineRule="exact"/>
        <w:rPr>
          <w:rFonts w:ascii="Arial" w:cs="Arial" w:eastAsia="Arial" w:hAnsi="Arial"/>
          <w:sz w:val="18"/>
          <w:szCs w:val="18"/>
          <w:color w:val="auto"/>
        </w:rPr>
      </w:pPr>
    </w:p>
    <w:p>
      <w:pPr>
        <w:ind w:left="4" w:right="460" w:firstLine="987"/>
        <w:spacing w:after="0" w:line="277" w:lineRule="auto"/>
        <w:tabs>
          <w:tab w:leader="none" w:pos="1365"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(a) through (r) above; and</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Indebtedness of the Excluded Finco.</w:t>
      </w:r>
    </w:p>
    <w:p>
      <w:pPr>
        <w:spacing w:after="0" w:line="225"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 The Borrower will not, and will not permit any Subsidiary to, create, incur, assume or permit to exist any Lien on 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Property now owned or hereafter acquired by it, except:</w:t>
      </w:r>
    </w:p>
    <w:p>
      <w:pPr>
        <w:spacing w:after="0" w:line="211" w:lineRule="exact"/>
        <w:rPr>
          <w:sz w:val="20"/>
          <w:szCs w:val="20"/>
          <w:color w:val="auto"/>
        </w:rPr>
      </w:pPr>
    </w:p>
    <w:p>
      <w:pPr>
        <w:ind w:left="1364" w:hanging="373"/>
        <w:spacing w:after="0"/>
        <w:tabs>
          <w:tab w:leader="none" w:pos="136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4" w:right="280" w:firstLine="987"/>
        <w:spacing w:after="0" w:line="275" w:lineRule="auto"/>
        <w:tabs>
          <w:tab w:leader="none" w:pos="1385"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any Lien on any Property of the Borrower or any Subsidiary existing on the Closing Date and set forth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and any modifications, replacements,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shall not apply to any other Property of the Borrower or any other Subsidiary other than (A) improvements and after-acquired Property that is affixed or incorporated into the Property covered by such Lien or financed by Indebtedness permitted under Section 6.01, and (B) proceeds and products thereof, and (ii) such Lien shall secure only those obligations which it secures on the Closing Date and any Permitted Refinancing Indebtedness in respect thereof;</w:t>
      </w:r>
    </w:p>
    <w:p>
      <w:pPr>
        <w:spacing w:after="0" w:line="176" w:lineRule="exact"/>
        <w:rPr>
          <w:rFonts w:ascii="Arial" w:cs="Arial" w:eastAsia="Arial" w:hAnsi="Arial"/>
          <w:sz w:val="17"/>
          <w:szCs w:val="17"/>
          <w:color w:val="auto"/>
        </w:rPr>
      </w:pPr>
    </w:p>
    <w:p>
      <w:pPr>
        <w:ind w:left="4" w:firstLine="987"/>
        <w:spacing w:after="0" w:line="272" w:lineRule="auto"/>
        <w:tabs>
          <w:tab w:leader="none" w:pos="1375"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any Lien existing on any Property prior to the acquisition thereof by the Borrower or any Subsidiary or existing on any Property of any Person that becomes a Subsidiary after the Closing Date prior to the time such Person becomes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acquisition or such Person becoming a Subsidiary, as the case may be, (ii) such Lien shall not apply to any other Property of the Borrower or any other Subsidiary (other than the proceeds or products of the Property covered by such Lien and other than improvements and after-acquired property that is affixed or incorporated into the Property covered by such Lien) and (iii) such Lien shall secure only those obligations which it secures on the date of such acquisition or the date such Person becomes a Subsidiary, as the case may be, and Permitted Refinancing Indebtedness in respect thereof;</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4"/>
          </w:cols>
          <w:pgMar w:left="436" w:top="274" w:right="499" w:bottom="1440" w:gutter="0" w:footer="0" w:header="0"/>
        </w:sectPr>
      </w:pPr>
    </w:p>
    <w:bookmarkStart w:id="253" w:name="page254"/>
    <w:bookmarkEnd w:id="253"/>
    <w:p>
      <w:pPr>
        <w:ind w:left="4" w:right="20" w:firstLine="987"/>
        <w:spacing w:after="0" w:line="288" w:lineRule="auto"/>
        <w:tabs>
          <w:tab w:leader="none" w:pos="1385" w:val="left"/>
        </w:tabs>
        <w:numPr>
          <w:ilvl w:val="1"/>
          <w:numId w:val="2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 Liens on fixed or capital assets acquired, constructed, repaired, replaced or improved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security interests secure Indebtedness incurred to fund the acquisition of such assets in an aggregate principal amount not to exceed the greater of $400,000,000 and 1.05% of Consolidated Total Assets (determined as of the last day of the most recent fiscal quarter prior to the date such Indebtedness is incurred for which financial statements have been delivered pursuant to Section 5.01(a) or (b) (or any Permitted Refinancing Indebtedness in respect of the foregoing)), (ii) such security interests and the Indebtedness secured thereby are incurred prior to or within two hundred seventy (270) days after such acquisition or the completion of such construction, repair or replacement or improvement, (iii) the Indebtedness secured thereby does not exceed the cost of acquiring, constructing or improving such fixed or capital assets and (iv) such security interests shall not apply to any other Property of the Borrower or any Subsidiary, except for accessions to such fixed or capital assets covered by such Lien, Property financed by such Indebtedness and the proceeds and products thereof;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individual financings of fixed or capital assets provided by one lender may be cross-collateralized to other financings of fixed or capital assets provided by such lender;</w:t>
      </w:r>
    </w:p>
    <w:p>
      <w:pPr>
        <w:spacing w:after="0" w:line="168" w:lineRule="exact"/>
        <w:rPr>
          <w:rFonts w:ascii="Arial" w:cs="Arial" w:eastAsia="Arial" w:hAnsi="Arial"/>
          <w:sz w:val="16"/>
          <w:szCs w:val="16"/>
          <w:color w:val="auto"/>
        </w:rPr>
      </w:pPr>
    </w:p>
    <w:p>
      <w:pPr>
        <w:ind w:left="4" w:right="60" w:firstLine="987"/>
        <w:spacing w:after="0" w:line="259" w:lineRule="auto"/>
        <w:tabs>
          <w:tab w:leader="none" w:pos="1375" w:val="left"/>
        </w:tabs>
        <w:numPr>
          <w:ilvl w:val="1"/>
          <w:numId w:val="291"/>
        </w:numPr>
        <w:rPr>
          <w:rFonts w:ascii="Arial" w:cs="Arial" w:eastAsia="Arial" w:hAnsi="Arial"/>
          <w:sz w:val="18"/>
          <w:szCs w:val="18"/>
          <w:color w:val="auto"/>
        </w:rPr>
      </w:pPr>
      <w:r>
        <w:rPr>
          <w:rFonts w:ascii="Arial" w:cs="Arial" w:eastAsia="Arial" w:hAnsi="Arial"/>
          <w:sz w:val="18"/>
          <w:szCs w:val="18"/>
          <w:color w:val="auto"/>
        </w:rPr>
        <w:t>rights of setoff and similar arrangements and Liens in favor of depository and securities intermediaries to secure obligations owed in respect of card obligations or any overdraft and related liabilities arising from treasury, depository and cash management services or any automated clearing house transfers of funds and fees and similar amounts related to bank accounts or securities accounts (including Liens securing letters of credit, bank guarantees or similar instruments supporting any of the foregoing);</w:t>
      </w:r>
    </w:p>
    <w:p>
      <w:pPr>
        <w:spacing w:after="0" w:line="186" w:lineRule="exact"/>
        <w:rPr>
          <w:rFonts w:ascii="Arial" w:cs="Arial" w:eastAsia="Arial" w:hAnsi="Arial"/>
          <w:sz w:val="18"/>
          <w:szCs w:val="18"/>
          <w:color w:val="auto"/>
        </w:rPr>
      </w:pPr>
    </w:p>
    <w:p>
      <w:pPr>
        <w:ind w:left="4" w:firstLine="987"/>
        <w:spacing w:after="0" w:line="279" w:lineRule="auto"/>
        <w:tabs>
          <w:tab w:leader="none" w:pos="1355" w:val="left"/>
        </w:tabs>
        <w:numPr>
          <w:ilvl w:val="1"/>
          <w:numId w:val="291"/>
        </w:numPr>
        <w:rPr>
          <w:rFonts w:ascii="Arial" w:cs="Arial" w:eastAsia="Arial" w:hAnsi="Arial"/>
          <w:sz w:val="17"/>
          <w:szCs w:val="17"/>
          <w:color w:val="auto"/>
        </w:rPr>
      </w:pPr>
      <w:r>
        <w:rPr>
          <w:rFonts w:ascii="Arial" w:cs="Arial" w:eastAsia="Arial" w:hAnsi="Arial"/>
          <w:sz w:val="17"/>
          <w:szCs w:val="17"/>
          <w:color w:val="auto"/>
        </w:rPr>
        <w:t xml:space="preserve">Liens on Receivables and Permitted Receivables Facility Assets securing Indebtedness arising under Permitted Receivables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 (f) only if at the time such Lien is incurred the aggregate principal amount of the obligations secured at such time (including such Lien) by Liens outstanding pursuant to this clause (f) would not exceed (x) $750,000,000, in the case of all Domestic Subsidiaries and (y) $750,000,000, in the case of all other Subsidiaries;</w:t>
      </w:r>
    </w:p>
    <w:p>
      <w:pPr>
        <w:spacing w:after="0" w:line="171" w:lineRule="exact"/>
        <w:rPr>
          <w:rFonts w:ascii="Arial" w:cs="Arial" w:eastAsia="Arial" w:hAnsi="Arial"/>
          <w:sz w:val="17"/>
          <w:szCs w:val="17"/>
          <w:color w:val="auto"/>
        </w:rPr>
      </w:pPr>
    </w:p>
    <w:p>
      <w:pPr>
        <w:ind w:left="1384" w:hanging="393"/>
        <w:spacing w:after="0"/>
        <w:tabs>
          <w:tab w:leader="none" w:pos="1384" w:val="left"/>
        </w:tabs>
        <w:numPr>
          <w:ilvl w:val="1"/>
          <w:numId w:val="291"/>
        </w:numPr>
        <w:rPr>
          <w:rFonts w:ascii="Arial" w:cs="Arial" w:eastAsia="Arial" w:hAnsi="Arial"/>
          <w:sz w:val="16"/>
          <w:szCs w:val="16"/>
          <w:color w:val="auto"/>
        </w:rPr>
      </w:pPr>
      <w:r>
        <w:rPr>
          <w:rFonts w:ascii="Arial" w:cs="Arial" w:eastAsia="Arial" w:hAnsi="Arial"/>
          <w:sz w:val="16"/>
          <w:szCs w:val="16"/>
          <w:color w:val="auto"/>
        </w:rPr>
        <w:t>Liens (i) on “earnest money” or similar deposits or other cash advances in connection with acquisitions permitted by Section 6.05 or</w:t>
      </w:r>
    </w:p>
    <w:p>
      <w:pPr>
        <w:spacing w:after="0" w:line="46" w:lineRule="exact"/>
        <w:rPr>
          <w:rFonts w:ascii="Arial" w:cs="Arial" w:eastAsia="Arial" w:hAnsi="Arial"/>
          <w:sz w:val="16"/>
          <w:szCs w:val="16"/>
          <w:color w:val="auto"/>
        </w:rPr>
      </w:pPr>
    </w:p>
    <w:p>
      <w:pPr>
        <w:ind w:left="4" w:right="260" w:hanging="4"/>
        <w:spacing w:after="0" w:line="260" w:lineRule="auto"/>
        <w:tabs>
          <w:tab w:leader="none" w:pos="26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consisting of an agreement to dispose of any Property in a disposition permitted under this Agreement including customary rights and restrictions contained in such agreements;</w:t>
      </w:r>
    </w:p>
    <w:p>
      <w:pPr>
        <w:spacing w:after="0" w:line="185" w:lineRule="exact"/>
        <w:rPr>
          <w:rFonts w:ascii="Arial" w:cs="Arial" w:eastAsia="Arial" w:hAnsi="Arial"/>
          <w:sz w:val="18"/>
          <w:szCs w:val="18"/>
          <w:color w:val="auto"/>
        </w:rPr>
      </w:pPr>
    </w:p>
    <w:p>
      <w:pPr>
        <w:ind w:left="1384" w:hanging="393"/>
        <w:spacing w:after="0"/>
        <w:tabs>
          <w:tab w:leader="none" w:pos="138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Liens on cash, cash equivalents or other assets securing Indebtedness permitted by Section 6.01(g);</w:t>
      </w:r>
    </w:p>
    <w:p>
      <w:pPr>
        <w:spacing w:after="0" w:line="225" w:lineRule="exact"/>
        <w:rPr>
          <w:rFonts w:ascii="Arial" w:cs="Arial" w:eastAsia="Arial" w:hAnsi="Arial"/>
          <w:sz w:val="18"/>
          <w:szCs w:val="18"/>
          <w:color w:val="auto"/>
        </w:rPr>
      </w:pPr>
    </w:p>
    <w:p>
      <w:pPr>
        <w:ind w:left="4" w:right="40" w:firstLine="987"/>
        <w:spacing w:after="0" w:line="277" w:lineRule="auto"/>
        <w:tabs>
          <w:tab w:leader="none" w:pos="1345" w:val="left"/>
        </w:tabs>
        <w:numPr>
          <w:ilvl w:val="1"/>
          <w:numId w:val="292"/>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the Borrower or any Subsidiary or (ii) secure any Indebtedness;</w:t>
      </w:r>
    </w:p>
    <w:p>
      <w:pPr>
        <w:spacing w:after="0" w:line="170" w:lineRule="exact"/>
        <w:rPr>
          <w:rFonts w:ascii="Arial" w:cs="Arial" w:eastAsia="Arial" w:hAnsi="Arial"/>
          <w:sz w:val="18"/>
          <w:szCs w:val="18"/>
          <w:color w:val="auto"/>
        </w:rPr>
      </w:pPr>
    </w:p>
    <w:p>
      <w:pPr>
        <w:ind w:left="4" w:right="200" w:firstLine="987"/>
        <w:spacing w:after="0" w:line="277" w:lineRule="auto"/>
        <w:tabs>
          <w:tab w:leader="none" w:pos="1345" w:val="left"/>
        </w:tabs>
        <w:numPr>
          <w:ilvl w:val="1"/>
          <w:numId w:val="29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4" w:right="459" w:bottom="1440" w:gutter="0" w:footer="0" w:header="0"/>
        </w:sectPr>
      </w:pPr>
    </w:p>
    <w:bookmarkStart w:id="254" w:name="page255"/>
    <w:bookmarkEnd w:id="254"/>
    <w:p>
      <w:pPr>
        <w:ind w:left="1384" w:hanging="393"/>
        <w:spacing w:after="0"/>
        <w:tabs>
          <w:tab w:leader="none" w:pos="1384" w:val="left"/>
        </w:tabs>
        <w:numPr>
          <w:ilvl w:val="1"/>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(i) of a collection bank arising under Section 4-210 of the Uniform Commercial Code on items in the course of collection and</w:t>
      </w:r>
    </w:p>
    <w:p>
      <w:pPr>
        <w:spacing w:after="0" w:line="46" w:lineRule="exact"/>
        <w:rPr>
          <w:rFonts w:ascii="Arial" w:cs="Arial" w:eastAsia="Arial" w:hAnsi="Arial"/>
          <w:sz w:val="16"/>
          <w:szCs w:val="16"/>
          <w:color w:val="auto"/>
        </w:rPr>
      </w:pPr>
    </w:p>
    <w:p>
      <w:pPr>
        <w:ind w:left="4" w:right="460" w:hanging="4"/>
        <w:spacing w:after="0" w:line="260" w:lineRule="auto"/>
        <w:tabs>
          <w:tab w:leader="none" w:pos="26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commodities brokerage accounts incurred in the ordinary course of business, including Liens encumbering reasonable customary initial deposits and margin deposits;</w:t>
      </w:r>
    </w:p>
    <w:p>
      <w:pPr>
        <w:spacing w:after="0" w:line="185" w:lineRule="exact"/>
        <w:rPr>
          <w:rFonts w:ascii="Arial" w:cs="Arial" w:eastAsia="Arial" w:hAnsi="Arial"/>
          <w:sz w:val="18"/>
          <w:szCs w:val="18"/>
          <w:color w:val="auto"/>
        </w:rPr>
      </w:pPr>
    </w:p>
    <w:p>
      <w:pPr>
        <w:ind w:left="4" w:right="340" w:firstLine="987"/>
        <w:spacing w:after="0" w:line="277" w:lineRule="auto"/>
        <w:tabs>
          <w:tab w:leader="none" w:pos="134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a Loan Party or any Subsidiary in the ordinary course of business;</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permitted under Section 6.05;</w:t>
      </w:r>
    </w:p>
    <w:p>
      <w:pPr>
        <w:spacing w:after="0" w:line="225" w:lineRule="exact"/>
        <w:rPr>
          <w:rFonts w:ascii="Arial" w:cs="Arial" w:eastAsia="Arial" w:hAnsi="Arial"/>
          <w:sz w:val="18"/>
          <w:szCs w:val="18"/>
          <w:color w:val="auto"/>
        </w:rPr>
      </w:pPr>
    </w:p>
    <w:p>
      <w:pPr>
        <w:ind w:left="4" w:right="20" w:firstLine="987"/>
        <w:spacing w:after="0" w:line="277" w:lineRule="auto"/>
        <w:tabs>
          <w:tab w:leader="none" w:pos="138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rights of setoff relating to purchase orders and other agreements entered into with customers of the Borrower or any Subsidiary in the ordinary course of business;</w:t>
      </w:r>
    </w:p>
    <w:p>
      <w:pPr>
        <w:spacing w:after="0" w:line="170" w:lineRule="exact"/>
        <w:rPr>
          <w:rFonts w:ascii="Arial" w:cs="Arial" w:eastAsia="Arial" w:hAnsi="Arial"/>
          <w:sz w:val="18"/>
          <w:szCs w:val="18"/>
          <w:color w:val="auto"/>
        </w:rPr>
      </w:pPr>
    </w:p>
    <w:p>
      <w:pPr>
        <w:ind w:left="4" w:right="260" w:firstLine="987"/>
        <w:spacing w:after="0" w:line="342" w:lineRule="auto"/>
        <w:tabs>
          <w:tab w:leader="none" w:pos="1385" w:val="left"/>
        </w:tabs>
        <w:numPr>
          <w:ilvl w:val="1"/>
          <w:numId w:val="294"/>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its Subsidiaries are located and other Liens affecting the interest of any landlord (and any underlying landlord) of any real property leased by the Borrower or any Subsidiary;</w:t>
      </w:r>
    </w:p>
    <w:p>
      <w:pPr>
        <w:spacing w:after="0" w:line="123" w:lineRule="exact"/>
        <w:rPr>
          <w:rFonts w:ascii="Arial" w:cs="Arial" w:eastAsia="Arial" w:hAnsi="Arial"/>
          <w:sz w:val="16"/>
          <w:szCs w:val="16"/>
          <w:color w:val="auto"/>
        </w:rPr>
      </w:pPr>
    </w:p>
    <w:p>
      <w:pPr>
        <w:ind w:left="4" w:right="180" w:firstLine="987"/>
        <w:spacing w:after="0" w:line="277" w:lineRule="auto"/>
        <w:tabs>
          <w:tab w:leader="none" w:pos="138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Liens on equipment owned by the Borrower or any Subsidiary and located on the premises of any supplier and used in the ordinary course of business and not securing Indebtedness;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any restriction or encumbrance with respect to the pledge or transfer of the Equity Interests of a joint venture;</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Liens not otherwise permitted by this Section 6.02,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w:t>
      </w:r>
    </w:p>
    <w:p>
      <w:pPr>
        <w:spacing w:after="0" w:line="35" w:lineRule="exact"/>
        <w:rPr>
          <w:sz w:val="20"/>
          <w:szCs w:val="20"/>
          <w:color w:val="auto"/>
        </w:rPr>
      </w:pPr>
    </w:p>
    <w:p>
      <w:pPr>
        <w:ind w:left="4" w:hanging="4"/>
        <w:spacing w:after="0" w:line="271" w:lineRule="auto"/>
        <w:tabs>
          <w:tab w:leader="none" w:pos="229" w:val="left"/>
        </w:tabs>
        <w:numPr>
          <w:ilvl w:val="0"/>
          <w:numId w:val="295"/>
        </w:numPr>
        <w:rPr>
          <w:rFonts w:ascii="Arial" w:cs="Arial" w:eastAsia="Arial" w:hAnsi="Arial"/>
          <w:sz w:val="17"/>
          <w:szCs w:val="17"/>
          <w:color w:val="auto"/>
        </w:rPr>
      </w:pPr>
      <w:r>
        <w:rPr>
          <w:rFonts w:ascii="Arial" w:cs="Arial" w:eastAsia="Arial" w:hAnsi="Arial"/>
          <w:sz w:val="17"/>
          <w:szCs w:val="17"/>
          <w:color w:val="auto"/>
        </w:rPr>
        <w:t>only if at the time such Lien is incurred the aggregate principal amount of Indebtedness secured at such time (including such Lien) by Liens outstanding pursuant to this clause (r) (when taken together, without duplication, with the amount of obligations outstanding pursuant to Section 6.01(o)) would not exceed the greater of (x) $2,500,000,000 and (y) 15% of Consolidated Net Tangible Assets, determined as of the last day of the most recent fiscal quarter prior to the date such Indebtedness is incurred for which financial statements have been delivered pursuant to Section 5.01(a) or (b) (or any Permitted Refinancing Indebtedness in respect of the foregoing);</w:t>
      </w:r>
    </w:p>
    <w:p>
      <w:pPr>
        <w:spacing w:after="0" w:line="178" w:lineRule="exact"/>
        <w:rPr>
          <w:rFonts w:ascii="Arial" w:cs="Arial" w:eastAsia="Arial" w:hAnsi="Arial"/>
          <w:sz w:val="17"/>
          <w:szCs w:val="17"/>
          <w:color w:val="auto"/>
        </w:rPr>
      </w:pPr>
    </w:p>
    <w:p>
      <w:pPr>
        <w:ind w:left="1364" w:hanging="373"/>
        <w:spacing w:after="0"/>
        <w:tabs>
          <w:tab w:leader="none" w:pos="1364" w:val="left"/>
        </w:tabs>
        <w:numPr>
          <w:ilvl w:val="1"/>
          <w:numId w:val="295"/>
        </w:numPr>
        <w:rPr>
          <w:rFonts w:ascii="Arial" w:cs="Arial" w:eastAsia="Arial" w:hAnsi="Arial"/>
          <w:sz w:val="18"/>
          <w:szCs w:val="18"/>
          <w:color w:val="auto"/>
        </w:rPr>
      </w:pPr>
      <w:r>
        <w:rPr>
          <w:rFonts w:ascii="Arial" w:cs="Arial" w:eastAsia="Arial" w:hAnsi="Arial"/>
          <w:sz w:val="18"/>
          <w:szCs w:val="18"/>
          <w:color w:val="auto"/>
        </w:rPr>
        <w:t>Liens on any Property of the Borrower or any Subsidiary in favor of the Borrower or any other Subsidiary;</w:t>
      </w:r>
    </w:p>
    <w:p>
      <w:pPr>
        <w:spacing w:after="0" w:line="225" w:lineRule="exact"/>
        <w:rPr>
          <w:rFonts w:ascii="Arial" w:cs="Arial" w:eastAsia="Arial" w:hAnsi="Arial"/>
          <w:sz w:val="18"/>
          <w:szCs w:val="18"/>
          <w:color w:val="auto"/>
        </w:rPr>
      </w:pPr>
    </w:p>
    <w:p>
      <w:pPr>
        <w:ind w:left="4" w:right="240" w:firstLine="987"/>
        <w:spacing w:after="0" w:line="342" w:lineRule="auto"/>
        <w:tabs>
          <w:tab w:leader="none" w:pos="1345" w:val="left"/>
        </w:tabs>
        <w:numPr>
          <w:ilvl w:val="1"/>
          <w:numId w:val="295"/>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23" w:lineRule="exact"/>
        <w:rPr>
          <w:rFonts w:ascii="Arial" w:cs="Arial" w:eastAsia="Arial" w:hAnsi="Arial"/>
          <w:sz w:val="16"/>
          <w:szCs w:val="16"/>
          <w:color w:val="auto"/>
        </w:rPr>
      </w:pPr>
    </w:p>
    <w:p>
      <w:pPr>
        <w:ind w:left="4" w:right="20" w:firstLine="987"/>
        <w:spacing w:after="0" w:line="277" w:lineRule="auto"/>
        <w:tabs>
          <w:tab w:leader="none" w:pos="1385" w:val="left"/>
        </w:tabs>
        <w:numPr>
          <w:ilvl w:val="1"/>
          <w:numId w:val="295"/>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Borrower and its Subsidiaries in the ordinary course of business;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4"/>
          </w:cols>
          <w:pgMar w:left="436" w:top="274" w:right="459" w:bottom="1440" w:gutter="0" w:footer="0" w:header="0"/>
        </w:sectPr>
      </w:pPr>
    </w:p>
    <w:bookmarkStart w:id="255" w:name="page256"/>
    <w:bookmarkEnd w:id="255"/>
    <w:p>
      <w:pPr>
        <w:ind w:left="1384" w:hanging="393"/>
        <w:spacing w:after="0"/>
        <w:tabs>
          <w:tab w:leader="none" w:pos="1384"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pledges or deposits made in the ordinary course of business to secure liability to insurance carriers;</w:t>
      </w:r>
    </w:p>
    <w:p>
      <w:pPr>
        <w:spacing w:after="0" w:line="225" w:lineRule="exact"/>
        <w:rPr>
          <w:rFonts w:ascii="Arial" w:cs="Arial" w:eastAsia="Arial" w:hAnsi="Arial"/>
          <w:sz w:val="18"/>
          <w:szCs w:val="18"/>
          <w:color w:val="auto"/>
        </w:rPr>
      </w:pPr>
    </w:p>
    <w:p>
      <w:pPr>
        <w:ind w:left="4" w:right="100" w:firstLine="987"/>
        <w:spacing w:after="0" w:line="277" w:lineRule="auto"/>
        <w:tabs>
          <w:tab w:leader="none" w:pos="142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limited to the applicable unpaid insurance premiums under the insurance policy related to such insurance premium financing arrangement;</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Liens on Cash Equivalents deposited as cash collateral on letters of credit as contemplated by the Revolving Credit Agreement;</w:t>
      </w:r>
    </w:p>
    <w:p>
      <w:pPr>
        <w:spacing w:after="0" w:line="236" w:lineRule="exact"/>
        <w:rPr>
          <w:rFonts w:ascii="Arial" w:cs="Arial" w:eastAsia="Arial" w:hAnsi="Arial"/>
          <w:sz w:val="17"/>
          <w:szCs w:val="17"/>
          <w:color w:val="auto"/>
        </w:rPr>
      </w:pPr>
    </w:p>
    <w:p>
      <w:pPr>
        <w:ind w:left="4" w:right="20" w:firstLine="987"/>
        <w:spacing w:after="0" w:line="277" w:lineRule="auto"/>
        <w:tabs>
          <w:tab w:leader="none" w:pos="138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Liens on any Property of any Subsidiary that is not a Loan Party securing Indebtedness of such Subsidiary that is otherwise permitted under Section 6.01; and</w:t>
      </w:r>
    </w:p>
    <w:p>
      <w:pPr>
        <w:spacing w:after="0" w:line="170" w:lineRule="exact"/>
        <w:rPr>
          <w:rFonts w:ascii="Arial" w:cs="Arial" w:eastAsia="Arial" w:hAnsi="Arial"/>
          <w:sz w:val="18"/>
          <w:szCs w:val="18"/>
          <w:color w:val="auto"/>
        </w:rPr>
      </w:pPr>
    </w:p>
    <w:p>
      <w:pPr>
        <w:jc w:val="both"/>
        <w:ind w:left="4" w:right="260" w:firstLine="987"/>
        <w:spacing w:after="0" w:line="311" w:lineRule="auto"/>
        <w:tabs>
          <w:tab w:leader="none" w:pos="137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Liens on equity interests of any Person formed for the purposes of engaging in activities in the renewable energy sector (including refined coal) that qualify for federal tax benefits allocable to the Borrower and its Subsidiaries in which the Borrower or any Subsidiary has made an investment and Liens on the rights of the Borrower and its Subsidiaries under any agreement relating to any such investment.</w:t>
      </w:r>
    </w:p>
    <w:p>
      <w:pPr>
        <w:spacing w:after="0" w:line="149" w:lineRule="exact"/>
        <w:rPr>
          <w:sz w:val="20"/>
          <w:szCs w:val="20"/>
          <w:color w:val="auto"/>
        </w:rPr>
      </w:pPr>
    </w:p>
    <w:p>
      <w:pPr>
        <w:ind w:left="4" w:right="60" w:firstLine="440"/>
        <w:spacing w:after="0" w:line="270"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Fundamental Changes</w:t>
      </w:r>
      <w:r>
        <w:rPr>
          <w:rFonts w:ascii="Arial" w:cs="Arial" w:eastAsia="Arial" w:hAnsi="Arial"/>
          <w:sz w:val="17"/>
          <w:szCs w:val="17"/>
          <w:color w:val="auto"/>
        </w:rPr>
        <w:t>. The Borrower will not merge into or consolidate with or transfer all or substantially all of its assets to any other Person, or permit any other Person to merge into or consolidate with it, or liquidate or dissolve, except that, if at the time thereof and immediately after giving effect thereto no Event of Default shall have occurred and be continuing, the Borrower may be consolidated with or merged into any Person; provided that any Investment in connection therewith is otherwise permitted by Section 6.05; and provided further that, simultaneously with such transaction, (x) the Person formed by such consolidation or into which the Borrower is merged shall expressly assume all obligations of the Borrower under the Loan Documents, (y) the Person formed by such consolidation or into which the Borrower is merged shall be a corporation organized under the laws of a State in the United States, and shall take all actions as may be required to preserve the enforceability of the Loan Documents and (z) the Borrower shall have delivered to the Administrative Agent an officer’s certificate and an opinion of counsel, each stating that such merger or consolidation and such supplement to this Agreement comply with this Agreement.</w:t>
      </w:r>
    </w:p>
    <w:p>
      <w:pPr>
        <w:spacing w:after="0" w:line="181"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The Borrower will not, and will not permit any of its Subsidiaries to, declare or make, or agree to pay or make, directly or indirectly, any Restricted Payment, except (a) the Borrower or any Subsidiary may declare and pay dividends or other distributions with respect to its Equity Interests payable solely in additional shares of its Qualified Equity Interests or options to purchase Qualified Equity Interests;</w:t>
      </w:r>
    </w:p>
    <w:p>
      <w:pPr>
        <w:spacing w:after="0" w:line="2" w:lineRule="exact"/>
        <w:rPr>
          <w:sz w:val="20"/>
          <w:szCs w:val="20"/>
          <w:color w:val="auto"/>
        </w:rPr>
      </w:pPr>
    </w:p>
    <w:p>
      <w:pPr>
        <w:ind w:left="4" w:hanging="4"/>
        <w:spacing w:after="0" w:line="252" w:lineRule="auto"/>
        <w:tabs>
          <w:tab w:leader="none" w:pos="25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Subsidiaries may declare and make Restricted Payments ratably with respect to their Equity Interests; (c) the Borrower or any Subsidiary may make Restricted Payments pursuant to and in accordance with stock option plans or other benefit plans for present or former officers, directors, consultants or employees of the Borrower and its Subsidiaries in an amount not to exceed $20,000,000 in any fiscal year (with any unused amount of such base amount available for use in the next succeeding fiscal year); (d) the Borrower or any Subsidiary may make Restricted Payments so long as no Event of Default has occurred and is continuing; (e) repurchases of Equity Interests in any Loan Party or any Subsidiary deemed to occur upon exercise of stock options or warrants if such Equity</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4" w:right="459" w:bottom="1440" w:gutter="0" w:footer="0" w:header="0"/>
        </w:sectPr>
      </w:pPr>
    </w:p>
    <w:bookmarkStart w:id="256" w:name="page257"/>
    <w:bookmarkEnd w:id="256"/>
    <w:p>
      <w:pPr>
        <w:jc w:val="both"/>
        <w:ind w:left="4" w:righ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Interests represent a portion of the exercise price of such options or warrants; (f) the payment of cash in lieu of the issuance of fractional shares in connection with the exercise of warrants, options or other securities convertible into or exercisable for Qualified Equity Interests of the Borrower;</w:t>
      </w:r>
    </w:p>
    <w:p>
      <w:pPr>
        <w:ind w:left="4" w:right="180" w:hanging="4"/>
        <w:spacing w:after="0" w:line="271" w:lineRule="auto"/>
        <w:tabs>
          <w:tab w:leader="none" w:pos="259" w:val="left"/>
        </w:tabs>
        <w:numPr>
          <w:ilvl w:val="0"/>
          <w:numId w:val="298"/>
        </w:numPr>
        <w:rPr>
          <w:rFonts w:ascii="Arial" w:cs="Arial" w:eastAsia="Arial" w:hAnsi="Arial"/>
          <w:sz w:val="17"/>
          <w:szCs w:val="17"/>
          <w:color w:val="auto"/>
        </w:rPr>
      </w:pPr>
      <w:r>
        <w:rPr>
          <w:rFonts w:ascii="Arial" w:cs="Arial" w:eastAsia="Arial" w:hAnsi="Arial"/>
          <w:sz w:val="17"/>
          <w:szCs w:val="17"/>
          <w:color w:val="auto"/>
        </w:rPr>
        <w:t>payments made to exercise, settle or terminate any Permitted Warrant Transaction (A) by delivery of the Borrower’s common stock, (B) by set-off against the related Permitted Bond Hedge Transaction, or (C) with cash payments in an aggregate amount not to exceed the aggregate amount of any payments received by the Borrower or any of its Subsidiaries pursuant to the exercise, settlement or termination of any related Permitted Bond Hedge Transaction; (h) payments made in connection with any Permitted Bond Hedge Transaction; and (i) the Borrower or any Subsidiary may make Restricted Payments pursuant to the arrangements set forth in Schedule 6.04.</w:t>
      </w:r>
    </w:p>
    <w:p>
      <w:pPr>
        <w:spacing w:after="0" w:line="17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The Borrower will not, and will not allow any of its Subsidiaries to make or hold any Investments, except:</w:t>
      </w:r>
    </w:p>
    <w:p>
      <w:pPr>
        <w:spacing w:after="0" w:line="225" w:lineRule="exact"/>
        <w:rPr>
          <w:sz w:val="20"/>
          <w:szCs w:val="20"/>
          <w:color w:val="auto"/>
        </w:rPr>
      </w:pPr>
    </w:p>
    <w:p>
      <w:pPr>
        <w:ind w:left="1364" w:hanging="373"/>
        <w:spacing w:after="0"/>
        <w:tabs>
          <w:tab w:leader="none" w:pos="136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Investments by the Borrower or a Subsidiary in cash and Cash Equivalents;</w:t>
      </w:r>
    </w:p>
    <w:p>
      <w:pPr>
        <w:spacing w:after="0" w:line="225" w:lineRule="exact"/>
        <w:rPr>
          <w:rFonts w:ascii="Arial" w:cs="Arial" w:eastAsia="Arial" w:hAnsi="Arial"/>
          <w:sz w:val="18"/>
          <w:szCs w:val="18"/>
          <w:color w:val="auto"/>
        </w:rPr>
      </w:pPr>
    </w:p>
    <w:p>
      <w:pPr>
        <w:ind w:left="4" w:firstLine="987"/>
        <w:spacing w:after="0" w:line="301" w:lineRule="auto"/>
        <w:tabs>
          <w:tab w:leader="none" w:pos="138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loans or advances to officers, directors, consultants and employees of the Borrower and the Subsidiaries (i) for reasonable and customary business-related travel, entertainment, relocation and analogous ordinary business purposes, (ii) in connection with such Person’s purchase of Equity Interests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shall be contributed to the Borrower in cash as common equity, and (iii) for purposes not described in the foregoing subclauses (i) and (ii), in an aggregate principal amount outstanding not to exceed $10,000,000;</w:t>
      </w:r>
    </w:p>
    <w:p>
      <w:pPr>
        <w:spacing w:after="0" w:line="157" w:lineRule="exact"/>
        <w:rPr>
          <w:rFonts w:ascii="Arial" w:cs="Arial" w:eastAsia="Arial" w:hAnsi="Arial"/>
          <w:sz w:val="16"/>
          <w:szCs w:val="16"/>
          <w:color w:val="auto"/>
        </w:rPr>
      </w:pPr>
    </w:p>
    <w:p>
      <w:pPr>
        <w:ind w:left="1364" w:hanging="373"/>
        <w:spacing w:after="0"/>
        <w:tabs>
          <w:tab w:leader="none" w:pos="136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Investments by the Borrower or any Subsidiary in the Borrower or any Subsidiary;</w:t>
      </w:r>
    </w:p>
    <w:p>
      <w:pPr>
        <w:spacing w:after="0" w:line="225" w:lineRule="exact"/>
        <w:rPr>
          <w:rFonts w:ascii="Arial" w:cs="Arial" w:eastAsia="Arial" w:hAnsi="Arial"/>
          <w:sz w:val="18"/>
          <w:szCs w:val="18"/>
          <w:color w:val="auto"/>
        </w:rPr>
      </w:pPr>
    </w:p>
    <w:p>
      <w:pPr>
        <w:ind w:left="4" w:right="100" w:firstLine="987"/>
        <w:spacing w:after="0" w:line="255" w:lineRule="auto"/>
        <w:tabs>
          <w:tab w:leader="none" w:pos="138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 Investments consisting of extensions of credit in the nature of accounts receivable or notes receivable arising from the grant of trade credit in the ordinary course of business, and (ii) Investments (including debt obligations and Equity Interests) received in satisfaction or partial satisfaction thereof from financially troubled account debtors and other credits to suppliers in the ordinary course of business or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92" w:lineRule="exact"/>
        <w:rPr>
          <w:rFonts w:ascii="Arial" w:cs="Arial" w:eastAsia="Arial" w:hAnsi="Arial"/>
          <w:sz w:val="18"/>
          <w:szCs w:val="18"/>
          <w:color w:val="auto"/>
        </w:rPr>
      </w:pPr>
    </w:p>
    <w:p>
      <w:pPr>
        <w:ind w:left="4" w:right="80" w:firstLine="987"/>
        <w:spacing w:after="0" w:line="259" w:lineRule="auto"/>
        <w:tabs>
          <w:tab w:leader="none" w:pos="137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(i) Investments existing or contemplated on the Closing Date and set forth on </w:t>
      </w:r>
      <w:r>
        <w:rPr>
          <w:rFonts w:ascii="Arial" w:cs="Arial" w:eastAsia="Arial" w:hAnsi="Arial"/>
          <w:sz w:val="18"/>
          <w:szCs w:val="18"/>
          <w:u w:val="single" w:color="auto"/>
          <w:color w:val="auto"/>
        </w:rPr>
        <w:t>Schedule 6.05(e)</w:t>
      </w:r>
      <w:r>
        <w:rPr>
          <w:rFonts w:ascii="Arial" w:cs="Arial" w:eastAsia="Arial" w:hAnsi="Arial"/>
          <w:sz w:val="18"/>
          <w:szCs w:val="18"/>
          <w:color w:val="auto"/>
        </w:rPr>
        <w:t xml:space="preserve"> and any modification, replacement, renewal, reinvestment or extension thereof and (ii) Investments existing on the Closing Date by the Borrower or any Subsidiary in the Borrower or any other Subsidiary and any modification, renewal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the original Investment is not increased except by the terms of such Investment or as otherwise permitted by this Section 6.05;</w:t>
      </w:r>
    </w:p>
    <w:p>
      <w:pPr>
        <w:spacing w:after="0" w:line="186" w:lineRule="exact"/>
        <w:rPr>
          <w:rFonts w:ascii="Arial" w:cs="Arial" w:eastAsia="Arial" w:hAnsi="Arial"/>
          <w:sz w:val="18"/>
          <w:szCs w:val="18"/>
          <w:color w:val="auto"/>
        </w:rPr>
      </w:pPr>
    </w:p>
    <w:p>
      <w:pPr>
        <w:ind w:left="1344" w:hanging="353"/>
        <w:spacing w:after="0"/>
        <w:tabs>
          <w:tab w:leader="none" w:pos="134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Investments in Swap Agreements in the ordinary course of business;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4"/>
          </w:cols>
          <w:pgMar w:left="436" w:top="274" w:right="499" w:bottom="1440" w:gutter="0" w:footer="0" w:header="0"/>
        </w:sectPr>
      </w:pPr>
    </w:p>
    <w:bookmarkStart w:id="257" w:name="page258"/>
    <w:bookmarkEnd w:id="257"/>
    <w:p>
      <w:pPr>
        <w:ind w:right="180" w:firstLine="987"/>
        <w:spacing w:after="0" w:line="277" w:lineRule="auto"/>
        <w:tabs>
          <w:tab w:leader="none" w:pos="1381"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in the ordinary course of business in prepaid expenses, negotiable instruments held for collection and lease, utility and worker’s compensation, performance and other similar deposits provided to third parties;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w:t>
      </w:r>
    </w:p>
    <w:p>
      <w:pPr>
        <w:spacing w:after="0" w:line="225" w:lineRule="exact"/>
        <w:rPr>
          <w:rFonts w:ascii="Arial" w:cs="Arial" w:eastAsia="Arial" w:hAnsi="Arial"/>
          <w:sz w:val="18"/>
          <w:szCs w:val="18"/>
          <w:color w:val="auto"/>
        </w:rPr>
      </w:pPr>
    </w:p>
    <w:p>
      <w:pPr>
        <w:ind w:right="720" w:firstLine="987"/>
        <w:spacing w:after="0" w:line="342" w:lineRule="auto"/>
        <w:tabs>
          <w:tab w:leader="none" w:pos="134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the licensing or contribution of intellectual property pursuant to development, marketing or manufacturing agreements or arrangements or similar agreements or arrangements with other Persons;</w:t>
      </w:r>
    </w:p>
    <w:p>
      <w:pPr>
        <w:spacing w:after="0" w:line="123" w:lineRule="exact"/>
        <w:rPr>
          <w:rFonts w:ascii="Arial" w:cs="Arial" w:eastAsia="Arial" w:hAnsi="Arial"/>
          <w:sz w:val="16"/>
          <w:szCs w:val="16"/>
          <w:color w:val="auto"/>
        </w:rPr>
      </w:pPr>
    </w:p>
    <w:p>
      <w:pPr>
        <w:ind w:left="1340" w:hanging="353"/>
        <w:spacing w:after="0"/>
        <w:tabs>
          <w:tab w:leader="none" w:pos="13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any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has occurred and is continuing at the time such Investment is made;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advances of payroll payments, fees or other compensation to officers, directors, consultants or employees,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1340" w:hanging="353"/>
        <w:spacing w:after="0"/>
        <w:tabs>
          <w:tab w:leader="none" w:pos="134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Investments to the extent that payment for such Investments is made solely with Qualified Equity Interests of the Borrower;</w:t>
      </w:r>
    </w:p>
    <w:p>
      <w:pPr>
        <w:spacing w:after="0" w:line="236" w:lineRule="exact"/>
        <w:rPr>
          <w:rFonts w:ascii="Arial" w:cs="Arial" w:eastAsia="Arial" w:hAnsi="Arial"/>
          <w:sz w:val="17"/>
          <w:szCs w:val="17"/>
          <w:color w:val="auto"/>
        </w:rPr>
      </w:pPr>
    </w:p>
    <w:p>
      <w:pPr>
        <w:ind w:left="1420" w:hanging="433"/>
        <w:spacing w:after="0"/>
        <w:tabs>
          <w:tab w:leader="none" w:pos="14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customary Investments in connection with Permitted Receivables Facilities;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225" w:lineRule="exact"/>
        <w:rPr>
          <w:rFonts w:ascii="Arial" w:cs="Arial" w:eastAsia="Arial" w:hAnsi="Arial"/>
          <w:sz w:val="18"/>
          <w:szCs w:val="18"/>
          <w:color w:val="auto"/>
        </w:rPr>
      </w:pPr>
    </w:p>
    <w:p>
      <w:pPr>
        <w:ind w:firstLine="987"/>
        <w:spacing w:after="0" w:line="254" w:lineRule="auto"/>
        <w:tabs>
          <w:tab w:leader="none" w:pos="138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Investments in limited liability companies formed for the purposes of engaging in activities in the renewable energy sector (including refined coal) that qualify for Federal tax benefits allocable to the Borrower and its Subsidiaries, including capital contributions and purchase price payments in respect thereof, so long as the Borrower determines in good faith that the amount of such tax benefits is expected to exceed the amount of such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all Investments made in reliance on this clause (q) exceeds $125,000,000 in any fiscal year of the Borrower, the Borrower shall promptly provide the Administrative Agent with a certificate signed by a Financial Officer setting forth a reasonably detailed calculation of the amount of such Investments made (or to be made) in such fiscal year and the expected tax benefits from such Investments; and</w:t>
      </w:r>
    </w:p>
    <w:p>
      <w:pPr>
        <w:spacing w:after="0" w:line="194" w:lineRule="exact"/>
        <w:rPr>
          <w:rFonts w:ascii="Arial" w:cs="Arial" w:eastAsia="Arial" w:hAnsi="Arial"/>
          <w:sz w:val="18"/>
          <w:szCs w:val="18"/>
          <w:color w:val="auto"/>
        </w:rPr>
      </w:pPr>
    </w:p>
    <w:p>
      <w:pPr>
        <w:ind w:right="60" w:firstLine="987"/>
        <w:spacing w:after="0" w:line="263" w:lineRule="auto"/>
        <w:tabs>
          <w:tab w:leader="none" w:pos="135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Investments resulting from the receipt of promissory notes and other non-cash consideration in connection with any disposition not prohibited under this Agreement or Restricted Payments permitted by Section 6.04, so long as no Event of Default has occurred and is continuing at the time of such agreement relating to such disposition or Restricted Payment.</w:t>
      </w:r>
    </w:p>
    <w:p>
      <w:pPr>
        <w:spacing w:after="0" w:line="184" w:lineRule="exact"/>
        <w:rPr>
          <w:sz w:val="20"/>
          <w:szCs w:val="20"/>
          <w:color w:val="auto"/>
        </w:rPr>
      </w:pPr>
    </w:p>
    <w:p>
      <w:pPr>
        <w:jc w:val="both"/>
        <w:ind w:right="520" w:firstLine="440"/>
        <w:spacing w:after="0" w:line="263"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Borrower will not, and will not permit any of its Subsidiaries to, sell, lease or otherwise transfer any Property to, or purchase, lease or otherwise acquire any Property from, or otherwise engage in any other transactions with, any of its Affiliates, except (a) at prices and on terms and conditions substantially as favorable to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258" w:name="page259"/>
    <w:bookmarkEnd w:id="258"/>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or such Subsidiary (in the good faith determination of the Borrower) as would reasonably be obtained on an arm’s-length basis from unrelated third parties, (b) transactions between or among the Borrower and its Subsidiaries and any entity that becomes a Subsidiary as a result of such transaction not involving any other Affiliate, (c) the payment of customary compensation and benefits and reimbursements of out-of-pocket costs to, and the provision of indemnity on behalf of, directors, officers, consultants, employees and members of the Boards of Directors of the Borrower or such Subsidiary, (d) loans and advances to officers, directors, consultants and employees in the ordinary course of business, (e) Restricted Payments and other payments permitted under Section 6.04, (f) employment, incentive, benefit, consulting and severance arrangements entered into (i) in the ordinary course of business or (ii) set forth in Schedule 6.06, in each case, with officers, directors, consultants and employees of the Borrower or its Subsidiaries,</w:t>
      </w:r>
    </w:p>
    <w:p>
      <w:pPr>
        <w:spacing w:after="0" w:line="2" w:lineRule="exact"/>
        <w:rPr>
          <w:sz w:val="20"/>
          <w:szCs w:val="20"/>
          <w:color w:val="auto"/>
        </w:rPr>
      </w:pPr>
    </w:p>
    <w:p>
      <w:pPr>
        <w:ind w:left="4" w:right="60" w:hanging="4"/>
        <w:spacing w:after="0" w:line="284" w:lineRule="auto"/>
        <w:tabs>
          <w:tab w:leader="none" w:pos="25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transactions pursuant to the agreements set forth in Schedule 6.06 or any amendment thereto to the extent such an amendment, taken as a whole, is not adverse to the Lenders in any material respect (as determined in good faith by the Borrower), (h) the payment of fees and expenses related to the Transactions, (i) the issuance of Qualified Equity Interests of the Borrower and the granting of registration or other customary rights in connection therewith, (j) the existence of, and the performance by the Borrower or any Subsidiary of its obligations under the terms of, any limited liability company agreement, limited partnership or other organizational document or securityholders agreement (including any registration rights agreement or purchase agreement related thereto) to which it is a party on the Closing Date and which is set forth on Schedule 6.06, and similar agreements that it may enter into thereafter, provided that the existence of, or the performance by the Borrower or any Subsidiary of obligations under, any amendment to any such existing agreement or any such similar agreement entered into after the Closing Date shall only be permitted by this Section 6.06(j) to the extent not more adverse to the interest of the Lenders in any material respect when taken as a whole (in the good faith determination of the Borrower) than any of such documents and agreements as in effect on the Closing Date, (k) consulting services to joint ventures in the ordinary course of business and any other transactions between or among the Borrower, its Subsidiaries and joint ventures in the ordinary course of business, (l) transactions with landlords, customers, clients, suppliers, joint venture partners or purchasers or sellers of goods and services, in each case in the ordinary course of business and not otherwise prohibited by this Agreement, (m) transactions effected as a part of a Qualified Receivables Transaction, (n) the provision of services to directors or officers of the Borrower or any of its Subsidiaries of the nature provided by the Borrower or any of its Subsidiaries to customers in the ordinary course of business and (o) transactions approved by the Audit Committee of the Board of Directors of the Borrower in accordance with the Borrower’s policy regarding related party transactions in effect from time to time.</w:t>
      </w:r>
    </w:p>
    <w:p>
      <w:pPr>
        <w:spacing w:after="0" w:line="174" w:lineRule="exact"/>
        <w:rPr>
          <w:sz w:val="20"/>
          <w:szCs w:val="20"/>
          <w:color w:val="auto"/>
        </w:rPr>
      </w:pPr>
    </w:p>
    <w:p>
      <w:pPr>
        <w:jc w:val="center"/>
        <w:ind w:right="56"/>
        <w:spacing w:after="0"/>
        <w:tabs>
          <w:tab w:leader="none" w:pos="16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Financial Covenant</w:t>
      </w:r>
      <w:r>
        <w:rPr>
          <w:rFonts w:ascii="Arial" w:cs="Arial" w:eastAsia="Arial" w:hAnsi="Arial"/>
          <w:sz w:val="16"/>
          <w:szCs w:val="16"/>
          <w:color w:val="auto"/>
        </w:rPr>
        <w:t>. The Borrower will not permit the Consolidated Leverage Ratio as of the last day of any fiscal quarter</w:t>
      </w:r>
    </w:p>
    <w:p>
      <w:pPr>
        <w:spacing w:after="0" w:line="23" w:lineRule="exact"/>
        <w:rPr>
          <w:sz w:val="20"/>
          <w:szCs w:val="20"/>
          <w:color w:val="auto"/>
        </w:rPr>
      </w:pPr>
    </w:p>
    <w:p>
      <w:pPr>
        <w:ind w:left="4" w:right="120" w:hanging="4"/>
        <w:spacing w:after="0" w:line="253" w:lineRule="auto"/>
        <w:tabs>
          <w:tab w:leader="none" w:pos="25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ended on or prior to the first four full fiscal quarters ending after the Closing Date to exceed 4.25 to 1.00 and (y) any fiscal quarter thereafter to exceed 3.75 to 1.00; provided that in lieu of the ratio set forth in this clause (y), for any such date occurring after a Qualified Acquisition, on or prior to the last day of the third full fiscal quarter of the Borrower after the consummation of such Qualified Acquisition, the Borrower will not permit the Consolidated Leverage Ratio as of such date to exceed 4.25 to 1.00.</w:t>
      </w:r>
    </w:p>
    <w:p>
      <w:pPr>
        <w:spacing w:after="0" w:line="193"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will not, and will not permit any of its Subsidiaries to, engage to any material extent in any business substantially different from the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4" w:right="459" w:bottom="1440" w:gutter="0" w:footer="0" w:header="0"/>
        </w:sectPr>
      </w:pPr>
    </w:p>
    <w:bookmarkStart w:id="259" w:name="page260"/>
    <w:bookmarkEnd w:id="259"/>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businesses of the type conducted by the Borrower and its Subsidiaries on the date of execution of this Agreement and businesses reasonably related, ancillary or complementary thereto and reasonable extensions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 and be continuing at any time on and from the Closing Date (other than the event set forth in paragraph (o) below):</w:t>
      </w:r>
    </w:p>
    <w:p>
      <w:pPr>
        <w:spacing w:after="0" w:line="170" w:lineRule="exact"/>
        <w:rPr>
          <w:sz w:val="20"/>
          <w:szCs w:val="20"/>
          <w:color w:val="auto"/>
        </w:rPr>
      </w:pPr>
    </w:p>
    <w:p>
      <w:pPr>
        <w:ind w:firstLine="987"/>
        <w:spacing w:after="0" w:line="277" w:lineRule="auto"/>
        <w:tabs>
          <w:tab w:leader="none" w:pos="137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Borrower shall fail to pay any principal of the Term Loan when and as the same shall become due and payable, whether at the due date thereof or at a date fixed for prepayment thereof or otherwise;</w:t>
      </w:r>
    </w:p>
    <w:p>
      <w:pPr>
        <w:spacing w:after="0" w:line="170" w:lineRule="exact"/>
        <w:rPr>
          <w:rFonts w:ascii="Arial" w:cs="Arial" w:eastAsia="Arial" w:hAnsi="Arial"/>
          <w:sz w:val="18"/>
          <w:szCs w:val="18"/>
          <w:color w:val="auto"/>
        </w:rPr>
      </w:pPr>
    </w:p>
    <w:p>
      <w:pPr>
        <w:ind w:right="420" w:firstLine="987"/>
        <w:spacing w:after="0" w:line="263" w:lineRule="auto"/>
        <w:tabs>
          <w:tab w:leader="none" w:pos="138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Borrower shall fail to pay any interest on the Term Loan or any fee or any other amount (other than an amount referred to in clause (a) of this Article) payable under this Agreement, when and as the same shall become due and payable, and such failure shall continue unremedied for a period of five (5) Business Days;</w:t>
      </w:r>
    </w:p>
    <w:p>
      <w:pPr>
        <w:spacing w:after="0" w:line="183" w:lineRule="exact"/>
        <w:rPr>
          <w:rFonts w:ascii="Arial" w:cs="Arial" w:eastAsia="Arial" w:hAnsi="Arial"/>
          <w:sz w:val="18"/>
          <w:szCs w:val="18"/>
          <w:color w:val="auto"/>
        </w:rPr>
      </w:pPr>
    </w:p>
    <w:p>
      <w:pPr>
        <w:ind w:firstLine="987"/>
        <w:spacing w:after="0" w:line="279" w:lineRule="auto"/>
        <w:tabs>
          <w:tab w:leader="none" w:pos="1371" w:val="left"/>
        </w:tabs>
        <w:numPr>
          <w:ilvl w:val="0"/>
          <w:numId w:val="303"/>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the Borrower or any Subsidiary in or in connection with this Agreement or any other Loan Document or any amendment or modification thereof or waiver thereunder, or in any report, certificate, financial statement or other document required to be delivered in connection with this Agreement or any other Loan Document or any amendment or modification thereof or waiver thereunder, shall prove to have been incorrect in any material respect when made or deemed made;</w:t>
      </w:r>
    </w:p>
    <w:p>
      <w:pPr>
        <w:spacing w:after="0" w:line="171" w:lineRule="exact"/>
        <w:rPr>
          <w:rFonts w:ascii="Arial" w:cs="Arial" w:eastAsia="Arial" w:hAnsi="Arial"/>
          <w:sz w:val="17"/>
          <w:szCs w:val="17"/>
          <w:color w:val="auto"/>
        </w:rPr>
      </w:pPr>
    </w:p>
    <w:p>
      <w:pPr>
        <w:ind w:right="20" w:firstLine="987"/>
        <w:spacing w:after="0" w:line="277" w:lineRule="auto"/>
        <w:tabs>
          <w:tab w:leader="none" w:pos="138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5.03(i) (as to the Borrower’s existence), Section 5.09(b) or Article VI;</w:t>
      </w:r>
    </w:p>
    <w:p>
      <w:pPr>
        <w:spacing w:after="0" w:line="170" w:lineRule="exact"/>
        <w:rPr>
          <w:rFonts w:ascii="Arial" w:cs="Arial" w:eastAsia="Arial" w:hAnsi="Arial"/>
          <w:sz w:val="18"/>
          <w:szCs w:val="18"/>
          <w:color w:val="auto"/>
        </w:rPr>
      </w:pPr>
    </w:p>
    <w:p>
      <w:pPr>
        <w:ind w:right="140" w:firstLine="987"/>
        <w:spacing w:after="0" w:line="263" w:lineRule="auto"/>
        <w:tabs>
          <w:tab w:leader="none" w:pos="137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Loan Party,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written notice thereof from the Administrative Agent to the Borrower;</w:t>
      </w:r>
    </w:p>
    <w:p>
      <w:pPr>
        <w:spacing w:after="0" w:line="183" w:lineRule="exact"/>
        <w:rPr>
          <w:rFonts w:ascii="Arial" w:cs="Arial" w:eastAsia="Arial" w:hAnsi="Arial"/>
          <w:sz w:val="18"/>
          <w:szCs w:val="18"/>
          <w:color w:val="auto"/>
        </w:rPr>
      </w:pPr>
    </w:p>
    <w:p>
      <w:pPr>
        <w:ind w:right="20" w:firstLine="987"/>
        <w:spacing w:after="0" w:line="271" w:lineRule="auto"/>
        <w:tabs>
          <w:tab w:leader="none" w:pos="1351" w:val="left"/>
        </w:tabs>
        <w:numPr>
          <w:ilvl w:val="0"/>
          <w:numId w:val="303"/>
        </w:numPr>
        <w:rPr>
          <w:rFonts w:ascii="Arial" w:cs="Arial" w:eastAsia="Arial" w:hAnsi="Arial"/>
          <w:sz w:val="17"/>
          <w:szCs w:val="17"/>
          <w:color w:val="auto"/>
        </w:rPr>
      </w:pPr>
      <w:r>
        <w:rPr>
          <w:rFonts w:ascii="Arial" w:cs="Arial" w:eastAsia="Arial" w:hAnsi="Arial"/>
          <w:sz w:val="17"/>
          <w:szCs w:val="17"/>
          <w:color w:val="auto"/>
        </w:rPr>
        <w:t>(i) any Loan Party or any Material Subsidiary shall fail to make any payment (whether of principal or interest and regardless of amount) in respect of any Material Indebtedness (other than any Swap Agreement), when and as the same shall become due and payable, or if a grace period shall be applicable to such payment under the agreement or instrument under which such Indebtedness was created, beyond such applicable grace period; or (ii) the occurrence under any Swap Agreement of an “early termination date” (or equivalent event) of such Swap Agreement resulting from any event of default or “termination event” under such Swap Agreement as to which any Loan Party or any Material Subsidiary is the “defaulting party” or “affected party” (or equivalent term) and, in either event, the termination value with respect to any such Swap Agreement owed by any Loan Party or any Material Subsidiary as a result thereof is greater than $250,000,000 and any Loan Party or any Material Subsidiary fails to pay such termination value when due after applicable grace periods.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260" w:name="page261"/>
    <w:bookmarkEnd w:id="260"/>
    <w:p>
      <w:pPr>
        <w:ind w:left="4" w:right="100" w:firstLine="987"/>
        <w:spacing w:after="0" w:line="284" w:lineRule="auto"/>
        <w:tabs>
          <w:tab w:leader="none" w:pos="1385" w:val="left"/>
        </w:tabs>
        <w:numPr>
          <w:ilvl w:val="1"/>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or any Subsidiary shall default in the performance of any obligation in respect of any Material Indebtedness or any “change of control” (or equivalent term) shall occur with respect to any Material Indebtedness, in each case, that results in such Material Indebtedness becoming due prior to its scheduled maturity or that enables or permits (with or without the giving of notice, the lapse of time or both, but after giving effect to any applicable grace period) the holder or holders of such Material Indebtedness or any trustee or agent on its or their behalf to cause such Material Indebtedness to become due, or to require the prepayment, repurchase, redemption or defeasance thereof, prior to its scheduled maturity (other than solely in Qualified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(i) secured Indebtedness that becomes due as a result of the voluntary sale or transfer of the property or assets securing such Indebtedness or as a result of a casualty event affecting such property or assets; or</w:t>
      </w:r>
    </w:p>
    <w:p>
      <w:pPr>
        <w:spacing w:after="0" w:line="2" w:lineRule="exact"/>
        <w:rPr>
          <w:rFonts w:ascii="Arial" w:cs="Arial" w:eastAsia="Arial" w:hAnsi="Arial"/>
          <w:sz w:val="16"/>
          <w:szCs w:val="16"/>
          <w:color w:val="auto"/>
        </w:rPr>
      </w:pPr>
    </w:p>
    <w:p>
      <w:pPr>
        <w:ind w:left="4" w:right="300" w:hanging="4"/>
        <w:spacing w:after="0" w:line="290" w:lineRule="auto"/>
        <w:tabs>
          <w:tab w:leader="none" w:pos="269"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any “change of control” put arising as a result of any acquisition of any Acquired Entity or Business or any of its subsidiaries so long as any such Indebtedness that is put in accordance with the terms of such Indebtedness is paid as required by the terms of such Indebtedness;</w:t>
      </w:r>
    </w:p>
    <w:p>
      <w:pPr>
        <w:spacing w:after="0" w:line="161" w:lineRule="exact"/>
        <w:rPr>
          <w:rFonts w:ascii="Arial" w:cs="Arial" w:eastAsia="Arial" w:hAnsi="Arial"/>
          <w:sz w:val="17"/>
          <w:szCs w:val="17"/>
          <w:color w:val="auto"/>
        </w:rPr>
      </w:pPr>
    </w:p>
    <w:p>
      <w:pPr>
        <w:ind w:left="4" w:right="240" w:firstLine="987"/>
        <w:spacing w:after="0" w:line="293" w:lineRule="auto"/>
        <w:tabs>
          <w:tab w:leader="none" w:pos="1385" w:val="left"/>
        </w:tabs>
        <w:numPr>
          <w:ilvl w:val="1"/>
          <w:numId w:val="305"/>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moratorium, bankruptcy, dissolution or other relief in respect of any Loan Party or any Material Subsidiary or its debts, or of a substantial part of its assets, under any Federal, state or foreign bankruptcy, insolvency, receivership or similar law now or hereafter in effect or (ii) the appointment of a receiver, trustee, custodian, sequestrator, conservator, administrator (</w:t>
      </w:r>
      <w:r>
        <w:rPr>
          <w:rFonts w:ascii="Arial" w:cs="Arial" w:eastAsia="Arial" w:hAnsi="Arial"/>
          <w:sz w:val="16"/>
          <w:szCs w:val="16"/>
          <w:i w:val="1"/>
          <w:iCs w:val="1"/>
          <w:color w:val="auto"/>
        </w:rPr>
        <w:t>bewindvoerder</w:t>
      </w:r>
      <w:r>
        <w:rPr>
          <w:rFonts w:ascii="Arial" w:cs="Arial" w:eastAsia="Arial" w:hAnsi="Arial"/>
          <w:sz w:val="16"/>
          <w:szCs w:val="16"/>
          <w:color w:val="auto"/>
        </w:rPr>
        <w:t>), trustee in bankruptcy (</w:t>
      </w:r>
      <w:r>
        <w:rPr>
          <w:rFonts w:ascii="Arial" w:cs="Arial" w:eastAsia="Arial" w:hAnsi="Arial"/>
          <w:sz w:val="16"/>
          <w:szCs w:val="16"/>
          <w:i w:val="1"/>
          <w:iCs w:val="1"/>
          <w:color w:val="auto"/>
        </w:rPr>
        <w:t>curator</w:t>
      </w:r>
      <w:r>
        <w:rPr>
          <w:rFonts w:ascii="Arial" w:cs="Arial" w:eastAsia="Arial" w:hAnsi="Arial"/>
          <w:sz w:val="16"/>
          <w:szCs w:val="16"/>
          <w:color w:val="auto"/>
        </w:rPr>
        <w:t>) or similar official for any Loan Party or any Material Subsidiary or for a substantial part of its assets, and, in any such case, such proceeding or petition shall continue undismissed or unstayed for sixty (60) days or an order or decree approving or ordering any of the foregoing shall be entered;</w:t>
      </w:r>
    </w:p>
    <w:p>
      <w:pPr>
        <w:spacing w:after="0" w:line="164" w:lineRule="exact"/>
        <w:rPr>
          <w:rFonts w:ascii="Arial" w:cs="Arial" w:eastAsia="Arial" w:hAnsi="Arial"/>
          <w:sz w:val="16"/>
          <w:szCs w:val="16"/>
          <w:color w:val="auto"/>
        </w:rPr>
      </w:pPr>
    </w:p>
    <w:p>
      <w:pPr>
        <w:ind w:left="4" w:firstLine="987"/>
        <w:spacing w:after="0" w:line="254" w:lineRule="auto"/>
        <w:tabs>
          <w:tab w:leader="none" w:pos="134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Loan Party or any Material Subsidiary shall (i) voluntarily commence any proceeding or file any petition seeking liquidation, reorganization, moratorium, bankruptcy, dissolution or other relief under any Federal, state or foreign bankruptcy, insolvency, receivership or similar law now or hereafter in effect, (ii) consent to the institution of any proceeding or petition described in clause (h) of this Article, (iii) apply for or consent to the appointment of a receiver, trustee, custodian, sequestrator, conservator, administrator (</w:t>
      </w:r>
      <w:r>
        <w:rPr>
          <w:rFonts w:ascii="Arial" w:cs="Arial" w:eastAsia="Arial" w:hAnsi="Arial"/>
          <w:sz w:val="18"/>
          <w:szCs w:val="18"/>
          <w:i w:val="1"/>
          <w:iCs w:val="1"/>
          <w:color w:val="auto"/>
        </w:rPr>
        <w:t>bewindvoerder</w:t>
      </w:r>
      <w:r>
        <w:rPr>
          <w:rFonts w:ascii="Arial" w:cs="Arial" w:eastAsia="Arial" w:hAnsi="Arial"/>
          <w:sz w:val="18"/>
          <w:szCs w:val="18"/>
          <w:color w:val="auto"/>
        </w:rPr>
        <w:t>), trustee in bankruptcy (</w:t>
      </w:r>
      <w:r>
        <w:rPr>
          <w:rFonts w:ascii="Arial" w:cs="Arial" w:eastAsia="Arial" w:hAnsi="Arial"/>
          <w:sz w:val="18"/>
          <w:szCs w:val="18"/>
          <w:i w:val="1"/>
          <w:iCs w:val="1"/>
          <w:color w:val="auto"/>
        </w:rPr>
        <w:t>curator</w:t>
      </w:r>
      <w:r>
        <w:rPr>
          <w:rFonts w:ascii="Arial" w:cs="Arial" w:eastAsia="Arial" w:hAnsi="Arial"/>
          <w:sz w:val="18"/>
          <w:szCs w:val="18"/>
          <w:color w:val="auto"/>
        </w:rPr>
        <w:t>)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94" w:lineRule="exact"/>
        <w:rPr>
          <w:rFonts w:ascii="Arial" w:cs="Arial" w:eastAsia="Arial" w:hAnsi="Arial"/>
          <w:sz w:val="18"/>
          <w:szCs w:val="18"/>
          <w:color w:val="auto"/>
        </w:rPr>
      </w:pPr>
    </w:p>
    <w:p>
      <w:pPr>
        <w:ind w:left="4" w:right="180" w:firstLine="987"/>
        <w:spacing w:after="0" w:line="277" w:lineRule="auto"/>
        <w:tabs>
          <w:tab w:leader="none" w:pos="134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Loan Party or any Material Subsidiary shall become generally unable, admit in writing its inability generally or fail generally to pay its debts as they become due;</w:t>
      </w:r>
    </w:p>
    <w:p>
      <w:pPr>
        <w:spacing w:after="0" w:line="170" w:lineRule="exact"/>
        <w:rPr>
          <w:rFonts w:ascii="Arial" w:cs="Arial" w:eastAsia="Arial" w:hAnsi="Arial"/>
          <w:sz w:val="18"/>
          <w:szCs w:val="18"/>
          <w:color w:val="auto"/>
        </w:rPr>
      </w:pPr>
    </w:p>
    <w:p>
      <w:pPr>
        <w:ind w:left="4" w:right="20" w:firstLine="987"/>
        <w:spacing w:after="0" w:line="259" w:lineRule="auto"/>
        <w:tabs>
          <w:tab w:leader="none" w:pos="138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one or more final, non-appealable judgments for the payment of money in an aggregate amount in excess of $250,000,000 (to the extent due and payable and not covered by insurance as to which the relevant insurance company has not denied coverage) shall be rendered against any Loan Party, any Material Subsidiary or any combination thereof and the same shall remain unpaid or undischarged for a period of thirty (30) consecutive days during which execution shall not be paid, bonded or effectively stayed;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4"/>
          </w:cols>
          <w:pgMar w:left="436" w:top="274" w:right="439" w:bottom="1440" w:gutter="0" w:footer="0" w:header="0"/>
        </w:sectPr>
      </w:pPr>
    </w:p>
    <w:bookmarkStart w:id="261" w:name="page262"/>
    <w:bookmarkEnd w:id="261"/>
    <w:p>
      <w:pPr>
        <w:ind w:right="80" w:firstLine="987"/>
        <w:spacing w:after="0" w:line="277" w:lineRule="auto"/>
        <w:tabs>
          <w:tab w:leader="none" w:pos="1341" w:val="left"/>
        </w:tabs>
        <w:numPr>
          <w:ilvl w:val="0"/>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ERISA Event shall have occurred that, when taken together with all other ERISA Events that have occurred, would reasonably be expected to result in a Material Adverse Effect;</w:t>
      </w:r>
    </w:p>
    <w:p>
      <w:pPr>
        <w:spacing w:after="0" w:line="170" w:lineRule="exact"/>
        <w:rPr>
          <w:rFonts w:ascii="Arial" w:cs="Arial" w:eastAsia="Arial" w:hAnsi="Arial"/>
          <w:sz w:val="18"/>
          <w:szCs w:val="18"/>
          <w:color w:val="auto"/>
        </w:rPr>
      </w:pPr>
    </w:p>
    <w:p>
      <w:pPr>
        <w:ind w:left="1420" w:hanging="433"/>
        <w:spacing w:after="0"/>
        <w:tabs>
          <w:tab w:leader="none" w:pos="14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right="20" w:firstLine="987"/>
        <w:spacing w:after="0" w:line="291" w:lineRule="auto"/>
        <w:tabs>
          <w:tab w:leader="none" w:pos="138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at any time any material provision of any Guarantee Agreement, at any time after its execution and delivery and for any reason other than as expressly permitted hereunder or thereunder (including as a result of a transaction permitted under Section 6.03) or as a result of acts or omissions by the Administrative Agent or any Lender or the satisfaction in full of all the Obligations or pursuant to the provisions of Section 5.09, ceases to be in full force and effect; or any Loan Party contests in writing the validity or enforceability of any provision of any Guarantee Agreement; or any Loan Party denies in writing that it has any further liability or obligations under any Guarantee Agreement (other than as a result of repayment in full of the Obligations and termination of the Commitments or pursuant to the proviso set forth in Section 5.09(a)), or purports in writing to revoke or rescind any Guarantee Agreement, in each case with respect to a material provision of any such Guarantee Agreement; or</w:t>
      </w:r>
    </w:p>
    <w:p>
      <w:pPr>
        <w:spacing w:after="0" w:line="166" w:lineRule="exact"/>
        <w:rPr>
          <w:rFonts w:ascii="Arial" w:cs="Arial" w:eastAsia="Arial" w:hAnsi="Arial"/>
          <w:sz w:val="16"/>
          <w:szCs w:val="16"/>
          <w:color w:val="auto"/>
        </w:rPr>
      </w:pPr>
    </w:p>
    <w:p>
      <w:pPr>
        <w:ind w:left="1380" w:hanging="393"/>
        <w:spacing w:after="0"/>
        <w:tabs>
          <w:tab w:leader="none" w:pos="138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Combination Transactions shall fail for any reason to be consummated within two Business Days following the Closing Date,</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then, and in every such event (other than an event with respect to the Borrower described in clause (h), (i) or (j) of this Article), and at any time thereafter during the continuance of such event, the Administrative Agent may, and at the request of the Required Lenders shall, by notice to the Borrower, declare the Term Loan then outstanding to be due and payable in whole (or in part, in which case any principal not so declared to be due and payable may thereafter be declared to be due and payable), and thereupon the principal of the Term Loan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 (i) or (j) of this Article, the principal of the Term Loan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firstLine="987"/>
        <w:spacing w:after="0" w:line="263" w:lineRule="auto"/>
        <w:tabs>
          <w:tab w:leader="none" w:pos="137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Each of the Lenders hereby irrevocably appoints MUFG Bank to act on its behalf as the Administrative Agent hereunder and under the other Loan Documents and authorizes the Administrative Agent to take such actions on its behalf and to exercise such powers as are delegated to the Administrative Agent by the terms hereof and the other Loan Documents, together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262" w:name="page263"/>
    <w:bookmarkEnd w:id="262"/>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such actions and powers as are reasonably incidental thereto. The provisions of this Article VIII and Article XI are solely for the benefit of the Administrative Agent and the Lenders, and the Loan Parties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1" w:lineRule="exact"/>
        <w:rPr>
          <w:sz w:val="20"/>
          <w:szCs w:val="20"/>
          <w:color w:val="auto"/>
        </w:rPr>
      </w:pPr>
    </w:p>
    <w:p>
      <w:pPr>
        <w:ind w:right="40" w:firstLine="987"/>
        <w:spacing w:after="0" w:line="272" w:lineRule="auto"/>
        <w:tabs>
          <w:tab w:leader="none" w:pos="137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banking, trust, financial, advisory, underwriting or other kind of business with the Loan Parties or any Subsidiary or other Affiliate thereof as if such Person were not the Administrative Agent hereunder and without any duty to account therefor to the Lenders or to provide notice or consent of the Lenders with respect thereto.</w:t>
      </w:r>
    </w:p>
    <w:p>
      <w:pPr>
        <w:spacing w:after="0" w:line="177" w:lineRule="exact"/>
        <w:rPr>
          <w:rFonts w:ascii="Arial" w:cs="Arial" w:eastAsia="Arial" w:hAnsi="Arial"/>
          <w:sz w:val="17"/>
          <w:szCs w:val="17"/>
          <w:color w:val="auto"/>
        </w:rPr>
      </w:pPr>
    </w:p>
    <w:p>
      <w:pPr>
        <w:ind w:firstLine="987"/>
        <w:spacing w:after="0" w:line="267" w:lineRule="auto"/>
        <w:tabs>
          <w:tab w:leader="none" w:pos="136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The Administrative Agent or the Arrangers, as applicable, shall not have any duties or obligations except those expressly set forth herein and in the other Loan Documents, and its or their duties hereunder shall be administrative in nature. Without limiting the generality of the foregoing, the Administrative Agent or the Arrangers, as applicable, and its Related Parties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in writing as directed by the Required Lenders (or such other number or percentage of the Lenders as shall be expressly provided for herein or by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(c) shall not have any duty or responsibility to disclose, and shall not be liable for the failure to disclose, to any Lender, any credit or other information concerning the business, prospects, operations, property, financial and other condition or creditworthiness of any of the Loan Parties or any of their Affiliates, that is communicated to, obtained or in the possession of, the Administrative Agent, any Arranger or any of their Related Parties in any capacity, except for notices, reports and other documents expressly required to be furnished to the Lenders by the Administrative Agent herein; (d)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herein) or (ii) in the absence of its own gross negligence or willful misconduct as determined by a court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263" w:name="page264"/>
    <w:bookmarkEnd w:id="26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competent jurisdiction by final and non-appealable judgment, and the Administrative Agent shall be deemed not to have knowledge of any Default unless and until written notice describing such Default thereof is given to the Administrative Agent by the Borrower or a Lender; and (e) shall not be responsible for or have any duty or obligation to any Lender, any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165" w:lineRule="exact"/>
        <w:rPr>
          <w:sz w:val="20"/>
          <w:szCs w:val="20"/>
          <w:color w:val="auto"/>
        </w:rPr>
      </w:pPr>
    </w:p>
    <w:p>
      <w:pPr>
        <w:ind w:firstLine="987"/>
        <w:spacing w:after="0" w:line="270" w:lineRule="auto"/>
        <w:tabs>
          <w:tab w:leader="none" w:pos="1378"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the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Term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80" w:lineRule="exact"/>
        <w:rPr>
          <w:rFonts w:ascii="Arial" w:cs="Arial" w:eastAsia="Arial" w:hAnsi="Arial"/>
          <w:sz w:val="17"/>
          <w:szCs w:val="17"/>
          <w:color w:val="auto"/>
        </w:rPr>
      </w:pPr>
    </w:p>
    <w:p>
      <w:pPr>
        <w:ind w:right="20" w:firstLine="987"/>
        <w:spacing w:after="0" w:line="254" w:lineRule="auto"/>
        <w:tabs>
          <w:tab w:leader="none" w:pos="136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w:t>
      </w:r>
    </w:p>
    <w:p>
      <w:pPr>
        <w:spacing w:after="0" w:line="225" w:lineRule="exact"/>
        <w:rPr>
          <w:sz w:val="20"/>
          <w:szCs w:val="20"/>
          <w:color w:val="auto"/>
        </w:rPr>
      </w:pPr>
    </w:p>
    <w:p>
      <w:pPr>
        <w:ind w:right="160" w:firstLine="1428"/>
        <w:spacing w:after="0" w:line="308" w:lineRule="auto"/>
        <w:tabs>
          <w:tab w:leader="none" w:pos="1779"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Administrative Agent may at any time give notice of its resignation to the Lenders and the Borrower. Upon receipt of any such notice of resignation, the Required Lenders shall have the right, in consultation with the Borrower and (unless an Event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264" w:name="page265"/>
    <w:bookmarkEnd w:id="26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 under clause (a), (b), (h), (i) or (j) of Article VII shall have occurred and be continuing) with the consent of the Borrower (which consent of the Borrower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77" w:lineRule="exact"/>
        <w:rPr>
          <w:sz w:val="20"/>
          <w:szCs w:val="20"/>
          <w:color w:val="auto"/>
        </w:rPr>
      </w:pPr>
    </w:p>
    <w:p>
      <w:pPr>
        <w:ind w:firstLine="1428"/>
        <w:spacing w:after="0" w:line="289" w:lineRule="auto"/>
        <w:tabs>
          <w:tab w:leader="none" w:pos="183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the Borrower in consultation with the Lenders shall, unless an Event of Default shall have occurred and be continuing, in which case the Required Lenders in consultation with the Borrower shall, appoint a successor, which shall be a bank with an office in the United States, or an Affiliate of any such bank with an office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consent of the Borrower (not to be unreasonably withheld), the Required Lenders shall not be permitted to select a successor that is not a U.S. financial institution described in Treasury Regulation Section 1.1441-1(b)(2)(ii) or a U.S. branch of a foreign bank described in Treasury Regulation Section 1.1441-1(b)(2)(iv)(A). If no such successor shall have been so appointed and shall have accepted such appointment within 30 days (or such earlier day as shall be agreed by the Required Lenders)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removal shall nonetheless become effective in accordance with such notice on the Removal Effective Date.</w:t>
      </w:r>
    </w:p>
    <w:p>
      <w:pPr>
        <w:spacing w:after="0" w:line="166" w:lineRule="exact"/>
        <w:rPr>
          <w:rFonts w:ascii="Arial" w:cs="Arial" w:eastAsia="Arial" w:hAnsi="Arial"/>
          <w:sz w:val="16"/>
          <w:szCs w:val="16"/>
          <w:color w:val="auto"/>
        </w:rPr>
      </w:pPr>
    </w:p>
    <w:p>
      <w:pPr>
        <w:ind w:firstLine="1428"/>
        <w:spacing w:after="0" w:line="286" w:lineRule="auto"/>
        <w:tabs>
          <w:tab w:leader="none" w:pos="1879" w:val="left"/>
        </w:tabs>
        <w:numPr>
          <w:ilvl w:val="0"/>
          <w:numId w:val="311"/>
        </w:numPr>
        <w:rPr>
          <w:rFonts w:ascii="Arial" w:cs="Arial" w:eastAsia="Arial" w:hAnsi="Arial"/>
          <w:sz w:val="16"/>
          <w:szCs w:val="16"/>
          <w:color w:val="auto"/>
        </w:rPr>
      </w:pPr>
      <w:r>
        <w:rPr>
          <w:rFonts w:ascii="Arial" w:cs="Arial" w:eastAsia="Arial" w:hAnsi="Arial"/>
          <w:sz w:val="16"/>
          <w:szCs w:val="16"/>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of the appointment of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2.16(e)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Loan Parties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VIII, Article XI and Section 9.03 shall continue in effect for the benefit of such retiring or removed Administrative Agent, its sub agents and their respective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20"/>
          </w:cols>
          <w:pgMar w:left="440" w:top="274" w:right="539" w:bottom="1440" w:gutter="0" w:footer="0" w:header="0"/>
        </w:sectPr>
      </w:pPr>
    </w:p>
    <w:bookmarkStart w:id="265" w:name="page266"/>
    <w:bookmarkEnd w:id="265"/>
    <w:p>
      <w:pPr>
        <w:ind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149" w:lineRule="exact"/>
        <w:rPr>
          <w:sz w:val="20"/>
          <w:szCs w:val="20"/>
          <w:color w:val="auto"/>
        </w:rPr>
      </w:pPr>
    </w:p>
    <w:p>
      <w:pPr>
        <w:ind w:firstLine="987"/>
        <w:spacing w:after="0" w:line="284" w:lineRule="auto"/>
        <w:tabs>
          <w:tab w:leader="none" w:pos="138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Each Lender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as to any matter, including whether the Administrative Agent or any Arranger have disclosed material information in their (or their Related Parties’) possession. Each Lender represents to the Administrative Agent and the Arrangers that it has, independently and without reliance upon the Administrative Agent, the Arrangers, any other Lender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the Arrangers,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As of the date it becomes a Lender party hereto, each Lender represents and warrants that (i) it is the intention of such Lender that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8" w:lineRule="exact"/>
        <w:rPr>
          <w:rFonts w:ascii="Arial" w:cs="Arial" w:eastAsia="Arial" w:hAnsi="Arial"/>
          <w:sz w:val="16"/>
          <w:szCs w:val="16"/>
          <w:color w:val="auto"/>
        </w:rPr>
      </w:pPr>
    </w:p>
    <w:p>
      <w:pPr>
        <w:ind w:left="1380" w:hanging="393"/>
        <w:spacing w:after="0"/>
        <w:tabs>
          <w:tab w:leader="none" w:pos="13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60" w:firstLine="987"/>
        <w:spacing w:after="0" w:line="263" w:lineRule="auto"/>
        <w:tabs>
          <w:tab w:leader="none" w:pos="133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Lenders irrevocably agree that any Guarantor shall be automatically released from its obligations under the applicable Guarantee if such Person ceases to be a Subsidiary as a result of a transaction permitted hereunder (and the Administrative Agent may rely conclusively on a certificate to that effect provided to it by a Responsible Officer of the Borrower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266" w:name="page267"/>
    <w:bookmarkEnd w:id="26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further inquiry). Upon request by the Administrative Agent at any time, the Required Lenders (or such greater number of Lenders as may be required by Section 9.02) will confirm in writing the Administrative Agent’s authority to release any Guarantor from its obligations under the applicable Guarantee pursuant to this paragraph (i).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the applicable Guarantee.</w:t>
      </w:r>
    </w:p>
    <w:p>
      <w:pPr>
        <w:spacing w:after="0" w:line="188" w:lineRule="exact"/>
        <w:rPr>
          <w:sz w:val="20"/>
          <w:szCs w:val="20"/>
          <w:color w:val="auto"/>
        </w:rPr>
      </w:pPr>
    </w:p>
    <w:p>
      <w:pPr>
        <w:ind w:right="100" w:firstLine="987"/>
        <w:spacing w:after="0" w:line="263" w:lineRule="auto"/>
        <w:tabs>
          <w:tab w:leader="none" w:pos="133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Anything herein to the contrary notwithstanding, none of the Arrangers listed on the cover page hereof shall have any powers, duties or responsibilities under this Agreement or any of the other Loan Documents, except in its capacity, as applicable, as the Administrative Agent or a Lender hereunder.</w:t>
      </w:r>
    </w:p>
    <w:p>
      <w:pPr>
        <w:spacing w:after="0" w:line="183" w:lineRule="exact"/>
        <w:rPr>
          <w:rFonts w:ascii="Arial" w:cs="Arial" w:eastAsia="Arial" w:hAnsi="Arial"/>
          <w:sz w:val="18"/>
          <w:szCs w:val="18"/>
          <w:color w:val="auto"/>
        </w:rPr>
      </w:pPr>
    </w:p>
    <w:p>
      <w:pPr>
        <w:ind w:right="60" w:firstLine="987"/>
        <w:spacing w:after="0" w:line="270" w:lineRule="auto"/>
        <w:tabs>
          <w:tab w:leader="none" w:pos="1378"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(x) may receive interest or other payments with respect to the Term Loan, the Commitment and this Agreement, (y) may recognize a gain if it extended the Term Loan or the Commitment for an amount less than the amount being paid for an interest in the Term Loan or the Commitment by such Lender or (z)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jc w:val="both"/>
        <w:ind w:firstLine="987"/>
        <w:spacing w:after="0" w:line="257" w:lineRule="auto"/>
        <w:tabs>
          <w:tab w:leader="none" w:pos="1371"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(including the Borrowing Request and any notice given under Section 2.08(c) or Section 2.10(b))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7" w:lineRule="exact"/>
        <w:rPr>
          <w:rFonts w:ascii="Arial" w:cs="Arial" w:eastAsia="Arial" w:hAnsi="Arial"/>
          <w:sz w:val="18"/>
          <w:szCs w:val="18"/>
          <w:color w:val="auto"/>
        </w:rPr>
      </w:pPr>
    </w:p>
    <w:p>
      <w:pPr>
        <w:ind w:right="540" w:firstLine="1428"/>
        <w:spacing w:after="0" w:line="277" w:lineRule="auto"/>
        <w:tabs>
          <w:tab w:leader="none" w:pos="1782"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if to any Loan Party or the Administrative Agent, to the address, telecopier number, electronic mail address or telephone number specified for such Person on </w:t>
      </w:r>
      <w:r>
        <w:rPr>
          <w:rFonts w:ascii="Arial" w:cs="Arial" w:eastAsia="Arial" w:hAnsi="Arial"/>
          <w:sz w:val="18"/>
          <w:szCs w:val="18"/>
          <w:u w:val="single" w:color="auto"/>
          <w:color w:val="auto"/>
        </w:rPr>
        <w:t>Schedule 9.01</w:t>
      </w:r>
      <w:r>
        <w:rPr>
          <w:rFonts w:ascii="Arial" w:cs="Arial" w:eastAsia="Arial" w:hAnsi="Arial"/>
          <w:sz w:val="18"/>
          <w:szCs w:val="18"/>
          <w:color w:val="auto"/>
        </w:rPr>
        <w: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4" w:right="479" w:bottom="1440" w:gutter="0" w:footer="0" w:header="0"/>
        </w:sectPr>
      </w:pPr>
    </w:p>
    <w:bookmarkStart w:id="267" w:name="page268"/>
    <w:bookmarkEnd w:id="267"/>
    <w:p>
      <w:pPr>
        <w:ind w:left="4" w:right="760" w:firstLine="1428"/>
        <w:spacing w:after="0" w:line="277" w:lineRule="auto"/>
        <w:tabs>
          <w:tab w:leader="none" w:pos="1836"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any other Lender, to the address, telecopier number, electronic mail address or telephone number specified in its Administrative Questionnaire.</w:t>
      </w:r>
    </w:p>
    <w:p>
      <w:pPr>
        <w:spacing w:after="0" w:line="170"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left="4" w:firstLine="987"/>
        <w:spacing w:after="0" w:line="273" w:lineRule="auto"/>
        <w:tabs>
          <w:tab w:leader="none" w:pos="1385"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hereunder may be delivered or furnished by electronic communication (including e-mail, FpML messaging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78" w:lineRule="exact"/>
        <w:rPr>
          <w:sz w:val="20"/>
          <w:szCs w:val="20"/>
          <w:color w:val="auto"/>
        </w:rPr>
      </w:pPr>
    </w:p>
    <w:p>
      <w:pPr>
        <w:ind w:left="4" w:right="240" w:firstLine="440"/>
        <w:spacing w:after="0" w:line="286"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1" w:lineRule="exact"/>
        <w:rPr>
          <w:sz w:val="20"/>
          <w:szCs w:val="20"/>
          <w:color w:val="auto"/>
        </w:rPr>
      </w:pPr>
    </w:p>
    <w:p>
      <w:pPr>
        <w:ind w:left="4" w:right="20" w:hanging="4"/>
        <w:spacing w:after="0" w:line="255" w:lineRule="auto"/>
        <w:tabs>
          <w:tab w:leader="none" w:pos="26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rFonts w:ascii="Arial" w:cs="Arial" w:eastAsia="Arial" w:hAnsi="Arial"/>
          <w:sz w:val="18"/>
          <w:szCs w:val="18"/>
          <w:color w:val="auto"/>
        </w:rPr>
      </w:pPr>
    </w:p>
    <w:p>
      <w:pPr>
        <w:ind w:left="4" w:right="100" w:firstLine="987"/>
        <w:spacing w:after="0" w:line="253" w:lineRule="auto"/>
        <w:tabs>
          <w:tab w:leader="none" w:pos="1375" w:val="left"/>
        </w:tabs>
        <w:numPr>
          <w:ilvl w:val="1"/>
          <w:numId w:val="317"/>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INFORMATION.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any Loan Party, any Lender, or any other Person for losses, claims, damages, liabilities or expenses of any kind (whether in tort, contract or otherwise) arising out of such Loan Party’s or the Administrative Agent’s transmission of Borrower Materials or notices through the platform, any other electronic platform or electronic messaging service, or through the Internet, except to the extent that such losses,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4" w:right="459" w:bottom="1440" w:gutter="0" w:footer="0" w:header="0"/>
        </w:sectPr>
      </w:pPr>
    </w:p>
    <w:bookmarkStart w:id="268" w:name="page269"/>
    <w:bookmarkEnd w:id="268"/>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any Loan Party, any Lender or any other Person for indirect, special, incidental, consequential or punitive damages (as opposed to direct or actual damages).</w:t>
      </w:r>
    </w:p>
    <w:p>
      <w:pPr>
        <w:spacing w:after="0" w:line="149" w:lineRule="exact"/>
        <w:rPr>
          <w:sz w:val="20"/>
          <w:szCs w:val="20"/>
          <w:color w:val="auto"/>
        </w:rPr>
      </w:pPr>
    </w:p>
    <w:p>
      <w:pPr>
        <w:ind w:firstLine="987"/>
        <w:spacing w:after="0" w:line="269" w:lineRule="auto"/>
        <w:tabs>
          <w:tab w:leader="none" w:pos="1381"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Borrower (with respect to the notice address for the Loan Parties), and the Administrative Agent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any of their securities for purposes of United States Federal or state securities laws.</w:t>
      </w:r>
    </w:p>
    <w:p>
      <w:pPr>
        <w:spacing w:after="0" w:line="181" w:lineRule="exact"/>
        <w:rPr>
          <w:rFonts w:ascii="Arial" w:cs="Arial" w:eastAsia="Arial" w:hAnsi="Arial"/>
          <w:sz w:val="17"/>
          <w:szCs w:val="17"/>
          <w:color w:val="auto"/>
        </w:rPr>
      </w:pPr>
    </w:p>
    <w:p>
      <w:pPr>
        <w:ind w:right="20" w:firstLine="987"/>
        <w:spacing w:after="0" w:line="254" w:lineRule="auto"/>
        <w:tabs>
          <w:tab w:leader="none" w:pos="1371"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The Administrative Agent and the Lenders shall be entitled to rely and act upon any notices (including telephonic or electronic notices and Borrowing Request)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each Lender and the Related Parties of each of them from all losses, costs, expenses and liabilities resulting from the reliance by such Person on each notice purportedly given by or on behalf of such Loan Party unless due to such Person’s gross negligence or willful misconduct. All telephonic notices to and other telephonic communications with the Administrative Agent may be recorded by the Administrative Agent, and each of the parties hereto hereby consents to such recording.</w:t>
      </w:r>
    </w:p>
    <w:p>
      <w:pPr>
        <w:spacing w:after="0" w:line="30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117" w:lineRule="exact"/>
        <w:rPr>
          <w:sz w:val="20"/>
          <w:szCs w:val="20"/>
          <w:color w:val="auto"/>
        </w:rPr>
      </w:pPr>
    </w:p>
    <w:p>
      <w:pPr>
        <w:ind w:right="20" w:firstLine="987"/>
        <w:spacing w:after="0" w:line="255" w:lineRule="auto"/>
        <w:tabs>
          <w:tab w:leader="none" w:pos="137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consent to any departure by any Loan Party therefrom shall in any event be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269" w:name="page270"/>
    <w:bookmarkEnd w:id="269"/>
    <w:p>
      <w:pPr>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unless the same shall be permitted by paragraph (b) of this Section, and then such waiver or consent shall be effective only in the specific instance and for the purpose for which given. Without limiting the generality of the foregoing, the making of the Term Loan shall not be construed as a waiver of any Default, regardless of whether the Administrative Agent or any Lender may have had notice or knowledge of such Default at the time.</w:t>
      </w:r>
    </w:p>
    <w:p>
      <w:pPr>
        <w:spacing w:after="0" w:line="149" w:lineRule="exact"/>
        <w:rPr>
          <w:sz w:val="20"/>
          <w:szCs w:val="20"/>
          <w:color w:val="auto"/>
        </w:rPr>
      </w:pPr>
    </w:p>
    <w:p>
      <w:pPr>
        <w:ind w:firstLine="987"/>
        <w:spacing w:after="0" w:line="284" w:lineRule="auto"/>
        <w:tabs>
          <w:tab w:leader="none" w:pos="1381"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Agreement or any other Loan Document (with respect to such Loan Document), neither this Agreement nor any other Loan Document nor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each Lender directly affected thereby, it being understood that a waiver of any condition precedent set forth in Article IV or the waiver of any Default shall not constitute an increase of any Commitment of any Lender, (ii) reduce the principal amount of the Term Loan or reduce the rate of interest thereon, or reduce any fees payable hereunder, without the written consent of each Lender directly affected thereby, it being understood that any change to the definition of “Consolidated Leverage Ratio” or in the component definitions thereof shall not constitute a reduction in the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amend Section 2.12(c) or to waive any obligation of the Borrower to pay interest at the rate set forth therein, (iii) postpone the scheduled date of payment of the principal amount of the Term Loan, or any interest thereon, or any fees payable hereunder, or reduce the amount of, waive or excuse any such payment, or postpone the scheduled date of expiration of any Commitment, without the written consent of each Lender directly affected thereby, (iv) change Section 2.17(b) or (c) in a manner that would alter the pro rata sharing of payments required thereby, without the written consent of each Lender directly affected thereby, (v) change any of the provisions of this Section, the definition of “Required Lenders” or any other provision hereof specifying the number or percentage of Lenders required to waive, amend or modify any rights hereunder or make any determination or grant any consent hereunder without the written consent of each Lender or (vi) release all or substantially all of the Guarantors from their obligations under any Guarantee Agreement (other than pursuant to the proviso set forth in Section 5.09(a)), without the consent of each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(1) no such agreement shall amend, modify or otherwise affect the rights or duties of the Administrative Agent hereunder without the prior written consent of the Administrative Agent, and (2) the Administrative Agent and the Borrower may, with the consent of the other but without the consent of any other Person, amend, modify or supplement this Agreement and any other Loan Document to cure any ambiguity, typographical or technical error, defect or inconsistency. Notwithstanding anything to the contrary herein, no Defaulting Lender shall have any right to approve or disapprove any amendment, waiver or consent hereunder which does not require the consent of each affected Lender (it being understood that Loans held or deemed held by any Defaulting Lender shall be excluded for a vote of the Lenders hereunder requiring any consent of less than all affected Lenders).</w:t>
      </w:r>
    </w:p>
    <w:p>
      <w:pPr>
        <w:spacing w:after="0" w:line="200" w:lineRule="exact"/>
        <w:rPr>
          <w:sz w:val="20"/>
          <w:szCs w:val="20"/>
          <w:color w:val="auto"/>
        </w:rPr>
      </w:pPr>
    </w:p>
    <w:p>
      <w:pPr>
        <w:spacing w:after="0" w:line="30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17" w:lineRule="exact"/>
        <w:rPr>
          <w:sz w:val="20"/>
          <w:szCs w:val="20"/>
          <w:color w:val="auto"/>
        </w:rPr>
      </w:pPr>
    </w:p>
    <w:p>
      <w:pPr>
        <w:ind w:right="620" w:firstLine="987"/>
        <w:spacing w:after="0" w:line="342" w:lineRule="auto"/>
        <w:tabs>
          <w:tab w:leader="none" w:pos="1368"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Borrower shall pay (i) all reasonable and documented out-of-pocket expenses incurred by the Administrative Agent, the Arrangers and their Affiliates, including the reasonable and documented fees, charges and disbursements of a single counsel for the Arrangers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40"/>
          </w:cols>
          <w:pgMar w:left="440" w:top="274" w:right="519" w:bottom="1440" w:gutter="0" w:footer="0" w:header="0"/>
        </w:sectPr>
      </w:pPr>
    </w:p>
    <w:bookmarkStart w:id="270" w:name="page271"/>
    <w:bookmarkEnd w:id="270"/>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Administrative Agent, collectively (and, if necessary, one local counsel in each applicable jurisdiction and regulatory counsel),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and (ii) all reasonable and documented out-of-pocket expenses incurred by the Administrative Agent or any Lender, including the reasonable and documented fees, charges and disbursements of a single counsel (and, if necessary, one local counsel in each applicable jurisdiction, regulatory counsel and one additional counsel for each party in the event of a conflict of interest), in connection with the enforcement or protection of its rights in connection with this Agreement, including its rights under this Section, or in connection with the Term Loan made hereunder, including all such reasonable and documented out-of-pocket expenses incurred during any workout, restructuring or negotiations in respect of such Term Loan.</w:t>
      </w:r>
    </w:p>
    <w:p>
      <w:pPr>
        <w:spacing w:after="0" w:line="165" w:lineRule="exact"/>
        <w:rPr>
          <w:sz w:val="20"/>
          <w:szCs w:val="20"/>
          <w:color w:val="auto"/>
        </w:rPr>
      </w:pPr>
    </w:p>
    <w:p>
      <w:pPr>
        <w:ind w:left="4" w:right="80" w:firstLine="987"/>
        <w:spacing w:after="0" w:line="285" w:lineRule="auto"/>
        <w:tabs>
          <w:tab w:leader="none" w:pos="1382" w:val="left"/>
        </w:tabs>
        <w:numPr>
          <w:ilvl w:val="1"/>
          <w:numId w:val="322"/>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the Arrangers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reasonable and documented out-of-pocket expenses, including the reasonable and documented fees, charges and disbursements of a single counsel for the Indemnitees (and, if necessary, one local counsel in each applicable jurisdiction and one additional counsel for each Indemnitee in the event of a conflict of interest), incurred by or asserted against any Indemnitee arising out of, in connection with, or as a result of</w:t>
      </w:r>
    </w:p>
    <w:p>
      <w:pPr>
        <w:spacing w:after="0" w:line="1" w:lineRule="exact"/>
        <w:rPr>
          <w:rFonts w:ascii="Arial" w:cs="Arial" w:eastAsia="Arial" w:hAnsi="Arial"/>
          <w:sz w:val="16"/>
          <w:szCs w:val="16"/>
          <w:color w:val="auto"/>
        </w:rPr>
      </w:pPr>
    </w:p>
    <w:p>
      <w:pPr>
        <w:ind w:left="4" w:right="20" w:hanging="4"/>
        <w:spacing w:after="0" w:line="267" w:lineRule="auto"/>
        <w:tabs>
          <w:tab w:leader="none" w:pos="219"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the execution or delivery of this Agreement or any agreement or instrument contemplated hereby, the performance by the parties hereto of their respective obligations hereunder or the consummation of the Transactions or from and after, as applicable, consummation of the Combination or any other transactions contemplated hereby, (ii) the Term Loan or the use of the proceeds therefrom, (iii) to the extent relating to or arising from any of the foregoing,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and regardless of whether any Indemnitee is a party thereto and whether brought by the Borrower, its equityholders or any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bad faith, gross negligence or willful misconduct of such Indemnitee or any of its officers, directors, employees, Affiliates or controlling Persons (such persons, the “</w:t>
      </w:r>
      <w:r>
        <w:rPr>
          <w:rFonts w:ascii="Arial" w:cs="Arial" w:eastAsia="Arial" w:hAnsi="Arial"/>
          <w:sz w:val="17"/>
          <w:szCs w:val="17"/>
          <w:u w:val="single" w:color="auto"/>
          <w:color w:val="auto"/>
        </w:rPr>
        <w:t>Related Indemnitee Parties</w:t>
      </w:r>
      <w:r>
        <w:rPr>
          <w:rFonts w:ascii="Arial" w:cs="Arial" w:eastAsia="Arial" w:hAnsi="Arial"/>
          <w:sz w:val="17"/>
          <w:szCs w:val="17"/>
          <w:color w:val="auto"/>
        </w:rPr>
        <w:t>”), (B) the material breach of this Agreement or any other Loan Document by such Indemnitee or any of its Related Indemnitee Parties or (C) any dispute solely among Indemnitees (other than any dispute involving claims against the Administrative Agent and any Arranger, in each case in its capacity as such) and not arising out of any act or omission of the Borrower or any of its Affiliates. In addition, such indemnity shall not, as to any Indemnitee, be available with respect to any settlements effected without the Borrower’s prior written consent.</w:t>
      </w:r>
    </w:p>
    <w:p>
      <w:pPr>
        <w:spacing w:after="0" w:line="181" w:lineRule="exact"/>
        <w:rPr>
          <w:rFonts w:ascii="Arial" w:cs="Arial" w:eastAsia="Arial" w:hAnsi="Arial"/>
          <w:sz w:val="17"/>
          <w:szCs w:val="17"/>
          <w:color w:val="auto"/>
        </w:rPr>
      </w:pPr>
    </w:p>
    <w:p>
      <w:pPr>
        <w:ind w:left="1364" w:hanging="373"/>
        <w:spacing w:after="0"/>
        <w:tabs>
          <w:tab w:leader="none" w:pos="1364" w:val="left"/>
        </w:tabs>
        <w:numPr>
          <w:ilvl w:val="1"/>
          <w:numId w:val="323"/>
        </w:numPr>
        <w:rPr>
          <w:rFonts w:ascii="Arial" w:cs="Arial" w:eastAsia="Arial" w:hAnsi="Arial"/>
          <w:sz w:val="16"/>
          <w:szCs w:val="16"/>
          <w:color w:val="auto"/>
        </w:rPr>
      </w:pPr>
      <w:r>
        <w:rPr>
          <w:rFonts w:ascii="Arial" w:cs="Arial" w:eastAsia="Arial" w:hAnsi="Arial"/>
          <w:sz w:val="16"/>
          <w:szCs w:val="16"/>
          <w:color w:val="auto"/>
        </w:rPr>
        <w:t>To the extent that the Borrower fails to pay any amount required to be paid by it to the Administrative Agent under paragraph (a) or</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324"/>
        </w:numPr>
        <w:rPr>
          <w:rFonts w:ascii="Arial" w:cs="Arial" w:eastAsia="Arial" w:hAnsi="Arial"/>
          <w:sz w:val="17"/>
          <w:szCs w:val="17"/>
          <w:color w:val="auto"/>
        </w:rPr>
      </w:pPr>
      <w:r>
        <w:rPr>
          <w:rFonts w:ascii="Arial" w:cs="Arial" w:eastAsia="Arial" w:hAnsi="Arial"/>
          <w:sz w:val="17"/>
          <w:szCs w:val="17"/>
          <w:color w:val="auto"/>
        </w:rPr>
        <w:t>of this Section, each Lender severally agrees to pay to the Administrative Agent such Lender’s pro rata share (determined as of the time</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4"/>
          </w:cols>
          <w:pgMar w:left="436" w:top="274" w:right="459" w:bottom="1440" w:gutter="0" w:footer="0" w:header="0"/>
        </w:sectPr>
      </w:pPr>
    </w:p>
    <w:bookmarkStart w:id="271" w:name="page272"/>
    <w:bookmarkEnd w:id="271"/>
    <w:p>
      <w:pPr>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in its capacity as such.</w:t>
      </w:r>
    </w:p>
    <w:p>
      <w:pPr>
        <w:spacing w:after="0" w:line="184" w:lineRule="exact"/>
        <w:rPr>
          <w:sz w:val="20"/>
          <w:szCs w:val="20"/>
          <w:color w:val="auto"/>
        </w:rPr>
      </w:pPr>
    </w:p>
    <w:p>
      <w:pPr>
        <w:ind w:right="60" w:firstLine="987"/>
        <w:spacing w:after="0" w:line="270" w:lineRule="auto"/>
        <w:tabs>
          <w:tab w:leader="none" w:pos="137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Laws, no party hereto shall assert, and each party hereto hereby waives, any claim against any other party hereto and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the Term Loan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this clause (d) shall in no way limit the Borrower’s indemnification obligations set forth in this Section 9.03.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or willful misconduct of such Indemnitee.</w:t>
      </w:r>
    </w:p>
    <w:p>
      <w:pPr>
        <w:spacing w:after="0" w:line="180" w:lineRule="exact"/>
        <w:rPr>
          <w:rFonts w:ascii="Arial" w:cs="Arial" w:eastAsia="Arial" w:hAnsi="Arial"/>
          <w:sz w:val="17"/>
          <w:szCs w:val="17"/>
          <w:color w:val="auto"/>
        </w:rPr>
      </w:pPr>
    </w:p>
    <w:p>
      <w:pPr>
        <w:ind w:firstLine="987"/>
        <w:spacing w:after="0" w:line="311" w:lineRule="auto"/>
        <w:tabs>
          <w:tab w:leader="none" w:pos="136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All amounts due under this Section shall be payable not later than fifteen (15) days after written demand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Indemnitee shall promptly refund any amount received under this Section 9.03 to the extent that there is a final judicial or arbitral determination that such Indemnitee was not entitled to indemnification rights with respect to such payment pursuant to the express terms of this Section 9.03.</w:t>
      </w:r>
    </w:p>
    <w:p>
      <w:pPr>
        <w:spacing w:after="0" w:line="25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117" w:lineRule="exact"/>
        <w:rPr>
          <w:sz w:val="20"/>
          <w:szCs w:val="20"/>
          <w:color w:val="auto"/>
        </w:rPr>
      </w:pPr>
    </w:p>
    <w:p>
      <w:pPr>
        <w:ind w:firstLine="987"/>
        <w:spacing w:after="0" w:line="269" w:lineRule="auto"/>
        <w:tabs>
          <w:tab w:leader="none" w:pos="1371"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85" w:lineRule="exact"/>
        <w:rPr>
          <w:rFonts w:ascii="Arial" w:cs="Arial" w:eastAsia="Arial" w:hAnsi="Arial"/>
          <w:sz w:val="17"/>
          <w:szCs w:val="17"/>
          <w:color w:val="auto"/>
        </w:rPr>
      </w:pPr>
    </w:p>
    <w:p>
      <w:pPr>
        <w:ind w:right="60" w:firstLine="987"/>
        <w:spacing w:after="0" w:line="308" w:lineRule="auto"/>
        <w:tabs>
          <w:tab w:leader="none" w:pos="1381"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Assignments by Lenders</w:t>
      </w:r>
      <w:r>
        <w:rPr>
          <w:rFonts w:ascii="Arial" w:cs="Arial" w:eastAsia="Arial" w:hAnsi="Arial"/>
          <w:sz w:val="17"/>
          <w:szCs w:val="17"/>
          <w:color w:val="auto"/>
        </w:rPr>
        <w:t>. Any Lender (the “</w:t>
      </w:r>
      <w:r>
        <w:rPr>
          <w:rFonts w:ascii="Arial" w:cs="Arial" w:eastAsia="Arial" w:hAnsi="Arial"/>
          <w:sz w:val="17"/>
          <w:szCs w:val="17"/>
          <w:u w:val="single" w:color="auto"/>
          <w:color w:val="auto"/>
        </w:rPr>
        <w:t>Existing Lender</w:t>
      </w:r>
      <w:r>
        <w:rPr>
          <w:rFonts w:ascii="Arial" w:cs="Arial" w:eastAsia="Arial" w:hAnsi="Arial"/>
          <w:sz w:val="17"/>
          <w:szCs w:val="17"/>
          <w:color w:val="auto"/>
        </w:rPr>
        <w:t>”) may at any time assign to one or more assignees all or a portion of its rights and obligations under this Agreement (including all or a portion of (x) the unfunded Term Commitment held by it at any time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440" w:top="274" w:right="499" w:bottom="1440" w:gutter="0" w:footer="0" w:header="0"/>
        </w:sectPr>
      </w:pPr>
    </w:p>
    <w:bookmarkStart w:id="272" w:name="page273"/>
    <w:bookmarkEnd w:id="272"/>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and following the Effective Date and prior to the Closing Date or (y) the Term Loan at the time owing to it) (each such assignee being a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278" w:lineRule="exact"/>
        <w:rPr>
          <w:sz w:val="20"/>
          <w:szCs w:val="20"/>
          <w:color w:val="auto"/>
        </w:rPr>
      </w:pPr>
    </w:p>
    <w:p>
      <w:pPr>
        <w:ind w:left="1780" w:hanging="352"/>
        <w:spacing w:after="0"/>
        <w:tabs>
          <w:tab w:leader="none" w:pos="17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Minimum Amounts.</w:t>
      </w:r>
    </w:p>
    <w:p>
      <w:pPr>
        <w:spacing w:after="0" w:line="117" w:lineRule="exact"/>
        <w:rPr>
          <w:rFonts w:ascii="Arial" w:cs="Arial" w:eastAsia="Arial" w:hAnsi="Arial"/>
          <w:sz w:val="18"/>
          <w:szCs w:val="18"/>
          <w:color w:val="auto"/>
        </w:rPr>
      </w:pPr>
    </w:p>
    <w:p>
      <w:pPr>
        <w:ind w:left="980" w:right="20" w:firstLine="910"/>
        <w:spacing w:after="0" w:line="263" w:lineRule="auto"/>
        <w:tabs>
          <w:tab w:leader="none" w:pos="231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in the case of an assignment of the assigning Lender’s entire unfunded Term Commitment or in the case of an assignment of the entire remaining amount of the assigning Lender’s Term Loan at the time owing to it or in the case of an assignment to a Lender, an Affiliate of a Lender or an Approved Fund, no minimum amount need be assigned; and</w:t>
      </w:r>
    </w:p>
    <w:p>
      <w:pPr>
        <w:spacing w:after="0" w:line="75" w:lineRule="exact"/>
        <w:rPr>
          <w:rFonts w:ascii="Arial" w:cs="Arial" w:eastAsia="Arial" w:hAnsi="Arial"/>
          <w:sz w:val="18"/>
          <w:szCs w:val="18"/>
          <w:color w:val="auto"/>
        </w:rPr>
      </w:pPr>
    </w:p>
    <w:p>
      <w:pPr>
        <w:ind w:left="980" w:right="20" w:firstLine="910"/>
        <w:spacing w:after="0" w:line="269" w:lineRule="auto"/>
        <w:tabs>
          <w:tab w:leader="none" w:pos="2302" w:val="left"/>
        </w:tabs>
        <w:numPr>
          <w:ilvl w:val="1"/>
          <w:numId w:val="327"/>
        </w:numPr>
        <w:rPr>
          <w:rFonts w:ascii="Arial" w:cs="Arial" w:eastAsia="Arial" w:hAnsi="Arial"/>
          <w:sz w:val="17"/>
          <w:szCs w:val="17"/>
          <w:color w:val="auto"/>
        </w:rPr>
      </w:pPr>
      <w:r>
        <w:rPr>
          <w:rFonts w:ascii="Arial" w:cs="Arial" w:eastAsia="Arial" w:hAnsi="Arial"/>
          <w:sz w:val="17"/>
          <w:szCs w:val="17"/>
          <w:color w:val="auto"/>
        </w:rPr>
        <w:t xml:space="preserve">in any case not described in subsection (b)(i)(A) of this Section, the aggregate amount of (x) the unfunded Term Commitment of the assigning Lender subject to each such assignment and (y) the principal outstanding balance of the Term Loan of the assigning Lender subject to each such assignment, in each case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until the interpretation of the term “public” (as referred to in Article 4.1(1) of the Capital Requirements Regulation (EU 575/2013)) has been published by the competent authority, the value of the rights assigned or transferred is at least €100,000 (or its equivalent in another currency) or (y) as soon as the interpretation of the term “public” has been published by the competent authority, the Lender is not considered to be part of the public on the basis of such interpretation.</w:t>
      </w:r>
    </w:p>
    <w:p>
      <w:pPr>
        <w:spacing w:after="0" w:line="185" w:lineRule="exact"/>
        <w:rPr>
          <w:rFonts w:ascii="Arial" w:cs="Arial" w:eastAsia="Arial" w:hAnsi="Arial"/>
          <w:sz w:val="17"/>
          <w:szCs w:val="17"/>
          <w:color w:val="auto"/>
        </w:rPr>
      </w:pPr>
    </w:p>
    <w:p>
      <w:pPr>
        <w:jc w:val="both"/>
        <w:ind w:right="260" w:firstLine="1428"/>
        <w:spacing w:after="0" w:line="263" w:lineRule="auto"/>
        <w:tabs>
          <w:tab w:leader="none" w:pos="1832"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portion of the unfunded Term Commitment or the Term Loan, as applicable, being assigned;</w:t>
      </w:r>
    </w:p>
    <w:p>
      <w:pPr>
        <w:spacing w:after="0" w:line="183" w:lineRule="exact"/>
        <w:rPr>
          <w:rFonts w:ascii="Arial" w:cs="Arial" w:eastAsia="Arial" w:hAnsi="Arial"/>
          <w:sz w:val="18"/>
          <w:szCs w:val="18"/>
          <w:color w:val="auto"/>
        </w:rPr>
      </w:pPr>
    </w:p>
    <w:p>
      <w:pPr>
        <w:ind w:right="220" w:firstLine="1428"/>
        <w:spacing w:after="0" w:line="277" w:lineRule="auto"/>
        <w:tabs>
          <w:tab w:leader="none" w:pos="1882"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62" w:lineRule="exact"/>
        <w:rPr>
          <w:rFonts w:ascii="Arial" w:cs="Arial" w:eastAsia="Arial" w:hAnsi="Arial"/>
          <w:sz w:val="18"/>
          <w:szCs w:val="18"/>
          <w:color w:val="auto"/>
        </w:rPr>
      </w:pPr>
    </w:p>
    <w:p>
      <w:pPr>
        <w:ind w:left="980" w:firstLine="910"/>
        <w:spacing w:after="0" w:line="293" w:lineRule="auto"/>
        <w:tabs>
          <w:tab w:leader="none" w:pos="2312" w:val="left"/>
        </w:tabs>
        <w:numPr>
          <w:ilvl w:val="1"/>
          <w:numId w:val="327"/>
        </w:numPr>
        <w:rPr>
          <w:rFonts w:ascii="Arial" w:cs="Arial" w:eastAsia="Arial" w:hAnsi="Arial"/>
          <w:sz w:val="16"/>
          <w:szCs w:val="16"/>
          <w:color w:val="auto"/>
        </w:rPr>
      </w:pPr>
      <w:r>
        <w:rPr>
          <w:rFonts w:ascii="Arial" w:cs="Arial" w:eastAsia="Arial" w:hAnsi="Arial"/>
          <w:sz w:val="16"/>
          <w:szCs w:val="16"/>
          <w:color w:val="auto"/>
        </w:rPr>
        <w:t xml:space="preserve">(x) in the case of an assignment of any unfunded Term Commitment, the consent of the Borrower in its sole discretion shall be required and (y) in the case of an assignment of any Term Loan, the consent of the Borrower (such consent not to be unreasonably withheld or delayed) shall be required unless an Event of Default pursuant to clause (a), (b), (h), (i) or (j) of Article VII has occurred and is continuing at the time of such assignment of any Term Loan or the assignment of any Term Loan is made to a Lender or to a Lender’s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of any Term Loan unless it shall object thereto by written notice to the Administrative Agent within ten (10) Business Days after having received notice thereof; and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273" w:name="page274"/>
    <w:bookmarkEnd w:id="273"/>
    <w:p>
      <w:pPr>
        <w:ind w:left="980" w:right="60" w:firstLine="910"/>
        <w:spacing w:after="0" w:line="263" w:lineRule="auto"/>
        <w:tabs>
          <w:tab w:leader="none" w:pos="2302" w:val="left"/>
        </w:tabs>
        <w:numPr>
          <w:ilvl w:val="1"/>
          <w:numId w:val="3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consent of the Administrative Agent (such consent not to be unreasonably withheld or delayed) shall be required for assignments in respect of any unfunded Term Commitments or any Term Loan, as applicable, unless the assignment is to a Lender or its Affiliate.</w:t>
      </w:r>
    </w:p>
    <w:p>
      <w:pPr>
        <w:spacing w:after="0" w:line="183" w:lineRule="exact"/>
        <w:rPr>
          <w:rFonts w:ascii="Arial" w:cs="Arial" w:eastAsia="Arial" w:hAnsi="Arial"/>
          <w:sz w:val="18"/>
          <w:szCs w:val="18"/>
          <w:color w:val="auto"/>
        </w:rPr>
      </w:pPr>
    </w:p>
    <w:p>
      <w:pPr>
        <w:ind w:firstLine="1428"/>
        <w:spacing w:after="0" w:line="257" w:lineRule="auto"/>
        <w:tabs>
          <w:tab w:leader="none" w:pos="1872"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of any Term Commitment or any Term Loan, as applicable,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 and any tax forms required by Section 2.16(e).</w:t>
      </w:r>
    </w:p>
    <w:p>
      <w:pPr>
        <w:spacing w:after="0" w:line="187" w:lineRule="exact"/>
        <w:rPr>
          <w:rFonts w:ascii="Arial" w:cs="Arial" w:eastAsia="Arial" w:hAnsi="Arial"/>
          <w:sz w:val="18"/>
          <w:szCs w:val="18"/>
          <w:color w:val="auto"/>
        </w:rPr>
      </w:pPr>
    </w:p>
    <w:p>
      <w:pPr>
        <w:ind w:left="1820" w:hanging="392"/>
        <w:spacing w:after="0"/>
        <w:tabs>
          <w:tab w:leader="none" w:pos="1820"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No Assignment to Loan Parties</w:t>
      </w:r>
      <w:r>
        <w:rPr>
          <w:rFonts w:ascii="Arial" w:cs="Arial" w:eastAsia="Arial" w:hAnsi="Arial"/>
          <w:sz w:val="17"/>
          <w:szCs w:val="17"/>
          <w:color w:val="auto"/>
        </w:rPr>
        <w:t>. No such assignment shall be made to any Loan Party or any Loan Party’s Affiliates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1860" w:hanging="432"/>
        <w:spacing w:after="0"/>
        <w:tabs>
          <w:tab w:leader="none" w:pos="186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225" w:lineRule="exact"/>
        <w:rPr>
          <w:rFonts w:ascii="Arial" w:cs="Arial" w:eastAsia="Arial" w:hAnsi="Arial"/>
          <w:sz w:val="18"/>
          <w:szCs w:val="18"/>
          <w:color w:val="auto"/>
        </w:rPr>
      </w:pPr>
    </w:p>
    <w:p>
      <w:pPr>
        <w:ind w:firstLine="1428"/>
        <w:spacing w:after="0" w:line="289" w:lineRule="auto"/>
        <w:tabs>
          <w:tab w:leader="none" w:pos="1922"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the Term Loan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6" w:lineRule="exact"/>
        <w:rPr>
          <w:rFonts w:ascii="Arial" w:cs="Arial" w:eastAsia="Arial" w:hAnsi="Arial"/>
          <w:sz w:val="16"/>
          <w:szCs w:val="16"/>
          <w:color w:val="auto"/>
        </w:rPr>
      </w:pPr>
    </w:p>
    <w:p>
      <w:pPr>
        <w:ind w:right="20" w:firstLine="1428"/>
        <w:spacing w:after="0" w:line="272" w:lineRule="auto"/>
        <w:tabs>
          <w:tab w:leader="none" w:pos="1972" w:val="left"/>
        </w:tabs>
        <w:numPr>
          <w:ilvl w:val="0"/>
          <w:numId w:val="329"/>
        </w:numPr>
        <w:rPr>
          <w:rFonts w:ascii="Arial" w:cs="Arial" w:eastAsia="Arial" w:hAnsi="Arial"/>
          <w:sz w:val="17"/>
          <w:szCs w:val="17"/>
          <w:color w:val="auto"/>
        </w:rPr>
      </w:pPr>
      <w:r>
        <w:rPr>
          <w:rFonts w:ascii="Arial" w:cs="Arial" w:eastAsia="Arial" w:hAnsi="Arial"/>
          <w:sz w:val="17"/>
          <w:szCs w:val="17"/>
          <w:color w:val="auto"/>
        </w:rPr>
        <w:t>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274" w:name="page275"/>
    <w:bookmarkEnd w:id="274"/>
    <w:p>
      <w:pPr>
        <w:ind w:left="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8" w:lineRule="exact"/>
        <w:rPr>
          <w:sz w:val="20"/>
          <w:szCs w:val="20"/>
          <w:color w:val="auto"/>
        </w:rPr>
      </w:pPr>
    </w:p>
    <w:p>
      <w:pPr>
        <w:ind w:left="4" w:firstLine="987"/>
        <w:spacing w:after="0" w:line="291" w:lineRule="auto"/>
        <w:tabs>
          <w:tab w:leader="none" w:pos="1375"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 non-fiduciary agent of the Borrower (and such agency being solely for tax purposes),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and interest thereon of the Term Loan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66" w:lineRule="exact"/>
        <w:rPr>
          <w:rFonts w:ascii="Arial" w:cs="Arial" w:eastAsia="Arial" w:hAnsi="Arial"/>
          <w:sz w:val="16"/>
          <w:szCs w:val="16"/>
          <w:color w:val="auto"/>
        </w:rPr>
      </w:pPr>
    </w:p>
    <w:p>
      <w:pPr>
        <w:ind w:left="4" w:right="60" w:firstLine="987"/>
        <w:spacing w:after="0" w:line="286" w:lineRule="auto"/>
        <w:tabs>
          <w:tab w:leader="none" w:pos="1385"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(the “</w:t>
      </w:r>
      <w:r>
        <w:rPr>
          <w:rFonts w:ascii="Arial" w:cs="Arial" w:eastAsia="Arial" w:hAnsi="Arial"/>
          <w:sz w:val="16"/>
          <w:szCs w:val="16"/>
          <w:u w:val="single" w:color="auto"/>
          <w:color w:val="auto"/>
        </w:rPr>
        <w:t>Existing Lender</w:t>
      </w:r>
      <w:r>
        <w:rPr>
          <w:rFonts w:ascii="Arial" w:cs="Arial" w:eastAsia="Arial" w:hAnsi="Arial"/>
          <w:sz w:val="16"/>
          <w:szCs w:val="16"/>
          <w:color w:val="auto"/>
        </w:rPr>
        <w:t>”)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or a “</w:t>
      </w:r>
      <w:r>
        <w:rPr>
          <w:rFonts w:ascii="Arial" w:cs="Arial" w:eastAsia="Arial" w:hAnsi="Arial"/>
          <w:sz w:val="16"/>
          <w:szCs w:val="16"/>
          <w:u w:val="single" w:color="auto"/>
          <w:color w:val="auto"/>
        </w:rPr>
        <w:t>New Lender</w:t>
      </w:r>
      <w:r>
        <w:rPr>
          <w:rFonts w:ascii="Arial" w:cs="Arial" w:eastAsia="Arial" w:hAnsi="Arial"/>
          <w:sz w:val="16"/>
          <w:szCs w:val="16"/>
          <w:color w:val="auto"/>
        </w:rPr>
        <w:t xml:space="preserve">”) in all or a portion of such Lender’s rights and/or obligations under this Agreement (including all or a portion of the Term Loan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w:t>
      </w:r>
    </w:p>
    <w:p>
      <w:pPr>
        <w:spacing w:after="0" w:line="1" w:lineRule="exact"/>
        <w:rPr>
          <w:rFonts w:ascii="Arial" w:cs="Arial" w:eastAsia="Arial" w:hAnsi="Arial"/>
          <w:sz w:val="16"/>
          <w:szCs w:val="16"/>
          <w:color w:val="auto"/>
        </w:rPr>
      </w:pPr>
    </w:p>
    <w:p>
      <w:pPr>
        <w:ind w:left="4" w:right="80" w:hanging="4"/>
        <w:spacing w:after="0" w:line="253" w:lineRule="auto"/>
        <w:tabs>
          <w:tab w:leader="none" w:pos="26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Section 9.03(c) without regard to the existence of any participation.</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Any agreement or instrument pursuant to which a Lender sells such a participation shall provide that such Lender shall retain the sole right to</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instrument may provide that such Lender will not, without the consent of the Participant, agree to any amendment, waiver or other modification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described in Section 9.02(b)(i) that affects such Participant. Subject to subsection (e) of this Section, the Borrower agrees that each Participant shall be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entitled to the benefits of Sections 2.14, 2.15 and 2.16 (subject to the requirements and limitations therein, including the requirements under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2.16(e)) to the same extent as if it were a Lender and had acquired its interest by assignment pursuant to subsection (b) of this Section.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extent permitted by law, each Participant also shall be entitled to the benefits of Section 9.08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agrees to be subject to Sections 2.17 and 2.18 as though it were a Lender. Each Lender that sells a participation shall, acting solely for this purpose as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non-fiduciary agent of the Borrower, maintain a register on which it enters the name and address of each Participant and the principal amounts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interest</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44"/>
          </w:cols>
          <w:pgMar w:left="436" w:top="274" w:right="519" w:bottom="1440" w:gutter="0" w:footer="0" w:header="0"/>
        </w:sectPr>
      </w:pPr>
    </w:p>
    <w:bookmarkStart w:id="275" w:name="page276"/>
    <w:bookmarkEnd w:id="27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thereon of each participant’s interest in the Term Loan or other obligations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the participation in question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2" w:lineRule="exact"/>
        <w:rPr>
          <w:sz w:val="20"/>
          <w:szCs w:val="20"/>
          <w:color w:val="auto"/>
        </w:rPr>
      </w:pPr>
    </w:p>
    <w:p>
      <w:pPr>
        <w:ind w:left="1360" w:hanging="373"/>
        <w:spacing w:after="0"/>
        <w:tabs>
          <w:tab w:leader="none" w:pos="13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Limitations upon New Lender Rights.</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Subject to Section 9.04(e)(ii) below, if:</w:t>
      </w:r>
    </w:p>
    <w:p>
      <w:pPr>
        <w:spacing w:after="0" w:line="117" w:lineRule="exact"/>
        <w:rPr>
          <w:rFonts w:ascii="Arial" w:cs="Arial" w:eastAsia="Arial" w:hAnsi="Arial"/>
          <w:sz w:val="18"/>
          <w:szCs w:val="18"/>
          <w:color w:val="auto"/>
        </w:rPr>
      </w:pPr>
    </w:p>
    <w:p>
      <w:pPr>
        <w:ind w:left="980" w:right="480" w:firstLine="910"/>
        <w:spacing w:after="0" w:line="277" w:lineRule="auto"/>
        <w:tabs>
          <w:tab w:leader="none" w:pos="2312" w:val="left"/>
        </w:tabs>
        <w:numPr>
          <w:ilvl w:val="2"/>
          <w:numId w:val="332"/>
        </w:numPr>
        <w:rPr>
          <w:rFonts w:ascii="Arial" w:cs="Arial" w:eastAsia="Arial" w:hAnsi="Arial"/>
          <w:sz w:val="18"/>
          <w:szCs w:val="18"/>
          <w:color w:val="auto"/>
        </w:rPr>
      </w:pPr>
      <w:r>
        <w:rPr>
          <w:rFonts w:ascii="Arial" w:cs="Arial" w:eastAsia="Arial" w:hAnsi="Arial"/>
          <w:sz w:val="18"/>
          <w:szCs w:val="18"/>
          <w:color w:val="auto"/>
        </w:rPr>
        <w:t>a Lender assigns, transfers, sells, pledges or assigns a security interest in any of its rights or obligations under this Agreement or changes its Lending Office; and</w:t>
      </w:r>
    </w:p>
    <w:p>
      <w:pPr>
        <w:spacing w:after="0" w:line="62" w:lineRule="exact"/>
        <w:rPr>
          <w:rFonts w:ascii="Arial" w:cs="Arial" w:eastAsia="Arial" w:hAnsi="Arial"/>
          <w:sz w:val="18"/>
          <w:szCs w:val="18"/>
          <w:color w:val="auto"/>
        </w:rPr>
      </w:pPr>
    </w:p>
    <w:p>
      <w:pPr>
        <w:ind w:left="980" w:right="60" w:firstLine="910"/>
        <w:spacing w:after="0" w:line="263" w:lineRule="auto"/>
        <w:tabs>
          <w:tab w:leader="none" w:pos="2302" w:val="left"/>
        </w:tabs>
        <w:numPr>
          <w:ilvl w:val="2"/>
          <w:numId w:val="332"/>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sale, pledge, assignment of the security interest or change occurs, a Loan Party would be obliged to make a payment to the New Lender or Lender acting through its new Lending Office under Section 2.14 or Section 2.16,</w:t>
      </w:r>
    </w:p>
    <w:p>
      <w:pPr>
        <w:spacing w:after="0" w:line="76"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then the New Lender or Lender acting through its new Lending Office is only entitled to receive payment under those Sections to the same extent as the Existing Lender or Lender acting through its previous Lending Office would have been if the assignment, transfer, sale, pledge, assignment of the security interest or change had not occurred.</w:t>
      </w:r>
    </w:p>
    <w:p>
      <w:pPr>
        <w:spacing w:after="0" w:line="184" w:lineRule="exact"/>
        <w:rPr>
          <w:sz w:val="20"/>
          <w:szCs w:val="20"/>
          <w:color w:val="auto"/>
        </w:rPr>
      </w:pPr>
    </w:p>
    <w:p>
      <w:pPr>
        <w:ind w:right="260" w:firstLine="1428"/>
        <w:spacing w:after="0" w:line="296" w:lineRule="auto"/>
        <w:tabs>
          <w:tab w:leader="none" w:pos="1822" w:val="left"/>
        </w:tabs>
        <w:numPr>
          <w:ilvl w:val="1"/>
          <w:numId w:val="333"/>
        </w:numPr>
        <w:rPr>
          <w:rFonts w:ascii="Arial" w:cs="Arial" w:eastAsia="Arial" w:hAnsi="Arial"/>
          <w:sz w:val="16"/>
          <w:szCs w:val="16"/>
          <w:color w:val="auto"/>
        </w:rPr>
      </w:pPr>
      <w:r>
        <w:rPr>
          <w:rFonts w:ascii="Arial" w:cs="Arial" w:eastAsia="Arial" w:hAnsi="Arial"/>
          <w:sz w:val="16"/>
          <w:szCs w:val="16"/>
          <w:color w:val="auto"/>
        </w:rPr>
        <w:t>A New Lender shall not be entitled to receive any greater payment under Section 2.14 or 2.16 than the applicable Lender would have been entitled to receive with respect to the participation sold to such Participant, unless the sale of the participation to such Participant is made with the Borrower’s prior written consent or results from a Change in Law after the sale of such participation. A Participant that would be a Foreign Lender if it were a Lender shall not be entitled to the benefits of Section 2.16 unless the Borrower is notified of the participation sold to such Participant and such Participant agrees, for the benefit of the Borrower, to comply with Section 2.16 as though it were a Lender.</w:t>
      </w:r>
    </w:p>
    <w:p>
      <w:pPr>
        <w:spacing w:after="0" w:line="161" w:lineRule="exact"/>
        <w:rPr>
          <w:rFonts w:ascii="Arial" w:cs="Arial" w:eastAsia="Arial" w:hAnsi="Arial"/>
          <w:sz w:val="16"/>
          <w:szCs w:val="16"/>
          <w:color w:val="auto"/>
        </w:rPr>
      </w:pPr>
    </w:p>
    <w:p>
      <w:pPr>
        <w:ind w:right="80" w:firstLine="987"/>
        <w:spacing w:after="0" w:line="301" w:lineRule="auto"/>
        <w:tabs>
          <w:tab w:leader="none" w:pos="1351"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Any Lender (the “</w:t>
      </w:r>
      <w:r>
        <w:rPr>
          <w:rFonts w:ascii="Arial" w:cs="Arial" w:eastAsia="Arial" w:hAnsi="Arial"/>
          <w:sz w:val="16"/>
          <w:szCs w:val="16"/>
          <w:u w:val="single" w:color="auto"/>
          <w:color w:val="auto"/>
        </w:rPr>
        <w:t>Existing Lender</w:t>
      </w:r>
      <w:r>
        <w:rPr>
          <w:rFonts w:ascii="Arial" w:cs="Arial" w:eastAsia="Arial" w:hAnsi="Arial"/>
          <w:sz w:val="16"/>
          <w:szCs w:val="16"/>
          <w:color w:val="auto"/>
        </w:rPr>
        <w:t>”) may at any time pledge or assign a security interest in all or any portion of its rights under this Agreement (including under its Note(s), if any) to secure obligations of such Lender, including any pledge or assignment to secure obligations to a Federal Reserve Bank or other central bank (each such pledgee or assignee being a “</w:t>
      </w:r>
      <w:r>
        <w:rPr>
          <w:rFonts w:ascii="Arial" w:cs="Arial" w:eastAsia="Arial" w:hAnsi="Arial"/>
          <w:sz w:val="16"/>
          <w:szCs w:val="16"/>
          <w:u w:val="single" w:color="auto"/>
          <w:color w:val="auto"/>
        </w:rPr>
        <w:t>New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4" w:right="479" w:bottom="1440" w:gutter="0" w:footer="0" w:header="0"/>
        </w:sectPr>
      </w:pPr>
    </w:p>
    <w:bookmarkStart w:id="276" w:name="page277"/>
    <w:bookmarkEnd w:id="276"/>
    <w:p>
      <w:pPr>
        <w:ind w:left="4" w:right="20" w:firstLine="987"/>
        <w:spacing w:after="0" w:line="287" w:lineRule="auto"/>
        <w:tabs>
          <w:tab w:leader="none" w:pos="1385" w:val="left"/>
        </w:tabs>
        <w:numPr>
          <w:ilvl w:val="1"/>
          <w:numId w:val="3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left="4" w:hanging="4"/>
        <w:spacing w:after="0" w:line="284" w:lineRule="auto"/>
        <w:tabs>
          <w:tab w:leader="none" w:pos="219" w:val="left"/>
        </w:tabs>
        <w:numPr>
          <w:ilvl w:val="0"/>
          <w:numId w:val="336"/>
        </w:numPr>
        <w:rPr>
          <w:rFonts w:ascii="Arial" w:cs="Arial" w:eastAsia="Arial" w:hAnsi="Arial"/>
          <w:sz w:val="16"/>
          <w:szCs w:val="16"/>
          <w:color w:val="auto"/>
        </w:rPr>
      </w:pPr>
      <w:r>
        <w:rPr>
          <w:rFonts w:ascii="Arial" w:cs="Arial" w:eastAsia="Arial" w:hAnsi="Arial"/>
          <w:sz w:val="16"/>
          <w:szCs w:val="16"/>
          <w:color w:val="auto"/>
        </w:rPr>
        <w:t>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Section 2.14); (B) no SPC shall be liable for any indemnity or similar payment obligation under this Agreement for which a Lender would be liable (which indemnity or similar payment obligation shall be retained by the Granting Lender);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(x) with notice to, but without prior consent of the Borrower and the Administrative Agent and with the payment of a processing fee of $3,500, assign all or any portion of its right to receive payment with respect to any Loan to the Granting Lender and (y) disclose on a confidential basis any non-public information relating to its funding of Loans to any rating agency, commercial paper dealer or provider of any surety or Guarantee or credit or liquidity enhancement to such SPC.</w:t>
      </w:r>
    </w:p>
    <w:p>
      <w:pPr>
        <w:spacing w:after="0" w:line="176" w:lineRule="exact"/>
        <w:rPr>
          <w:sz w:val="20"/>
          <w:szCs w:val="20"/>
          <w:color w:val="auto"/>
        </w:rPr>
      </w:pPr>
    </w:p>
    <w:p>
      <w:pPr>
        <w:ind w:left="4" w:right="120" w:firstLine="440"/>
        <w:spacing w:after="0" w:line="290"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the Borrowing of the Term Loan on the Closing Date, and shall continue in full force and effect as long as the Term Loan or any other Obligation hereunder shall remain unpaid or unsatisfied. The provisions of Sections 2.14, 2.15, 2.16 and 9.03 and Article VIII shall survive and remain in full force and effect regardless of the consummation of the transactions contemplated hereby, the repayment of the Term Loan, the expiration or termination of the Commitments or the termination of this Agreement or any other Loan Document or any provision hereof or thereof.</w:t>
      </w:r>
    </w:p>
    <w:p>
      <w:pPr>
        <w:spacing w:after="0" w:line="165"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4"/>
          </w:cols>
          <w:pgMar w:left="436" w:top="274" w:right="459" w:bottom="1440" w:gutter="0" w:footer="0" w:header="0"/>
        </w:sectPr>
      </w:pPr>
    </w:p>
    <w:bookmarkStart w:id="277" w:name="page278"/>
    <w:bookmarkEnd w:id="277"/>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pdf or other electronic transmission shall be effective as delivery of a manually executed counterpart of this Agreement.</w:t>
      </w:r>
    </w:p>
    <w:p>
      <w:pPr>
        <w:spacing w:after="0" w:line="16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u w:val="single" w:color="auto"/>
          <w:color w:val="auto"/>
        </w:rPr>
        <w:t>Right of Setoff</w:t>
      </w:r>
      <w:r>
        <w:rPr>
          <w:rFonts w:ascii="Arial" w:cs="Arial" w:eastAsia="Arial" w:hAnsi="Arial"/>
          <w:sz w:val="16"/>
          <w:szCs w:val="16"/>
          <w:color w:val="auto"/>
        </w:rPr>
        <w:t>.</w:t>
      </w:r>
    </w:p>
    <w:p>
      <w:pPr>
        <w:spacing w:after="0" w:line="117" w:lineRule="exact"/>
        <w:rPr>
          <w:sz w:val="20"/>
          <w:szCs w:val="20"/>
          <w:color w:val="auto"/>
        </w:rPr>
      </w:pPr>
    </w:p>
    <w:p>
      <w:pPr>
        <w:ind w:right="60" w:firstLine="987"/>
        <w:spacing w:after="0" w:line="254" w:lineRule="auto"/>
        <w:tabs>
          <w:tab w:leader="none" w:pos="137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the Borrower or any other Loan Party against any of and all the Obligations of the Borrower or such other Loan Party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94" w:lineRule="exact"/>
        <w:rPr>
          <w:rFonts w:ascii="Arial" w:cs="Arial" w:eastAsia="Arial" w:hAnsi="Arial"/>
          <w:sz w:val="18"/>
          <w:szCs w:val="18"/>
          <w:color w:val="auto"/>
        </w:rPr>
      </w:pPr>
    </w:p>
    <w:p>
      <w:pPr>
        <w:ind w:right="20" w:firstLine="987"/>
        <w:spacing w:after="0" w:line="288" w:lineRule="auto"/>
        <w:tabs>
          <w:tab w:leader="none" w:pos="1378"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To the extent that any payment by or on behalf of the Borrower or any other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under clause (b) of the preceding sentence shall survive the payment in full of the Obligations and the termination of this Agreement.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40" w:top="274" w:right="479" w:bottom="1440" w:gutter="0" w:footer="0" w:header="0"/>
        </w:sectPr>
      </w:pPr>
    </w:p>
    <w:bookmarkStart w:id="278" w:name="page279"/>
    <w:bookmarkEnd w:id="278"/>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9" w:lineRule="auto"/>
        <w:tabs>
          <w:tab w:leader="none" w:pos="136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This Agreement shall be construed in accordance with and governed by the law of the State of New York (without regard to the conflict of law principles thereof to the extent that the application of the laws of another jurisdiction would be required thereby); </w:t>
      </w:r>
      <w:r>
        <w:rPr>
          <w:rFonts w:ascii="Arial" w:cs="Arial" w:eastAsia="Arial" w:hAnsi="Arial"/>
          <w:sz w:val="17"/>
          <w:szCs w:val="17"/>
          <w:i w:val="1"/>
          <w:iCs w:val="1"/>
          <w:color w:val="auto"/>
        </w:rPr>
        <w:t>provided</w:t>
      </w:r>
      <w:r>
        <w:rPr>
          <w:rFonts w:ascii="Arial" w:cs="Arial" w:eastAsia="Arial" w:hAnsi="Arial"/>
          <w:sz w:val="17"/>
          <w:szCs w:val="17"/>
          <w:color w:val="auto"/>
        </w:rPr>
        <w:t>, that (i) the interpretation of the definition of Spinco Material Adverse Effect and whether or not a Spinco Material Adverse Effect has occurred, (ii) the determination of the accuracy of any Combination Transaction Representation and whether as a result of any inaccuracy thereof, Mylan has the right to terminate its obligation to consummate the Combination under the Business Combination Agreement and (iii) the determination of whether (a) the conditions to the Distribution set forth in the Separation and Distribution Agreement and (b) the conditions to the Combination set forth in the Business Combination Agreement, in each case, other than such conditions that by their nature are to be satisfied upon the closing of such transaction, have been satisfied or waived or are expected to be satisfied and waived on the Closing Date or one Business Day thereafter, in each case, shall be governed by and construed in accordance with the Law (as defined in the Business Combination Agreement as in effect on the date hereof) of the State of Delaware, without regard to any Laws or principles thereof that would result in the application of the Laws of any other jurisdiction (except that the Laws of the Netherlands shall govern (i) the duties of the members of the Mylan Board (as defined in the Business Combination Agreement as in effect on the date hereof) and (ii) the Combination, to the extent mandatorily applicable thereto).</w:t>
      </w:r>
    </w:p>
    <w:p>
      <w:pPr>
        <w:spacing w:after="0" w:line="178" w:lineRule="exact"/>
        <w:rPr>
          <w:rFonts w:ascii="Arial" w:cs="Arial" w:eastAsia="Arial" w:hAnsi="Arial"/>
          <w:sz w:val="17"/>
          <w:szCs w:val="17"/>
          <w:color w:val="auto"/>
        </w:rPr>
      </w:pPr>
    </w:p>
    <w:p>
      <w:pPr>
        <w:ind w:firstLine="987"/>
        <w:spacing w:after="0" w:line="268" w:lineRule="auto"/>
        <w:tabs>
          <w:tab w:leader="none" w:pos="137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Borrower and each other Loan Party irrevocably and unconditionally agrees that it will not commence any action, litigation or proceeding of any kind or description, whether in law or in equity, whether in contract or in tort or otherwise, against the Administrative Agent, any Lender or any Related Party of the foregoing in any way related to this Agreement in any forum other than the Supreme Court of the State of New York sitting in New York County and of the United States District Court of the Southern District of New York, and any appellate court from any thereof.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The foregoing shall not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86" w:lineRule="exact"/>
        <w:rPr>
          <w:rFonts w:ascii="Arial" w:cs="Arial" w:eastAsia="Arial" w:hAnsi="Arial"/>
          <w:sz w:val="17"/>
          <w:szCs w:val="17"/>
          <w:color w:val="auto"/>
        </w:rPr>
      </w:pPr>
    </w:p>
    <w:p>
      <w:pPr>
        <w:ind w:right="120" w:firstLine="987"/>
        <w:spacing w:after="0" w:line="301" w:lineRule="auto"/>
        <w:tabs>
          <w:tab w:leader="none" w:pos="1371" w:val="left"/>
        </w:tabs>
        <w:numPr>
          <w:ilvl w:val="0"/>
          <w:numId w:val="338"/>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279" w:name="page280"/>
    <w:bookmarkEnd w:id="279"/>
    <w:p>
      <w:pPr>
        <w:ind w:left="4" w:right="100" w:firstLine="987"/>
        <w:spacing w:after="0" w:line="259" w:lineRule="auto"/>
        <w:tabs>
          <w:tab w:leader="none" w:pos="1385" w:val="left"/>
        </w:tabs>
        <w:numPr>
          <w:ilvl w:val="0"/>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Guarantor hereby appoints the Borrower as its agent for service of process with respect to any matters relating to this Agreement or any other Loan Document.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7"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4" w:right="60" w:hanging="4"/>
        <w:spacing w:after="0" w:line="253" w:lineRule="auto"/>
        <w:tabs>
          <w:tab w:leader="none" w:pos="29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and the Lenders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or required by any regulatory authority purporting to have jurisdiction over it (including any self-regulatory authority, such as the National Association of Insurance Commissioners),</w:t>
      </w:r>
    </w:p>
    <w:p>
      <w:pPr>
        <w:spacing w:after="0" w:line="2" w:lineRule="exact"/>
        <w:rPr>
          <w:sz w:val="20"/>
          <w:szCs w:val="20"/>
          <w:color w:val="auto"/>
        </w:rPr>
      </w:pPr>
    </w:p>
    <w:p>
      <w:pPr>
        <w:ind w:left="4" w:hanging="4"/>
        <w:spacing w:after="0" w:line="268" w:lineRule="auto"/>
        <w:tabs>
          <w:tab w:leader="none" w:pos="249"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to the extent required by applicable laws or regulations or by any subpoena or similar legal process (provided, that (other than in the case of any disclosure to a regulator or examiner during a routine examination) to the extent practicable and permitted by law, the Borrower has been notified prior to such disclosure so that the Borrower may seek, at the Borrower’s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 Loan Party and its obligations, (g) with the consent of any Loan Party, (h) to the extent such Information (x) becomes publicly available other than as a result of a breach of this Section or (y) becomes available to the Administrative Agent, any Lender or any of their respective Affiliates on a nonconfidential basis</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4"/>
          </w:cols>
          <w:pgMar w:left="436" w:top="274" w:right="479" w:bottom="1440" w:gutter="0" w:footer="0" w:header="0"/>
        </w:sectPr>
      </w:pPr>
    </w:p>
    <w:bookmarkStart w:id="280" w:name="page281"/>
    <w:bookmarkEnd w:id="28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a source other than a Loan Party, (i) to any nationally recognized rating agency that requires access to information about a Lender’s investment portfolio in connection with ratings issued with respect to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any such disclosure, such rating agency shall undertake in writing to preserve the confidentiality of any confidential Information relating to the Loan Parties), (j) in customary disclosure about the terms of the financing contemplated hereby in the ordinary course of business to market data collectors and similar service providers to the loan industry for league table purposes or (k) on a confidential basis to (i) the provider of any Platform or other electronic delivery service used by the Administrative Agent to deliver Borrower Materials or notices to the Lenders or (ii) the CUSIP Service Bureau or any similar agency in connection with the application, issuance, publishing and monitoring of CUSIP numbers or other market identifiers with respect to the credit facilities provided hereunder or (iii) other service providers to the Administrative Agent and the Lenders in connection with the administration of this Agreement, the other Loan Documents and the Borrowing hereunder. For purposes of this Section, “Information”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4"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“Act”),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7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to the contrary contained in any Loan Document,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0"/>
          </w:cols>
          <w:pgMar w:left="440" w:top="274" w:right="479" w:bottom="1440" w:gutter="0" w:footer="0" w:header="0"/>
        </w:sectPr>
      </w:pPr>
    </w:p>
    <w:bookmarkStart w:id="281" w:name="page282"/>
    <w:bookmarkEnd w:id="281"/>
    <w:p>
      <w:pPr>
        <w:ind w:right="1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No Fiduciary Duty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the Borrower, each other Loan Party and their respective Affiliates, on the one hand, and the Administrative Agent, the Arrangers and the Lenders, on the other hand, (B) the Borrower and each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the other Loan Parties and their respective Affiliates, and neither the Administrative Agent nor any Arranger nor any Lender has any obligation to disclose any of such interests to the Borrower, any other Loan Party or any of their respective Affiliates. To the fullest extent permitted by law, the Borrower and each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28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u w:val="single" w:color="auto"/>
          <w:color w:val="auto"/>
        </w:rPr>
        <w:t>Electronic Execution of this Agreement and Other Documents</w:t>
      </w:r>
      <w:r>
        <w:rPr>
          <w:rFonts w:ascii="Arial" w:cs="Arial" w:eastAsia="Arial" w:hAnsi="Arial"/>
          <w:sz w:val="16"/>
          <w:szCs w:val="16"/>
          <w:color w:val="auto"/>
        </w:rPr>
        <w:t>.</w:t>
      </w:r>
    </w:p>
    <w:p>
      <w:pPr>
        <w:spacing w:after="0" w:line="117" w:lineRule="exact"/>
        <w:rPr>
          <w:sz w:val="20"/>
          <w:szCs w:val="20"/>
          <w:color w:val="auto"/>
        </w:rPr>
      </w:pPr>
    </w:p>
    <w:p>
      <w:pPr>
        <w:ind w:right="340" w:firstLine="987"/>
        <w:spacing w:after="0" w:line="255" w:lineRule="auto"/>
        <w:tabs>
          <w:tab w:leader="none" w:pos="136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words “execute,” “execution,” “signed,” “signature,” and words of like import in or related to any document to be signed in connection with this Agreement and the transactions contemplated hereby (including this Agreement, any other Loan Document, Assignment and Assumptions, amendments or other modifications,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440" w:top="274" w:right="479" w:bottom="1440" w:gutter="0" w:footer="0" w:header="0"/>
        </w:sectPr>
      </w:pPr>
    </w:p>
    <w:bookmarkStart w:id="282" w:name="page283"/>
    <w:bookmarkEnd w:id="282"/>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sz w:val="20"/>
          <w:szCs w:val="20"/>
          <w:color w:val="auto"/>
        </w:rPr>
      </w:pPr>
    </w:p>
    <w:p>
      <w:pPr>
        <w:ind w:firstLine="987"/>
        <w:spacing w:after="0" w:line="267" w:lineRule="auto"/>
        <w:tabs>
          <w:tab w:leader="none" w:pos="1378"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This Agreement and any document, amendment, approval, consent, information, notice, certificate, request, statement, disclosure or authorization related to this Agreement (each a “</w:t>
      </w:r>
      <w:r>
        <w:rPr>
          <w:rFonts w:ascii="Arial" w:cs="Arial" w:eastAsia="Arial" w:hAnsi="Arial"/>
          <w:sz w:val="17"/>
          <w:szCs w:val="17"/>
          <w:u w:val="single" w:color="auto"/>
          <w:color w:val="auto"/>
        </w:rPr>
        <w:t>Communication</w:t>
      </w:r>
      <w:r>
        <w:rPr>
          <w:rFonts w:ascii="Arial" w:cs="Arial" w:eastAsia="Arial" w:hAnsi="Arial"/>
          <w:sz w:val="17"/>
          <w:szCs w:val="17"/>
          <w:color w:val="auto"/>
        </w:rPr>
        <w:t>”), including Communications required to be in writing, may be in the form of an Electronic Record and may be executed using Electronic Signatures. Each of the parties hereto agrees that any Electronic Signature on or associated with any Communication shall be valid and binding on the applicable party to the same extent as a manual, original signature, and that any Communication entered into by Electronic Signature, will constitute the legal, valid and binding obligation of such party enforceable against such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Loan Parties,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Loan Parties, the Administrative Agent and each of the Lenders may, at its option, create one or more copies of any Communication in the form of an imaged Electronic Record (“</w:t>
      </w:r>
      <w:r>
        <w:rPr>
          <w:rFonts w:ascii="Arial" w:cs="Arial" w:eastAsia="Arial" w:hAnsi="Arial"/>
          <w:sz w:val="17"/>
          <w:szCs w:val="17"/>
          <w:u w:val="single" w:color="auto"/>
          <w:color w:val="auto"/>
        </w:rPr>
        <w:t>Electronic Copy</w:t>
      </w:r>
      <w:r>
        <w:rPr>
          <w:rFonts w:ascii="Arial" w:cs="Arial" w:eastAsia="Arial" w:hAnsi="Arial"/>
          <w:sz w:val="17"/>
          <w:szCs w:val="17"/>
          <w:color w:val="auto"/>
        </w:rPr>
        <w:t>”),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(i) to the extent the Administrative Agent has agreed to accept such Electronic Signature, the Loan Parties, the Administrative Agent and each of the Lenders shall be entitled to rely on any such Electronic Signature purportedly given by or on behalf of any party hereto without further verification and (ii) upon the request of the Administrative Agent or any Lender, any Electronic Signature shall be promptly followed by such manually executed counterpart. For purposes hereof, “</w:t>
      </w:r>
      <w:r>
        <w:rPr>
          <w:rFonts w:ascii="Arial" w:cs="Arial" w:eastAsia="Arial" w:hAnsi="Arial"/>
          <w:sz w:val="17"/>
          <w:szCs w:val="17"/>
          <w:u w:val="single" w:color="auto"/>
          <w:color w:val="auto"/>
        </w:rPr>
        <w:t>Electronic Record</w:t>
      </w:r>
      <w:r>
        <w:rPr>
          <w:rFonts w:ascii="Arial" w:cs="Arial" w:eastAsia="Arial" w:hAnsi="Arial"/>
          <w:sz w:val="17"/>
          <w:szCs w:val="17"/>
          <w:color w:val="auto"/>
        </w:rPr>
        <w:t>” and “</w:t>
      </w:r>
      <w:r>
        <w:rPr>
          <w:rFonts w:ascii="Arial" w:cs="Arial" w:eastAsia="Arial" w:hAnsi="Arial"/>
          <w:sz w:val="17"/>
          <w:szCs w:val="17"/>
          <w:u w:val="single" w:color="auto"/>
          <w:color w:val="auto"/>
        </w:rPr>
        <w:t>Electronic Signature</w:t>
      </w:r>
      <w:r>
        <w:rPr>
          <w:rFonts w:ascii="Arial" w:cs="Arial" w:eastAsia="Arial" w:hAnsi="Arial"/>
          <w:sz w:val="17"/>
          <w:szCs w:val="17"/>
          <w:color w:val="auto"/>
        </w:rPr>
        <w:t>” shall have the meanings assigned to them, respectively, by 15 USC §7006, as it may be amended from time to time.</w:t>
      </w:r>
    </w:p>
    <w:p>
      <w:pPr>
        <w:spacing w:after="0" w:line="18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Joint and Several</w:t>
      </w:r>
      <w:r>
        <w:rPr>
          <w:rFonts w:ascii="Arial" w:cs="Arial" w:eastAsia="Arial" w:hAnsi="Arial"/>
          <w:sz w:val="17"/>
          <w:szCs w:val="17"/>
          <w:color w:val="auto"/>
        </w:rPr>
        <w:t>. The Obligations under the Loan Documents may be enforced by the Administrative Agent and the Lenders against the Borrower or any Loan Party or all Loan Parties in any manner or order selected by the Administrative Agent or the Required Lenders in their sole discretion. The Borrower and each Loan Party hereby irrevocably waives (i) any rights of subrogation and (ii) any rights of contribution, indemnity or reimbursement, in each case, that it may acquire or that may arise against any other Borrower or any other Loan Party due to any payment or performance made under this Agreement, in each case until all Obligations shall have been fully satisfied.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0"/>
          </w:cols>
          <w:pgMar w:left="440" w:top="274" w:right="439" w:bottom="1440" w:gutter="0" w:footer="0" w:header="0"/>
        </w:sectPr>
      </w:pPr>
    </w:p>
    <w:bookmarkStart w:id="283" w:name="page284"/>
    <w:bookmarkEnd w:id="283"/>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9.18 </w:t>
      </w:r>
      <w:r>
        <w:rPr>
          <w:rFonts w:ascii="Arial" w:cs="Arial" w:eastAsia="Arial" w:hAnsi="Arial"/>
          <w:sz w:val="16"/>
          <w:szCs w:val="16"/>
          <w:u w:val="single" w:color="auto"/>
          <w:color w:val="auto"/>
        </w:rPr>
        <w:t>Enforcement</w:t>
      </w:r>
      <w:r>
        <w:rPr>
          <w:rFonts w:ascii="Arial" w:cs="Arial" w:eastAsia="Arial" w:hAnsi="Arial"/>
          <w:sz w:val="16"/>
          <w:szCs w:val="16"/>
          <w:color w:val="auto"/>
        </w:rPr>
        <w:t>.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 for the benefit of all the Lenders; provided, however,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Section 9.08 (subject to the terms of Section 2.17(c)), or (c)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(i) the Required Lenders shall have the rights otherwise ascribed to the Administrative Agent pursuant to Article VII and (ii) in addition to the matters set forth in clauses (b) and (c) of the preceding proviso and subject to Section 2.17(c), any Lender may, with the consent of the Required Lenders, enforce any rights and remedies available to it and as authorized by the Required Lenders.</w:t>
      </w:r>
    </w:p>
    <w:p>
      <w:pPr>
        <w:spacing w:after="0" w:line="172" w:lineRule="exact"/>
        <w:rPr>
          <w:sz w:val="20"/>
          <w:szCs w:val="20"/>
          <w:color w:val="auto"/>
        </w:rPr>
      </w:pPr>
    </w:p>
    <w:p>
      <w:pPr>
        <w:ind w:right="420" w:firstLine="440"/>
        <w:spacing w:after="0" w:line="275"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Netherlands Loan Party Representation</w:t>
      </w:r>
      <w:r>
        <w:rPr>
          <w:rFonts w:ascii="Arial" w:cs="Arial" w:eastAsia="Arial" w:hAnsi="Arial"/>
          <w:sz w:val="17"/>
          <w:szCs w:val="17"/>
          <w:color w:val="auto"/>
        </w:rPr>
        <w:t>. If any Loan Party incorporated under the laws of the Netherlands, including the Borrower, is represented by an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pacing w:after="0" w:line="176"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SECTION 9.20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400" w:firstLine="987"/>
        <w:spacing w:after="0" w:line="277" w:lineRule="auto"/>
        <w:tabs>
          <w:tab w:leader="none" w:pos="137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right="420" w:firstLine="1428"/>
        <w:spacing w:after="0" w:line="311" w:lineRule="auto"/>
        <w:tabs>
          <w:tab w:leader="none" w:pos="1832" w:val="left"/>
        </w:tabs>
        <w:numPr>
          <w:ilvl w:val="1"/>
          <w:numId w:val="344"/>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4" w:right="479" w:bottom="1440" w:gutter="0" w:footer="0" w:header="0"/>
        </w:sectPr>
      </w:pPr>
    </w:p>
    <w:bookmarkStart w:id="284" w:name="page285"/>
    <w:bookmarkEnd w:id="284"/>
    <w:p>
      <w:pPr>
        <w:ind w:left="4" w:right="360" w:firstLine="1428"/>
        <w:spacing w:after="0" w:line="277" w:lineRule="auto"/>
        <w:tabs>
          <w:tab w:leader="none" w:pos="1886"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any Swap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left="4" w:firstLine="987"/>
        <w:spacing w:after="0" w:line="287" w:lineRule="auto"/>
        <w:tabs>
          <w:tab w:leader="none" w:pos="137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rFonts w:ascii="Arial" w:cs="Arial" w:eastAsia="Arial" w:hAnsi="Arial"/>
          <w:sz w:val="16"/>
          <w:szCs w:val="16"/>
          <w:color w:val="auto"/>
        </w:rPr>
      </w:pPr>
    </w:p>
    <w:p>
      <w:pPr>
        <w:ind w:left="1364" w:hanging="373"/>
        <w:spacing w:after="0"/>
        <w:tabs>
          <w:tab w:leader="none" w:pos="136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As used in this Section 9.21, the following terms have the following meanings: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 (i) a “covered entity” as that term is defined in, and interpreted in accordance with, 12 C.F.R.</w:t>
      </w:r>
    </w:p>
    <w:p>
      <w:pPr>
        <w:spacing w:after="0" w:line="35" w:lineRule="exact"/>
        <w:rPr>
          <w:sz w:val="20"/>
          <w:szCs w:val="20"/>
          <w:color w:val="auto"/>
        </w:rPr>
      </w:pPr>
    </w:p>
    <w:p>
      <w:pPr>
        <w:ind w:left="4" w:right="40" w:hanging="4"/>
        <w:spacing w:after="0" w:line="260" w:lineRule="auto"/>
        <w:tabs>
          <w:tab w:leader="none" w:pos="139" w:val="left"/>
        </w:tabs>
        <w:numPr>
          <w:ilvl w:val="0"/>
          <w:numId w:val="347"/>
        </w:numPr>
        <w:rPr>
          <w:rFonts w:ascii="Arial" w:cs="Arial" w:eastAsia="Arial" w:hAnsi="Arial"/>
          <w:sz w:val="18"/>
          <w:szCs w:val="18"/>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4"/>
          </w:cols>
          <w:pgMar w:left="436" w:top="274" w:right="459" w:bottom="1440" w:gutter="0" w:footer="0" w:header="0"/>
        </w:sectPr>
      </w:pPr>
    </w:p>
    <w:bookmarkStart w:id="285" w:name="page286"/>
    <w:bookmarkEnd w:id="285"/>
    <w:p>
      <w:pPr>
        <w:ind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Guarantee</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Guarantee</w:t>
      </w:r>
      <w:r>
        <w:rPr>
          <w:rFonts w:ascii="Arial" w:cs="Arial" w:eastAsia="Arial" w:hAnsi="Arial"/>
          <w:sz w:val="16"/>
          <w:szCs w:val="16"/>
          <w:color w:val="auto"/>
        </w:rPr>
        <w:t>. Each of the Guarantors hereby, jointly and severally, unconditionally and irrevocably, guarantees to the Administrative Agent for its benefit and for the benefit of the Lender Parties, and their permitted indorsees, transferees and assigns, the prompt and complete payment and performance of the Obligations. Anything herein or in any other Loan Document to the contrary notwithstanding, the maximum liability of each Guarantor hereunder and under the other Loan Documents in respect of the Obligations shall in no event exceed the amount which can be guaranteed by such Guarantor under applicable Federal and state laws relating to the insolvency of debtors (after giving effect to the right of contribution established in Section 10.02). Each Guarantor agrees that the Obligations may at any time and from time to time exceed the amount of the liability of such Guarantor hereunder without impairing the guarantee contained in this Section 10.01 or affecting the rights and remedies of the Administrative Agent or any other Lender Party hereunder. The guarantee contained in this Section 10.01 shall remain in full force and effect until all the Obligations (other than contingent indemnification and contingent expense reimbursement obligations) shall have been satisfied by payment in full in cash, notwithstanding that from time to time any Loan Party may be free from any of the Obligations. Except as provided in Section 10.12, no payment made by any of the Guarantors, any other Loan Party or any other Person or received or collected by the Administrative Agent or any Lender from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in cash. Notwithstanding any other provision of this Article X (Guarantee) the guarantee and other obligations of any Guarantor organized under the laws of the Netherlands expressed to be assumed in this Article X</w:t>
      </w:r>
    </w:p>
    <w:p>
      <w:pPr>
        <w:spacing w:after="0" w:line="1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(Guarantee) shall be deemed not to be assumed by such Guarantor organized under the laws of the Netherlands to the extent that the same would constitute unlawful financial assistance within the meaning of Article 2:98c of the Dutch Civil Code or any other applicable financial assistance rules under any relevant jurisdiction (the “Prohibition”) and the provisions of this Agreement and the other Loan Documents shall be construed accordingly. For the avoidance of doubt it is expressly acknowledged that the relevant Guarantors organized under the laws of the Netherlands will continue to guarantee all such obligations which, if included, do not constitute a violation of the Prohibition.</w:t>
      </w:r>
    </w:p>
    <w:p>
      <w:pPr>
        <w:spacing w:after="0" w:line="178"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 Each Guarantor hereby agrees that to the extent that a Guarantor shall have paid more than its proportionate share of any payment made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40"/>
          </w:cols>
          <w:pgMar w:left="440" w:top="274" w:right="519" w:bottom="1440" w:gutter="0" w:footer="0" w:header="0"/>
        </w:sectPr>
      </w:pPr>
    </w:p>
    <w:bookmarkStart w:id="286" w:name="page287"/>
    <w:bookmarkEnd w:id="286"/>
    <w:p>
      <w:pPr>
        <w:ind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hereunder, such Guarantor shall be entitled to seek and receive contribution from and against any other Guarantor hereunder which has not paid its proportionate share of such payment. Each Guarantor’s right of contribution shall be subject to the terms and conditions of Section 10.03. The provisions of this Section 10.02 shall in no respect limit the obligations and liabilities of any Loan Party to the Administrative Agent and the Lender Parties, and each Guarantor shall remain liable to the Administrative Agent and the Lender Parties for the full amount guaranteed by such Guarantor hereunder.</w:t>
      </w:r>
    </w:p>
    <w:p>
      <w:pPr>
        <w:spacing w:after="0" w:line="18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No Subrogation</w:t>
      </w:r>
      <w:r>
        <w:rPr>
          <w:rFonts w:ascii="Arial" w:cs="Arial" w:eastAsia="Arial" w:hAnsi="Arial"/>
          <w:sz w:val="16"/>
          <w:szCs w:val="16"/>
          <w:color w:val="auto"/>
        </w:rPr>
        <w:t>. Notwithstanding any payment made by any Guarantor hereunder or any set-off or application of funds of any Guarantor by the Administrative Agent or any other Lender Party, no Guarantor shall seek to enforce any right of subrogation in respect of any of the rights of the Administrative Agent or any other Lender Party against any Loan Party or any collateral security or guarantee or right of offset held by the Administrative Agent or any other Lender Party for the payment of the Obligations, nor shall any Guarantor seek any contribution or reimbursement from any other Loan Party in respect of payments made by such Guarantor under this Article X, until all amounts owing to the Administrative Agent and the other Lender Parties by the Loan Parties on account of the Obligations are paid in full. If any amount shall be paid to any Guarantor on account of such subrogation rights at any time when all of the Obligations shall not have been paid in full, such amount shall be held by such Guarantor in trust for the Administrative Agent and the other Lender Parties,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 For the avoidance of doubt, nothing in the foregoing agreement by the Guarantor shall operate as a waiver of any subrogation rights.</w:t>
      </w:r>
    </w:p>
    <w:p>
      <w:pPr>
        <w:spacing w:after="0" w:line="172"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Amendments, etc., with Respect to the Obligations</w:t>
      </w:r>
      <w:r>
        <w:rPr>
          <w:rFonts w:ascii="Arial" w:cs="Arial" w:eastAsia="Arial" w:hAnsi="Arial"/>
          <w:sz w:val="16"/>
          <w:szCs w:val="16"/>
          <w:color w:val="auto"/>
        </w:rPr>
        <w:t>. To the fullest extent permitted by applicable law, each Guarantor shall remain obligated hereunder notwithstanding that, without any reservation of rights against any Loan Party and without notice to or further assent by any Loan Party, any demand for payment of any of the Obligations made by the Administrative Agent or any other Lender Party may be rescinded by the Administrative Agent or such Lender Party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Lender Party, and this Agreement and the other Loan Documents, any other documents executed and delivered in connection therewith, may be amended, modified, supplemented or terminated, in whole or in part, as the Administrative Agent (or the Required Lenders or all Lenders, as the case may be) may deem reasonably advisable from time to time, and any collateral security, guarantee or right of offset at any time held by the Administrative Agent or any other Lender Party for the payment of the Obligations may be sold, exchanged, waived, surrendered or released.</w:t>
      </w:r>
    </w:p>
    <w:p>
      <w:pPr>
        <w:spacing w:after="0" w:line="16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 To the fullest extent permitted by applicable law, each Guarantor waives any and all notice of the creation, renewal, extension or accrual of any of the Obligations and notice of or proof of reliance by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60"/>
          </w:cols>
          <w:pgMar w:left="440" w:top="274" w:right="499" w:bottom="1440" w:gutter="0" w:footer="0" w:header="0"/>
        </w:sectPr>
      </w:pPr>
    </w:p>
    <w:bookmarkStart w:id="287" w:name="page288"/>
    <w:bookmarkEnd w:id="28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Administrative Agent or any other Lender Party upon the guarantee contained in this Article X or acceptance of the guarantee contained in this Article X; the Obligations, and any of them, shall conclusively be deemed to have been created, contracted or incurred, or renewed, extended, amended or waived, in reliance upon the guarantee contained in this Article X; and all dealings between the Borrower and the Guarantors, on the one hand, and the Administrative Agent and the other Lender Parties, on the other hand, likewise shall be conclusively presumed to have been had or consummated in reliance upon the guarantee contained in this Article X. To the fullest extent permitted by applicable law, each Guarantor waives diligence, presentment, protest, demand for payment and notice of default or nonpayment to or upon any of the Guarantors with respect to the Obligations. Each Guarantor understands and agrees that the guarantee contained in this Article X, to the fullest extent permitted by applicable Laws, shall be construed as a continuing, absolute and unconditional guarantee of payment (and not of collection) without regard to (a) the validity or enforceability of this Agreement or any other Loan Document, any of the Obligations or any other collateral security therefor or guarantee or right of offset with respect thereto at any time or from time to time held by the Administrative Agent or any other Lender Party, (b) any defense, set-off or counterclaim (other than a defense of payment or performance) which may at any time be available to or be asserted by the Borrower, any other Loan Party or any other Person against the Administrative Agent or any other Lender Party or (c) any other circumstance whatsoever (with or without notice to or knowledge of such Guarantor) which constitutes, or might be construed to constitute, an equitable or legal discharge of such Guarantor under the guarantee contained in this Article X, in bankruptcy or in any other instance. When making any demand hereunder or otherwise pursuing its rights and remedies hereunder against any Guarantor, the Administrative Agent or any other Lender Party may, but shall be under no obligation to, make a similar demand on or otherwise pursue such rights and remedies as it may have against any Guarantor or any other Person or against any collateral security or guarantee for the Obligations or any right of offset with respect thereto, and any failure by the Administrative Agent or any other Lender Party to make any such demand, to pursue such other rights or remedies or to collect any payments from any other Guarantor or any other Person or to realize upon any such collateral security or guarantee or to exercise any such right of offset, or any release of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Party against any Guarantor. For the purposes hereof “demand” shall include the commencement and continuance of any legal proceedings</w:t>
      </w:r>
    </w:p>
    <w:p>
      <w:pPr>
        <w:spacing w:after="0" w:line="178"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10.06 </w:t>
      </w:r>
      <w:r>
        <w:rPr>
          <w:rFonts w:ascii="Arial" w:cs="Arial" w:eastAsia="Arial" w:hAnsi="Arial"/>
          <w:sz w:val="17"/>
          <w:szCs w:val="17"/>
          <w:u w:val="single" w:color="auto"/>
          <w:color w:val="auto"/>
        </w:rPr>
        <w:t>Reinstatement</w:t>
      </w:r>
      <w:r>
        <w:rPr>
          <w:rFonts w:ascii="Arial" w:cs="Arial" w:eastAsia="Arial" w:hAnsi="Arial"/>
          <w:sz w:val="17"/>
          <w:szCs w:val="17"/>
          <w:color w:val="auto"/>
        </w:rPr>
        <w:t>. Subject to Section 5.09 and Section 10.12, this Guarantee Agreement is a continuing and irrevocable guaranty of all Obligations now or hereafter existing and shall remain in full force and effect until all Obligations and any other amounts payable under this Guarantee Agreement are indefeasibly paid in full in cash. Notwithstanding the foregoing, this Guarantee Agreement shall continue in full force and effect or be revived, as the case may be, if any payment by or on behalf of the Borrower or any Guarantor is made, or any of the Lender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4" w:right="439" w:bottom="1440" w:gutter="0" w:footer="0" w:header="0"/>
        </w:sectPr>
      </w:pPr>
    </w:p>
    <w:bookmarkStart w:id="288" w:name="page289"/>
    <w:bookmarkEnd w:id="288"/>
    <w:p>
      <w:pPr>
        <w:ind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are in possession of or have released this Guarantee Agreement and regardless of any prior revocation, rescission, termination or reduction. The obligations of each Guarantor under this paragraph shall survive termination of this Guarantee Agreement.</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Obligations Independent</w:t>
      </w:r>
      <w:r>
        <w:rPr>
          <w:rFonts w:ascii="Arial" w:cs="Arial" w:eastAsia="Arial" w:hAnsi="Arial"/>
          <w:sz w:val="18"/>
          <w:szCs w:val="18"/>
          <w:color w:val="auto"/>
        </w:rPr>
        <w:t>. The obligations of each Guarantor hereunder are those of primary obligor, and not merely as surety, and are independent of the Obligations and the obligations of any other guarantor, and a separate action may be brought against each Guarantor to enforce this Guarantee whether or not the Borrower or any other Person or entity is joined as a party.</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Payments</w:t>
      </w:r>
      <w:r>
        <w:rPr>
          <w:rFonts w:ascii="Arial" w:cs="Arial" w:eastAsia="Arial" w:hAnsi="Arial"/>
          <w:sz w:val="17"/>
          <w:szCs w:val="17"/>
          <w:color w:val="auto"/>
        </w:rPr>
        <w:t>. All payments by each Guarantor under this Guarantee Agreement shall be made in the manner, at the place and in the currency for payment required by this Agreement and the other Loan Documents. The obligations of each Guarantor hereunder shall not be affected by any acts of any legislative body or Governmental Authority affecting such Guarantor or the Borrower, including but not limited to, any restrictions on the conversion of currency or repatriation or control of funds or any total or partial expropriation of such Guarantor’s or the Borrower’s property, or by economic, political, regulatory or other events in the countries where such Guarantor or the Borrower is located.</w:t>
      </w:r>
    </w:p>
    <w:p>
      <w:pPr>
        <w:spacing w:after="0" w:line="17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u w:val="single" w:color="auto"/>
          <w:color w:val="auto"/>
        </w:rPr>
        <w:t>Subordination</w:t>
      </w:r>
      <w:r>
        <w:rPr>
          <w:rFonts w:ascii="Arial" w:cs="Arial" w:eastAsia="Arial" w:hAnsi="Arial"/>
          <w:sz w:val="17"/>
          <w:szCs w:val="17"/>
          <w:color w:val="auto"/>
        </w:rPr>
        <w:t>. Each Guarantor hereby subordinates the payment of all obligations and indebtedness of the Borrower owing to each Guarantor, whether now existing or hereafter arising, including but not limited to any obligation of the Borrower to such Guarantor as subrogee of the Lender Parties or resulting from such Guarantor’s performance under this Guarantee Agreement, to the indefeasible payment in full in cash of all Obligations; provided, however, that the foregoing subordination shall not be given effect until such time as the Lender Parties shall have made a request to the Borrower pursuant to the second sentence of this Section 10.09. At any time any Event of Default shall have occurred and be continuing, if the Lender Parties so request, any such obligation or indebtedness of any Loan Party to any Guarantor shall be enforced and performance received by such Guarantor as trustee for the Lender Parties and the proceeds thereof shall be paid over to the Lender Parties on account of the Obligations, but without reducing or affecting in any manner the liability of such under this Guarantee Agreement.</w:t>
      </w:r>
    </w:p>
    <w:p>
      <w:pPr>
        <w:spacing w:after="0" w:line="17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Stay of Acceleration</w:t>
      </w:r>
      <w:r>
        <w:rPr>
          <w:rFonts w:ascii="Arial" w:cs="Arial" w:eastAsia="Arial" w:hAnsi="Arial"/>
          <w:sz w:val="18"/>
          <w:szCs w:val="18"/>
          <w:color w:val="auto"/>
        </w:rPr>
        <w:t>. If acceleration of the time for payment of any of the Obligations is stayed, in connection with any case commenced by or against any Loan Party under any Debtor Relief Laws, or otherwise, all such amounts shall nonetheless be payable by such Guarantor immediately upon demand by the Lender Parties.</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Condition of Borrower</w:t>
      </w:r>
      <w:r>
        <w:rPr>
          <w:rFonts w:ascii="Arial" w:cs="Arial" w:eastAsia="Arial" w:hAnsi="Arial"/>
          <w:sz w:val="18"/>
          <w:szCs w:val="18"/>
          <w:color w:val="auto"/>
        </w:rPr>
        <w:t>. .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each such Guarantor requires, and that none of the Lender Parties has any duty, and each Guarantor is not relying on the Lender Parties at any time, to disclose to each such Guarantor any information relating to the business, operations or financial condition of the Borrower or any other guarantor (each Guarantor waiving any duty on the part of the Lender Parties to disclose such information and any defense relating to the failure to provide the same).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4" w:right="459" w:bottom="1440" w:gutter="0" w:footer="0" w:header="0"/>
        </w:sectPr>
      </w:pPr>
    </w:p>
    <w:bookmarkStart w:id="289" w:name="page290"/>
    <w:bookmarkEnd w:id="289"/>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10.12 </w:t>
      </w:r>
      <w:r>
        <w:rPr>
          <w:rFonts w:ascii="Arial" w:cs="Arial" w:eastAsia="Arial" w:hAnsi="Arial"/>
          <w:sz w:val="18"/>
          <w:szCs w:val="18"/>
          <w:u w:val="single" w:color="auto"/>
          <w:color w:val="auto"/>
        </w:rPr>
        <w:t>Releases</w:t>
      </w:r>
      <w:r>
        <w:rPr>
          <w:rFonts w:ascii="Arial" w:cs="Arial" w:eastAsia="Arial" w:hAnsi="Arial"/>
          <w:sz w:val="18"/>
          <w:szCs w:val="18"/>
          <w:color w:val="auto"/>
        </w:rPr>
        <w:t>. At such time as the Term Loan and the other Obligations (other than contingent indemnification and contingent expense reimbursement obligations) shall have been paid in full, this Agreement and all obligations (other than those expressly stated to survive such termination) of the Administrative Agent and each Guarantor hereunder shall terminate, all without delivery of any instrument or performance of any act by any party. The Guarantee of any Guarantor that is a Subsidiary of the Borrower hereunder shall be released to the extent (and in the manner) expressly set forth in Section 5.09 or in the event such Guarantor ceases to be a Subsidiary in a transaction not prohibited by the terms of this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Certain ERISA Matters</w:t>
      </w:r>
    </w:p>
    <w:p>
      <w:pPr>
        <w:spacing w:after="0" w:line="225"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117" w:lineRule="exact"/>
        <w:rPr>
          <w:sz w:val="20"/>
          <w:szCs w:val="20"/>
          <w:color w:val="auto"/>
        </w:rPr>
      </w:pPr>
    </w:p>
    <w:p>
      <w:pPr>
        <w:ind w:right="80" w:firstLine="987"/>
        <w:spacing w:after="0" w:line="259" w:lineRule="auto"/>
        <w:tabs>
          <w:tab w:leader="none" w:pos="137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auto"/>
        </w:rPr>
      </w:pPr>
    </w:p>
    <w:p>
      <w:pPr>
        <w:ind w:right="320" w:firstLine="1428"/>
        <w:spacing w:after="0" w:line="263" w:lineRule="auto"/>
        <w:tabs>
          <w:tab w:leader="none" w:pos="178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Term Loan, the Commitment or this Agreement;</w:t>
      </w:r>
    </w:p>
    <w:p>
      <w:pPr>
        <w:spacing w:after="0" w:line="183" w:lineRule="exact"/>
        <w:rPr>
          <w:rFonts w:ascii="Arial" w:cs="Arial" w:eastAsia="Arial" w:hAnsi="Arial"/>
          <w:sz w:val="18"/>
          <w:szCs w:val="18"/>
          <w:color w:val="auto"/>
        </w:rPr>
      </w:pPr>
    </w:p>
    <w:p>
      <w:pPr>
        <w:ind w:right="100" w:firstLine="1428"/>
        <w:spacing w:after="0" w:line="255" w:lineRule="auto"/>
        <w:tabs>
          <w:tab w:leader="none" w:pos="183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 the Commitment and this Agreement,</w:t>
      </w:r>
    </w:p>
    <w:p>
      <w:pPr>
        <w:spacing w:after="0" w:line="192" w:lineRule="exact"/>
        <w:rPr>
          <w:rFonts w:ascii="Arial" w:cs="Arial" w:eastAsia="Arial" w:hAnsi="Arial"/>
          <w:sz w:val="18"/>
          <w:szCs w:val="18"/>
          <w:color w:val="auto"/>
        </w:rPr>
      </w:pPr>
    </w:p>
    <w:p>
      <w:pPr>
        <w:ind w:right="80" w:firstLine="1428"/>
        <w:spacing w:after="0" w:line="273" w:lineRule="auto"/>
        <w:tabs>
          <w:tab w:leader="none" w:pos="1882" w:val="left"/>
        </w:tabs>
        <w:numPr>
          <w:ilvl w:val="1"/>
          <w:numId w:val="348"/>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 the Commitment and this Agreement, (C) the entrance into, participation in, administration of and performance of the Term Loan, the Commitment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Term Loan, the Commitment and this Agreement,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0"/>
          </w:cols>
          <w:pgMar w:left="440" w:top="274" w:right="479" w:bottom="1440" w:gutter="0" w:footer="0" w:header="0"/>
        </w:sectPr>
      </w:pPr>
    </w:p>
    <w:bookmarkStart w:id="290" w:name="page291"/>
    <w:bookmarkEnd w:id="290"/>
    <w:p>
      <w:pPr>
        <w:ind w:left="4" w:right="260" w:firstLine="1428"/>
        <w:spacing w:after="0" w:line="277" w:lineRule="auto"/>
        <w:tabs>
          <w:tab w:leader="none" w:pos="1876" w:val="left"/>
        </w:tabs>
        <w:numPr>
          <w:ilvl w:val="2"/>
          <w:numId w:val="3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4" w:firstLine="987"/>
        <w:spacing w:after="0" w:line="291" w:lineRule="auto"/>
        <w:tabs>
          <w:tab w:leader="none" w:pos="1385" w:val="left"/>
        </w:tabs>
        <w:numPr>
          <w:ilvl w:val="1"/>
          <w:numId w:val="350"/>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80" w:hanging="4"/>
        <w:spacing w:after="0" w:line="270" w:lineRule="auto"/>
        <w:tabs>
          <w:tab w:leader="none" w:pos="259" w:val="left"/>
        </w:tabs>
        <w:numPr>
          <w:ilvl w:val="0"/>
          <w:numId w:val="351"/>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none of the Administrative Agent or any Arranger is a fiduciary with respect to the assets of such Lender involved in such Lender’s entrance into, participation in, administration of and performance of the Term Loan, the Commitment and this Agreement (including in connection with the reservation or exercise of any rights by the Administrative Agent under this Agreement, any Loan Document or any documents related hereto or thereto).</w:t>
      </w:r>
    </w:p>
    <w:p>
      <w:pPr>
        <w:spacing w:after="0" w:line="1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4"/>
          </w:cols>
          <w:pgMar w:left="436" w:top="274" w:right="459" w:bottom="1440" w:gutter="0" w:footer="0" w:header="0"/>
        </w:sectPr>
      </w:pPr>
    </w:p>
    <w:bookmarkStart w:id="291" w:name="page292"/>
    <w:bookmarkEnd w:id="291"/>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 xml:space="preserve">UPJOHN INC., </w:t>
      </w:r>
      <w:r>
        <w:rPr>
          <w:rFonts w:ascii="Arial" w:cs="Arial" w:eastAsia="Arial" w:hAnsi="Arial"/>
          <w:sz w:val="18"/>
          <w:szCs w:val="18"/>
          <w:color w:val="auto"/>
        </w:rPr>
        <w:t>as the Borrower</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Sanjeev Narula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Sanjeev Narula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w w:val="99"/>
              </w:rPr>
              <w:t>Chief Financial Officer, Controller and Treasurer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Delayed Draw Term Loan Credit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292" w:name="page293"/>
    <w:bookmarkEnd w:id="292"/>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MUFG BANK, LTD., </w:t>
      </w:r>
      <w:r>
        <w:rPr>
          <w:rFonts w:ascii="Arial" w:cs="Arial" w:eastAsia="Arial" w:hAnsi="Arial"/>
          <w:sz w:val="17"/>
          <w:szCs w:val="17"/>
          <w:color w:val="auto"/>
        </w:rPr>
        <w:t>as Administrative Agent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Lawrence Blat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Lawrence Blat</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Delayed Draw Term Loan Credit Agreement</w:t>
      </w:r>
      <w:r>
        <w:rPr>
          <w:rFonts w:ascii="Arial" w:cs="Arial" w:eastAsia="Arial" w:hAnsi="Arial"/>
          <w:sz w:val="18"/>
          <w:szCs w:val="18"/>
          <w:color w:val="auto"/>
        </w:rPr>
        <w:t>]</w:t>
      </w:r>
    </w:p>
    <w:p>
      <w:pPr>
        <w:sectPr>
          <w:pgSz w:w="11900" w:h="16838" w:orient="portrait"/>
          <w:cols w:equalWidth="0" w:num="1">
            <w:col w:w="9060"/>
          </w:cols>
          <w:pgMar w:left="1440" w:top="270" w:right="1399" w:bottom="1440" w:gutter="0" w:footer="0" w:header="0"/>
        </w:sectPr>
      </w:pPr>
    </w:p>
    <w:bookmarkStart w:id="293" w:name="page294"/>
    <w:bookmarkEnd w:id="293"/>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MUFG BANK, LTD., </w:t>
      </w:r>
      <w:r>
        <w:rPr>
          <w:rFonts w:ascii="Arial" w:cs="Arial" w:eastAsia="Arial" w:hAnsi="Arial"/>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Jack Lonker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Delayed Draw Term Loan Credit Agreement</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294" w:name="page295"/>
    <w:bookmarkEnd w:id="29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MUFG BANK, LTD., </w:t>
      </w:r>
      <w:r>
        <w:rPr>
          <w:rFonts w:ascii="Arial" w:cs="Arial" w:eastAsia="Arial" w:hAnsi="Arial"/>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Tracy Rahn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Delayed Draw Term Loan Credit Agreement</w:t>
      </w:r>
      <w:r>
        <w:rPr>
          <w:rFonts w:ascii="Arial" w:cs="Arial" w:eastAsia="Arial" w:hAnsi="Arial"/>
          <w:sz w:val="18"/>
          <w:szCs w:val="18"/>
          <w:color w:val="auto"/>
        </w:rPr>
        <w:t>]</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FAA2FA"/>
    <w:multiLevelType w:val="hybridMultilevel"/>
    <w:lvl w:ilvl="0">
      <w:lvlJc w:val="left"/>
      <w:lvlText w:val="☒"/>
      <w:numFmt w:val="bullet"/>
      <w:start w:val="1"/>
    </w:lvl>
  </w:abstractNum>
  <w:abstractNum w:abstractNumId="1">
    <w:nsid w:val="5451CF49"/>
    <w:multiLevelType w:val="hybridMultilevel"/>
    <w:lvl w:ilvl="0">
      <w:lvlJc w:val="left"/>
      <w:lvlText w:val="☐"/>
      <w:numFmt w:val="bullet"/>
      <w:start w:val="1"/>
    </w:lvl>
  </w:abstractNum>
  <w:abstractNum w:abstractNumId="2">
    <w:nsid w:val="6181EF69"/>
    <w:multiLevelType w:val="hybridMultilevel"/>
    <w:lvl w:ilvl="0">
      <w:lvlJc w:val="left"/>
      <w:lvlText w:val="(%1)"/>
      <w:numFmt w:val="lowerLetter"/>
      <w:start w:val="4"/>
    </w:lvl>
  </w:abstractNum>
  <w:abstractNum w:abstractNumId="3">
    <w:nsid w:val="3E6400E6"/>
    <w:multiLevelType w:val="hybridMultilevel"/>
    <w:lvl w:ilvl="0">
      <w:lvlJc w:val="left"/>
      <w:lvlText w:val="*"/>
      <w:numFmt w:val="bullet"/>
      <w:start w:val="1"/>
    </w:lvl>
    <w:lvl w:ilvl="1">
      <w:lvlJc w:val="left"/>
      <w:lvlText w:val="%2"/>
      <w:numFmt w:val="decimal"/>
      <w:start w:val="104"/>
    </w:lvl>
  </w:abstractNum>
  <w:abstractNum w:abstractNumId="4">
    <w:nsid w:val="14217E23"/>
    <w:multiLevelType w:val="hybridMultilevel"/>
    <w:lvl w:ilvl="0">
      <w:lvlJc w:val="left"/>
      <w:lvlText w:val="(%1)"/>
      <w:numFmt w:val="lowerLetter"/>
      <w:start w:val="1"/>
    </w:lvl>
  </w:abstractNum>
  <w:abstractNum w:abstractNumId="5">
    <w:nsid w:val="710757D0"/>
    <w:multiLevelType w:val="hybridMultilevel"/>
    <w:lvl w:ilvl="0">
      <w:lvlJc w:val="left"/>
      <w:lvlText w:val="(%1)"/>
      <w:numFmt w:val="lowerLetter"/>
      <w:start w:val="1"/>
    </w:lvl>
  </w:abstractNum>
  <w:abstractNum w:abstractNumId="6">
    <w:nsid w:val="5015CD1A"/>
    <w:multiLevelType w:val="hybridMultilevel"/>
    <w:lvl w:ilvl="0">
      <w:lvlJc w:val="left"/>
      <w:lvlText w:val="(%1)"/>
      <w:numFmt w:val="lowerLetter"/>
      <w:start w:val="4"/>
    </w:lvl>
  </w:abstractNum>
  <w:abstractNum w:abstractNumId="7">
    <w:nsid w:val="424479DA"/>
    <w:multiLevelType w:val="hybridMultilevel"/>
    <w:lvl w:ilvl="0">
      <w:lvlJc w:val="left"/>
      <w:lvlText w:val="(%1)"/>
      <w:numFmt w:val="decimal"/>
      <w:start w:val="1"/>
    </w:lvl>
  </w:abstractNum>
  <w:abstractNum w:abstractNumId="8">
    <w:nsid w:val="1A9A9E69"/>
    <w:multiLevelType w:val="hybridMultilevel"/>
    <w:lvl w:ilvl="0">
      <w:lvlJc w:val="left"/>
      <w:lvlText w:val="(%1)"/>
      <w:numFmt w:val="decimal"/>
      <w:start w:val="4"/>
    </w:lvl>
  </w:abstractNum>
  <w:abstractNum w:abstractNumId="9">
    <w:nsid w:val="475E256A"/>
    <w:multiLevelType w:val="hybridMultilevel"/>
    <w:lvl w:ilvl="0">
      <w:lvlJc w:val="left"/>
      <w:lvlText w:val="(%1)"/>
      <w:numFmt w:val="decimal"/>
      <w:start w:val="5"/>
    </w:lvl>
  </w:abstractNum>
  <w:abstractNum w:abstractNumId="10">
    <w:nsid w:val="368DB37E"/>
    <w:multiLevelType w:val="hybridMultilevel"/>
    <w:lvl w:ilvl="0">
      <w:lvlJc w:val="left"/>
      <w:lvlText w:val="(%1)"/>
      <w:numFmt w:val="lowerRoman"/>
      <w:start w:val="6"/>
    </w:lvl>
  </w:abstractNum>
  <w:abstractNum w:abstractNumId="11">
    <w:nsid w:val="6A3B714C"/>
    <w:multiLevelType w:val="hybridMultilevel"/>
    <w:lvl w:ilvl="0">
      <w:lvlJc w:val="left"/>
      <w:lvlText w:val="(%1)"/>
      <w:numFmt w:val="lowerRoman"/>
      <w:start w:val="9"/>
    </w:lvl>
  </w:abstractNum>
  <w:abstractNum w:abstractNumId="12">
    <w:nsid w:val="327B517E"/>
    <w:multiLevelType w:val="hybridMultilevel"/>
    <w:lvl w:ilvl="0">
      <w:lvlJc w:val="left"/>
      <w:lvlText w:val="(%1)"/>
      <w:numFmt w:val="lowerLetter"/>
      <w:start w:val="61"/>
    </w:lvl>
  </w:abstractNum>
  <w:abstractNum w:abstractNumId="13">
    <w:nsid w:val="1F461B51"/>
    <w:multiLevelType w:val="hybridMultilevel"/>
    <w:lvl w:ilvl="0">
      <w:lvlJc w:val="left"/>
      <w:lvlText w:val="(%1)"/>
      <w:numFmt w:val="lowerLetter"/>
      <w:start w:val="2"/>
    </w:lvl>
  </w:abstractNum>
  <w:abstractNum w:abstractNumId="14">
    <w:nsid w:val="29BACF25"/>
    <w:multiLevelType w:val="hybridMultilevel"/>
    <w:lvl w:ilvl="0">
      <w:lvlJc w:val="left"/>
      <w:lvlText w:val="(%1)"/>
      <w:numFmt w:val="lowerLetter"/>
      <w:start w:val="5"/>
    </w:lvl>
  </w:abstractNum>
  <w:abstractNum w:abstractNumId="15">
    <w:nsid w:val="5D5BABB3"/>
    <w:multiLevelType w:val="hybridMultilevel"/>
    <w:lvl w:ilvl="0">
      <w:lvlJc w:val="left"/>
      <w:lvlText w:val="(%1)"/>
      <w:numFmt w:val="lowerLetter"/>
      <w:start w:val="5"/>
    </w:lvl>
  </w:abstractNum>
  <w:abstractNum w:abstractNumId="16">
    <w:nsid w:val="51BF6B48"/>
    <w:multiLevelType w:val="hybridMultilevel"/>
    <w:lvl w:ilvl="0">
      <w:lvlJc w:val="left"/>
      <w:lvlText w:val="(%1)"/>
      <w:numFmt w:val="decimal"/>
      <w:start w:val="4"/>
    </w:lvl>
  </w:abstractNum>
  <w:abstractNum w:abstractNumId="17">
    <w:nsid w:val="7E0F6384"/>
    <w:multiLevelType w:val="hybridMultilevel"/>
    <w:lvl w:ilvl="0">
      <w:lvlJc w:val="left"/>
      <w:lvlText w:val="(%1)"/>
      <w:numFmt w:val="lowerLetter"/>
      <w:start w:val="1"/>
    </w:lvl>
  </w:abstractNum>
  <w:abstractNum w:abstractNumId="18">
    <w:nsid w:val="2B4B8B53"/>
    <w:multiLevelType w:val="hybridMultilevel"/>
    <w:lvl w:ilvl="0">
      <w:lvlJc w:val="left"/>
      <w:lvlText w:val="(%1)"/>
      <w:numFmt w:val="lowerLetter"/>
      <w:start w:val="1"/>
    </w:lvl>
  </w:abstractNum>
  <w:abstractNum w:abstractNumId="19">
    <w:nsid w:val="72E3413A"/>
    <w:multiLevelType w:val="hybridMultilevel"/>
    <w:lvl w:ilvl="0">
      <w:lvlJc w:val="left"/>
      <w:lvlText w:val="(%1)"/>
      <w:numFmt w:val="lowerRoman"/>
      <w:start w:val="10"/>
    </w:lvl>
  </w:abstractNum>
  <w:abstractNum w:abstractNumId="20">
    <w:nsid w:val="116AE494"/>
    <w:multiLevelType w:val="hybridMultilevel"/>
    <w:lvl w:ilvl="0">
      <w:lvlJc w:val="left"/>
      <w:lvlText w:val="(%1)"/>
      <w:numFmt w:val="lowerLetter"/>
      <w:start w:val="1"/>
    </w:lvl>
  </w:abstractNum>
  <w:abstractNum w:abstractNumId="21">
    <w:nsid w:val="3494B2FB"/>
    <w:multiLevelType w:val="hybridMultilevel"/>
    <w:lvl w:ilvl="0">
      <w:lvlJc w:val="left"/>
      <w:lvlText w:val="(%1)"/>
      <w:numFmt w:val="lowerLetter"/>
      <w:start w:val="5"/>
    </w:lvl>
  </w:abstractNum>
  <w:abstractNum w:abstractNumId="22">
    <w:nsid w:val="B13A31"/>
    <w:multiLevelType w:val="hybridMultilevel"/>
    <w:lvl w:ilvl="0">
      <w:lvlJc w:val="left"/>
      <w:lvlText w:val="(%1)"/>
      <w:numFmt w:val="lowerLetter"/>
      <w:start w:val="7"/>
    </w:lvl>
  </w:abstractNum>
  <w:abstractNum w:abstractNumId="23">
    <w:nsid w:val="64429599"/>
    <w:multiLevelType w:val="hybridMultilevel"/>
    <w:lvl w:ilvl="0">
      <w:lvlJc w:val="left"/>
      <w:lvlText w:val="%1"/>
      <w:numFmt w:val="lowerRoman"/>
      <w:start w:val="1"/>
    </w:lvl>
    <w:lvl w:ilvl="1">
      <w:lvlJc w:val="left"/>
      <w:lvlText w:val="(%2)"/>
      <w:numFmt w:val="lowerLetter"/>
      <w:start w:val="1"/>
    </w:lvl>
  </w:abstractNum>
  <w:abstractNum w:abstractNumId="24">
    <w:nsid w:val="631F1690"/>
    <w:multiLevelType w:val="hybridMultilevel"/>
    <w:lvl w:ilvl="0">
      <w:lvlJc w:val="left"/>
      <w:lvlText w:val="(%1)"/>
      <w:numFmt w:val="lowerRoman"/>
      <w:start w:val="1"/>
    </w:lvl>
    <w:lvl w:ilvl="1">
      <w:lvlJc w:val="left"/>
      <w:lvlText w:val="(%2)"/>
      <w:numFmt w:val="lowerLetter"/>
      <w:start w:val="2"/>
    </w:lvl>
  </w:abstractNum>
  <w:abstractNum w:abstractNumId="25">
    <w:nsid w:val="25973E32"/>
    <w:multiLevelType w:val="hybridMultilevel"/>
    <w:lvl w:ilvl="0">
      <w:lvlJc w:val="left"/>
      <w:lvlText w:val="(%1)"/>
      <w:numFmt w:val="lowerLetter"/>
      <w:start w:val="1"/>
    </w:lvl>
  </w:abstractNum>
  <w:abstractNum w:abstractNumId="26">
    <w:nsid w:val="EAD6F57"/>
    <w:multiLevelType w:val="hybridMultilevel"/>
    <w:lvl w:ilvl="0">
      <w:lvlJc w:val="left"/>
      <w:lvlText w:val="(%1)"/>
      <w:numFmt w:val="lowerLetter"/>
      <w:start w:val="4"/>
    </w:lvl>
  </w:abstractNum>
  <w:abstractNum w:abstractNumId="27">
    <w:nsid w:val="6EC9D844"/>
    <w:multiLevelType w:val="hybridMultilevel"/>
    <w:lvl w:ilvl="0">
      <w:lvlJc w:val="left"/>
      <w:lvlText w:val="%1"/>
      <w:numFmt w:val="decimal"/>
      <w:start w:val="1"/>
    </w:lvl>
    <w:lvl w:ilvl="1">
      <w:lvlJc w:val="left"/>
      <w:lvlText w:val="(%2)"/>
      <w:numFmt w:val="lowerLetter"/>
      <w:start w:val="1"/>
    </w:lvl>
  </w:abstractNum>
  <w:abstractNum w:abstractNumId="28">
    <w:nsid w:val="5C49EAEE"/>
    <w:multiLevelType w:val="hybridMultilevel"/>
    <w:lvl w:ilvl="0">
      <w:lvlJc w:val="left"/>
      <w:lvlText w:val="(%1)"/>
      <w:numFmt w:val="decimal"/>
      <w:start w:val="30"/>
    </w:lvl>
    <w:lvl w:ilvl="1">
      <w:lvlJc w:val="left"/>
      <w:lvlText w:val="%2"/>
      <w:numFmt w:val="lowerLetter"/>
      <w:start w:val="1"/>
    </w:lvl>
  </w:abstractNum>
  <w:abstractNum w:abstractNumId="29">
    <w:nsid w:val="64AF49B"/>
    <w:multiLevelType w:val="hybridMultilevel"/>
    <w:lvl w:ilvl="0">
      <w:lvlJc w:val="left"/>
      <w:lvlText w:val="(%1)"/>
      <w:numFmt w:val="lowerLetter"/>
      <w:start w:val="2"/>
    </w:lvl>
  </w:abstractNum>
  <w:abstractNum w:abstractNumId="30">
    <w:nsid w:val="397C46BC"/>
    <w:multiLevelType w:val="hybridMultilevel"/>
    <w:lvl w:ilvl="0">
      <w:lvlJc w:val="left"/>
      <w:lvlText w:val="(%1)"/>
      <w:numFmt w:val="lowerLetter"/>
      <w:start w:val="1"/>
    </w:lvl>
  </w:abstractNum>
  <w:abstractNum w:abstractNumId="31">
    <w:nsid w:val="7E448DE9"/>
    <w:multiLevelType w:val="hybridMultilevel"/>
    <w:lvl w:ilvl="0">
      <w:lvlJc w:val="left"/>
      <w:lvlText w:val="(%1)"/>
      <w:numFmt w:val="lowerLetter"/>
      <w:start w:val="10"/>
    </w:lvl>
  </w:abstractNum>
  <w:abstractNum w:abstractNumId="32">
    <w:nsid w:val="5A9CC3E5"/>
    <w:multiLevelType w:val="hybridMultilevel"/>
    <w:lvl w:ilvl="0">
      <w:lvlJc w:val="left"/>
      <w:lvlText w:val="(%1)"/>
      <w:numFmt w:val="lowerLetter"/>
      <w:start w:val="1"/>
    </w:lvl>
  </w:abstractNum>
  <w:abstractNum w:abstractNumId="33">
    <w:nsid w:val="1AFE3625"/>
    <w:multiLevelType w:val="hybridMultilevel"/>
    <w:lvl w:ilvl="0">
      <w:lvlJc w:val="left"/>
      <w:lvlText w:val="(%1)"/>
      <w:numFmt w:val="lowerLetter"/>
      <w:start w:val="1"/>
    </w:lvl>
  </w:abstractNum>
  <w:abstractNum w:abstractNumId="34">
    <w:nsid w:val="3CA88ECF"/>
    <w:multiLevelType w:val="hybridMultilevel"/>
    <w:lvl w:ilvl="0">
      <w:lvlJc w:val="left"/>
      <w:lvlText w:val="%1"/>
      <w:numFmt w:val="decimal"/>
      <w:start w:val="1"/>
    </w:lvl>
    <w:lvl w:ilvl="1">
      <w:lvlJc w:val="left"/>
      <w:lvlText w:val="(%2)"/>
      <w:numFmt w:val="lowerLetter"/>
      <w:start w:val="2"/>
    </w:lvl>
  </w:abstractNum>
  <w:abstractNum w:abstractNumId="35">
    <w:nsid w:val="6EBE4208"/>
    <w:multiLevelType w:val="hybridMultilevel"/>
    <w:lvl w:ilvl="0">
      <w:lvlJc w:val="left"/>
      <w:lvlText w:val="(%1)"/>
      <w:numFmt w:val="decimal"/>
      <w:start w:val="10"/>
    </w:lvl>
    <w:lvl w:ilvl="1">
      <w:lvlJc w:val="left"/>
      <w:lvlText w:val="(%2)"/>
      <w:numFmt w:val="lowerLetter"/>
      <w:start w:val="3"/>
    </w:lvl>
  </w:abstractNum>
  <w:abstractNum w:abstractNumId="36">
    <w:nsid w:val="C058DF5"/>
    <w:multiLevelType w:val="hybridMultilevel"/>
    <w:lvl w:ilvl="0">
      <w:lvlJc w:val="left"/>
      <w:lvlText w:val="(%1)"/>
      <w:numFmt w:val="lowerLetter"/>
      <w:start w:val="1"/>
    </w:lvl>
  </w:abstractNum>
  <w:abstractNum w:abstractNumId="37">
    <w:nsid w:val="CBE5BE9"/>
    <w:multiLevelType w:val="hybridMultilevel"/>
    <w:lvl w:ilvl="0">
      <w:lvlJc w:val="left"/>
      <w:lvlText w:val="(%1)"/>
      <w:numFmt w:val="lowerLetter"/>
      <w:start w:val="3"/>
    </w:lvl>
  </w:abstractNum>
  <w:abstractNum w:abstractNumId="38">
    <w:nsid w:val="3102BBE2"/>
    <w:multiLevelType w:val="hybridMultilevel"/>
    <w:lvl w:ilvl="0">
      <w:lvlJc w:val="left"/>
      <w:lvlText w:val="(%1)"/>
      <w:numFmt w:val="lowerLetter"/>
      <w:start w:val="1"/>
    </w:lvl>
  </w:abstractNum>
  <w:abstractNum w:abstractNumId="39">
    <w:nsid w:val="26A02C5E"/>
    <w:multiLevelType w:val="hybridMultilevel"/>
    <w:lvl w:ilvl="0">
      <w:lvlJc w:val="left"/>
      <w:lvlText w:val="(%1)"/>
      <w:numFmt w:val="lowerLetter"/>
      <w:start w:val="1"/>
    </w:lvl>
  </w:abstractNum>
  <w:abstractNum w:abstractNumId="40">
    <w:nsid w:val="541C8153"/>
    <w:multiLevelType w:val="hybridMultilevel"/>
    <w:lvl w:ilvl="0">
      <w:lvlJc w:val="left"/>
      <w:lvlText w:val="(%1)"/>
      <w:numFmt w:val="lowerLetter"/>
      <w:start w:val="4"/>
    </w:lvl>
  </w:abstractNum>
  <w:abstractNum w:abstractNumId="41">
    <w:nsid w:val="67906F60"/>
    <w:multiLevelType w:val="hybridMultilevel"/>
    <w:lvl w:ilvl="0">
      <w:lvlJc w:val="left"/>
      <w:lvlText w:val="(%1)"/>
      <w:numFmt w:val="lowerRoman"/>
      <w:start w:val="2"/>
    </w:lvl>
    <w:lvl w:ilvl="1">
      <w:lvlJc w:val="left"/>
      <w:lvlText w:val="(%2)"/>
      <w:numFmt w:val="lowerRoman"/>
      <w:start w:val="2"/>
    </w:lvl>
  </w:abstractNum>
  <w:abstractNum w:abstractNumId="42">
    <w:nsid w:val="10DB9DAA"/>
    <w:multiLevelType w:val="hybridMultilevel"/>
    <w:lvl w:ilvl="0">
      <w:lvlJc w:val="left"/>
      <w:lvlText w:val="(%1)"/>
      <w:numFmt w:val="lowerRoman"/>
      <w:start w:val="5"/>
    </w:lvl>
  </w:abstractNum>
  <w:abstractNum w:abstractNumId="43">
    <w:nsid w:val="697D2D2"/>
    <w:multiLevelType w:val="hybridMultilevel"/>
    <w:lvl w:ilvl="0">
      <w:lvlJc w:val="left"/>
      <w:lvlText w:val="(%1)"/>
      <w:numFmt w:val="lowerLetter"/>
      <w:start w:val="1"/>
    </w:lvl>
  </w:abstractNum>
  <w:abstractNum w:abstractNumId="44">
    <w:nsid w:val="6D68AB2"/>
    <w:multiLevelType w:val="hybridMultilevel"/>
    <w:lvl w:ilvl="0">
      <w:lvlJc w:val="left"/>
      <w:lvlText w:val="(%1)"/>
      <w:numFmt w:val="lowerLetter"/>
      <w:start w:val="2"/>
    </w:lvl>
  </w:abstractNum>
  <w:abstractNum w:abstractNumId="45">
    <w:nsid w:val="3A966CD0"/>
    <w:multiLevelType w:val="hybridMultilevel"/>
    <w:lvl w:ilvl="0">
      <w:lvlJc w:val="left"/>
      <w:lvlText w:val="(%1)"/>
      <w:numFmt w:val="lowerRoman"/>
      <w:start w:val="2"/>
    </w:lvl>
  </w:abstractNum>
  <w:abstractNum w:abstractNumId="46">
    <w:nsid w:val="63F37E85"/>
    <w:multiLevelType w:val="hybridMultilevel"/>
    <w:lvl w:ilvl="0">
      <w:lvlJc w:val="left"/>
      <w:lvlText w:val="%1"/>
      <w:numFmt w:val="lowerLetter"/>
      <w:start w:val="1"/>
    </w:lvl>
    <w:lvl w:ilvl="1">
      <w:lvlJc w:val="left"/>
      <w:lvlText w:val="(%2)"/>
      <w:numFmt w:val="lowerLetter"/>
      <w:start w:val="4"/>
    </w:lvl>
  </w:abstractNum>
  <w:abstractNum w:abstractNumId="47">
    <w:nsid w:val="5895F5FA"/>
    <w:multiLevelType w:val="hybridMultilevel"/>
    <w:lvl w:ilvl="0">
      <w:lvlJc w:val="left"/>
      <w:lvlText w:val="(%1)"/>
      <w:numFmt w:val="lowerLetter"/>
      <w:start w:val="35"/>
    </w:lvl>
    <w:lvl w:ilvl="1">
      <w:lvlJc w:val="left"/>
      <w:lvlText w:val="%2"/>
      <w:numFmt w:val="lowerLetter"/>
      <w:start w:val="1"/>
    </w:lvl>
  </w:abstractNum>
  <w:abstractNum w:abstractNumId="48">
    <w:nsid w:val="38A5D054"/>
    <w:multiLevelType w:val="hybridMultilevel"/>
    <w:lvl w:ilvl="0">
      <w:lvlJc w:val="left"/>
      <w:lvlText w:val="(%1)"/>
      <w:numFmt w:val="lowerLetter"/>
      <w:start w:val="5"/>
    </w:lvl>
  </w:abstractNum>
  <w:abstractNum w:abstractNumId="49">
    <w:nsid w:val="F3F09D8"/>
    <w:multiLevelType w:val="hybridMultilevel"/>
    <w:lvl w:ilvl="0">
      <w:lvlJc w:val="left"/>
      <w:lvlText w:val="(%1)"/>
      <w:numFmt w:val="lowerLetter"/>
      <w:start w:val="1"/>
    </w:lvl>
  </w:abstractNum>
  <w:abstractNum w:abstractNumId="50">
    <w:nsid w:val="4B793735"/>
    <w:multiLevelType w:val="hybridMultilevel"/>
    <w:lvl w:ilvl="0">
      <w:lvlJc w:val="left"/>
      <w:lvlText w:val="(%1)"/>
      <w:numFmt w:val="lowerRoman"/>
      <w:start w:val="1"/>
    </w:lvl>
  </w:abstractNum>
  <w:abstractNum w:abstractNumId="51">
    <w:nsid w:val="4A10B4E8"/>
    <w:multiLevelType w:val="hybridMultilevel"/>
    <w:lvl w:ilvl="0">
      <w:lvlJc w:val="left"/>
      <w:lvlText w:val="(%1)"/>
      <w:numFmt w:val="lowerRoman"/>
      <w:start w:val="3"/>
    </w:lvl>
  </w:abstractNum>
  <w:abstractNum w:abstractNumId="52">
    <w:nsid w:val="43D3BCD4"/>
    <w:multiLevelType w:val="hybridMultilevel"/>
    <w:lvl w:ilvl="0">
      <w:lvlJc w:val="left"/>
      <w:lvlText w:val="(%1)"/>
      <w:numFmt w:val="upperLetter"/>
      <w:start w:val="1"/>
    </w:lvl>
  </w:abstractNum>
  <w:abstractNum w:abstractNumId="53">
    <w:nsid w:val="4C2A7166"/>
    <w:multiLevelType w:val="hybridMultilevel"/>
    <w:lvl w:ilvl="0">
      <w:lvlJc w:val="left"/>
      <w:lvlText w:val="(%1)"/>
      <w:numFmt w:val="lowerRoman"/>
      <w:start w:val="4"/>
    </w:lvl>
  </w:abstractNum>
  <w:abstractNum w:abstractNumId="54">
    <w:nsid w:val="2E534A82"/>
    <w:multiLevelType w:val="hybridMultilevel"/>
    <w:lvl w:ilvl="0">
      <w:lvlJc w:val="left"/>
      <w:lvlText w:val="(%1)"/>
      <w:numFmt w:val="lowerRoman"/>
      <w:start w:val="5"/>
    </w:lvl>
  </w:abstractNum>
  <w:abstractNum w:abstractNumId="55">
    <w:nsid w:val="26F2D364"/>
    <w:multiLevelType w:val="hybridMultilevel"/>
    <w:lvl w:ilvl="0">
      <w:lvlJc w:val="left"/>
      <w:lvlText w:val="%1"/>
      <w:numFmt w:val="lowerRoman"/>
      <w:start w:val="1"/>
    </w:lvl>
    <w:lvl w:ilvl="1">
      <w:lvlJc w:val="left"/>
      <w:lvlText w:val="(%2)"/>
      <w:numFmt w:val="lowerLetter"/>
      <w:start w:val="2"/>
    </w:lvl>
  </w:abstractNum>
  <w:abstractNum w:abstractNumId="56">
    <w:nsid w:val="71C1AF98"/>
    <w:multiLevelType w:val="hybridMultilevel"/>
    <w:lvl w:ilvl="0">
      <w:lvlJc w:val="left"/>
      <w:lvlText w:val="(%1)"/>
      <w:numFmt w:val="lowerRoman"/>
      <w:start w:val="1"/>
    </w:lvl>
    <w:lvl w:ilvl="1">
      <w:lvlJc w:val="left"/>
      <w:lvlText w:val="%2"/>
      <w:numFmt w:val="lowerLetter"/>
      <w:start w:val="1"/>
    </w:lvl>
  </w:abstractNum>
  <w:abstractNum w:abstractNumId="57">
    <w:nsid w:val="3D00B9D9"/>
    <w:multiLevelType w:val="hybridMultilevel"/>
    <w:lvl w:ilvl="0">
      <w:lvlJc w:val="left"/>
      <w:lvlText w:val="(%1)"/>
      <w:numFmt w:val="lowerRoman"/>
      <w:start w:val="3"/>
    </w:lvl>
    <w:lvl w:ilvl="1">
      <w:lvlJc w:val="left"/>
      <w:lvlText w:val="(%2)"/>
      <w:numFmt w:val="lowerLetter"/>
      <w:start w:val="3"/>
    </w:lvl>
  </w:abstractNum>
  <w:abstractNum w:abstractNumId="58">
    <w:nsid w:val="15BCABA8"/>
    <w:multiLevelType w:val="hybridMultilevel"/>
    <w:lvl w:ilvl="0">
      <w:lvlJc w:val="left"/>
      <w:lvlText w:val="(%1)"/>
      <w:numFmt w:val="lowerRoman"/>
      <w:start w:val="1"/>
    </w:lvl>
  </w:abstractNum>
  <w:abstractNum w:abstractNumId="59">
    <w:nsid w:val="4E0B9A87"/>
    <w:multiLevelType w:val="hybridMultilevel"/>
    <w:lvl w:ilvl="0">
      <w:lvlJc w:val="left"/>
      <w:lvlText w:val="(%1)"/>
      <w:numFmt w:val="lowerRoman"/>
      <w:start w:val="2"/>
    </w:lvl>
  </w:abstractNum>
  <w:abstractNum w:abstractNumId="60">
    <w:nsid w:val="434BAE75"/>
    <w:multiLevelType w:val="hybridMultilevel"/>
    <w:lvl w:ilvl="0">
      <w:lvlJc w:val="left"/>
      <w:lvlText w:val="%1"/>
      <w:numFmt w:val="upperLetter"/>
      <w:start w:val="1"/>
    </w:lvl>
    <w:lvl w:ilvl="1">
      <w:lvlJc w:val="left"/>
      <w:lvlText w:val="(%2)"/>
      <w:numFmt w:val="lowerRoman"/>
      <w:start w:val="3"/>
    </w:lvl>
  </w:abstractNum>
  <w:abstractNum w:abstractNumId="61">
    <w:nsid w:val="4F38F265"/>
    <w:multiLevelType w:val="hybridMultilevel"/>
    <w:lvl w:ilvl="0">
      <w:lvlJc w:val="left"/>
      <w:lvlText w:val="(%1)"/>
      <w:numFmt w:val="upperLetter"/>
      <w:start w:val="3"/>
    </w:lvl>
    <w:lvl w:ilvl="1">
      <w:lvlJc w:val="left"/>
      <w:lvlText w:val="(%2)"/>
      <w:numFmt w:val="lowerRoman"/>
      <w:start w:val="6"/>
    </w:lvl>
  </w:abstractNum>
  <w:abstractNum w:abstractNumId="62">
    <w:nsid w:val="4C502870"/>
    <w:multiLevelType w:val="hybridMultilevel"/>
    <w:lvl w:ilvl="0">
      <w:lvlJc w:val="left"/>
      <w:lvlText w:val="%1"/>
      <w:numFmt w:val="lowerRoman"/>
      <w:start w:val="1"/>
    </w:lvl>
    <w:lvl w:ilvl="1">
      <w:lvlJc w:val="left"/>
      <w:lvlText w:val="(%2)"/>
      <w:numFmt w:val="lowerLetter"/>
      <w:start w:val="4"/>
    </w:lvl>
  </w:abstractNum>
  <w:abstractNum w:abstractNumId="63">
    <w:nsid w:val="1DE8725A"/>
    <w:multiLevelType w:val="hybridMultilevel"/>
    <w:lvl w:ilvl="0">
      <w:lvlJc w:val="left"/>
      <w:lvlText w:val="(%1)"/>
      <w:numFmt w:val="lowerRoman"/>
      <w:start w:val="1"/>
    </w:lvl>
    <w:lvl w:ilvl="1">
      <w:lvlJc w:val="left"/>
      <w:lvlText w:val="(%2)"/>
      <w:numFmt w:val="lowerLetter"/>
      <w:start w:val="5"/>
    </w:lvl>
  </w:abstractNum>
  <w:abstractNum w:abstractNumId="64">
    <w:nsid w:val="6A37288A"/>
    <w:multiLevelType w:val="hybridMultilevel"/>
    <w:lvl w:ilvl="0">
      <w:lvlJc w:val="left"/>
      <w:lvlText w:val="%1"/>
      <w:numFmt w:val="lowerLetter"/>
      <w:start w:val="1"/>
    </w:lvl>
    <w:lvl w:ilvl="1">
      <w:lvlJc w:val="left"/>
      <w:lvlText w:val="(%2)"/>
      <w:numFmt w:val="lowerLetter"/>
      <w:start w:val="6"/>
    </w:lvl>
  </w:abstractNum>
  <w:abstractNum w:abstractNumId="65">
    <w:nsid w:val="8F8B73F"/>
    <w:multiLevelType w:val="hybridMultilevel"/>
    <w:lvl w:ilvl="0">
      <w:lvlJc w:val="left"/>
      <w:lvlText w:val="(%1)"/>
      <w:numFmt w:val="lowerLetter"/>
      <w:start w:val="61"/>
    </w:lvl>
    <w:lvl w:ilvl="1">
      <w:lvlJc w:val="left"/>
      <w:lvlText w:val="%2"/>
      <w:numFmt w:val="lowerLetter"/>
      <w:start w:val="1"/>
    </w:lvl>
  </w:abstractNum>
  <w:abstractNum w:abstractNumId="66">
    <w:nsid w:val="CA6B462"/>
    <w:multiLevelType w:val="hybridMultilevel"/>
    <w:lvl w:ilvl="0">
      <w:lvlJc w:val="left"/>
      <w:lvlText w:val="(%1)"/>
      <w:numFmt w:val="lowerLetter"/>
      <w:start w:val="9"/>
    </w:lvl>
    <w:lvl w:ilvl="1">
      <w:lvlJc w:val="left"/>
      <w:lvlText w:val="%2"/>
      <w:numFmt w:val="lowerLetter"/>
      <w:start w:val="1"/>
    </w:lvl>
  </w:abstractNum>
  <w:abstractNum w:abstractNumId="67">
    <w:nsid w:val="763CB68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7"/>
    </w:lvl>
  </w:abstractNum>
  <w:abstractNum w:abstractNumId="68">
    <w:nsid w:val="15B7132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8"/>
    </w:lvl>
  </w:abstractNum>
  <w:abstractNum w:abstractNumId="69">
    <w:nsid w:val="3DA97044"/>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9"/>
    </w:lvl>
  </w:abstractNum>
  <w:abstractNum w:abstractNumId="70">
    <w:nsid w:val="1CDCE2DE"/>
    <w:multiLevelType w:val="hybridMultilevel"/>
    <w:lvl w:ilvl="0">
      <w:lvlJc w:val="left"/>
      <w:lvlText w:val="(%1)"/>
      <w:numFmt w:val="lowerLetter"/>
      <w:start w:val="10"/>
    </w:lvl>
  </w:abstractNum>
  <w:abstractNum w:abstractNumId="71">
    <w:nsid w:val="69D3947C"/>
    <w:multiLevelType w:val="hybridMultilevel"/>
    <w:lvl w:ilvl="0">
      <w:lvlJc w:val="left"/>
      <w:lvlText w:val="(%1)"/>
      <w:numFmt w:val="lowerLetter"/>
      <w:start w:val="1"/>
    </w:lvl>
  </w:abstractNum>
  <w:abstractNum w:abstractNumId="72">
    <w:nsid w:val="2539DFA5"/>
    <w:multiLevelType w:val="hybridMultilevel"/>
    <w:lvl w:ilvl="0">
      <w:lvlJc w:val="left"/>
      <w:lvlText w:val="%1"/>
      <w:numFmt w:val="lowerRoman"/>
      <w:start w:val="1"/>
    </w:lvl>
    <w:lvl w:ilvl="1">
      <w:lvlJc w:val="left"/>
      <w:lvlText w:val="(%2)"/>
      <w:numFmt w:val="lowerLetter"/>
      <w:start w:val="2"/>
    </w:lvl>
  </w:abstractNum>
  <w:abstractNum w:abstractNumId="73">
    <w:nsid w:val="2DB88089"/>
    <w:multiLevelType w:val="hybridMultilevel"/>
    <w:lvl w:ilvl="0">
      <w:lvlJc w:val="left"/>
      <w:lvlText w:val="(%1)"/>
      <w:numFmt w:val="lowerRoman"/>
      <w:start w:val="1"/>
    </w:lvl>
    <w:lvl w:ilvl="1">
      <w:lvlJc w:val="left"/>
      <w:lvlText w:val="%2"/>
      <w:numFmt w:val="lowerLetter"/>
      <w:start w:val="1"/>
    </w:lvl>
  </w:abstractNum>
  <w:abstractNum w:abstractNumId="74">
    <w:nsid w:val="706B674E"/>
    <w:multiLevelType w:val="hybridMultilevel"/>
    <w:lvl w:ilvl="0">
      <w:lvlJc w:val="left"/>
      <w:lvlText w:val="(%1)"/>
      <w:numFmt w:val="upperLetter"/>
      <w:start w:val="1"/>
    </w:lvl>
  </w:abstractNum>
  <w:abstractNum w:abstractNumId="75">
    <w:nsid w:val="2C106A57"/>
    <w:multiLevelType w:val="hybridMultilevel"/>
    <w:lvl w:ilvl="0">
      <w:lvlJc w:val="left"/>
      <w:lvlText w:val="(%1)"/>
      <w:numFmt w:val="lowerRoman"/>
      <w:start w:val="10"/>
    </w:lvl>
  </w:abstractNum>
  <w:abstractNum w:abstractNumId="76">
    <w:nsid w:val="684EED59"/>
    <w:multiLevelType w:val="hybridMultilevel"/>
    <w:lvl w:ilvl="0">
      <w:lvlJc w:val="left"/>
      <w:lvlText w:val="(%1)"/>
      <w:numFmt w:val="lowerLetter"/>
      <w:start w:val="1"/>
    </w:lvl>
  </w:abstractNum>
  <w:abstractNum w:abstractNumId="77">
    <w:nsid w:val="545EE5D3"/>
    <w:multiLevelType w:val="hybridMultilevel"/>
    <w:lvl w:ilvl="0">
      <w:lvlJc w:val="left"/>
      <w:lvlText w:val="(%1)"/>
      <w:numFmt w:val="lowerLetter"/>
      <w:start w:val="3"/>
    </w:lvl>
  </w:abstractNum>
  <w:abstractNum w:abstractNumId="78">
    <w:nsid w:val="4A66051"/>
    <w:multiLevelType w:val="hybridMultilevel"/>
    <w:lvl w:ilvl="0">
      <w:lvlJc w:val="left"/>
      <w:lvlText w:val="(%1)"/>
      <w:numFmt w:val="lowerLetter"/>
      <w:start w:val="1"/>
    </w:lvl>
  </w:abstractNum>
  <w:abstractNum w:abstractNumId="79">
    <w:nsid w:val="20F4BDAD"/>
    <w:multiLevelType w:val="hybridMultilevel"/>
    <w:lvl w:ilvl="0">
      <w:lvlJc w:val="left"/>
      <w:lvlText w:val="(%1)"/>
      <w:numFmt w:val="lowerLetter"/>
      <w:start w:val="5"/>
    </w:lvl>
  </w:abstractNum>
  <w:abstractNum w:abstractNumId="80">
    <w:nsid w:val="639DEF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1">
    <w:nsid w:val="501F9786"/>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82">
    <w:nsid w:val="6B057295"/>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2"/>
    </w:lvl>
  </w:abstractNum>
  <w:abstractNum w:abstractNumId="83">
    <w:nsid w:val="2771AC80"/>
    <w:multiLevelType w:val="hybridMultilevel"/>
    <w:lvl w:ilvl="0">
      <w:lvlJc w:val="left"/>
      <w:lvlText w:val="(%1)"/>
      <w:numFmt w:val="lowerLetter"/>
      <w:start w:val="1"/>
    </w:lvl>
  </w:abstractNum>
  <w:abstractNum w:abstractNumId="84">
    <w:nsid w:val="1C4A08EC"/>
    <w:multiLevelType w:val="hybridMultilevel"/>
    <w:lvl w:ilvl="0">
      <w:lvlJc w:val="left"/>
      <w:lvlText w:val="(%1)"/>
      <w:numFmt w:val="lowerLetter"/>
      <w:start w:val="3"/>
    </w:lvl>
  </w:abstractNum>
  <w:abstractNum w:abstractNumId="85">
    <w:nsid w:val="1958BD17"/>
    <w:multiLevelType w:val="hybridMultilevel"/>
    <w:lvl w:ilvl="0">
      <w:lvlJc w:val="left"/>
      <w:lvlText w:val="(%1)"/>
      <w:numFmt w:val="lowerLetter"/>
      <w:start w:val="1"/>
    </w:lvl>
  </w:abstractNum>
  <w:abstractNum w:abstractNumId="86">
    <w:nsid w:val="4E647FE4"/>
    <w:multiLevelType w:val="hybridMultilevel"/>
    <w:lvl w:ilvl="0">
      <w:lvlJc w:val="left"/>
      <w:lvlText w:val="(%1)"/>
      <w:numFmt w:val="lowerLetter"/>
      <w:start w:val="4"/>
    </w:lvl>
  </w:abstractNum>
  <w:abstractNum w:abstractNumId="87">
    <w:nsid w:val="E0BB885"/>
    <w:multiLevelType w:val="hybridMultilevel"/>
    <w:lvl w:ilvl="0">
      <w:lvlJc w:val="left"/>
      <w:lvlText w:val="(%1)"/>
      <w:numFmt w:val="lowerLetter"/>
      <w:start w:val="1"/>
    </w:lvl>
  </w:abstractNum>
  <w:abstractNum w:abstractNumId="88">
    <w:nsid w:val="565976F1"/>
    <w:multiLevelType w:val="hybridMultilevel"/>
    <w:lvl w:ilvl="0">
      <w:lvlJc w:val="left"/>
      <w:lvlText w:val="(%1)"/>
      <w:numFmt w:val="lowerLetter"/>
      <w:start w:val="1"/>
    </w:lvl>
  </w:abstractNum>
  <w:abstractNum w:abstractNumId="89">
    <w:nsid w:val="64212B8C"/>
    <w:multiLevelType w:val="hybridMultilevel"/>
    <w:lvl w:ilvl="0">
      <w:lvlJc w:val="left"/>
      <w:lvlText w:val="(%1)"/>
      <w:numFmt w:val="lowerRoman"/>
      <w:start w:val="1"/>
    </w:lvl>
  </w:abstractNum>
  <w:abstractNum w:abstractNumId="90">
    <w:nsid w:val="5C17530C"/>
    <w:multiLevelType w:val="hybridMultilevel"/>
    <w:lvl w:ilvl="0">
      <w:lvlJc w:val="left"/>
      <w:lvlText w:val="(%1)"/>
      <w:numFmt w:val="lowerRoman"/>
      <w:start w:val="2"/>
    </w:lvl>
  </w:abstractNum>
  <w:abstractNum w:abstractNumId="91">
    <w:nsid w:val="19A52566"/>
    <w:multiLevelType w:val="hybridMultilevel"/>
    <w:lvl w:ilvl="0">
      <w:lvlJc w:val="left"/>
      <w:lvlText w:val="(%1)"/>
      <w:numFmt w:val="lowerLetter"/>
      <w:start w:val="2"/>
    </w:lvl>
  </w:abstractNum>
  <w:abstractNum w:abstractNumId="92">
    <w:nsid w:val="335A1DF1"/>
    <w:multiLevelType w:val="hybridMultilevel"/>
    <w:lvl w:ilvl="0">
      <w:lvlJc w:val="left"/>
      <w:lvlText w:val="(%1)"/>
      <w:numFmt w:val="lowerLetter"/>
      <w:start w:val="5"/>
    </w:lvl>
  </w:abstractNum>
  <w:abstractNum w:abstractNumId="93">
    <w:nsid w:val="28677B7C"/>
    <w:multiLevelType w:val="hybridMultilevel"/>
    <w:lvl w:ilvl="0">
      <w:lvlJc w:val="left"/>
      <w:lvlText w:val="(%1)"/>
      <w:numFmt w:val="lowerLetter"/>
      <w:start w:val="1"/>
    </w:lvl>
  </w:abstractNum>
  <w:abstractNum w:abstractNumId="94">
    <w:nsid w:val="378D97C0"/>
    <w:multiLevelType w:val="hybridMultilevel"/>
    <w:lvl w:ilvl="0">
      <w:lvlJc w:val="left"/>
      <w:lvlText w:val="%1"/>
      <w:numFmt w:val="lowerRoman"/>
      <w:start w:val="1"/>
    </w:lvl>
    <w:lvl w:ilvl="1">
      <w:lvlJc w:val="left"/>
      <w:lvlText w:val="(%2)"/>
      <w:numFmt w:val="lowerLetter"/>
      <w:start w:val="2"/>
    </w:lvl>
  </w:abstractNum>
  <w:abstractNum w:abstractNumId="95">
    <w:nsid w:val="1D91467C"/>
    <w:multiLevelType w:val="hybridMultilevel"/>
    <w:lvl w:ilvl="0">
      <w:lvlJc w:val="left"/>
      <w:lvlText w:val="(%1)"/>
      <w:numFmt w:val="lowerRoman"/>
      <w:start w:val="1"/>
    </w:lvl>
    <w:lvl w:ilvl="1">
      <w:lvlJc w:val="left"/>
      <w:lvlText w:val="%2"/>
      <w:numFmt w:val="lowerLetter"/>
      <w:start w:val="1"/>
    </w:lvl>
  </w:abstractNum>
  <w:abstractNum w:abstractNumId="96">
    <w:nsid w:val="316032BB"/>
    <w:multiLevelType w:val="hybridMultilevel"/>
    <w:lvl w:ilvl="0">
      <w:lvlJc w:val="left"/>
      <w:lvlText w:val="%1"/>
      <w:numFmt w:val="lowerRoman"/>
      <w:start w:val="1"/>
    </w:lvl>
    <w:lvl w:ilvl="1">
      <w:lvlJc w:val="left"/>
      <w:lvlText w:val="(%2)"/>
      <w:numFmt w:val="lowerLetter"/>
      <w:start w:val="4"/>
    </w:lvl>
    <w:lvl w:ilvl="2">
      <w:lvlJc w:val="left"/>
      <w:lvlText w:val="%3"/>
      <w:numFmt w:val="upperLetter"/>
      <w:start w:val="1"/>
    </w:lvl>
  </w:abstractNum>
  <w:abstractNum w:abstractNumId="97">
    <w:nsid w:val="44344C2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98">
    <w:nsid w:val="13CDFCFC"/>
    <w:multiLevelType w:val="hybridMultilevel"/>
    <w:lvl w:ilvl="0">
      <w:lvlJc w:val="left"/>
      <w:lvlText w:val="(%1)"/>
      <w:numFmt w:val="lowerRoman"/>
      <w:start w:val="1"/>
    </w:lvl>
  </w:abstractNum>
  <w:abstractNum w:abstractNumId="99">
    <w:nsid w:val="471745E4"/>
    <w:multiLevelType w:val="hybridMultilevel"/>
    <w:lvl w:ilvl="0">
      <w:lvlJc w:val="left"/>
      <w:lvlText w:val="(%1)"/>
      <w:numFmt w:val="lowerRoman"/>
      <w:start w:val="2"/>
    </w:lvl>
  </w:abstractNum>
  <w:abstractNum w:abstractNumId="100">
    <w:nsid w:val="1DDBC6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01">
    <w:nsid w:val="30AADFDA"/>
    <w:multiLevelType w:val="hybridMultilevel"/>
    <w:lvl w:ilvl="0">
      <w:lvlJc w:val="left"/>
      <w:lvlText w:val="(%1)"/>
      <w:numFmt w:val="lowerLetter"/>
      <w:start w:val="61"/>
    </w:lvl>
    <w:lvl w:ilvl="1">
      <w:lvlJc w:val="left"/>
      <w:lvlText w:val="(%2)"/>
      <w:numFmt w:val="lowerLetter"/>
      <w:start w:val="6"/>
    </w:lvl>
    <w:lvl w:ilvl="2">
      <w:lvlJc w:val="left"/>
      <w:lvlText w:val="%3"/>
      <w:numFmt w:val="upperLetter"/>
      <w:start w:val="1"/>
    </w:lvl>
  </w:abstractNum>
  <w:abstractNum w:abstractNumId="102">
    <w:nsid w:val="30EADA61"/>
    <w:multiLevelType w:val="hybridMultilevel"/>
    <w:lvl w:ilvl="0">
      <w:lvlJc w:val="left"/>
      <w:lvlText w:val="(%1)"/>
      <w:numFmt w:val="lowerLetter"/>
      <w:start w:val="7"/>
    </w:lvl>
  </w:abstractNum>
  <w:abstractNum w:abstractNumId="103">
    <w:nsid w:val="27179C0B"/>
    <w:multiLevelType w:val="hybridMultilevel"/>
    <w:lvl w:ilvl="0">
      <w:lvlJc w:val="left"/>
      <w:lvlText w:val="%1"/>
      <w:numFmt w:val="lowerLetter"/>
      <w:start w:val="1"/>
    </w:lvl>
    <w:lvl w:ilvl="1">
      <w:lvlJc w:val="left"/>
      <w:lvlText w:val="(%2)"/>
      <w:numFmt w:val="lowerLetter"/>
      <w:start w:val="1"/>
    </w:lvl>
  </w:abstractNum>
  <w:abstractNum w:abstractNumId="104">
    <w:nsid w:val="5E636063"/>
    <w:multiLevelType w:val="hybridMultilevel"/>
    <w:lvl w:ilvl="0">
      <w:lvlJc w:val="left"/>
      <w:lvlText w:val="(%1)"/>
      <w:numFmt w:val="lowerLetter"/>
      <w:start w:val="35"/>
    </w:lvl>
    <w:lvl w:ilvl="1">
      <w:lvlJc w:val="left"/>
      <w:lvlText w:val="%2"/>
      <w:numFmt w:val="lowerLetter"/>
      <w:start w:val="1"/>
    </w:lvl>
  </w:abstractNum>
  <w:abstractNum w:abstractNumId="105">
    <w:nsid w:val="215641AF"/>
    <w:multiLevelType w:val="hybridMultilevel"/>
    <w:lvl w:ilvl="0">
      <w:lvlJc w:val="left"/>
      <w:lvlText w:val="(%1)"/>
      <w:numFmt w:val="lowerLetter"/>
      <w:start w:val="2"/>
    </w:lvl>
  </w:abstractNum>
  <w:abstractNum w:abstractNumId="106">
    <w:nsid w:val="53280662"/>
    <w:multiLevelType w:val="hybridMultilevel"/>
    <w:lvl w:ilvl="0">
      <w:lvlJc w:val="left"/>
      <w:lvlText w:val="(%1)"/>
      <w:numFmt w:val="lowerLetter"/>
      <w:start w:val="4"/>
    </w:lvl>
  </w:abstractNum>
  <w:abstractNum w:abstractNumId="107">
    <w:nsid w:val="46B24DBC"/>
    <w:multiLevelType w:val="hybridMultilevel"/>
    <w:lvl w:ilvl="0">
      <w:lvlJc w:val="left"/>
      <w:lvlText w:val="(%1)"/>
      <w:numFmt w:val="lowerLetter"/>
      <w:start w:val="1"/>
    </w:lvl>
  </w:abstractNum>
  <w:abstractNum w:abstractNumId="108">
    <w:nsid w:val="75B52783"/>
    <w:multiLevelType w:val="hybridMultilevel"/>
    <w:lvl w:ilvl="0">
      <w:lvlJc w:val="left"/>
      <w:lvlText w:val="(%1)"/>
      <w:numFmt w:val="lowerRoman"/>
      <w:start w:val="1"/>
    </w:lvl>
  </w:abstractNum>
  <w:abstractNum w:abstractNumId="109">
    <w:nsid w:val="57CE66B4"/>
    <w:multiLevelType w:val="hybridMultilevel"/>
    <w:lvl w:ilvl="0">
      <w:lvlJc w:val="left"/>
      <w:lvlText w:val="(%1)"/>
      <w:numFmt w:val="lowerLetter"/>
      <w:start w:val="1"/>
    </w:lvl>
  </w:abstractNum>
  <w:abstractNum w:abstractNumId="110">
    <w:nsid w:val="67A70B69"/>
    <w:multiLevelType w:val="hybridMultilevel"/>
    <w:lvl w:ilvl="0">
      <w:lvlJc w:val="left"/>
      <w:lvlText w:val="(%1)"/>
      <w:numFmt w:val="lowerLetter"/>
      <w:start w:val="1"/>
    </w:lvl>
  </w:abstractNum>
  <w:abstractNum w:abstractNumId="111">
    <w:nsid w:val="5953172F"/>
    <w:multiLevelType w:val="hybridMultilevel"/>
    <w:lvl w:ilvl="0">
      <w:lvlJc w:val="left"/>
      <w:lvlText w:val="(%1)"/>
      <w:numFmt w:val="lowerLetter"/>
      <w:start w:val="2"/>
    </w:lvl>
  </w:abstractNum>
  <w:abstractNum w:abstractNumId="112">
    <w:nsid w:val="27EDFE3A"/>
    <w:multiLevelType w:val="hybridMultilevel"/>
    <w:lvl w:ilvl="0">
      <w:lvlJc w:val="left"/>
      <w:lvlText w:val="%1"/>
      <w:numFmt w:val="lowerLetter"/>
      <w:start w:val="1"/>
    </w:lvl>
    <w:lvl w:ilvl="1">
      <w:lvlJc w:val="left"/>
      <w:lvlText w:val="(%2)"/>
      <w:numFmt w:val="lowerLetter"/>
      <w:start w:val="4"/>
    </w:lvl>
  </w:abstractNum>
  <w:abstractNum w:abstractNumId="113">
    <w:nsid w:val="52AC7DFF"/>
    <w:multiLevelType w:val="hybridMultilevel"/>
    <w:lvl w:ilvl="0">
      <w:lvlJc w:val="left"/>
      <w:lvlText w:val="(%1)"/>
      <w:numFmt w:val="lowerLetter"/>
      <w:start w:val="35"/>
    </w:lvl>
    <w:lvl w:ilvl="1">
      <w:lvlJc w:val="left"/>
      <w:lvlText w:val="%2"/>
      <w:numFmt w:val="lowerLetter"/>
      <w:start w:val="1"/>
    </w:lvl>
  </w:abstractNum>
  <w:abstractNum w:abstractNumId="114">
    <w:nsid w:val="C4C3AF"/>
    <w:multiLevelType w:val="hybridMultilevel"/>
    <w:lvl w:ilvl="0">
      <w:lvlJc w:val="left"/>
      <w:lvlText w:val="(%1)"/>
      <w:numFmt w:val="lowerLetter"/>
      <w:start w:val="5"/>
    </w:lvl>
  </w:abstractNum>
  <w:abstractNum w:abstractNumId="115">
    <w:nsid w:val="44380727"/>
    <w:multiLevelType w:val="hybridMultilevel"/>
    <w:lvl w:ilvl="0">
      <w:lvlJc w:val="left"/>
      <w:lvlText w:val="(%1)"/>
      <w:numFmt w:val="lowerLetter"/>
      <w:start w:val="1"/>
    </w:lvl>
    <w:lvl w:ilvl="1">
      <w:lvlJc w:val="left"/>
      <w:lvlText w:val="(%2)"/>
      <w:numFmt w:val="lowerLetter"/>
      <w:start w:val="9"/>
    </w:lvl>
  </w:abstractNum>
  <w:abstractNum w:abstractNumId="116">
    <w:nsid w:val="6C053B16"/>
    <w:multiLevelType w:val="hybridMultilevel"/>
    <w:lvl w:ilvl="0">
      <w:lvlJc w:val="left"/>
      <w:lvlText w:val="%1"/>
      <w:numFmt w:val="lowerLetter"/>
      <w:start w:val="1"/>
    </w:lvl>
    <w:lvl w:ilvl="1">
      <w:lvlJc w:val="left"/>
      <w:lvlText w:val="(%2)"/>
      <w:numFmt w:val="lowerRoman"/>
      <w:start w:val="2"/>
    </w:lvl>
  </w:abstractNum>
  <w:abstractNum w:abstractNumId="117">
    <w:nsid w:val="4F294393"/>
    <w:multiLevelType w:val="hybridMultilevel"/>
    <w:lvl w:ilvl="0">
      <w:lvlJc w:val="left"/>
      <w:lvlText w:val="(%1)"/>
      <w:numFmt w:val="lowerLetter"/>
      <w:start w:val="2"/>
    </w:lvl>
    <w:lvl w:ilvl="1">
      <w:lvlJc w:val="left"/>
      <w:lvlText w:val="%2"/>
      <w:numFmt w:val="lowerRoman"/>
      <w:start w:val="1"/>
    </w:lvl>
  </w:abstractNum>
  <w:abstractNum w:abstractNumId="118">
    <w:nsid w:val="5243BFAC"/>
    <w:multiLevelType w:val="hybridMultilevel"/>
    <w:lvl w:ilvl="0">
      <w:lvlJc w:val="left"/>
      <w:lvlText w:val="(%1)"/>
      <w:numFmt w:val="lowerLetter"/>
      <w:start w:val="3"/>
    </w:lvl>
  </w:abstractNum>
  <w:abstractNum w:abstractNumId="119">
    <w:nsid w:val="425EB207"/>
    <w:multiLevelType w:val="hybridMultilevel"/>
    <w:lvl w:ilvl="0">
      <w:lvlJc w:val="left"/>
      <w:lvlText w:val="(%1)"/>
      <w:numFmt w:val="lowerLetter"/>
      <w:start w:val="1"/>
    </w:lvl>
  </w:abstractNum>
  <w:abstractNum w:abstractNumId="120">
    <w:nsid w:val="334A6F1F"/>
    <w:multiLevelType w:val="hybridMultilevel"/>
    <w:lvl w:ilvl="0">
      <w:lvlJc w:val="left"/>
      <w:lvlText w:val="(%1)"/>
      <w:numFmt w:val="lowerLetter"/>
      <w:start w:val="1"/>
    </w:lvl>
  </w:abstractNum>
  <w:abstractNum w:abstractNumId="121">
    <w:nsid w:val="2E5B12B8"/>
    <w:multiLevelType w:val="hybridMultilevel"/>
    <w:lvl w:ilvl="0">
      <w:lvlJc w:val="left"/>
      <w:lvlText w:val="%1"/>
      <w:numFmt w:val="lowerLetter"/>
      <w:start w:val="1"/>
    </w:lvl>
    <w:lvl w:ilvl="1">
      <w:lvlJc w:val="left"/>
      <w:lvlText w:val="(%2)"/>
      <w:numFmt w:val="lowerLetter"/>
      <w:start w:val="1"/>
    </w:lvl>
  </w:abstractNum>
  <w:abstractNum w:abstractNumId="122">
    <w:nsid w:val="5C03D76D"/>
    <w:multiLevelType w:val="hybridMultilevel"/>
    <w:lvl w:ilvl="0">
      <w:lvlJc w:val="left"/>
      <w:lvlText w:val="(%1)"/>
      <w:numFmt w:val="lowerLetter"/>
      <w:start w:val="35"/>
    </w:lvl>
    <w:lvl w:ilvl="1">
      <w:lvlJc w:val="left"/>
      <w:lvlText w:val="%2"/>
      <w:numFmt w:val="lowerLetter"/>
      <w:start w:val="1"/>
    </w:lvl>
  </w:abstractNum>
  <w:abstractNum w:abstractNumId="123">
    <w:nsid w:val="66A48D11"/>
    <w:multiLevelType w:val="hybridMultilevel"/>
    <w:lvl w:ilvl="0">
      <w:lvlJc w:val="left"/>
      <w:lvlText w:val="(%1)"/>
      <w:numFmt w:val="lowerLetter"/>
      <w:start w:val="1"/>
    </w:lvl>
  </w:abstractNum>
  <w:abstractNum w:abstractNumId="124">
    <w:nsid w:val="56C28E34"/>
    <w:multiLevelType w:val="hybridMultilevel"/>
    <w:lvl w:ilvl="0">
      <w:lvlJc w:val="left"/>
      <w:lvlText w:val="(%1)"/>
      <w:numFmt w:val="lowerLetter"/>
      <w:start w:val="1"/>
    </w:lvl>
  </w:abstractNum>
  <w:abstractNum w:abstractNumId="125">
    <w:nsid w:val="13916F2D"/>
    <w:multiLevelType w:val="hybridMultilevel"/>
    <w:lvl w:ilvl="0">
      <w:lvlJc w:val="left"/>
      <w:lvlText w:val="(%1)"/>
      <w:numFmt w:val="lowerLetter"/>
      <w:start w:val="1"/>
    </w:lvl>
  </w:abstractNum>
  <w:abstractNum w:abstractNumId="126">
    <w:nsid w:val="435D38D"/>
    <w:multiLevelType w:val="hybridMultilevel"/>
    <w:lvl w:ilvl="0">
      <w:lvlJc w:val="left"/>
      <w:lvlText w:val="(%1)"/>
      <w:numFmt w:val="lowerLetter"/>
      <w:start w:val="3"/>
    </w:lvl>
  </w:abstractNum>
  <w:abstractNum w:abstractNumId="127">
    <w:nsid w:val="822C0EF"/>
    <w:multiLevelType w:val="hybridMultilevel"/>
    <w:lvl w:ilvl="0">
      <w:lvlJc w:val="left"/>
      <w:lvlText w:val="(%1)"/>
      <w:numFmt w:val="lowerLetter"/>
      <w:start w:val="2"/>
    </w:lvl>
  </w:abstractNum>
  <w:abstractNum w:abstractNumId="128">
    <w:nsid w:val="57C5BB4F"/>
    <w:multiLevelType w:val="hybridMultilevel"/>
    <w:lvl w:ilvl="0">
      <w:lvlJc w:val="left"/>
      <w:lvlText w:val="(%1)"/>
      <w:numFmt w:val="lowerLetter"/>
      <w:start w:val="6"/>
    </w:lvl>
  </w:abstractNum>
  <w:abstractNum w:abstractNumId="129">
    <w:nsid w:val="1803D089"/>
    <w:multiLevelType w:val="hybridMultilevel"/>
    <w:lvl w:ilvl="0">
      <w:lvlJc w:val="left"/>
      <w:lvlText w:val="(%1)"/>
      <w:numFmt w:val="lowerLetter"/>
      <w:start w:val="1"/>
    </w:lvl>
  </w:abstractNum>
  <w:abstractNum w:abstractNumId="130">
    <w:nsid w:val="4F3A06D4"/>
    <w:multiLevelType w:val="hybridMultilevel"/>
    <w:lvl w:ilvl="0">
      <w:lvlJc w:val="left"/>
      <w:lvlText w:val="%1"/>
      <w:numFmt w:val="lowerLetter"/>
      <w:start w:val="1"/>
    </w:lvl>
    <w:lvl w:ilvl="1">
      <w:lvlJc w:val="left"/>
      <w:lvlText w:val="(%2)"/>
      <w:numFmt w:val="lowerLetter"/>
      <w:start w:val="4"/>
    </w:lvl>
  </w:abstractNum>
  <w:abstractNum w:abstractNumId="131">
    <w:nsid w:val="59A377B6"/>
    <w:multiLevelType w:val="hybridMultilevel"/>
    <w:lvl w:ilvl="0">
      <w:lvlJc w:val="left"/>
      <w:lvlText w:val="(%1)"/>
      <w:numFmt w:val="lowerLetter"/>
      <w:start w:val="35"/>
    </w:lvl>
    <w:lvl w:ilvl="1">
      <w:lvlJc w:val="left"/>
      <w:lvlText w:val="(%2)"/>
      <w:numFmt w:val="lowerLetter"/>
      <w:start w:val="6"/>
    </w:lvl>
  </w:abstractNum>
  <w:abstractNum w:abstractNumId="132">
    <w:nsid w:val="48AEB063"/>
    <w:multiLevelType w:val="hybridMultilevel"/>
    <w:lvl w:ilvl="0">
      <w:lvlJc w:val="left"/>
      <w:lvlText w:val="(%1)"/>
      <w:numFmt w:val="lowerLetter"/>
      <w:start w:val="1"/>
    </w:lvl>
  </w:abstractNum>
  <w:abstractNum w:abstractNumId="133">
    <w:nsid w:val="24E135"/>
    <w:multiLevelType w:val="hybridMultilevel"/>
    <w:lvl w:ilvl="0">
      <w:lvlJc w:val="left"/>
      <w:lvlText w:val="(%1)"/>
      <w:numFmt w:val="lowerLetter"/>
      <w:start w:val="1"/>
    </w:lvl>
  </w:abstractNum>
  <w:abstractNum w:abstractNumId="134">
    <w:nsid w:val="BB13C1"/>
    <w:multiLevelType w:val="hybridMultilevel"/>
    <w:lvl w:ilvl="0">
      <w:lvlJc w:val="left"/>
      <w:lvlText w:val="(%1)"/>
      <w:numFmt w:val="lowerLetter"/>
      <w:start w:val="1"/>
    </w:lvl>
  </w:abstractNum>
  <w:abstractNum w:abstractNumId="135">
    <w:nsid w:val="271210C7"/>
    <w:multiLevelType w:val="hybridMultilevel"/>
    <w:lvl w:ilvl="0">
      <w:lvlJc w:val="left"/>
      <w:lvlText w:val="(%1)"/>
      <w:numFmt w:val="lowerLetter"/>
      <w:start w:val="2"/>
    </w:lvl>
  </w:abstractNum>
  <w:abstractNum w:abstractNumId="136">
    <w:nsid w:val="217B22E4"/>
    <w:multiLevelType w:val="hybridMultilevel"/>
    <w:lvl w:ilvl="0">
      <w:lvlJc w:val="left"/>
      <w:lvlText w:val="(%1)"/>
      <w:numFmt w:val="lowerLetter"/>
      <w:start w:val="4"/>
    </w:lvl>
  </w:abstractNum>
  <w:abstractNum w:abstractNumId="137">
    <w:nsid w:val="53E31A24"/>
    <w:multiLevelType w:val="hybridMultilevel"/>
    <w:lvl w:ilvl="0">
      <w:lvlJc w:val="left"/>
      <w:lvlText w:val="(%1)"/>
      <w:numFmt w:val="lowerLetter"/>
      <w:start w:val="1"/>
    </w:lvl>
  </w:abstractNum>
  <w:abstractNum w:abstractNumId="138">
    <w:nsid w:val="6DC45E83"/>
    <w:multiLevelType w:val="hybridMultilevel"/>
    <w:lvl w:ilvl="0">
      <w:lvlJc w:val="left"/>
      <w:lvlText w:val="(%1)"/>
      <w:numFmt w:val="lowerLetter"/>
      <w:start w:val="2"/>
    </w:lvl>
  </w:abstractNum>
  <w:abstractNum w:abstractNumId="139">
    <w:nsid w:val="17304A67"/>
    <w:multiLevelType w:val="hybridMultilevel"/>
    <w:lvl w:ilvl="0">
      <w:lvlJc w:val="left"/>
      <w:lvlText w:val="(%1)"/>
      <w:numFmt w:val="lowerLetter"/>
      <w:start w:val="1"/>
    </w:lvl>
  </w:abstractNum>
  <w:abstractNum w:abstractNumId="140">
    <w:nsid w:val="2BB180D8"/>
    <w:multiLevelType w:val="hybridMultilevel"/>
    <w:lvl w:ilvl="0">
      <w:lvlJc w:val="left"/>
      <w:lvlText w:val="(%1)"/>
      <w:numFmt w:val="decimal"/>
      <w:start w:val="270"/>
    </w:lvl>
    <w:lvl w:ilvl="1">
      <w:lvlJc w:val="left"/>
      <w:lvlText w:val="(%2)"/>
      <w:numFmt w:val="lowerLetter"/>
      <w:start w:val="5"/>
    </w:lvl>
  </w:abstractNum>
  <w:abstractNum w:abstractNumId="141">
    <w:nsid w:val="556B69ED"/>
    <w:multiLevelType w:val="hybridMultilevel"/>
    <w:lvl w:ilvl="0">
      <w:lvlJc w:val="left"/>
      <w:lvlText w:val="%1"/>
      <w:numFmt w:val="lowerLetter"/>
      <w:start w:val="1"/>
    </w:lvl>
    <w:lvl w:ilvl="1">
      <w:lvlJc w:val="left"/>
      <w:lvlText w:val="(%2)"/>
      <w:numFmt w:val="lowerLetter"/>
      <w:start w:val="13"/>
    </w:lvl>
  </w:abstractNum>
  <w:abstractNum w:abstractNumId="142">
    <w:nsid w:val="70836196"/>
    <w:multiLevelType w:val="hybridMultilevel"/>
    <w:lvl w:ilvl="0">
      <w:lvlJc w:val="left"/>
      <w:lvlText w:val="(%1)"/>
      <w:numFmt w:val="lowerLetter"/>
      <w:start w:val="25"/>
    </w:lvl>
    <w:lvl w:ilvl="1">
      <w:lvlJc w:val="left"/>
      <w:lvlText w:val="(%2)"/>
      <w:numFmt w:val="lowerLetter"/>
      <w:start w:val="14"/>
    </w:lvl>
  </w:abstractNum>
  <w:abstractNum w:abstractNumId="143">
    <w:nsid w:val="539F7F12"/>
    <w:multiLevelType w:val="hybridMultilevel"/>
    <w:lvl w:ilvl="0">
      <w:lvlJc w:val="left"/>
      <w:lvlText w:val="(%1)"/>
      <w:numFmt w:val="lowerLetter"/>
      <w:start w:val="35"/>
    </w:lvl>
    <w:lvl w:ilvl="1">
      <w:lvlJc w:val="left"/>
      <w:lvlText w:val="(%2)"/>
      <w:numFmt w:val="lowerLetter"/>
      <w:start w:val="17"/>
    </w:lvl>
  </w:abstractNum>
  <w:abstractNum w:abstractNumId="144">
    <w:nsid w:val="2817E7EC"/>
    <w:multiLevelType w:val="hybridMultilevel"/>
    <w:lvl w:ilvl="0">
      <w:lvlJc w:val="left"/>
      <w:lvlText w:val="(%1)"/>
      <w:numFmt w:val="lowerLetter"/>
      <w:start w:val="1"/>
    </w:lvl>
  </w:abstractNum>
  <w:abstractNum w:abstractNumId="145">
    <w:nsid w:val="71482545"/>
    <w:multiLevelType w:val="hybridMultilevel"/>
    <w:lvl w:ilvl="0">
      <w:lvlJc w:val="left"/>
      <w:lvlText w:val="%1"/>
      <w:numFmt w:val="lowerLetter"/>
      <w:start w:val="1"/>
    </w:lvl>
    <w:lvl w:ilvl="1">
      <w:lvlJc w:val="left"/>
      <w:lvlText w:val="(%2)"/>
      <w:numFmt w:val="lowerLetter"/>
      <w:start w:val="3"/>
    </w:lvl>
  </w:abstractNum>
  <w:abstractNum w:abstractNumId="146">
    <w:nsid w:val="17D78639"/>
    <w:multiLevelType w:val="hybridMultilevel"/>
    <w:lvl w:ilvl="0">
      <w:lvlJc w:val="left"/>
      <w:lvlText w:val="(%1)"/>
      <w:numFmt w:val="lowerLetter"/>
      <w:start w:val="35"/>
    </w:lvl>
    <w:lvl w:ilvl="1">
      <w:lvlJc w:val="left"/>
      <w:lvlText w:val="%2"/>
      <w:numFmt w:val="lowerLetter"/>
      <w:start w:val="1"/>
    </w:lvl>
  </w:abstractNum>
  <w:abstractNum w:abstractNumId="147">
    <w:nsid w:val="141D2302"/>
    <w:multiLevelType w:val="hybridMultilevel"/>
    <w:lvl w:ilvl="0">
      <w:lvlJc w:val="left"/>
      <w:lvlText w:val="%1"/>
      <w:numFmt w:val="lowerLetter"/>
      <w:start w:val="1"/>
    </w:lvl>
    <w:lvl w:ilvl="1">
      <w:lvlJc w:val="left"/>
      <w:lvlText w:val="(%2)"/>
      <w:numFmt w:val="lowerLetter"/>
      <w:start w:val="8"/>
    </w:lvl>
  </w:abstractNum>
  <w:abstractNum w:abstractNumId="148">
    <w:nsid w:val="407168D8"/>
    <w:multiLevelType w:val="hybridMultilevel"/>
    <w:lvl w:ilvl="0">
      <w:lvlJc w:val="left"/>
      <w:lvlText w:val="(%1)"/>
      <w:numFmt w:val="lowerLetter"/>
      <w:start w:val="35"/>
    </w:lvl>
    <w:lvl w:ilvl="1">
      <w:lvlJc w:val="left"/>
      <w:lvlText w:val="(%2)"/>
      <w:numFmt w:val="lowerLetter"/>
      <w:start w:val="12"/>
    </w:lvl>
  </w:abstractNum>
  <w:abstractNum w:abstractNumId="149">
    <w:nsid w:val="6A1B45E5"/>
    <w:multiLevelType w:val="hybridMultilevel"/>
    <w:lvl w:ilvl="0">
      <w:lvlJc w:val="left"/>
      <w:lvlText w:val="(%1)"/>
      <w:numFmt w:val="lowerLetter"/>
      <w:start w:val="18"/>
    </w:lvl>
  </w:abstractNum>
  <w:abstractNum w:abstractNumId="150">
    <w:nsid w:val="567BD50A"/>
    <w:multiLevelType w:val="hybridMultilevel"/>
    <w:lvl w:ilvl="0">
      <w:lvlJc w:val="left"/>
      <w:lvlText w:val="(%1)"/>
      <w:numFmt w:val="lowerLetter"/>
      <w:start w:val="19"/>
    </w:lvl>
  </w:abstractNum>
  <w:abstractNum w:abstractNumId="151">
    <w:nsid w:val="73BBD7F8"/>
    <w:multiLevelType w:val="hybridMultilevel"/>
    <w:lvl w:ilvl="0">
      <w:lvlJc w:val="left"/>
      <w:lvlText w:val="(%1)"/>
      <w:numFmt w:val="lowerLetter"/>
      <w:start w:val="7"/>
    </w:lvl>
  </w:abstractNum>
  <w:abstractNum w:abstractNumId="152">
    <w:nsid w:val="1876589D"/>
    <w:multiLevelType w:val="hybridMultilevel"/>
    <w:lvl w:ilvl="0">
      <w:lvlJc w:val="left"/>
      <w:lvlText w:val="(%1)"/>
      <w:numFmt w:val="lowerLetter"/>
      <w:start w:val="1"/>
    </w:lvl>
  </w:abstractNum>
  <w:abstractNum w:abstractNumId="153">
    <w:nsid w:val="327FAC77"/>
    <w:multiLevelType w:val="hybridMultilevel"/>
    <w:lvl w:ilvl="0">
      <w:lvlJc w:val="left"/>
      <w:lvlText w:val="(%1)"/>
      <w:numFmt w:val="lowerLetter"/>
      <w:start w:val="5"/>
    </w:lvl>
  </w:abstractNum>
  <w:abstractNum w:abstractNumId="154">
    <w:nsid w:val="5A606509"/>
    <w:multiLevelType w:val="hybridMultilevel"/>
    <w:lvl w:ilvl="0">
      <w:lvlJc w:val="left"/>
      <w:lvlText w:val="(%1)"/>
      <w:numFmt w:val="lowerLetter"/>
      <w:start w:val="18"/>
    </w:lvl>
  </w:abstractNum>
  <w:abstractNum w:abstractNumId="155">
    <w:nsid w:val="6F38E6D1"/>
    <w:multiLevelType w:val="hybridMultilevel"/>
    <w:lvl w:ilvl="0">
      <w:lvlJc w:val="left"/>
      <w:lvlText w:val="(%1)"/>
      <w:numFmt w:val="lowerLetter"/>
      <w:start w:val="15"/>
    </w:lvl>
  </w:abstractNum>
  <w:abstractNum w:abstractNumId="156">
    <w:nsid w:val="46111BA5"/>
    <w:multiLevelType w:val="hybridMultilevel"/>
    <w:lvl w:ilvl="0">
      <w:lvlJc w:val="left"/>
      <w:lvlText w:val="(%1)"/>
      <w:numFmt w:val="lowerRoman"/>
      <w:start w:val="10"/>
    </w:lvl>
  </w:abstractNum>
  <w:abstractNum w:abstractNumId="157">
    <w:nsid w:val="5E963896"/>
    <w:multiLevelType w:val="hybridMultilevel"/>
    <w:lvl w:ilvl="0">
      <w:lvlJc w:val="left"/>
      <w:lvlText w:val="%1"/>
      <w:numFmt w:val="lowerLetter"/>
      <w:start w:val="1"/>
    </w:lvl>
    <w:lvl w:ilvl="1">
      <w:lvlJc w:val="left"/>
      <w:lvlText w:val="(%2)"/>
      <w:numFmt w:val="lowerLetter"/>
      <w:start w:val="1"/>
    </w:lvl>
  </w:abstractNum>
  <w:abstractNum w:abstractNumId="158">
    <w:nsid w:val="775BA7C1"/>
    <w:multiLevelType w:val="hybridMultilevel"/>
    <w:lvl w:ilvl="0">
      <w:lvlJc w:val="left"/>
      <w:lvlText w:val="(%1)"/>
      <w:numFmt w:val="lowerLetter"/>
      <w:start w:val="1"/>
    </w:lvl>
    <w:lvl w:ilvl="1">
      <w:lvlJc w:val="left"/>
      <w:lvlText w:val="(%2)"/>
      <w:numFmt w:val="lowerLetter"/>
      <w:start w:val="3"/>
    </w:lvl>
  </w:abstractNum>
  <w:abstractNum w:abstractNumId="159">
    <w:nsid w:val="1DD6D6F4"/>
    <w:multiLevelType w:val="hybridMultilevel"/>
    <w:lvl w:ilvl="0">
      <w:lvlJc w:val="left"/>
      <w:lvlText w:val="%1"/>
      <w:numFmt w:val="lowerLetter"/>
      <w:start w:val="1"/>
    </w:lvl>
    <w:lvl w:ilvl="1">
      <w:lvlJc w:val="left"/>
      <w:lvlText w:val="(%2)"/>
      <w:numFmt w:val="lowerLetter"/>
      <w:start w:val="6"/>
    </w:lvl>
  </w:abstractNum>
  <w:abstractNum w:abstractNumId="160">
    <w:nsid w:val="769A091F"/>
    <w:multiLevelType w:val="hybridMultilevel"/>
    <w:lvl w:ilvl="0">
      <w:lvlJc w:val="left"/>
      <w:lvlText w:val="(%1)"/>
      <w:numFmt w:val="lowerLetter"/>
      <w:start w:val="35"/>
    </w:lvl>
    <w:lvl w:ilvl="1">
      <w:lvlJc w:val="left"/>
      <w:lvlText w:val="(%2)"/>
      <w:numFmt w:val="lowerLetter"/>
      <w:start w:val="8"/>
    </w:lvl>
  </w:abstractNum>
  <w:abstractNum w:abstractNumId="161">
    <w:nsid w:val="4695AE95"/>
    <w:multiLevelType w:val="hybridMultilevel"/>
    <w:lvl w:ilvl="0">
      <w:lvlJc w:val="left"/>
      <w:lvlText w:val="(%1)"/>
      <w:numFmt w:val="lowerLetter"/>
      <w:start w:val="10"/>
    </w:lvl>
  </w:abstractNum>
  <w:abstractNum w:abstractNumId="162">
    <w:nsid w:val="777A4EAA"/>
    <w:multiLevelType w:val="hybridMultilevel"/>
    <w:lvl w:ilvl="0">
      <w:lvlJc w:val="left"/>
      <w:lvlText w:val="(%1)"/>
      <w:numFmt w:val="lowerLetter"/>
      <w:start w:val="1"/>
    </w:lvl>
  </w:abstractNum>
  <w:abstractNum w:abstractNumId="163">
    <w:nsid w:val="3F48B982"/>
    <w:multiLevelType w:val="hybridMultilevel"/>
    <w:lvl w:ilvl="0">
      <w:lvlJc w:val="left"/>
      <w:lvlText w:val="(%1)"/>
      <w:numFmt w:val="lowerLetter"/>
      <w:start w:val="5"/>
    </w:lvl>
    <w:lvl w:ilvl="1">
      <w:lvlJc w:val="left"/>
      <w:lvlText w:val="(%2)"/>
      <w:numFmt w:val="lowerLetter"/>
      <w:start w:val="4"/>
    </w:lvl>
  </w:abstractNum>
  <w:abstractNum w:abstractNumId="164">
    <w:nsid w:val="46BA8FCA"/>
    <w:multiLevelType w:val="hybridMultilevel"/>
    <w:lvl w:ilvl="0">
      <w:lvlJc w:val="left"/>
      <w:lvlText w:val="%1"/>
      <w:numFmt w:val="lowerRoman"/>
      <w:start w:val="1"/>
    </w:lvl>
    <w:lvl w:ilvl="1">
      <w:lvlJc w:val="left"/>
      <w:lvlText w:val="(%2)"/>
      <w:numFmt w:val="lowerLetter"/>
      <w:start w:val="6"/>
    </w:lvl>
  </w:abstractNum>
  <w:abstractNum w:abstractNumId="165">
    <w:nsid w:val="7835626C"/>
    <w:multiLevelType w:val="hybridMultilevel"/>
    <w:lvl w:ilvl="0">
      <w:lvlJc w:val="left"/>
      <w:lvlText w:val="(%1)"/>
      <w:numFmt w:val="lowerRoman"/>
      <w:start w:val="2"/>
    </w:lvl>
    <w:lvl w:ilvl="1">
      <w:lvlJc w:val="left"/>
      <w:lvlText w:val="%2"/>
      <w:numFmt w:val="lowerLetter"/>
      <w:start w:val="1"/>
    </w:lvl>
  </w:abstractNum>
  <w:abstractNum w:abstractNumId="166">
    <w:nsid w:val="665ACA49"/>
    <w:multiLevelType w:val="hybridMultilevel"/>
    <w:lvl w:ilvl="0">
      <w:lvlJc w:val="left"/>
      <w:lvlText w:val="(%1)"/>
      <w:numFmt w:val="lowerRoman"/>
      <w:start w:val="4"/>
    </w:lvl>
  </w:abstractNum>
  <w:abstractNum w:abstractNumId="167">
    <w:nsid w:val="6835B2AE"/>
    <w:multiLevelType w:val="hybridMultilevel"/>
    <w:lvl w:ilvl="0">
      <w:lvlJc w:val="left"/>
      <w:lvlText w:val="(%1)"/>
      <w:numFmt w:val="lowerLetter"/>
      <w:start w:val="7"/>
    </w:lvl>
  </w:abstractNum>
  <w:abstractNum w:abstractNumId="168">
    <w:nsid w:val="4C187C90"/>
    <w:multiLevelType w:val="hybridMultilevel"/>
    <w:lvl w:ilvl="0">
      <w:lvlJc w:val="left"/>
      <w:lvlText w:val="(%1)"/>
      <w:numFmt w:val="lowerLetter"/>
      <w:start w:val="10"/>
    </w:lvl>
  </w:abstractNum>
  <w:abstractNum w:abstractNumId="169">
    <w:nsid w:val="541F28CD"/>
    <w:multiLevelType w:val="hybridMultilevel"/>
    <w:lvl w:ilvl="0">
      <w:lvlJc w:val="left"/>
      <w:lvlText w:val="%1"/>
      <w:numFmt w:val="lowerRoman"/>
      <w:start w:val="1"/>
    </w:lvl>
    <w:lvl w:ilvl="1">
      <w:lvlJc w:val="left"/>
      <w:lvlText w:val="(%2)"/>
      <w:numFmt w:val="lowerLetter"/>
      <w:start w:val="1"/>
    </w:lvl>
  </w:abstractNum>
  <w:abstractNum w:abstractNumId="170">
    <w:nsid w:val="7F65FD16"/>
    <w:multiLevelType w:val="hybridMultilevel"/>
    <w:lvl w:ilvl="0">
      <w:lvlJc w:val="left"/>
      <w:lvlText w:val="(%1)"/>
      <w:numFmt w:val="lowerRoman"/>
      <w:start w:val="1"/>
    </w:lvl>
    <w:lvl w:ilvl="1">
      <w:lvlJc w:val="left"/>
      <w:lvlText w:val="%2"/>
      <w:numFmt w:val="lowerLetter"/>
      <w:start w:val="1"/>
    </w:lvl>
  </w:abstractNum>
  <w:abstractNum w:abstractNumId="171">
    <w:nsid w:val="77C9FD68"/>
    <w:multiLevelType w:val="hybridMultilevel"/>
    <w:lvl w:ilvl="0">
      <w:lvlJc w:val="left"/>
      <w:lvlText w:val="(%1)"/>
      <w:numFmt w:val="lowerLetter"/>
      <w:start w:val="2"/>
    </w:lvl>
  </w:abstractNum>
  <w:abstractNum w:abstractNumId="172">
    <w:nsid w:val="298A92BA"/>
    <w:multiLevelType w:val="hybridMultilevel"/>
    <w:lvl w:ilvl="0">
      <w:lvlJc w:val="left"/>
      <w:lvlText w:val="(%1)"/>
      <w:numFmt w:val="lowerLetter"/>
      <w:start w:val="35"/>
    </w:lvl>
    <w:lvl w:ilvl="1">
      <w:lvlJc w:val="left"/>
      <w:lvlText w:val="(%2)"/>
      <w:numFmt w:val="lowerLetter"/>
      <w:start w:val="3"/>
    </w:lvl>
  </w:abstractNum>
  <w:abstractNum w:abstractNumId="173">
    <w:nsid w:val="6FE95EAC"/>
    <w:multiLevelType w:val="hybridMultilevel"/>
    <w:lvl w:ilvl="0">
      <w:lvlJc w:val="left"/>
      <w:lvlText w:val="(%1)"/>
      <w:numFmt w:val="lowerLetter"/>
      <w:start w:val="4"/>
    </w:lvl>
  </w:abstractNum>
  <w:abstractNum w:abstractNumId="174">
    <w:nsid w:val="4B697C7A"/>
    <w:multiLevelType w:val="hybridMultilevel"/>
    <w:lvl w:ilvl="0">
      <w:lvlJc w:val="left"/>
      <w:lvlText w:val="(%1)"/>
      <w:numFmt w:val="lowerLetter"/>
      <w:start w:val="1"/>
    </w:lvl>
  </w:abstractNum>
  <w:abstractNum w:abstractNumId="175">
    <w:nsid w:val="51A27AA6"/>
    <w:multiLevelType w:val="hybridMultilevel"/>
    <w:lvl w:ilvl="0">
      <w:lvlJc w:val="left"/>
      <w:lvlText w:val="(%1)"/>
      <w:numFmt w:val="lowerLetter"/>
      <w:start w:val="2"/>
    </w:lvl>
  </w:abstractNum>
  <w:abstractNum w:abstractNumId="176">
    <w:nsid w:val="613183F2"/>
    <w:multiLevelType w:val="hybridMultilevel"/>
    <w:lvl w:ilvl="0">
      <w:lvlJc w:val="left"/>
      <w:lvlText w:val="%1"/>
      <w:numFmt w:val="lowerLetter"/>
      <w:start w:val="1"/>
    </w:lvl>
    <w:lvl w:ilvl="1">
      <w:lvlJc w:val="left"/>
      <w:lvlText w:val="(%2)"/>
      <w:numFmt w:val="lowerLetter"/>
      <w:start w:val="1"/>
    </w:lvl>
  </w:abstractNum>
  <w:abstractNum w:abstractNumId="177">
    <w:nsid w:val="634102B4"/>
    <w:multiLevelType w:val="hybridMultilevel"/>
    <w:lvl w:ilvl="0">
      <w:lvlJc w:val="left"/>
      <w:lvlText w:val="(%1)"/>
      <w:numFmt w:val="lowerLetter"/>
      <w:start w:val="9"/>
    </w:lvl>
    <w:lvl w:ilvl="1">
      <w:lvlJc w:val="left"/>
      <w:lvlText w:val="%2"/>
      <w:numFmt w:val="lowerLetter"/>
      <w:start w:val="1"/>
    </w:lvl>
  </w:abstractNum>
  <w:abstractNum w:abstractNumId="178">
    <w:nsid w:val="65BF9DA8"/>
    <w:multiLevelType w:val="hybridMultilevel"/>
    <w:lvl w:ilvl="0">
      <w:lvlJc w:val="left"/>
      <w:lvlText w:val="(%1)"/>
      <w:numFmt w:val="lowerLetter"/>
      <w:start w:val="3"/>
    </w:lvl>
  </w:abstractNum>
  <w:abstractNum w:abstractNumId="179">
    <w:nsid w:val="21A2ECCA"/>
    <w:multiLevelType w:val="hybridMultilevel"/>
    <w:lvl w:ilvl="0">
      <w:lvlJc w:val="left"/>
      <w:lvlText w:val="%1"/>
      <w:numFmt w:val="lowerLetter"/>
      <w:start w:val="1"/>
    </w:lvl>
    <w:lvl w:ilvl="1">
      <w:lvlJc w:val="left"/>
      <w:lvlText w:val="(%2)"/>
      <w:numFmt w:val="lowerLetter"/>
      <w:start w:val="1"/>
    </w:lvl>
  </w:abstractNum>
  <w:abstractNum w:abstractNumId="180">
    <w:nsid w:val="4D5C4899"/>
    <w:multiLevelType w:val="hybridMultilevel"/>
    <w:lvl w:ilvl="0">
      <w:lvlJc w:val="left"/>
      <w:lvlText w:val="(%1)"/>
      <w:numFmt w:val="lowerLetter"/>
      <w:start w:val="9"/>
    </w:lvl>
    <w:lvl w:ilvl="1">
      <w:lvlJc w:val="left"/>
      <w:lvlText w:val="%2"/>
      <w:numFmt w:val="lowerLetter"/>
      <w:start w:val="1"/>
    </w:lvl>
  </w:abstractNum>
  <w:abstractNum w:abstractNumId="181">
    <w:nsid w:val="3C3B72B2"/>
    <w:multiLevelType w:val="hybridMultilevel"/>
    <w:lvl w:ilvl="0">
      <w:lvlJc w:val="left"/>
      <w:lvlText w:val="(%1)"/>
      <w:numFmt w:val="upperLetter"/>
      <w:start w:val="1"/>
    </w:lvl>
  </w:abstractNum>
  <w:abstractNum w:abstractNumId="182">
    <w:nsid w:val="155EC4C2"/>
    <w:multiLevelType w:val="hybridMultilevel"/>
    <w:lvl w:ilvl="0">
      <w:lvlJc w:val="left"/>
      <w:lvlText w:val="%1"/>
      <w:numFmt w:val="lowerRoman"/>
      <w:start w:val="1"/>
    </w:lvl>
    <w:lvl w:ilvl="1">
      <w:lvlJc w:val="left"/>
      <w:lvlText w:val="(%2)"/>
      <w:numFmt w:val="lowerRoman"/>
      <w:start w:val="2"/>
    </w:lvl>
  </w:abstractNum>
  <w:abstractNum w:abstractNumId="183">
    <w:nsid w:val="65D2A137"/>
    <w:multiLevelType w:val="hybridMultilevel"/>
    <w:lvl w:ilvl="0">
      <w:lvlJc w:val="left"/>
      <w:lvlText w:val="(%1)"/>
      <w:numFmt w:val="lowerRoman"/>
      <w:start w:val="2"/>
    </w:lvl>
    <w:lvl w:ilvl="1">
      <w:lvlJc w:val="left"/>
      <w:lvlText w:val="(%2)"/>
      <w:numFmt w:val="lowerRoman"/>
      <w:start w:val="3"/>
    </w:lvl>
  </w:abstractNum>
  <w:abstractNum w:abstractNumId="184">
    <w:nsid w:val="6EBB1F2A"/>
    <w:multiLevelType w:val="hybridMultilevel"/>
    <w:lvl w:ilvl="0">
      <w:lvlJc w:val="left"/>
      <w:lvlText w:val="(%1)"/>
      <w:numFmt w:val="upperLetter"/>
      <w:start w:val="1"/>
    </w:lvl>
  </w:abstractNum>
  <w:abstractNum w:abstractNumId="185">
    <w:nsid w:val="6FBF29CB"/>
    <w:multiLevelType w:val="hybridMultilevel"/>
    <w:lvl w:ilvl="0">
      <w:lvlJc w:val="left"/>
      <w:lvlText w:val="(%1)"/>
      <w:numFmt w:val="lowerRoman"/>
      <w:start w:val="4"/>
    </w:lvl>
  </w:abstractNum>
  <w:abstractNum w:abstractNumId="186">
    <w:nsid w:val="550B8808"/>
    <w:multiLevelType w:val="hybridMultilevel"/>
    <w:lvl w:ilvl="0">
      <w:lvlJc w:val="left"/>
      <w:lvlText w:val="(%1)"/>
      <w:numFmt w:val="lowerRoman"/>
      <w:start w:val="7"/>
    </w:lvl>
    <w:lvl w:ilvl="1">
      <w:lvlJc w:val="left"/>
      <w:lvlText w:val="(%2)"/>
      <w:numFmt w:val="lowerLetter"/>
      <w:start w:val="3"/>
    </w:lvl>
  </w:abstractNum>
  <w:abstractNum w:abstractNumId="187">
    <w:nsid w:val="34CC3ACF"/>
    <w:multiLevelType w:val="hybridMultilevel"/>
    <w:lvl w:ilvl="0">
      <w:lvlJc w:val="left"/>
      <w:lvlText w:val="(%1)"/>
      <w:numFmt w:val="lowerLetter"/>
      <w:start w:val="4"/>
    </w:lvl>
  </w:abstractNum>
  <w:abstractNum w:abstractNumId="188">
    <w:nsid w:val="4E55626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89">
    <w:nsid w:val="4C672FC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90">
    <w:nsid w:val="52A311C3"/>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191">
    <w:nsid w:val="44EF6B8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92">
    <w:nsid w:val="12FCDE5E"/>
    <w:multiLevelType w:val="hybridMultilevel"/>
    <w:lvl w:ilvl="0">
      <w:lvlJc w:val="left"/>
      <w:lvlText w:val="%1"/>
      <w:numFmt w:val="lowerLetter"/>
      <w:start w:val="1"/>
    </w:lvl>
    <w:lvl w:ilvl="1">
      <w:lvlJc w:val="left"/>
      <w:lvlText w:val="(%2)"/>
      <w:numFmt w:val="lowerLetter"/>
      <w:start w:val="8"/>
    </w:lvl>
  </w:abstractNum>
  <w:abstractNum w:abstractNumId="193">
    <w:nsid w:val="4A1D606E"/>
    <w:multiLevelType w:val="hybridMultilevel"/>
    <w:lvl w:ilvl="0">
      <w:lvlJc w:val="left"/>
      <w:lvlText w:val="(%1)"/>
      <w:numFmt w:val="lowerLetter"/>
      <w:start w:val="9"/>
    </w:lvl>
    <w:lvl w:ilvl="1">
      <w:lvlJc w:val="left"/>
      <w:lvlText w:val="%2"/>
      <w:numFmt w:val="lowerLetter"/>
      <w:start w:val="1"/>
    </w:lvl>
  </w:abstractNum>
  <w:abstractNum w:abstractNumId="194">
    <w:nsid w:val="4382503"/>
    <w:multiLevelType w:val="hybridMultilevel"/>
    <w:lvl w:ilvl="0">
      <w:lvlJc w:val="left"/>
      <w:lvlText w:val="(%1)"/>
      <w:numFmt w:val="lowerLetter"/>
      <w:start w:val="1"/>
    </w:lvl>
  </w:abstractNum>
  <w:abstractNum w:abstractNumId="195">
    <w:nsid w:val="59B76E28"/>
    <w:multiLevelType w:val="hybridMultilevel"/>
    <w:lvl w:ilvl="0">
      <w:lvlJc w:val="left"/>
      <w:lvlText w:val="(%1)"/>
      <w:numFmt w:val="lowerLetter"/>
      <w:start w:val="1"/>
    </w:lvl>
  </w:abstractNum>
  <w:abstractNum w:abstractNumId="196">
    <w:nsid w:val="4252C2DA"/>
    <w:multiLevelType w:val="hybridMultilevel"/>
    <w:lvl w:ilvl="0">
      <w:lvlJc w:val="left"/>
      <w:lvlText w:val="(%1)"/>
      <w:numFmt w:val="lowerLetter"/>
      <w:start w:val="3"/>
    </w:lvl>
  </w:abstractNum>
  <w:abstractNum w:abstractNumId="197">
    <w:nsid w:val="6A92EF4C"/>
    <w:multiLevelType w:val="hybridMultilevel"/>
    <w:lvl w:ilvl="0">
      <w:lvlJc w:val="left"/>
      <w:lvlText w:val="(%1)"/>
      <w:numFmt w:val="upperLetter"/>
      <w:start w:val="1"/>
    </w:lvl>
  </w:abstractNum>
  <w:abstractNum w:abstractNumId="198">
    <w:nsid w:val="41ED20D7"/>
    <w:multiLevelType w:val="hybridMultilevel"/>
    <w:lvl w:ilvl="0">
      <w:lvlJc w:val="left"/>
      <w:lvlText w:val="(%1)"/>
      <w:numFmt w:val="lowerRoman"/>
      <w:start w:val="1"/>
    </w:lvl>
  </w:abstractNum>
  <w:abstractNum w:abstractNumId="199">
    <w:nsid w:val="E6B3F6A"/>
    <w:multiLevelType w:val="hybridMultilevel"/>
    <w:lvl w:ilvl="0">
      <w:lvlJc w:val="left"/>
      <w:lvlText w:val="(%1)"/>
      <w:numFmt w:val="lowerLetter"/>
      <w:start w:val="1"/>
    </w:lvl>
  </w:abstractNum>
  <w:abstractNum w:abstractNumId="200">
    <w:nsid w:val="3EB21819"/>
    <w:multiLevelType w:val="hybridMultilevel"/>
    <w:lvl w:ilvl="0">
      <w:lvlJc w:val="left"/>
      <w:lvlText w:val="%1"/>
      <w:numFmt w:val="lowerRoman"/>
      <w:start w:val="1"/>
    </w:lvl>
    <w:lvl w:ilvl="1">
      <w:lvlJc w:val="left"/>
      <w:lvlText w:val="(%2)"/>
      <w:numFmt w:val="lowerLetter"/>
      <w:start w:val="1"/>
    </w:lvl>
  </w:abstractNum>
  <w:abstractNum w:abstractNumId="201">
    <w:nsid w:val="41531DED"/>
    <w:multiLevelType w:val="hybridMultilevel"/>
    <w:lvl w:ilvl="0">
      <w:lvlJc w:val="left"/>
      <w:lvlText w:val="(%1)"/>
      <w:numFmt w:val="lowerRoman"/>
      <w:start w:val="1"/>
    </w:lvl>
    <w:lvl w:ilvl="1">
      <w:lvlJc w:val="left"/>
      <w:lvlText w:val="%2"/>
      <w:numFmt w:val="lowerLetter"/>
      <w:start w:val="1"/>
    </w:lvl>
  </w:abstractNum>
  <w:abstractNum w:abstractNumId="202">
    <w:nsid w:val="6353CD2"/>
    <w:multiLevelType w:val="hybridMultilevel"/>
    <w:lvl w:ilvl="0">
      <w:lvlJc w:val="left"/>
      <w:lvlText w:val="(%1)"/>
      <w:numFmt w:val="lowerLetter"/>
      <w:start w:val="1"/>
    </w:lvl>
  </w:abstractNum>
  <w:abstractNum w:abstractNumId="203">
    <w:nsid w:val="683CAAD3"/>
    <w:multiLevelType w:val="hybridMultilevel"/>
    <w:lvl w:ilvl="0">
      <w:lvlJc w:val="left"/>
      <w:lvlText w:val="(%1)"/>
      <w:numFmt w:val="lowerLetter"/>
      <w:start w:val="1"/>
    </w:lvl>
    <w:lvl w:ilvl="1">
      <w:lvlJc w:val="left"/>
      <w:lvlText w:val="(%2)"/>
      <w:numFmt w:val="lowerRoman"/>
      <w:start w:val="1"/>
    </w:lvl>
  </w:abstractNum>
  <w:abstractNum w:abstractNumId="204">
    <w:nsid w:val="313C7C99"/>
    <w:multiLevelType w:val="hybridMultilevel"/>
    <w:lvl w:ilvl="0">
      <w:lvlJc w:val="left"/>
      <w:lvlText w:val="(%1)"/>
      <w:numFmt w:val="lowerLetter"/>
      <w:start w:val="1"/>
    </w:lvl>
  </w:abstractNum>
  <w:abstractNum w:abstractNumId="205">
    <w:nsid w:val="519EB94C"/>
    <w:multiLevelType w:val="hybridMultilevel"/>
    <w:lvl w:ilvl="0">
      <w:lvlJc w:val="left"/>
      <w:lvlText w:val="(%1)"/>
      <w:numFmt w:val="decimal"/>
      <w:start w:val="1"/>
    </w:lvl>
  </w:abstractNum>
  <w:abstractNum w:abstractNumId="206">
    <w:nsid w:val="39DF2579"/>
    <w:multiLevelType w:val="hybridMultilevel"/>
    <w:lvl w:ilvl="0">
      <w:lvlJc w:val="left"/>
      <w:lvlText w:val="(%1)"/>
      <w:numFmt w:val="decimal"/>
      <w:start w:val="7"/>
    </w:lvl>
  </w:abstractNum>
  <w:abstractNum w:abstractNumId="207">
    <w:nsid w:val="126E008B"/>
    <w:multiLevelType w:val="hybridMultilevel"/>
    <w:lvl w:ilvl="0">
      <w:lvlJc w:val="left"/>
      <w:lvlText w:val="(%1)"/>
      <w:numFmt w:val="lowerRoman"/>
      <w:start w:val="2"/>
    </w:lvl>
  </w:abstractNum>
  <w:abstractNum w:abstractNumId="208">
    <w:nsid w:val="34DFBC00"/>
    <w:multiLevelType w:val="hybridMultilevel"/>
    <w:lvl w:ilvl="0">
      <w:lvlJc w:val="left"/>
      <w:lvlText w:val="(%1)"/>
      <w:numFmt w:val="lowerRoman"/>
      <w:start w:val="17"/>
    </w:lvl>
  </w:abstractNum>
  <w:abstractNum w:abstractNumId="209">
    <w:nsid w:val="1F9EC322"/>
    <w:multiLevelType w:val="hybridMultilevel"/>
    <w:lvl w:ilvl="0">
      <w:lvlJc w:val="left"/>
      <w:lvlText w:val="(%1)"/>
      <w:numFmt w:val="lowerLetter"/>
      <w:start w:val="61"/>
    </w:lvl>
  </w:abstractNum>
  <w:abstractNum w:abstractNumId="210">
    <w:nsid w:val="3410ED56"/>
    <w:multiLevelType w:val="hybridMultilevel"/>
    <w:lvl w:ilvl="0">
      <w:lvlJc w:val="left"/>
      <w:lvlText w:val="(%1)"/>
      <w:numFmt w:val="lowerLetter"/>
      <w:start w:val="2"/>
    </w:lvl>
  </w:abstractNum>
  <w:abstractNum w:abstractNumId="211">
    <w:nsid w:val="23C049A"/>
    <w:multiLevelType w:val="hybridMultilevel"/>
    <w:lvl w:ilvl="0">
      <w:lvlJc w:val="left"/>
      <w:lvlText w:val="(%1)"/>
      <w:numFmt w:val="lowerLetter"/>
      <w:start w:val="5"/>
    </w:lvl>
  </w:abstractNum>
  <w:abstractNum w:abstractNumId="212">
    <w:nsid w:val="5BDA35D4"/>
    <w:multiLevelType w:val="hybridMultilevel"/>
    <w:lvl w:ilvl="0">
      <w:lvlJc w:val="left"/>
      <w:lvlText w:val="(%1)"/>
      <w:numFmt w:val="lowerLetter"/>
      <w:start w:val="5"/>
    </w:lvl>
  </w:abstractNum>
  <w:abstractNum w:abstractNumId="213">
    <w:nsid w:val="496FB218"/>
    <w:multiLevelType w:val="hybridMultilevel"/>
    <w:lvl w:ilvl="0">
      <w:lvlJc w:val="left"/>
      <w:lvlText w:val="(%1)"/>
      <w:numFmt w:val="lowerRoman"/>
      <w:start w:val="10"/>
    </w:lvl>
  </w:abstractNum>
  <w:abstractNum w:abstractNumId="214">
    <w:nsid w:val="680EA5D1"/>
    <w:multiLevelType w:val="hybridMultilevel"/>
    <w:lvl w:ilvl="0">
      <w:lvlJc w:val="left"/>
      <w:lvlText w:val="(%1)"/>
      <w:numFmt w:val="lowerLetter"/>
      <w:start w:val="1"/>
    </w:lvl>
  </w:abstractNum>
  <w:abstractNum w:abstractNumId="215">
    <w:nsid w:val="4A9554FE"/>
    <w:multiLevelType w:val="hybridMultilevel"/>
    <w:lvl w:ilvl="0">
      <w:lvlJc w:val="left"/>
      <w:lvlText w:val="(%1)"/>
      <w:numFmt w:val="lowerLetter"/>
      <w:start w:val="5"/>
    </w:lvl>
  </w:abstractNum>
  <w:abstractNum w:abstractNumId="216">
    <w:nsid w:val="392EDBE4"/>
    <w:multiLevelType w:val="hybridMultilevel"/>
    <w:lvl w:ilvl="0">
      <w:lvlJc w:val="left"/>
      <w:lvlText w:val="(%1)"/>
      <w:numFmt w:val="lowerLetter"/>
      <w:start w:val="7"/>
    </w:lvl>
  </w:abstractNum>
  <w:abstractNum w:abstractNumId="217">
    <w:nsid w:val="3D1A2DD9"/>
    <w:multiLevelType w:val="hybridMultilevel"/>
    <w:lvl w:ilvl="0">
      <w:lvlJc w:val="left"/>
      <w:lvlText w:val="(%1)"/>
      <w:numFmt w:val="lowerLetter"/>
      <w:start w:val="1"/>
    </w:lvl>
  </w:abstractNum>
  <w:abstractNum w:abstractNumId="218">
    <w:nsid w:val="7F618FCD"/>
    <w:multiLevelType w:val="hybridMultilevel"/>
    <w:lvl w:ilvl="0">
      <w:lvlJc w:val="left"/>
      <w:lvlText w:val="(%1)"/>
      <w:numFmt w:val="lowerLetter"/>
      <w:start w:val="1"/>
    </w:lvl>
  </w:abstractNum>
  <w:abstractNum w:abstractNumId="219">
    <w:nsid w:val="7843E45"/>
    <w:multiLevelType w:val="hybridMultilevel"/>
    <w:lvl w:ilvl="0">
      <w:lvlJc w:val="left"/>
      <w:lvlText w:val="(%1)"/>
      <w:numFmt w:val="lowerLetter"/>
      <w:start w:val="1"/>
    </w:lvl>
  </w:abstractNum>
  <w:abstractNum w:abstractNumId="220">
    <w:nsid w:val="9815DA3"/>
    <w:multiLevelType w:val="hybridMultilevel"/>
    <w:lvl w:ilvl="0">
      <w:lvlJc w:val="left"/>
      <w:lvlText w:val="(%1)"/>
      <w:numFmt w:val="lowerLetter"/>
      <w:start w:val="6"/>
    </w:lvl>
  </w:abstractNum>
  <w:abstractNum w:abstractNumId="221">
    <w:nsid w:val="5204A191"/>
    <w:multiLevelType w:val="hybridMultilevel"/>
    <w:lvl w:ilvl="0">
      <w:lvlJc w:val="left"/>
      <w:lvlText w:val="%1"/>
      <w:numFmt w:val="decimal"/>
      <w:start w:val="1"/>
    </w:lvl>
    <w:lvl w:ilvl="1">
      <w:lvlJc w:val="left"/>
      <w:lvlText w:val="(%2)"/>
      <w:numFmt w:val="lowerLetter"/>
      <w:start w:val="1"/>
    </w:lvl>
  </w:abstractNum>
  <w:abstractNum w:abstractNumId="222">
    <w:nsid w:val="4C73A9C6"/>
    <w:multiLevelType w:val="hybridMultilevel"/>
    <w:lvl w:ilvl="0">
      <w:lvlJc w:val="left"/>
      <w:lvlText w:val="(%1)"/>
      <w:numFmt w:val="decimal"/>
      <w:start w:val="30"/>
    </w:lvl>
    <w:lvl w:ilvl="1">
      <w:lvlJc w:val="left"/>
      <w:lvlText w:val="(%2)"/>
      <w:numFmt w:val="lowerLetter"/>
      <w:start w:val="2"/>
    </w:lvl>
  </w:abstractNum>
  <w:abstractNum w:abstractNumId="223">
    <w:nsid w:val="1C7E3C01"/>
    <w:multiLevelType w:val="hybridMultilevel"/>
    <w:lvl w:ilvl="0">
      <w:lvlJc w:val="left"/>
      <w:lvlText w:val="(%1)"/>
      <w:numFmt w:val="decimal"/>
      <w:start w:val="30"/>
    </w:lvl>
  </w:abstractNum>
  <w:abstractNum w:abstractNumId="224">
    <w:nsid w:val="1C2201FF"/>
    <w:multiLevelType w:val="hybridMultilevel"/>
    <w:lvl w:ilvl="0">
      <w:lvlJc w:val="left"/>
      <w:lvlText w:val="(%1)"/>
      <w:numFmt w:val="lowerLetter"/>
      <w:start w:val="1"/>
    </w:lvl>
  </w:abstractNum>
  <w:abstractNum w:abstractNumId="225">
    <w:nsid w:val="50ABCEC9"/>
    <w:multiLevelType w:val="hybridMultilevel"/>
    <w:lvl w:ilvl="0">
      <w:lvlJc w:val="left"/>
      <w:lvlText w:val="(%1)"/>
      <w:numFmt w:val="lowerLetter"/>
      <w:start w:val="5"/>
    </w:lvl>
  </w:abstractNum>
  <w:abstractNum w:abstractNumId="226">
    <w:nsid w:val="7635AA2A"/>
    <w:multiLevelType w:val="hybridMultilevel"/>
    <w:lvl w:ilvl="0">
      <w:lvlJc w:val="left"/>
      <w:lvlText w:val="(%1)"/>
      <w:numFmt w:val="lowerLetter"/>
      <w:start w:val="1"/>
    </w:lvl>
  </w:abstractNum>
  <w:abstractNum w:abstractNumId="227">
    <w:nsid w:val="5E74C4D9"/>
    <w:multiLevelType w:val="hybridMultilevel"/>
    <w:lvl w:ilvl="0">
      <w:lvlJc w:val="left"/>
      <w:lvlText w:val="(%1)"/>
      <w:numFmt w:val="lowerLetter"/>
      <w:start w:val="1"/>
    </w:lvl>
  </w:abstractNum>
  <w:abstractNum w:abstractNumId="228">
    <w:nsid w:val="3B3EBE15"/>
    <w:multiLevelType w:val="hybridMultilevel"/>
    <w:lvl w:ilvl="0">
      <w:lvlJc w:val="left"/>
      <w:lvlText w:val="(%1)"/>
      <w:numFmt w:val="lowerLetter"/>
      <w:start w:val="2"/>
    </w:lvl>
  </w:abstractNum>
  <w:abstractNum w:abstractNumId="229">
    <w:nsid w:val="3822CB01"/>
    <w:multiLevelType w:val="hybridMultilevel"/>
    <w:lvl w:ilvl="0">
      <w:lvlJc w:val="left"/>
      <w:lvlText w:val="(%1)"/>
      <w:numFmt w:val="lowerRoman"/>
      <w:start w:val="1"/>
    </w:lvl>
  </w:abstractNum>
  <w:abstractNum w:abstractNumId="230">
    <w:nsid w:val="6CE00443"/>
    <w:multiLevelType w:val="hybridMultilevel"/>
    <w:lvl w:ilvl="0">
      <w:lvlJc w:val="left"/>
      <w:lvlText w:val="(%1)"/>
      <w:numFmt w:val="lowerRoman"/>
      <w:start w:val="2"/>
    </w:lvl>
  </w:abstractNum>
  <w:abstractNum w:abstractNumId="231">
    <w:nsid w:val="79F0D62F"/>
    <w:multiLevelType w:val="hybridMultilevel"/>
    <w:lvl w:ilvl="0">
      <w:lvlJc w:val="left"/>
      <w:lvlText w:val="(%1)"/>
      <w:numFmt w:val="lowerLetter"/>
      <w:start w:val="1"/>
    </w:lvl>
  </w:abstractNum>
  <w:abstractNum w:abstractNumId="232">
    <w:nsid w:val="7975E8EE"/>
    <w:multiLevelType w:val="hybridMultilevel"/>
    <w:lvl w:ilvl="0">
      <w:lvlJc w:val="left"/>
      <w:lvlText w:val="%1"/>
      <w:numFmt w:val="lowerLetter"/>
      <w:start w:val="1"/>
    </w:lvl>
    <w:lvl w:ilvl="1">
      <w:lvlJc w:val="left"/>
      <w:lvlText w:val="(%2)"/>
      <w:numFmt w:val="lowerLetter"/>
      <w:start w:val="2"/>
    </w:lvl>
  </w:abstractNum>
  <w:abstractNum w:abstractNumId="233">
    <w:nsid w:val="73154115"/>
    <w:multiLevelType w:val="hybridMultilevel"/>
    <w:lvl w:ilvl="0">
      <w:lvlJc w:val="left"/>
      <w:lvlText w:val="(%1)"/>
      <w:numFmt w:val="lowerLetter"/>
      <w:start w:val="1"/>
    </w:lvl>
    <w:lvl w:ilvl="1">
      <w:lvlJc w:val="left"/>
      <w:lvlText w:val="%2"/>
      <w:numFmt w:val="lowerLetter"/>
      <w:start w:val="1"/>
    </w:lvl>
  </w:abstractNum>
  <w:abstractNum w:abstractNumId="234">
    <w:nsid w:val="622D8102"/>
    <w:multiLevelType w:val="hybridMultilevel"/>
    <w:lvl w:ilvl="0">
      <w:lvlJc w:val="left"/>
      <w:lvlText w:val="(%1)"/>
      <w:numFmt w:val="lowerLetter"/>
      <w:start w:val="1"/>
    </w:lvl>
  </w:abstractNum>
  <w:abstractNum w:abstractNumId="235">
    <w:nsid w:val="2AB26587"/>
    <w:multiLevelType w:val="hybridMultilevel"/>
    <w:lvl w:ilvl="0">
      <w:lvlJc w:val="left"/>
      <w:lvlText w:val="(%1)"/>
      <w:numFmt w:val="lowerLetter"/>
      <w:start w:val="1"/>
    </w:lvl>
  </w:abstractNum>
  <w:abstractNum w:abstractNumId="236">
    <w:nsid w:val="44B3FA61"/>
    <w:multiLevelType w:val="hybridMultilevel"/>
    <w:lvl w:ilvl="0">
      <w:lvlJc w:val="left"/>
      <w:lvlText w:val="%1"/>
      <w:numFmt w:val="decimal"/>
      <w:start w:val="1"/>
    </w:lvl>
    <w:lvl w:ilvl="1">
      <w:lvlJc w:val="left"/>
      <w:lvlText w:val="(%2)"/>
      <w:numFmt w:val="lowerLetter"/>
      <w:start w:val="3"/>
    </w:lvl>
  </w:abstractNum>
  <w:abstractNum w:abstractNumId="237">
    <w:nsid w:val="1C0CA67C"/>
    <w:multiLevelType w:val="hybridMultilevel"/>
    <w:lvl w:ilvl="0">
      <w:lvlJc w:val="left"/>
      <w:lvlText w:val="(%1)"/>
      <w:numFmt w:val="decimal"/>
      <w:start w:val="3"/>
    </w:lvl>
    <w:lvl w:ilvl="1">
      <w:lvlJc w:val="left"/>
      <w:lvlText w:val="%2"/>
      <w:numFmt w:val="lowerLetter"/>
      <w:start w:val="1"/>
    </w:lvl>
  </w:abstractNum>
  <w:abstractNum w:abstractNumId="238">
    <w:nsid w:val="3D206613"/>
    <w:multiLevelType w:val="hybridMultilevel"/>
    <w:lvl w:ilvl="0">
      <w:lvlJc w:val="left"/>
      <w:lvlText w:val="(%1)"/>
      <w:numFmt w:val="lowerLetter"/>
      <w:start w:val="1"/>
    </w:lvl>
  </w:abstractNum>
  <w:abstractNum w:abstractNumId="239">
    <w:nsid w:val="7993B662"/>
    <w:multiLevelType w:val="hybridMultilevel"/>
    <w:lvl w:ilvl="0">
      <w:lvlJc w:val="left"/>
      <w:lvlText w:val="(%1)"/>
      <w:numFmt w:val="lowerLetter"/>
      <w:start w:val="1"/>
    </w:lvl>
  </w:abstractNum>
  <w:abstractNum w:abstractNumId="240">
    <w:nsid w:val="3BAB699E"/>
    <w:multiLevelType w:val="hybridMultilevel"/>
    <w:lvl w:ilvl="0">
      <w:lvlJc w:val="left"/>
      <w:lvlText w:val="(%1)"/>
      <w:numFmt w:val="lowerLetter"/>
      <w:start w:val="1"/>
    </w:lvl>
  </w:abstractNum>
  <w:abstractNum w:abstractNumId="241">
    <w:nsid w:val="71315369"/>
    <w:multiLevelType w:val="hybridMultilevel"/>
    <w:lvl w:ilvl="0">
      <w:lvlJc w:val="left"/>
      <w:lvlText w:val="(%1)"/>
      <w:numFmt w:val="lowerLetter"/>
      <w:start w:val="2"/>
    </w:lvl>
  </w:abstractNum>
  <w:abstractNum w:abstractNumId="242">
    <w:nsid w:val="7BCFBAFC"/>
    <w:multiLevelType w:val="hybridMultilevel"/>
    <w:lvl w:ilvl="0">
      <w:lvlJc w:val="left"/>
      <w:lvlText w:val="(%1)"/>
      <w:numFmt w:val="lowerLetter"/>
      <w:start w:val="2"/>
    </w:lvl>
  </w:abstractNum>
  <w:abstractNum w:abstractNumId="243">
    <w:nsid w:val="17859F72"/>
    <w:multiLevelType w:val="hybridMultilevel"/>
    <w:lvl w:ilvl="0">
      <w:lvlJc w:val="left"/>
      <w:lvlText w:val="(%1)"/>
      <w:numFmt w:val="lowerLetter"/>
      <w:start w:val="1"/>
    </w:lvl>
  </w:abstractNum>
  <w:abstractNum w:abstractNumId="244">
    <w:nsid w:val="3AA10581"/>
    <w:multiLevelType w:val="hybridMultilevel"/>
    <w:lvl w:ilvl="0">
      <w:lvlJc w:val="left"/>
      <w:lvlText w:val="(%1)"/>
      <w:numFmt w:val="lowerLetter"/>
      <w:start w:val="2"/>
    </w:lvl>
  </w:abstractNum>
  <w:abstractNum w:abstractNumId="245">
    <w:nsid w:val="63DE60CD"/>
    <w:multiLevelType w:val="hybridMultilevel"/>
    <w:lvl w:ilvl="0">
      <w:lvlJc w:val="left"/>
      <w:lvlText w:val="(%1)"/>
      <w:numFmt w:val="lowerLetter"/>
      <w:start w:val="1"/>
    </w:lvl>
    <w:lvl w:ilvl="1">
      <w:lvlJc w:val="left"/>
      <w:lvlText w:val="(%2)"/>
      <w:numFmt w:val="lowerLetter"/>
      <w:start w:val="9"/>
    </w:lvl>
  </w:abstractNum>
  <w:abstractNum w:abstractNumId="246">
    <w:nsid w:val="621AF471"/>
    <w:multiLevelType w:val="hybridMultilevel"/>
    <w:lvl w:ilvl="0">
      <w:lvlJc w:val="left"/>
      <w:lvlText w:val="(%1)"/>
      <w:numFmt w:val="lowerRoman"/>
      <w:start w:val="2"/>
    </w:lvl>
  </w:abstractNum>
  <w:abstractNum w:abstractNumId="247">
    <w:nsid w:val="73CFE165"/>
    <w:multiLevelType w:val="hybridMultilevel"/>
    <w:lvl w:ilvl="0">
      <w:lvlJc w:val="left"/>
      <w:lvlText w:val="(%1)"/>
      <w:numFmt w:val="lowerLetter"/>
      <w:start w:val="2"/>
    </w:lvl>
  </w:abstractNum>
  <w:abstractNum w:abstractNumId="248">
    <w:nsid w:val="20F88EA6"/>
    <w:multiLevelType w:val="hybridMultilevel"/>
    <w:lvl w:ilvl="0">
      <w:lvlJc w:val="left"/>
      <w:lvlText w:val="(%1)"/>
      <w:numFmt w:val="lowerLetter"/>
      <w:start w:val="1"/>
    </w:lvl>
  </w:abstractNum>
  <w:abstractNum w:abstractNumId="249">
    <w:nsid w:val="617C843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50">
    <w:nsid w:val="7B541FAB"/>
    <w:multiLevelType w:val="hybridMultilevel"/>
    <w:lvl w:ilvl="0">
      <w:lvlJc w:val="left"/>
      <w:lvlText w:val="(%1)"/>
      <w:numFmt w:val="lowerLetter"/>
      <w:start w:val="25"/>
    </w:lvl>
    <w:lvl w:ilvl="1">
      <w:lvlJc w:val="left"/>
      <w:lvlText w:val="(%2)"/>
      <w:numFmt w:val="lowerLetter"/>
      <w:start w:val="4"/>
    </w:lvl>
    <w:lvl w:ilvl="2">
      <w:lvlJc w:val="left"/>
      <w:lvlText w:val="%3"/>
      <w:numFmt w:val="lowerRoman"/>
      <w:start w:val="1"/>
    </w:lvl>
  </w:abstractNum>
  <w:abstractNum w:abstractNumId="251">
    <w:nsid w:val="2A79EC4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lowerLetter"/>
      <w:start w:val="9"/>
    </w:lvl>
  </w:abstractNum>
  <w:abstractNum w:abstractNumId="252">
    <w:nsid w:val="338125CF"/>
    <w:multiLevelType w:val="hybridMultilevel"/>
    <w:lvl w:ilvl="0">
      <w:lvlJc w:val="left"/>
      <w:lvlText w:val="%1"/>
      <w:numFmt w:val="upperLetter"/>
      <w:start w:val="1"/>
    </w:lvl>
    <w:lvl w:ilvl="1">
      <w:lvlJc w:val="left"/>
      <w:lvlText w:val="(%2)"/>
      <w:numFmt w:val="lowerRoman"/>
      <w:start w:val="2"/>
    </w:lvl>
  </w:abstractNum>
  <w:abstractNum w:abstractNumId="253">
    <w:nsid w:val="47C7C971"/>
    <w:multiLevelType w:val="hybridMultilevel"/>
    <w:lvl w:ilvl="0">
      <w:lvlJc w:val="left"/>
      <w:lvlText w:val="(%1)"/>
      <w:numFmt w:val="upperLetter"/>
      <w:start w:val="3"/>
    </w:lvl>
    <w:lvl w:ilvl="1">
      <w:lvlJc w:val="left"/>
      <w:lvlText w:val="%2"/>
      <w:numFmt w:val="lowerRoman"/>
      <w:start w:val="1"/>
    </w:lvl>
  </w:abstractNum>
  <w:abstractNum w:abstractNumId="254">
    <w:nsid w:val="46F8284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255">
    <w:nsid w:val="4FA327CE"/>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56">
    <w:nsid w:val="1873983A"/>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257">
    <w:nsid w:val="3D2DD275"/>
    <w:multiLevelType w:val="hybridMultilevel"/>
    <w:lvl w:ilvl="0">
      <w:lvlJc w:val="left"/>
      <w:lvlText w:val="(%1)"/>
      <w:numFmt w:val="lowerLetter"/>
      <w:start w:val="7"/>
    </w:lvl>
  </w:abstractNum>
  <w:abstractNum w:abstractNumId="258">
    <w:nsid w:val="2E17ECA7"/>
    <w:multiLevelType w:val="hybridMultilevel"/>
    <w:lvl w:ilvl="0">
      <w:lvlJc w:val="left"/>
      <w:lvlText w:val="(%1)"/>
      <w:numFmt w:val="lowerLetter"/>
      <w:start w:val="1"/>
    </w:lvl>
  </w:abstractNum>
  <w:abstractNum w:abstractNumId="259">
    <w:nsid w:val="53B2564F"/>
    <w:multiLevelType w:val="hybridMultilevel"/>
    <w:lvl w:ilvl="0">
      <w:lvlJc w:val="left"/>
      <w:lvlText w:val="(%1)"/>
      <w:numFmt w:val="lowerLetter"/>
      <w:start w:val="4"/>
    </w:lvl>
  </w:abstractNum>
  <w:abstractNum w:abstractNumId="260">
    <w:nsid w:val="75509D76"/>
    <w:multiLevelType w:val="hybridMultilevel"/>
    <w:lvl w:ilvl="0">
      <w:lvlJc w:val="left"/>
      <w:lvlText w:val="(%1)"/>
      <w:numFmt w:val="lowerLetter"/>
      <w:start w:val="1"/>
    </w:lvl>
  </w:abstractNum>
  <w:abstractNum w:abstractNumId="261">
    <w:nsid w:val="1AF7F0EA"/>
    <w:multiLevelType w:val="hybridMultilevel"/>
    <w:lvl w:ilvl="0">
      <w:lvlJc w:val="left"/>
      <w:lvlText w:val="(%1)"/>
      <w:numFmt w:val="lowerRoman"/>
      <w:start w:val="1"/>
    </w:lvl>
  </w:abstractNum>
  <w:abstractNum w:abstractNumId="262">
    <w:nsid w:val="4DA32C7E"/>
    <w:multiLevelType w:val="hybridMultilevel"/>
    <w:lvl w:ilvl="0">
      <w:lvlJc w:val="left"/>
      <w:lvlText w:val="(%1)"/>
      <w:numFmt w:val="lowerLetter"/>
      <w:start w:val="1"/>
    </w:lvl>
  </w:abstractNum>
  <w:abstractNum w:abstractNumId="263">
    <w:nsid w:val="6EC68664"/>
    <w:multiLevelType w:val="hybridMultilevel"/>
    <w:lvl w:ilvl="0">
      <w:lvlJc w:val="left"/>
      <w:lvlText w:val="(%1)"/>
      <w:numFmt w:val="lowerLetter"/>
      <w:start w:val="2"/>
    </w:lvl>
  </w:abstractNum>
  <w:abstractNum w:abstractNumId="264">
    <w:nsid w:val="E0D31FF"/>
    <w:multiLevelType w:val="hybridMultilevel"/>
    <w:lvl w:ilvl="0">
      <w:lvlJc w:val="left"/>
      <w:lvlText w:val="(%1)"/>
      <w:numFmt w:val="lowerLetter"/>
      <w:start w:val="1"/>
    </w:lvl>
  </w:abstractNum>
  <w:abstractNum w:abstractNumId="265">
    <w:nsid w:val="2FD0AD81"/>
    <w:multiLevelType w:val="hybridMultilevel"/>
    <w:lvl w:ilvl="0">
      <w:lvlJc w:val="left"/>
      <w:lvlText w:val="(%1)"/>
      <w:numFmt w:val="lowerLetter"/>
      <w:start w:val="1"/>
    </w:lvl>
  </w:abstractNum>
  <w:abstractNum w:abstractNumId="266">
    <w:nsid w:val="1978EBEB"/>
    <w:multiLevelType w:val="hybridMultilevel"/>
    <w:lvl w:ilvl="0">
      <w:lvlJc w:val="left"/>
      <w:lvlText w:val="%1"/>
      <w:numFmt w:val="lowerLetter"/>
      <w:start w:val="1"/>
    </w:lvl>
    <w:lvl w:ilvl="1">
      <w:lvlJc w:val="left"/>
      <w:lvlText w:val="(%2)"/>
      <w:numFmt w:val="lowerLetter"/>
      <w:start w:val="1"/>
    </w:lvl>
  </w:abstractNum>
  <w:abstractNum w:abstractNumId="267">
    <w:nsid w:val="52C12C61"/>
    <w:multiLevelType w:val="hybridMultilevel"/>
    <w:lvl w:ilvl="0">
      <w:lvlJc w:val="left"/>
      <w:lvlText w:val="(%1)"/>
      <w:numFmt w:val="lowerLetter"/>
      <w:start w:val="35"/>
    </w:lvl>
    <w:lvl w:ilvl="1">
      <w:lvlJc w:val="left"/>
      <w:lvlText w:val="%2"/>
      <w:numFmt w:val="lowerLetter"/>
      <w:start w:val="1"/>
    </w:lvl>
  </w:abstractNum>
  <w:abstractNum w:abstractNumId="268">
    <w:nsid w:val="4BDD53FD"/>
    <w:multiLevelType w:val="hybridMultilevel"/>
    <w:lvl w:ilvl="0">
      <w:lvlJc w:val="left"/>
      <w:lvlText w:val="(%1)"/>
      <w:numFmt w:val="lowerLetter"/>
      <w:start w:val="1"/>
    </w:lvl>
  </w:abstractNum>
  <w:abstractNum w:abstractNumId="269">
    <w:nsid w:val="569951FE"/>
    <w:multiLevelType w:val="hybridMultilevel"/>
    <w:lvl w:ilvl="0">
      <w:lvlJc w:val="left"/>
      <w:lvlText w:val="(%1)"/>
      <w:numFmt w:val="lowerLetter"/>
      <w:start w:val="1"/>
    </w:lvl>
  </w:abstractNum>
  <w:abstractNum w:abstractNumId="270">
    <w:nsid w:val="4C54E2C3"/>
    <w:multiLevelType w:val="hybridMultilevel"/>
    <w:lvl w:ilvl="0">
      <w:lvlJc w:val="left"/>
      <w:lvlText w:val="(%1)"/>
      <w:numFmt w:val="lowerLetter"/>
      <w:start w:val="1"/>
    </w:lvl>
  </w:abstractNum>
  <w:abstractNum w:abstractNumId="271">
    <w:nsid w:val="788BD9B"/>
    <w:multiLevelType w:val="hybridMultilevel"/>
    <w:lvl w:ilvl="0">
      <w:lvlJc w:val="left"/>
      <w:lvlText w:val="(%1)"/>
      <w:numFmt w:val="lowerLetter"/>
      <w:start w:val="9"/>
    </w:lvl>
    <w:lvl w:ilvl="1">
      <w:lvlJc w:val="left"/>
      <w:lvlText w:val="(%2)"/>
      <w:numFmt w:val="lowerLetter"/>
      <w:start w:val="3"/>
    </w:lvl>
  </w:abstractNum>
  <w:abstractNum w:abstractNumId="272">
    <w:nsid w:val="47CAA567"/>
    <w:multiLevelType w:val="hybridMultilevel"/>
    <w:lvl w:ilvl="0">
      <w:lvlJc w:val="left"/>
      <w:lvlText w:val="(%1)"/>
      <w:numFmt w:val="lowerLetter"/>
      <w:start w:val="2"/>
    </w:lvl>
  </w:abstractNum>
  <w:abstractNum w:abstractNumId="273">
    <w:nsid w:val="48249DBF"/>
    <w:multiLevelType w:val="hybridMultilevel"/>
    <w:lvl w:ilvl="0">
      <w:lvlJc w:val="left"/>
      <w:lvlText w:val="(%1)"/>
      <w:numFmt w:val="lowerLetter"/>
      <w:start w:val="6"/>
    </w:lvl>
  </w:abstractNum>
  <w:abstractNum w:abstractNumId="274">
    <w:nsid w:val="1F0E5D0D"/>
    <w:multiLevelType w:val="hybridMultilevel"/>
    <w:lvl w:ilvl="0">
      <w:lvlJc w:val="left"/>
      <w:lvlText w:val="(%1)"/>
      <w:numFmt w:val="lowerLetter"/>
      <w:start w:val="1"/>
    </w:lvl>
  </w:abstractNum>
  <w:abstractNum w:abstractNumId="275">
    <w:nsid w:val="26BAAE9"/>
    <w:multiLevelType w:val="hybridMultilevel"/>
    <w:lvl w:ilvl="0">
      <w:lvlJc w:val="left"/>
      <w:lvlText w:val="%1"/>
      <w:numFmt w:val="lowerLetter"/>
      <w:start w:val="1"/>
    </w:lvl>
    <w:lvl w:ilvl="1">
      <w:lvlJc w:val="left"/>
      <w:lvlText w:val="(%2)"/>
      <w:numFmt w:val="lowerLetter"/>
      <w:start w:val="5"/>
    </w:lvl>
  </w:abstractNum>
  <w:abstractNum w:abstractNumId="276">
    <w:nsid w:val="2C02FE8C"/>
    <w:multiLevelType w:val="hybridMultilevel"/>
    <w:lvl w:ilvl="0">
      <w:lvlJc w:val="left"/>
      <w:lvlText w:val="(%1)"/>
      <w:numFmt w:val="lowerLetter"/>
      <w:start w:val="35"/>
    </w:lvl>
    <w:lvl w:ilvl="1">
      <w:lvlJc w:val="left"/>
      <w:lvlText w:val="(%2)"/>
      <w:numFmt w:val="lowerLetter"/>
      <w:start w:val="6"/>
    </w:lvl>
  </w:abstractNum>
  <w:abstractNum w:abstractNumId="277">
    <w:nsid w:val="129517E"/>
    <w:multiLevelType w:val="hybridMultilevel"/>
    <w:lvl w:ilvl="0">
      <w:lvlJc w:val="left"/>
      <w:lvlText w:val="(%1)"/>
      <w:numFmt w:val="lowerLetter"/>
      <w:start w:val="24"/>
    </w:lvl>
    <w:lvl w:ilvl="1">
      <w:lvlJc w:val="left"/>
      <w:lvlText w:val="(%2)"/>
      <w:numFmt w:val="lowerLetter"/>
      <w:start w:val="7"/>
    </w:lvl>
  </w:abstractNum>
  <w:abstractNum w:abstractNumId="278">
    <w:nsid w:val="763B8C4E"/>
    <w:multiLevelType w:val="hybridMultilevel"/>
    <w:lvl w:ilvl="0">
      <w:lvlJc w:val="left"/>
      <w:lvlText w:val="(%1)"/>
      <w:numFmt w:val="lowerRoman"/>
      <w:start w:val="1"/>
    </w:lvl>
  </w:abstractNum>
  <w:abstractNum w:abstractNumId="279">
    <w:nsid w:val="4CFB8D32"/>
    <w:multiLevelType w:val="hybridMultilevel"/>
    <w:lvl w:ilvl="0">
      <w:lvlJc w:val="left"/>
      <w:lvlText w:val="(%1)"/>
      <w:numFmt w:val="lowerLetter"/>
      <w:start w:val="1"/>
    </w:lvl>
  </w:abstractNum>
  <w:abstractNum w:abstractNumId="280">
    <w:nsid w:val="62A5D5BD"/>
    <w:multiLevelType w:val="hybridMultilevel"/>
    <w:lvl w:ilvl="0">
      <w:lvlJc w:val="left"/>
      <w:lvlText w:val="(%1)"/>
      <w:numFmt w:val="lowerLetter"/>
      <w:start w:val="3"/>
    </w:lvl>
  </w:abstractNum>
  <w:abstractNum w:abstractNumId="281">
    <w:nsid w:val="718FABF9"/>
    <w:multiLevelType w:val="hybridMultilevel"/>
    <w:lvl w:ilvl="0">
      <w:lvlJc w:val="left"/>
      <w:lvlText w:val="(%1)"/>
      <w:numFmt w:val="lowerLetter"/>
      <w:start w:val="2"/>
    </w:lvl>
  </w:abstractNum>
  <w:abstractNum w:abstractNumId="282">
    <w:nsid w:val="7775797C"/>
    <w:multiLevelType w:val="hybridMultilevel"/>
    <w:lvl w:ilvl="0">
      <w:lvlJc w:val="left"/>
      <w:lvlText w:val="(%1)"/>
      <w:numFmt w:val="lowerLetter"/>
      <w:start w:val="2"/>
    </w:lvl>
  </w:abstractNum>
  <w:abstractNum w:abstractNumId="283">
    <w:nsid w:val="1626FB8C"/>
    <w:multiLevelType w:val="hybridMultilevel"/>
    <w:lvl w:ilvl="0">
      <w:lvlJc w:val="left"/>
      <w:lvlText w:val="(%1)"/>
      <w:numFmt w:val="lowerLetter"/>
      <w:start w:val="2"/>
    </w:lvl>
  </w:abstractNum>
  <w:abstractNum w:abstractNumId="284">
    <w:nsid w:val="3957756A"/>
    <w:multiLevelType w:val="hybridMultilevel"/>
    <w:lvl w:ilvl="0">
      <w:lvlJc w:val="left"/>
      <w:lvlText w:val="(%1)"/>
      <w:numFmt w:val="lowerLetter"/>
      <w:start w:val="1"/>
    </w:lvl>
  </w:abstractNum>
  <w:abstractNum w:abstractNumId="285">
    <w:nsid w:val="3E6DA1C7"/>
    <w:multiLevelType w:val="hybridMultilevel"/>
    <w:lvl w:ilvl="0">
      <w:lvlJc w:val="left"/>
      <w:lvlText w:val="%1"/>
      <w:numFmt w:val="lowerLetter"/>
      <w:start w:val="1"/>
    </w:lvl>
    <w:lvl w:ilvl="1">
      <w:lvlJc w:val="left"/>
      <w:lvlText w:val="(%2)"/>
      <w:numFmt w:val="lowerLetter"/>
      <w:start w:val="6"/>
    </w:lvl>
  </w:abstractNum>
  <w:abstractNum w:abstractNumId="286">
    <w:nsid w:val="65CA235B"/>
    <w:multiLevelType w:val="hybridMultilevel"/>
    <w:lvl w:ilvl="0">
      <w:lvlJc w:val="left"/>
      <w:lvlText w:val="(%1)"/>
      <w:numFmt w:val="lowerLetter"/>
      <w:start w:val="25"/>
    </w:lvl>
    <w:lvl w:ilvl="1">
      <w:lvlJc w:val="left"/>
      <w:lvlText w:val="(%2)"/>
      <w:numFmt w:val="lowerLetter"/>
      <w:start w:val="14"/>
    </w:lvl>
  </w:abstractNum>
  <w:abstractNum w:abstractNumId="287">
    <w:nsid w:val="51CB0DA4"/>
    <w:multiLevelType w:val="hybridMultilevel"/>
    <w:lvl w:ilvl="0">
      <w:lvlJc w:val="left"/>
      <w:lvlText w:val="%1"/>
      <w:numFmt w:val="lowerLetter"/>
      <w:start w:val="1"/>
    </w:lvl>
    <w:lvl w:ilvl="1">
      <w:lvlJc w:val="left"/>
      <w:lvlText w:val="(%2)"/>
      <w:numFmt w:val="lowerLetter"/>
      <w:start w:val="16"/>
    </w:lvl>
  </w:abstractNum>
  <w:abstractNum w:abstractNumId="288">
    <w:nsid w:val="7B9B743C"/>
    <w:multiLevelType w:val="hybridMultilevel"/>
    <w:lvl w:ilvl="0">
      <w:lvlJc w:val="left"/>
      <w:lvlText w:val="(%1)"/>
      <w:numFmt w:val="lowerLetter"/>
      <w:start w:val="35"/>
    </w:lvl>
    <w:lvl w:ilvl="1">
      <w:lvlJc w:val="left"/>
      <w:lvlText w:val="(%2)"/>
      <w:numFmt w:val="lowerLetter"/>
      <w:start w:val="17"/>
    </w:lvl>
  </w:abstractNum>
  <w:abstractNum w:abstractNumId="289">
    <w:nsid w:val="13E21002"/>
    <w:multiLevelType w:val="hybridMultilevel"/>
    <w:lvl w:ilvl="0">
      <w:lvlJc w:val="left"/>
      <w:lvlText w:val="(%1)"/>
      <w:numFmt w:val="lowerLetter"/>
      <w:start w:val="1"/>
    </w:lvl>
  </w:abstractNum>
  <w:abstractNum w:abstractNumId="290">
    <w:nsid w:val="257D63F4"/>
    <w:multiLevelType w:val="hybridMultilevel"/>
    <w:lvl w:ilvl="0">
      <w:lvlJc w:val="left"/>
      <w:lvlText w:val="%1"/>
      <w:numFmt w:val="lowerLetter"/>
      <w:start w:val="1"/>
    </w:lvl>
    <w:lvl w:ilvl="1">
      <w:lvlJc w:val="left"/>
      <w:lvlText w:val="(%2)"/>
      <w:numFmt w:val="lowerLetter"/>
      <w:start w:val="4"/>
    </w:lvl>
  </w:abstractNum>
  <w:abstractNum w:abstractNumId="291">
    <w:nsid w:val="70EC11B2"/>
    <w:multiLevelType w:val="hybridMultilevel"/>
    <w:lvl w:ilvl="0">
      <w:lvlJc w:val="left"/>
      <w:lvlText w:val="(%1)"/>
      <w:numFmt w:val="lowerLetter"/>
      <w:start w:val="35"/>
    </w:lvl>
    <w:lvl w:ilvl="1">
      <w:lvlJc w:val="left"/>
      <w:lvlText w:val="(%2)"/>
      <w:numFmt w:val="lowerLetter"/>
      <w:start w:val="8"/>
    </w:lvl>
  </w:abstractNum>
  <w:abstractNum w:abstractNumId="292">
    <w:nsid w:val="2EDA00ED"/>
    <w:multiLevelType w:val="hybridMultilevel"/>
    <w:lvl w:ilvl="0">
      <w:lvlJc w:val="left"/>
      <w:lvlText w:val="%1"/>
      <w:numFmt w:val="lowerLetter"/>
      <w:start w:val="1"/>
    </w:lvl>
    <w:lvl w:ilvl="1">
      <w:lvlJc w:val="left"/>
      <w:lvlText w:val="(%2)"/>
      <w:numFmt w:val="lowerLetter"/>
      <w:start w:val="11"/>
    </w:lvl>
  </w:abstractNum>
  <w:abstractNum w:abstractNumId="293">
    <w:nsid w:val="73209072"/>
    <w:multiLevelType w:val="hybridMultilevel"/>
    <w:lvl w:ilvl="0">
      <w:lvlJc w:val="left"/>
      <w:lvlText w:val="(%1)"/>
      <w:numFmt w:val="lowerLetter"/>
      <w:start w:val="35"/>
    </w:lvl>
    <w:lvl w:ilvl="1">
      <w:lvlJc w:val="left"/>
      <w:lvlText w:val="(%2)"/>
      <w:numFmt w:val="lowerLetter"/>
      <w:start w:val="12"/>
    </w:lvl>
  </w:abstractNum>
  <w:abstractNum w:abstractNumId="294">
    <w:nsid w:val="5FB29816"/>
    <w:multiLevelType w:val="hybridMultilevel"/>
    <w:lvl w:ilvl="0">
      <w:lvlJc w:val="left"/>
      <w:lvlText w:val="(%1)"/>
      <w:numFmt w:val="lowerLetter"/>
      <w:start w:val="18"/>
    </w:lvl>
    <w:lvl w:ilvl="1">
      <w:lvlJc w:val="left"/>
      <w:lvlText w:val="(%2)"/>
      <w:numFmt w:val="lowerLetter"/>
      <w:start w:val="19"/>
    </w:lvl>
  </w:abstractNum>
  <w:abstractNum w:abstractNumId="295">
    <w:nsid w:val="3CE732EC"/>
    <w:multiLevelType w:val="hybridMultilevel"/>
    <w:lvl w:ilvl="0">
      <w:lvlJc w:val="left"/>
      <w:lvlText w:val="(%1)"/>
      <w:numFmt w:val="lowerLetter"/>
      <w:start w:val="22"/>
    </w:lvl>
  </w:abstractNum>
  <w:abstractNum w:abstractNumId="296">
    <w:nsid w:val="22F13DF3"/>
    <w:multiLevelType w:val="hybridMultilevel"/>
    <w:lvl w:ilvl="0">
      <w:lvlJc w:val="left"/>
      <w:lvlText w:val="(%1)"/>
      <w:numFmt w:val="lowerLetter"/>
      <w:start w:val="2"/>
    </w:lvl>
  </w:abstractNum>
  <w:abstractNum w:abstractNumId="297">
    <w:nsid w:val="792B8401"/>
    <w:multiLevelType w:val="hybridMultilevel"/>
    <w:lvl w:ilvl="0">
      <w:lvlJc w:val="left"/>
      <w:lvlText w:val="(%1)"/>
      <w:numFmt w:val="lowerLetter"/>
      <w:start w:val="7"/>
    </w:lvl>
  </w:abstractNum>
  <w:abstractNum w:abstractNumId="298">
    <w:nsid w:val="FA85F4D"/>
    <w:multiLevelType w:val="hybridMultilevel"/>
    <w:lvl w:ilvl="0">
      <w:lvlJc w:val="left"/>
      <w:lvlText w:val="(%1)"/>
      <w:numFmt w:val="lowerLetter"/>
      <w:start w:val="1"/>
    </w:lvl>
  </w:abstractNum>
  <w:abstractNum w:abstractNumId="299">
    <w:nsid w:val="6ECE91F0"/>
    <w:multiLevelType w:val="hybridMultilevel"/>
    <w:lvl w:ilvl="0">
      <w:lvlJc w:val="left"/>
      <w:lvlText w:val="(%1)"/>
      <w:numFmt w:val="lowerLetter"/>
      <w:start w:val="7"/>
    </w:lvl>
  </w:abstractNum>
  <w:abstractNum w:abstractNumId="300">
    <w:nsid w:val="4FC4D600"/>
    <w:multiLevelType w:val="hybridMultilevel"/>
    <w:lvl w:ilvl="0">
      <w:lvlJc w:val="left"/>
      <w:lvlText w:val="(%1)"/>
      <w:numFmt w:val="lowerLetter"/>
      <w:start w:val="7"/>
    </w:lvl>
  </w:abstractNum>
  <w:abstractNum w:abstractNumId="301">
    <w:nsid w:val="5BFD4210"/>
    <w:multiLevelType w:val="hybridMultilevel"/>
    <w:lvl w:ilvl="0">
      <w:lvlJc w:val="left"/>
      <w:lvlText w:val="(%1)"/>
      <w:numFmt w:val="lowerRoman"/>
      <w:start w:val="10"/>
    </w:lvl>
  </w:abstractNum>
  <w:abstractNum w:abstractNumId="302">
    <w:nsid w:val="76574F8B"/>
    <w:multiLevelType w:val="hybridMultilevel"/>
    <w:lvl w:ilvl="0">
      <w:lvlJc w:val="left"/>
      <w:lvlText w:val="(%1)"/>
      <w:numFmt w:val="lowerLetter"/>
      <w:start w:val="1"/>
    </w:lvl>
  </w:abstractNum>
  <w:abstractNum w:abstractNumId="303">
    <w:nsid w:val="178F7B67"/>
    <w:multiLevelType w:val="hybridMultilevel"/>
    <w:lvl w:ilvl="0">
      <w:lvlJc w:val="left"/>
      <w:lvlText w:val="%1"/>
      <w:numFmt w:val="lowerLetter"/>
      <w:start w:val="1"/>
    </w:lvl>
    <w:lvl w:ilvl="1">
      <w:lvlJc w:val="left"/>
      <w:lvlText w:val="(%2)"/>
      <w:numFmt w:val="lowerLetter"/>
      <w:start w:val="7"/>
    </w:lvl>
  </w:abstractNum>
  <w:abstractNum w:abstractNumId="304">
    <w:nsid w:val="2421DFCF"/>
    <w:multiLevelType w:val="hybridMultilevel"/>
    <w:lvl w:ilvl="0">
      <w:lvlJc w:val="left"/>
      <w:lvlText w:val="(%1)"/>
      <w:numFmt w:val="lowerLetter"/>
      <w:start w:val="35"/>
    </w:lvl>
    <w:lvl w:ilvl="1">
      <w:lvlJc w:val="left"/>
      <w:lvlText w:val="(%2)"/>
      <w:numFmt w:val="lowerLetter"/>
      <w:start w:val="8"/>
    </w:lvl>
  </w:abstractNum>
  <w:abstractNum w:abstractNumId="305">
    <w:nsid w:val="1565AC99"/>
    <w:multiLevelType w:val="hybridMultilevel"/>
    <w:lvl w:ilvl="0">
      <w:lvlJc w:val="left"/>
      <w:lvlText w:val="(%1)"/>
      <w:numFmt w:val="lowerLetter"/>
      <w:start w:val="12"/>
    </w:lvl>
  </w:abstractNum>
  <w:abstractNum w:abstractNumId="306">
    <w:nsid w:val="19FB2650"/>
    <w:multiLevelType w:val="hybridMultilevel"/>
    <w:lvl w:ilvl="0">
      <w:lvlJc w:val="left"/>
      <w:lvlText w:val="(%1)"/>
      <w:numFmt w:val="lowerLetter"/>
      <w:start w:val="1"/>
    </w:lvl>
  </w:abstractNum>
  <w:abstractNum w:abstractNumId="307">
    <w:nsid w:val="5024DE5B"/>
    <w:multiLevelType w:val="hybridMultilevel"/>
    <w:lvl w:ilvl="0">
      <w:lvlJc w:val="left"/>
      <w:lvlText w:val="(%1)"/>
      <w:numFmt w:val="lowerLetter"/>
      <w:start w:val="2"/>
    </w:lvl>
  </w:abstractNum>
  <w:abstractNum w:abstractNumId="308">
    <w:nsid w:val="168EFE17"/>
    <w:multiLevelType w:val="hybridMultilevel"/>
    <w:lvl w:ilvl="0">
      <w:lvlJc w:val="left"/>
      <w:lvlText w:val="(%1)"/>
      <w:numFmt w:val="lowerLetter"/>
      <w:start w:val="4"/>
    </w:lvl>
  </w:abstractNum>
  <w:abstractNum w:abstractNumId="309">
    <w:nsid w:val="1036B29F"/>
    <w:multiLevelType w:val="hybridMultilevel"/>
    <w:lvl w:ilvl="0">
      <w:lvlJc w:val="left"/>
      <w:lvlText w:val="(%1)"/>
      <w:numFmt w:val="lowerRoman"/>
      <w:start w:val="1"/>
    </w:lvl>
  </w:abstractNum>
  <w:abstractNum w:abstractNumId="310">
    <w:nsid w:val="1D206B8E"/>
    <w:multiLevelType w:val="hybridMultilevel"/>
    <w:lvl w:ilvl="0">
      <w:lvlJc w:val="left"/>
      <w:lvlText w:val="(%1)"/>
      <w:numFmt w:val="lowerRoman"/>
      <w:start w:val="2"/>
    </w:lvl>
  </w:abstractNum>
  <w:abstractNum w:abstractNumId="311">
    <w:nsid w:val="7934D3D4"/>
    <w:multiLevelType w:val="hybridMultilevel"/>
    <w:lvl w:ilvl="0">
      <w:lvlJc w:val="left"/>
      <w:lvlText w:val="(%1)"/>
      <w:numFmt w:val="lowerLetter"/>
      <w:start w:val="7"/>
    </w:lvl>
  </w:abstractNum>
  <w:abstractNum w:abstractNumId="312">
    <w:nsid w:val="1C65E98"/>
    <w:multiLevelType w:val="hybridMultilevel"/>
    <w:lvl w:ilvl="0">
      <w:lvlJc w:val="left"/>
      <w:lvlText w:val="(%1)"/>
      <w:numFmt w:val="lowerLetter"/>
      <w:start w:val="10"/>
    </w:lvl>
  </w:abstractNum>
  <w:abstractNum w:abstractNumId="313">
    <w:nsid w:val="1495E50A"/>
    <w:multiLevelType w:val="hybridMultilevel"/>
    <w:lvl w:ilvl="0">
      <w:lvlJc w:val="left"/>
      <w:lvlText w:val="(%1)"/>
      <w:numFmt w:val="lowerLetter"/>
      <w:start w:val="1"/>
    </w:lvl>
    <w:lvl w:ilvl="1">
      <w:lvlJc w:val="left"/>
      <w:lvlText w:val="(%2)"/>
      <w:numFmt w:val="lowerLetter"/>
      <w:start w:val="9"/>
    </w:lvl>
  </w:abstractNum>
  <w:abstractNum w:abstractNumId="314">
    <w:nsid w:val="F5BCF61"/>
    <w:multiLevelType w:val="hybridMultilevel"/>
    <w:lvl w:ilvl="0">
      <w:lvlJc w:val="left"/>
      <w:lvlText w:val="(%1)"/>
      <w:numFmt w:val="lowerRoman"/>
      <w:start w:val="2"/>
    </w:lvl>
  </w:abstractNum>
  <w:abstractNum w:abstractNumId="315">
    <w:nsid w:val="3B1DD403"/>
    <w:multiLevelType w:val="hybridMultilevel"/>
    <w:lvl w:ilvl="0">
      <w:lvlJc w:val="left"/>
      <w:lvlText w:val="(%1)"/>
      <w:numFmt w:val="lowerLetter"/>
      <w:start w:val="2"/>
    </w:lvl>
  </w:abstractNum>
  <w:abstractNum w:abstractNumId="316">
    <w:nsid w:val="530386D1"/>
    <w:multiLevelType w:val="hybridMultilevel"/>
    <w:lvl w:ilvl="0">
      <w:lvlJc w:val="left"/>
      <w:lvlText w:val="(%1)"/>
      <w:numFmt w:val="lowerLetter"/>
      <w:start w:val="35"/>
    </w:lvl>
    <w:lvl w:ilvl="1">
      <w:lvlJc w:val="left"/>
      <w:lvlText w:val="(%2)"/>
      <w:numFmt w:val="lowerLetter"/>
      <w:start w:val="3"/>
    </w:lvl>
  </w:abstractNum>
  <w:abstractNum w:abstractNumId="317">
    <w:nsid w:val="7525F2BC"/>
    <w:multiLevelType w:val="hybridMultilevel"/>
    <w:lvl w:ilvl="0">
      <w:lvlJc w:val="left"/>
      <w:lvlText w:val="(%1)"/>
      <w:numFmt w:val="lowerLetter"/>
      <w:start w:val="4"/>
    </w:lvl>
  </w:abstractNum>
  <w:abstractNum w:abstractNumId="318">
    <w:nsid w:val="CE8E1A7"/>
    <w:multiLevelType w:val="hybridMultilevel"/>
    <w:lvl w:ilvl="0">
      <w:lvlJc w:val="left"/>
      <w:lvlText w:val="(%1)"/>
      <w:numFmt w:val="lowerLetter"/>
      <w:start w:val="1"/>
    </w:lvl>
  </w:abstractNum>
  <w:abstractNum w:abstractNumId="319">
    <w:nsid w:val="4E9EFB0D"/>
    <w:multiLevelType w:val="hybridMultilevel"/>
    <w:lvl w:ilvl="0">
      <w:lvlJc w:val="left"/>
      <w:lvlText w:val="(%1)"/>
      <w:numFmt w:val="lowerLetter"/>
      <w:start w:val="2"/>
    </w:lvl>
  </w:abstractNum>
  <w:abstractNum w:abstractNumId="320">
    <w:nsid w:val="90802BE"/>
    <w:multiLevelType w:val="hybridMultilevel"/>
    <w:lvl w:ilvl="0">
      <w:lvlJc w:val="left"/>
      <w:lvlText w:val="(%1)"/>
      <w:numFmt w:val="lowerLetter"/>
      <w:start w:val="1"/>
    </w:lvl>
  </w:abstractNum>
  <w:abstractNum w:abstractNumId="321">
    <w:nsid w:val="3266459B"/>
    <w:multiLevelType w:val="hybridMultilevel"/>
    <w:lvl w:ilvl="0">
      <w:lvlJc w:val="left"/>
      <w:lvlText w:val="%1"/>
      <w:numFmt w:val="lowerLetter"/>
      <w:start w:val="1"/>
    </w:lvl>
    <w:lvl w:ilvl="1">
      <w:lvlJc w:val="left"/>
      <w:lvlText w:val="(%2)"/>
      <w:numFmt w:val="lowerLetter"/>
      <w:start w:val="2"/>
    </w:lvl>
  </w:abstractNum>
  <w:abstractNum w:abstractNumId="322">
    <w:nsid w:val="3F8B0CBF"/>
    <w:multiLevelType w:val="hybridMultilevel"/>
    <w:lvl w:ilvl="0">
      <w:lvlJc w:val="left"/>
      <w:lvlText w:val="(%1)"/>
      <w:numFmt w:val="lowerLetter"/>
      <w:start w:val="9"/>
    </w:lvl>
    <w:lvl w:ilvl="1">
      <w:lvlJc w:val="left"/>
      <w:lvlText w:val="(%2)"/>
      <w:numFmt w:val="lowerLetter"/>
      <w:start w:val="3"/>
    </w:lvl>
  </w:abstractNum>
  <w:abstractNum w:abstractNumId="323">
    <w:nsid w:val="37E203AB"/>
    <w:multiLevelType w:val="hybridMultilevel"/>
    <w:lvl w:ilvl="0">
      <w:lvlJc w:val="left"/>
      <w:lvlText w:val="(%1)"/>
      <w:numFmt w:val="lowerLetter"/>
      <w:start w:val="2"/>
    </w:lvl>
    <w:lvl w:ilvl="1">
      <w:lvlJc w:val="left"/>
      <w:lvlText w:val="%2"/>
      <w:numFmt w:val="lowerLetter"/>
      <w:start w:val="1"/>
    </w:lvl>
  </w:abstractNum>
  <w:abstractNum w:abstractNumId="324">
    <w:nsid w:val="2586D60E"/>
    <w:multiLevelType w:val="hybridMultilevel"/>
    <w:lvl w:ilvl="0">
      <w:lvlJc w:val="left"/>
      <w:lvlText w:val="(%1)"/>
      <w:numFmt w:val="lowerLetter"/>
      <w:start w:val="4"/>
    </w:lvl>
  </w:abstractNum>
  <w:abstractNum w:abstractNumId="325">
    <w:nsid w:val="1F3DA4D5"/>
    <w:multiLevelType w:val="hybridMultilevel"/>
    <w:lvl w:ilvl="0">
      <w:lvlJc w:val="left"/>
      <w:lvlText w:val="(%1)"/>
      <w:numFmt w:val="lowerLetter"/>
      <w:start w:val="1"/>
    </w:lvl>
  </w:abstractNum>
  <w:abstractNum w:abstractNumId="326">
    <w:nsid w:val="74C93698"/>
    <w:multiLevelType w:val="hybridMultilevel"/>
    <w:lvl w:ilvl="0">
      <w:lvlJc w:val="left"/>
      <w:lvlText w:val="(%1)"/>
      <w:numFmt w:val="lowerRoman"/>
      <w:start w:val="1"/>
    </w:lvl>
    <w:lvl w:ilvl="1">
      <w:lvlJc w:val="left"/>
      <w:lvlText w:val="(%2)"/>
      <w:numFmt w:val="upperLetter"/>
      <w:start w:val="1"/>
    </w:lvl>
  </w:abstractNum>
  <w:abstractNum w:abstractNumId="327">
    <w:nsid w:val="48781401"/>
    <w:multiLevelType w:val="hybridMultilevel"/>
    <w:lvl w:ilvl="0">
      <w:lvlJc w:val="left"/>
      <w:lvlText w:val="%1"/>
      <w:numFmt w:val="lowerRoman"/>
      <w:start w:val="1"/>
    </w:lvl>
    <w:lvl w:ilvl="1">
      <w:lvlJc w:val="left"/>
      <w:lvlText w:val="(%2)"/>
      <w:numFmt w:val="upperLetter"/>
      <w:start w:val="2"/>
    </w:lvl>
  </w:abstractNum>
  <w:abstractNum w:abstractNumId="328">
    <w:nsid w:val="186928D6"/>
    <w:multiLevelType w:val="hybridMultilevel"/>
    <w:lvl w:ilvl="0">
      <w:lvlJc w:val="left"/>
      <w:lvlText w:val="(%1)"/>
      <w:numFmt w:val="lowerRoman"/>
      <w:start w:val="4"/>
    </w:lvl>
    <w:lvl w:ilvl="1">
      <w:lvlJc w:val="left"/>
      <w:lvlText w:val="%2"/>
      <w:numFmt w:val="upperLetter"/>
      <w:start w:val="1"/>
    </w:lvl>
  </w:abstractNum>
  <w:abstractNum w:abstractNumId="329">
    <w:nsid w:val="47195E5"/>
    <w:multiLevelType w:val="hybridMultilevel"/>
    <w:lvl w:ilvl="0">
      <w:lvlJc w:val="left"/>
      <w:lvlText w:val="%1"/>
      <w:numFmt w:val="lowerLetter"/>
      <w:start w:val="1"/>
    </w:lvl>
    <w:lvl w:ilvl="1">
      <w:lvlJc w:val="left"/>
      <w:lvlText w:val="(%2)"/>
      <w:numFmt w:val="lowerLetter"/>
      <w:start w:val="3"/>
    </w:lvl>
  </w:abstractNum>
  <w:abstractNum w:abstractNumId="330">
    <w:nsid w:val="3746A5F2"/>
    <w:multiLevelType w:val="hybridMultilevel"/>
    <w:lvl w:ilvl="0">
      <w:lvlJc w:val="left"/>
      <w:lvlText w:val="(%1)"/>
      <w:numFmt w:val="lowerLetter"/>
      <w:start w:val="35"/>
    </w:lvl>
    <w:lvl w:ilvl="1">
      <w:lvlJc w:val="left"/>
      <w:lvlText w:val="%2"/>
      <w:numFmt w:val="lowerLetter"/>
      <w:start w:val="1"/>
    </w:lvl>
  </w:abstractNum>
  <w:abstractNum w:abstractNumId="331">
    <w:nsid w:val="682DFED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32">
    <w:nsid w:val="606ED7F6"/>
    <w:multiLevelType w:val="hybridMultilevel"/>
    <w:lvl w:ilvl="0">
      <w:lvlJc w:val="left"/>
      <w:lvlText w:val="%1"/>
      <w:numFmt w:val="lowerLetter"/>
      <w:start w:val="1"/>
    </w:lvl>
    <w:lvl w:ilvl="1">
      <w:lvlJc w:val="left"/>
      <w:lvlText w:val="(%2)"/>
      <w:numFmt w:val="lowerLetter"/>
      <w:start w:val="35"/>
    </w:lvl>
  </w:abstractNum>
  <w:abstractNum w:abstractNumId="333">
    <w:nsid w:val="2D9DF57D"/>
    <w:multiLevelType w:val="hybridMultilevel"/>
    <w:lvl w:ilvl="0">
      <w:lvlJc w:val="left"/>
      <w:lvlText w:val="(%1)"/>
      <w:numFmt w:val="lowerLetter"/>
      <w:start w:val="6"/>
    </w:lvl>
    <w:lvl w:ilvl="1">
      <w:lvlJc w:val="left"/>
      <w:lvlText w:val="%2"/>
      <w:numFmt w:val="lowerLetter"/>
      <w:start w:val="1"/>
    </w:lvl>
  </w:abstractNum>
  <w:abstractNum w:abstractNumId="334">
    <w:nsid w:val="7FBD7A3E"/>
    <w:multiLevelType w:val="hybridMultilevel"/>
    <w:lvl w:ilvl="0">
      <w:lvlJc w:val="left"/>
      <w:lvlText w:val="%1"/>
      <w:numFmt w:val="lowerLetter"/>
      <w:start w:val="1"/>
    </w:lvl>
    <w:lvl w:ilvl="1">
      <w:lvlJc w:val="left"/>
      <w:lvlText w:val="(%2)"/>
      <w:numFmt w:val="lowerLetter"/>
      <w:start w:val="7"/>
    </w:lvl>
  </w:abstractNum>
  <w:abstractNum w:abstractNumId="335">
    <w:nsid w:val="490B7C5"/>
    <w:multiLevelType w:val="hybridMultilevel"/>
    <w:lvl w:ilvl="0">
      <w:lvlJc w:val="left"/>
      <w:lvlText w:val="(%1)"/>
      <w:numFmt w:val="lowerLetter"/>
      <w:start w:val="9"/>
    </w:lvl>
    <w:lvl w:ilvl="1">
      <w:lvlJc w:val="left"/>
      <w:lvlText w:val="%2"/>
      <w:numFmt w:val="lowerLetter"/>
      <w:start w:val="1"/>
    </w:lvl>
  </w:abstractNum>
  <w:abstractNum w:abstractNumId="336">
    <w:nsid w:val="4303A216"/>
    <w:multiLevelType w:val="hybridMultilevel"/>
    <w:lvl w:ilvl="0">
      <w:lvlJc w:val="left"/>
      <w:lvlText w:val="(%1)"/>
      <w:numFmt w:val="lowerLetter"/>
      <w:start w:val="1"/>
    </w:lvl>
  </w:abstractNum>
  <w:abstractNum w:abstractNumId="337">
    <w:nsid w:val="19B8A08E"/>
    <w:multiLevelType w:val="hybridMultilevel"/>
    <w:lvl w:ilvl="0">
      <w:lvlJc w:val="left"/>
      <w:lvlText w:val="(%1)"/>
      <w:numFmt w:val="lowerLetter"/>
      <w:start w:val="1"/>
    </w:lvl>
  </w:abstractNum>
  <w:abstractNum w:abstractNumId="338">
    <w:nsid w:val="54B59621"/>
    <w:multiLevelType w:val="hybridMultilevel"/>
    <w:lvl w:ilvl="0">
      <w:lvlJc w:val="left"/>
      <w:lvlText w:val="(%1)"/>
      <w:numFmt w:val="lowerLetter"/>
      <w:start w:val="4"/>
    </w:lvl>
  </w:abstractNum>
  <w:abstractNum w:abstractNumId="339">
    <w:nsid w:val="5992A02E"/>
    <w:multiLevelType w:val="hybridMultilevel"/>
    <w:lvl w:ilvl="0">
      <w:lvlJc w:val="left"/>
      <w:lvlText w:val="(%1)"/>
      <w:numFmt w:val="upperLetter"/>
      <w:start w:val="1"/>
    </w:lvl>
  </w:abstractNum>
  <w:abstractNum w:abstractNumId="340">
    <w:nsid w:val="29EF532D"/>
    <w:multiLevelType w:val="hybridMultilevel"/>
    <w:lvl w:ilvl="0">
      <w:lvlJc w:val="left"/>
      <w:lvlText w:val="(%1)"/>
      <w:numFmt w:val="lowerLetter"/>
      <w:start w:val="3"/>
    </w:lvl>
  </w:abstractNum>
  <w:abstractNum w:abstractNumId="341">
    <w:nsid w:val="71D601AF"/>
    <w:multiLevelType w:val="hybridMultilevel"/>
    <w:lvl w:ilvl="0">
      <w:lvlJc w:val="left"/>
      <w:lvlText w:val="(%1)"/>
      <w:numFmt w:val="lowerLetter"/>
      <w:start w:val="1"/>
    </w:lvl>
  </w:abstractNum>
  <w:abstractNum w:abstractNumId="342">
    <w:nsid w:val="52C77402"/>
    <w:multiLevelType w:val="hybridMultilevel"/>
    <w:lvl w:ilvl="0">
      <w:lvlJc w:val="left"/>
      <w:lvlText w:val="(%1)"/>
      <w:numFmt w:val="lowerLetter"/>
      <w:start w:val="2"/>
    </w:lvl>
  </w:abstractNum>
  <w:abstractNum w:abstractNumId="343">
    <w:nsid w:val="2BB5B1C6"/>
    <w:multiLevelType w:val="hybridMultilevel"/>
    <w:lvl w:ilvl="0">
      <w:lvlJc w:val="left"/>
      <w:lvlText w:val="(%1)"/>
      <w:numFmt w:val="lowerLetter"/>
      <w:start w:val="1"/>
    </w:lvl>
    <w:lvl w:ilvl="1">
      <w:lvlJc w:val="left"/>
      <w:lvlText w:val="(%2)"/>
      <w:numFmt w:val="lowerRoman"/>
      <w:start w:val="1"/>
    </w:lvl>
  </w:abstractNum>
  <w:abstractNum w:abstractNumId="344">
    <w:nsid w:val="66BE6B9"/>
    <w:multiLevelType w:val="hybridMultilevel"/>
    <w:lvl w:ilvl="0">
      <w:lvlJc w:val="left"/>
      <w:lvlText w:val="(%1)"/>
      <w:numFmt w:val="lowerRoman"/>
      <w:start w:val="3"/>
    </w:lvl>
  </w:abstractNum>
  <w:abstractNum w:abstractNumId="345">
    <w:nsid w:val="62234363"/>
    <w:multiLevelType w:val="hybridMultilevel"/>
    <w:lvl w:ilvl="0">
      <w:lvlJc w:val="left"/>
      <w:lvlText w:val="(%1)"/>
      <w:numFmt w:val="lowerLetter"/>
      <w:start w:val="1"/>
    </w:lvl>
  </w:abstractNum>
  <w:abstractNum w:abstractNumId="346">
    <w:nsid w:val="66D385C9"/>
    <w:multiLevelType w:val="hybridMultilevel"/>
    <w:lvl w:ilvl="0">
      <w:lvlJc w:val="left"/>
      <w:lvlText w:val="§"/>
      <w:numFmt w:val="bullet"/>
      <w:start w:val="1"/>
    </w:lvl>
  </w:abstractNum>
  <w:abstractNum w:abstractNumId="347">
    <w:nsid w:val="596F6D8A"/>
    <w:multiLevelType w:val="hybridMultilevel"/>
    <w:lvl w:ilvl="0">
      <w:lvlJc w:val="left"/>
      <w:lvlText w:val="(%1)"/>
      <w:numFmt w:val="lowerLetter"/>
      <w:start w:val="1"/>
    </w:lvl>
    <w:lvl w:ilvl="1">
      <w:lvlJc w:val="left"/>
      <w:lvlText w:val="(%2)"/>
      <w:numFmt w:val="lowerRoman"/>
      <w:start w:val="1"/>
    </w:lvl>
  </w:abstractNum>
  <w:abstractNum w:abstractNumId="348">
    <w:nsid w:val="5749361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49">
    <w:nsid w:val="73BC677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50">
    <w:nsid w:val="280E6897"/>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2020-06-17T05:09:36Z</dcterms:created>
  <dcterms:modified xsi:type="dcterms:W3CDTF">2020-06-17T05:09:36Z</dcterms:modified>
</cp:coreProperties>
</file>