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U.S. Securities and Exchange Commission on November 20, 2020</w:t>
      </w:r>
    </w:p>
    <w:p>
      <w:pPr>
        <w:spacing w:after="0" w:line="27" w:lineRule="exact"/>
        <w:rPr>
          <w:sz w:val="24"/>
          <w:szCs w:val="24"/>
          <w:color w:val="auto"/>
        </w:rPr>
      </w:pPr>
    </w:p>
    <w:p>
      <w:pPr>
        <w:ind w:left="9500"/>
        <w:spacing w:after="0"/>
        <w:rPr>
          <w:sz w:val="20"/>
          <w:szCs w:val="20"/>
          <w:color w:val="auto"/>
        </w:rPr>
      </w:pPr>
      <w:r>
        <w:rPr>
          <w:rFonts w:ascii="Arial" w:cs="Arial" w:eastAsia="Arial" w:hAnsi="Arial"/>
          <w:sz w:val="18"/>
          <w:szCs w:val="18"/>
          <w:b w:val="1"/>
          <w:bCs w:val="1"/>
          <w:color w:val="auto"/>
        </w:rPr>
        <w:t>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44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41"/>
              <w:spacing w:after="0"/>
              <w:rPr>
                <w:sz w:val="20"/>
                <w:szCs w:val="20"/>
                <w:color w:val="auto"/>
              </w:rPr>
            </w:pPr>
            <w:r>
              <w:rPr>
                <w:rFonts w:ascii="Arial" w:cs="Arial" w:eastAsia="Arial" w:hAnsi="Arial"/>
                <w:sz w:val="18"/>
                <w:szCs w:val="18"/>
                <w:b w:val="1"/>
                <w:bCs w:val="1"/>
                <w:color w:val="auto"/>
              </w:rPr>
              <w:t>83-4364296</w:t>
            </w:r>
          </w:p>
        </w:tc>
      </w:tr>
      <w:tr>
        <w:trPr>
          <w:trHeight w:val="148"/>
        </w:trPr>
        <w:tc>
          <w:tcPr>
            <w:tcW w:w="4420" w:type="dxa"/>
            <w:vAlign w:val="bottom"/>
          </w:tcPr>
          <w:p>
            <w:pPr>
              <w:jc w:val="center"/>
              <w:ind w:right="17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20" w:type="dxa"/>
            <w:vAlign w:val="bottom"/>
          </w:tcPr>
          <w:p>
            <w:pPr>
              <w:jc w:val="center"/>
              <w:ind w:right="1779"/>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4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3"/>
              </w:rPr>
              <w:t>1000 Mylan Boulevard</w:t>
            </w:r>
          </w:p>
        </w:tc>
        <w:tc>
          <w:tcPr>
            <w:tcW w:w="2980" w:type="dxa"/>
            <w:vAlign w:val="bottom"/>
          </w:tcPr>
          <w:p>
            <w:pPr>
              <w:spacing w:after="0"/>
              <w:rPr>
                <w:sz w:val="24"/>
                <w:szCs w:val="24"/>
                <w:color w:val="auto"/>
              </w:rPr>
            </w:pPr>
          </w:p>
        </w:tc>
      </w:tr>
      <w:tr>
        <w:trPr>
          <w:trHeight w:val="225"/>
        </w:trPr>
        <w:tc>
          <w:tcPr>
            <w:tcW w:w="4420" w:type="dxa"/>
            <w:vAlign w:val="bottom"/>
          </w:tcPr>
          <w:p>
            <w:pPr>
              <w:jc w:val="center"/>
              <w:ind w:right="1779"/>
              <w:spacing w:after="0"/>
              <w:rPr>
                <w:sz w:val="20"/>
                <w:szCs w:val="20"/>
                <w:color w:val="auto"/>
              </w:rPr>
            </w:pPr>
            <w:r>
              <w:rPr>
                <w:rFonts w:ascii="Arial" w:cs="Arial" w:eastAsia="Arial" w:hAnsi="Arial"/>
                <w:sz w:val="18"/>
                <w:szCs w:val="18"/>
                <w:b w:val="1"/>
                <w:bCs w:val="1"/>
                <w:color w:val="auto"/>
                <w:w w:val="89"/>
              </w:rPr>
              <w:t>Canonsburg, Pennsylvania 15317</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15317</w:t>
            </w:r>
          </w:p>
        </w:tc>
      </w:tr>
      <w:tr>
        <w:trPr>
          <w:trHeight w:val="186"/>
        </w:trPr>
        <w:tc>
          <w:tcPr>
            <w:tcW w:w="4420" w:type="dxa"/>
            <w:vAlign w:val="bottom"/>
          </w:tcPr>
          <w:p>
            <w:pPr>
              <w:jc w:val="center"/>
              <w:ind w:right="17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80" w:type="dxa"/>
            <w:vAlign w:val="bottom"/>
          </w:tcPr>
          <w:p>
            <w:pPr>
              <w:jc w:val="center"/>
              <w:ind w:left="17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 2020 Stock Incentive Plan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Mylan N.V. Amended and Restated 2003 Long-Term Incentive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Brian Roman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Viatris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1000 Mylan Boulevard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Canonsburg, Pennsylvania 15317</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(724) 514 1800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28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74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40" w:type="dxa"/>
            <w:vAlign w:val="bottom"/>
          </w:tcPr>
          <w:p>
            <w:pPr>
              <w:ind w:left="174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3037205</wp:posOffset>
            </wp:positionH>
            <wp:positionV relativeFrom="page">
              <wp:posOffset>311785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registered (1)(2)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(3)</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 (4)</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92,793,267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$1,655,240,617.25</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$180,586.75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40" w:hanging="424"/>
        <w:spacing w:after="0" w:line="284"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(i) 72,500,000 shares of Common Stock, par value $0.01 per share (the “Common Stock”), of Viatris Inc. (the “Registrant”) authorized for grant pursuant to the Viatris Inc. 2020 Stock Incentive Plan (the “Plan”), which may include dividends payable in Common Stock on unvested shares granted under awards, (ii) 6,757,640 shares of Common Stock to be issued pursuant to the exercise of outstanding stock options granted to participants under the Mylan N.V. Amended and Restated 2003 Long-Term Incentive Plan (the “2003 LTIP”) and assumed by the Registrant in connection with the transactions contemplated by the Business Combination Agreement (as defined below) and (iii) 13,535,627 shares of Common Stock subject to outstanding equity-based awards, other than stock options, assumed by the Registrant in connection with the transactions contemplated by the Business Combination Agreement, or that otherwise remain available for issuance under the 2003 LTIP.</w:t>
      </w:r>
    </w:p>
    <w:p>
      <w:pPr>
        <w:spacing w:after="0" w:line="1" w:lineRule="exact"/>
        <w:rPr>
          <w:rFonts w:ascii="Arial" w:cs="Arial" w:eastAsia="Arial" w:hAnsi="Arial"/>
          <w:sz w:val="16"/>
          <w:szCs w:val="16"/>
          <w:color w:val="auto"/>
        </w:rPr>
      </w:pPr>
    </w:p>
    <w:p>
      <w:pPr>
        <w:ind w:left="424" w:right="22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this registration statement also covers such additional shares of Common Stock that may become issuable under the Plan and the 2003 LTIP by reason of certain corporate transactions or events, including any stock dividend, stock split, recapitalization or any other similar transaction effected without the receipt of consideration which results in an increase in the number of the Registrant’s outstanding shares of Common Stock.</w:t>
      </w:r>
    </w:p>
    <w:p>
      <w:pPr>
        <w:ind w:left="424" w:right="4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Rules 457(h) and (c) under the Securities Act. With respect to shares of Common Stock authorized for grant pursuant to the Plan and shares of Common Stock subject to outstanding equity-based awards, other than stock options, or that remain available for issuance, under the 2003 LTIP, the maximum offering price per share is based on the average of the high and low prices of the Common Stock as reported on the NASDAQ Global Select Market on November 18, 2020. With respect to the shares of Common Stock to be issued pursuant to the exercise of outstanding stock options granted to participants under the 2003 LTIP, the maximum offering price per share is based on the weighted average exercise price of such shares.</w:t>
      </w:r>
    </w:p>
    <w:p>
      <w:pPr>
        <w:ind w:left="424" w:right="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Calculated in accordance with Section 6 of the Securities Act and Rule 457 under the Securities Act by multiplying .0001091 and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702"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right="120" w:firstLine="440"/>
        <w:spacing w:after="0" w:line="288" w:lineRule="auto"/>
        <w:rPr>
          <w:sz w:val="20"/>
          <w:szCs w:val="20"/>
          <w:color w:val="auto"/>
        </w:rPr>
      </w:pPr>
      <w:r>
        <w:rPr>
          <w:rFonts w:ascii="Arial" w:cs="Arial" w:eastAsia="Arial" w:hAnsi="Arial"/>
          <w:sz w:val="16"/>
          <w:szCs w:val="16"/>
          <w:color w:val="auto"/>
        </w:rPr>
        <w:t>As previously announced, on November 16, 2020, Viatris Inc. (the “Company” or the “Registrant”) completed a combination with Mylan N.V. (“Mylan”) through a series of transactions pursuant to the terms of the Business Combination Agreement, dated as of July 29, 2019, by and among Pfizer Inc., the Registrant, Mylan and certain of their respective affiliates, as amended (the “Business Combination Agreement”). The Registrant has prepared this registration statement in accordance with the requirements of Form S-8 under the Securities Act to register shares of its Common Stock, par value $0.01 per share, issuable pursuant to the Viatris Inc. 2020 Stock Incentive Plan (the “Plan”) and the Mylan N.V. Amended and Restated 2003 Long-Term Incentive Plan (the “2003 LTIP”), which includes (i) 72,500,000 shares of Common Stock authorized for grant pursuant to the Plan, (ii) 6,757,640 shares of Common Stock to be issued pursuant to the exercise of outstanding stock options granted to participants under the 2003 LTIP and assumed by the Registrant in connection with the transactions contemplated by the Business Combination Agreement and (iii) 13,535,627 shares of Common Stock subject to outstanding equity-based awards, other than stock options, assumed by the Registrant in connection with the transactions contemplated by the Business Combination Agreement, or that otherwise remain available for issuance under the 2003 LTIP.</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documents containing the information specified in Part I of Form S-8 will be sent or given to employees as specified by Rule 428(b)(1) of the Securities Act of 1933, as amended (the “Securities Act”). Such documents need not be filed with the U.S. Securities and Exchange Commission (the “Commission”) either as part of this registration statement or as prospectuses or prospectus supplements pursuant to Rule 424 of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Upon written or oral request, any of the documents incorporated by reference in Item 3 of Part II of this registration statement (which documents are incorporated by reference in the Section 10(a) prospectus), any other document required to be delivered to employees pursuant to Rule 428(b) or additional information about the Plan is available without charge by contacting: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Canonsburg, Pennsylvania 15317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724-514-1813</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are incorporating by reference certain information that we and Mylan have filed with the Commission pursuant to the Securities Exchange Act of 1934, as amended (the “Exchange Act”). The information contained in the documents that we are incorporating by reference is considered to be part of this registration statement, and the information that the Registrant later files with the Commission will automatically update and supersede the information contained or incorporated by reference into this registration statement. We are incorporating by reference:</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Registrant</w:t>
      </w:r>
    </w:p>
    <w:p>
      <w:pPr>
        <w:spacing w:after="0" w:line="13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1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on May 7,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29, 2020, filed on May 12,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28, 2020, filed on August 12,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September 27, 2020, filed on November 10, 2020;</w:t>
      </w:r>
    </w:p>
    <w:p>
      <w:pPr>
        <w:spacing w:after="0" w:line="130"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2"/>
        </w:numPr>
        <w:rPr>
          <w:rFonts w:ascii="Arial" w:cs="Arial" w:eastAsia="Arial" w:hAnsi="Arial"/>
          <w:sz w:val="18"/>
          <w:szCs w:val="18"/>
          <w:color w:val="0000EE"/>
        </w:rPr>
      </w:pPr>
      <w:hyperlink r:id="rId23">
        <w:r>
          <w:rPr>
            <w:rFonts w:ascii="Arial" w:cs="Arial" w:eastAsia="Arial" w:hAnsi="Arial"/>
            <w:sz w:val="18"/>
            <w:szCs w:val="18"/>
            <w:color w:val="auto"/>
          </w:rPr>
          <w:t xml:space="preserve">Current Reports on Form 8-K or 8-K/A, as applicable, filed on </w:t>
        </w:r>
        <w:r>
          <w:rPr>
            <w:rFonts w:ascii="Arial" w:cs="Arial" w:eastAsia="Arial" w:hAnsi="Arial"/>
            <w:sz w:val="18"/>
            <w:szCs w:val="18"/>
            <w:u w:val="single" w:color="auto"/>
            <w:color w:val="0000EE"/>
          </w:rPr>
          <w:t>May 29,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17,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26,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November</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19, 2020</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November 19, 2020;</w:t>
        </w:r>
      </w:hyperlink>
    </w:p>
    <w:p>
      <w:pPr>
        <w:spacing w:after="0" w:line="75" w:lineRule="exact"/>
        <w:rPr>
          <w:rFonts w:ascii="Arial" w:cs="Arial" w:eastAsia="Arial" w:hAnsi="Arial"/>
          <w:sz w:val="18"/>
          <w:szCs w:val="18"/>
          <w:color w:val="0000EE"/>
        </w:rPr>
      </w:pPr>
    </w:p>
    <w:p>
      <w:pPr>
        <w:ind w:left="960" w:right="3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Registration Statement on </w:t>
      </w:r>
      <w:hyperlink r:id="rId25">
        <w:r>
          <w:rPr>
            <w:rFonts w:ascii="Arial" w:cs="Arial" w:eastAsia="Arial" w:hAnsi="Arial"/>
            <w:sz w:val="18"/>
            <w:szCs w:val="18"/>
            <w:u w:val="single" w:color="auto"/>
            <w:color w:val="0000EE"/>
          </w:rPr>
          <w:t>Form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000-56114), filed on June 12, 2020 and declared effective by the Commission on June 30, 2020; and</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Registration Statement on </w:t>
      </w:r>
      <w:hyperlink r:id="rId26">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on November 10, 2020, including all amendments and reports for the purpose of updating such description.</w:t>
      </w:r>
    </w:p>
    <w:p>
      <w:pPr>
        <w:spacing w:after="0" w:line="27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Mylan</w:t>
      </w:r>
    </w:p>
    <w:p>
      <w:pPr>
        <w:spacing w:after="0" w:line="131"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on February 28,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2020, filed on May 11,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2020, filed on August 6,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3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September 30, 2020, filed on November 6, 2020;</w:t>
      </w:r>
    </w:p>
    <w:p>
      <w:pPr>
        <w:spacing w:after="0" w:line="130" w:lineRule="exact"/>
        <w:rPr>
          <w:rFonts w:ascii="Arial" w:cs="Arial" w:eastAsia="Arial" w:hAnsi="Arial"/>
          <w:sz w:val="18"/>
          <w:szCs w:val="18"/>
          <w:color w:val="auto"/>
        </w:rPr>
      </w:pPr>
    </w:p>
    <w:p>
      <w:pPr>
        <w:ind w:left="960" w:right="2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information contained in Part III of Amendment No. 1 to the Annual Report on </w:t>
      </w:r>
      <w:hyperlink r:id="rId3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on April 29, 2020; and</w:t>
      </w:r>
    </w:p>
    <w:p>
      <w:pPr>
        <w:spacing w:after="0" w:line="75"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3"/>
        </w:numPr>
        <w:rPr>
          <w:rFonts w:ascii="Arial" w:cs="Arial" w:eastAsia="Arial" w:hAnsi="Arial"/>
          <w:sz w:val="18"/>
          <w:szCs w:val="18"/>
          <w:color w:val="0000EE"/>
        </w:rPr>
      </w:pPr>
      <w:hyperlink r:id="rId32">
        <w:r>
          <w:rPr>
            <w:rFonts w:ascii="Arial" w:cs="Arial" w:eastAsia="Arial" w:hAnsi="Arial"/>
            <w:sz w:val="18"/>
            <w:szCs w:val="18"/>
            <w:color w:val="auto"/>
          </w:rPr>
          <w:t xml:space="preserve">Current Reports on Form 8-K or 8-K/A, as applicable, filed on </w:t>
        </w:r>
        <w:r>
          <w:rPr>
            <w:rFonts w:ascii="Arial" w:cs="Arial" w:eastAsia="Arial" w:hAnsi="Arial"/>
            <w:sz w:val="18"/>
            <w:szCs w:val="18"/>
            <w:u w:val="single" w:color="auto"/>
            <w:color w:val="0000EE"/>
          </w:rPr>
          <w:t>February 27, 2020</w:t>
        </w:r>
        <w:r>
          <w:rPr>
            <w:rFonts w:ascii="Arial" w:cs="Arial" w:eastAsia="Arial" w:hAnsi="Arial"/>
            <w:sz w:val="18"/>
            <w:szCs w:val="18"/>
            <w:color w:val="auto"/>
          </w:rPr>
          <w:t xml:space="preserve"> (solely Items 2.05 and 8.01), </w:t>
        </w:r>
        <w:r>
          <w:rPr>
            <w:rFonts w:ascii="Arial" w:cs="Arial" w:eastAsia="Arial" w:hAnsi="Arial"/>
            <w:sz w:val="18"/>
            <w:szCs w:val="18"/>
            <w:u w:val="single" w:color="auto"/>
            <w:color w:val="0000EE"/>
          </w:rPr>
          <w:t>April 15, 2020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11,</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2020</w:t>
        </w:r>
        <w:r>
          <w:rPr>
            <w:rFonts w:ascii="Arial" w:cs="Arial" w:eastAsia="Arial" w:hAnsi="Arial"/>
            <w:sz w:val="18"/>
            <w:szCs w:val="18"/>
            <w:color w:val="0000EE"/>
          </w:rPr>
          <w:t xml:space="preserve"> </w:t>
        </w:r>
        <w:r>
          <w:rPr>
            <w:rFonts w:ascii="Arial" w:cs="Arial" w:eastAsia="Arial" w:hAnsi="Arial"/>
            <w:sz w:val="18"/>
            <w:szCs w:val="18"/>
            <w:color w:val="000000"/>
          </w:rPr>
          <w:t>(solely Item 8.01),</w:t>
        </w:r>
        <w:r>
          <w:rPr>
            <w:rFonts w:ascii="Arial" w:cs="Arial" w:eastAsia="Arial" w:hAnsi="Arial"/>
            <w:sz w:val="18"/>
            <w:szCs w:val="18"/>
            <w:color w:val="0000EE"/>
          </w:rPr>
          <w:t xml:space="preserve"> </w:t>
        </w:r>
      </w:hyperlink>
      <w:hyperlink r:id="rId33">
        <w:r>
          <w:rPr>
            <w:rFonts w:ascii="Arial" w:cs="Arial" w:eastAsia="Arial" w:hAnsi="Arial"/>
            <w:sz w:val="18"/>
            <w:szCs w:val="18"/>
            <w:u w:val="single" w:color="auto"/>
            <w:color w:val="0000EE"/>
          </w:rPr>
          <w:t>May 29, 2020</w:t>
        </w:r>
      </w:hyperlink>
      <w:hyperlink r:id="rId3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4">
        <w:r>
          <w:rPr>
            <w:rFonts w:ascii="Arial" w:cs="Arial" w:eastAsia="Arial" w:hAnsi="Arial"/>
            <w:sz w:val="18"/>
            <w:szCs w:val="18"/>
            <w:u w:val="single" w:color="auto"/>
            <w:color w:val="0000EE"/>
          </w:rPr>
          <w:t>June 1, 2020</w:t>
        </w:r>
      </w:hyperlink>
      <w:hyperlink r:id="rId3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5">
        <w:r>
          <w:rPr>
            <w:rFonts w:ascii="Arial" w:cs="Arial" w:eastAsia="Arial" w:hAnsi="Arial"/>
            <w:sz w:val="18"/>
            <w:szCs w:val="18"/>
            <w:u w:val="single" w:color="auto"/>
            <w:color w:val="0000EE"/>
          </w:rPr>
          <w:t>June 12, 2020</w:t>
        </w:r>
      </w:hyperlink>
      <w:hyperlink r:id="rId3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6">
        <w:r>
          <w:rPr>
            <w:rFonts w:ascii="Arial" w:cs="Arial" w:eastAsia="Arial" w:hAnsi="Arial"/>
            <w:sz w:val="18"/>
            <w:szCs w:val="18"/>
            <w:u w:val="single" w:color="auto"/>
            <w:color w:val="0000EE"/>
          </w:rPr>
          <w:t>June 17, 2020</w:t>
        </w:r>
      </w:hyperlink>
      <w:hyperlink r:id="rId3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7">
        <w:r>
          <w:rPr>
            <w:rFonts w:ascii="Arial" w:cs="Arial" w:eastAsia="Arial" w:hAnsi="Arial"/>
            <w:sz w:val="18"/>
            <w:szCs w:val="18"/>
            <w:u w:val="single" w:color="auto"/>
            <w:color w:val="0000EE"/>
          </w:rPr>
          <w:t>June 19, 2020</w:t>
        </w:r>
      </w:hyperlink>
      <w:hyperlink r:id="rId3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July 2, 2020</w:t>
        </w:r>
      </w:hyperlink>
      <w:hyperlink r:id="rId3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9">
        <w:r>
          <w:rPr>
            <w:rFonts w:ascii="Arial" w:cs="Arial" w:eastAsia="Arial" w:hAnsi="Arial"/>
            <w:sz w:val="18"/>
            <w:szCs w:val="18"/>
            <w:u w:val="single" w:color="auto"/>
            <w:color w:val="0000EE"/>
          </w:rPr>
          <w:t>July 24, 2020</w:t>
        </w:r>
      </w:hyperlink>
      <w:hyperlink r:id="rId32">
        <w:r>
          <w:rPr>
            <w:rFonts w:ascii="Arial" w:cs="Arial" w:eastAsia="Arial" w:hAnsi="Arial"/>
            <w:sz w:val="18"/>
            <w:szCs w:val="18"/>
            <w:color w:val="000000"/>
          </w:rPr>
          <w:t>,</w:t>
        </w:r>
      </w:hyperlink>
      <w:r>
        <w:rPr>
          <w:rFonts w:ascii="Arial" w:cs="Arial" w:eastAsia="Arial" w:hAnsi="Arial"/>
          <w:sz w:val="18"/>
          <w:szCs w:val="18"/>
          <w:color w:val="0000EE"/>
        </w:rPr>
        <w:t xml:space="preserve"> </w:t>
      </w:r>
      <w:hyperlink r:id="rId40">
        <w:r>
          <w:rPr>
            <w:rFonts w:ascii="Arial" w:cs="Arial" w:eastAsia="Arial" w:hAnsi="Arial"/>
            <w:sz w:val="18"/>
            <w:szCs w:val="18"/>
            <w:u w:val="single" w:color="auto"/>
            <w:color w:val="0000EE"/>
          </w:rPr>
          <w:t>August 6, 2020</w:t>
        </w:r>
        <w:r>
          <w:rPr>
            <w:rFonts w:ascii="Arial" w:cs="Arial" w:eastAsia="Arial" w:hAnsi="Arial"/>
            <w:sz w:val="18"/>
            <w:szCs w:val="18"/>
            <w:color w:val="0000EE"/>
          </w:rPr>
          <w:t xml:space="preserve"> </w:t>
        </w:r>
      </w:hyperlink>
      <w:r>
        <w:rPr>
          <w:rFonts w:ascii="Arial" w:cs="Arial" w:eastAsia="Arial" w:hAnsi="Arial"/>
          <w:sz w:val="18"/>
          <w:szCs w:val="18"/>
          <w:color w:val="000000"/>
        </w:rPr>
        <w:t>(solely</w:t>
      </w:r>
      <w:r>
        <w:rPr>
          <w:rFonts w:ascii="Arial" w:cs="Arial" w:eastAsia="Arial" w:hAnsi="Arial"/>
          <w:sz w:val="18"/>
          <w:szCs w:val="18"/>
          <w:color w:val="0000EE"/>
        </w:rPr>
        <w:t xml:space="preserve"> </w:t>
      </w:r>
      <w:r>
        <w:rPr>
          <w:rFonts w:ascii="Arial" w:cs="Arial" w:eastAsia="Arial" w:hAnsi="Arial"/>
          <w:sz w:val="18"/>
          <w:szCs w:val="18"/>
          <w:color w:val="000000"/>
        </w:rPr>
        <w:t>Item 8.01),</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August 31,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42">
        <w:r>
          <w:rPr>
            <w:rFonts w:ascii="Arial" w:cs="Arial" w:eastAsia="Arial" w:hAnsi="Arial"/>
            <w:sz w:val="18"/>
            <w:szCs w:val="18"/>
            <w:u w:val="single" w:color="auto"/>
            <w:color w:val="0000EE"/>
          </w:rPr>
          <w:t xml:space="preserve">September 11,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3">
        <w:r>
          <w:rPr>
            <w:rFonts w:ascii="Arial" w:cs="Arial" w:eastAsia="Arial" w:hAnsi="Arial"/>
            <w:sz w:val="18"/>
            <w:szCs w:val="18"/>
            <w:u w:val="single" w:color="auto"/>
            <w:color w:val="0000EE"/>
          </w:rPr>
          <w:t>November 19, 2020</w:t>
        </w:r>
      </w:hyperlink>
      <w:r>
        <w:rPr>
          <w:rFonts w:ascii="Arial" w:cs="Arial" w:eastAsia="Arial" w:hAnsi="Arial"/>
          <w:sz w:val="18"/>
          <w:szCs w:val="18"/>
          <w:color w:val="000000"/>
        </w:rPr>
        <w:t>.</w:t>
      </w:r>
    </w:p>
    <w:p>
      <w:pPr>
        <w:spacing w:after="0" w:line="184" w:lineRule="exact"/>
        <w:rPr>
          <w:rFonts w:ascii="Arial" w:cs="Arial" w:eastAsia="Arial" w:hAnsi="Arial"/>
          <w:sz w:val="18"/>
          <w:szCs w:val="18"/>
          <w:color w:val="0000EE"/>
        </w:rPr>
      </w:pPr>
    </w:p>
    <w:p>
      <w:pPr>
        <w:ind w:right="60"/>
        <w:spacing w:after="0" w:line="254" w:lineRule="auto"/>
        <w:rPr>
          <w:sz w:val="20"/>
          <w:szCs w:val="20"/>
          <w:color w:val="auto"/>
        </w:rPr>
      </w:pPr>
      <w:r>
        <w:rPr>
          <w:rFonts w:ascii="Arial" w:cs="Arial" w:eastAsia="Arial" w:hAnsi="Arial"/>
          <w:sz w:val="18"/>
          <w:szCs w:val="18"/>
          <w:color w:val="auto"/>
        </w:rPr>
        <w:t>All documents subsequently filed by the Registrant pursuant to Sections 13(a), 13(c), 14 or 15(d) of the Exchange Act (other than the portions of those documents furnished or otherwise not deemed to be filed),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9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rFonts w:ascii="Arial" w:cs="Arial" w:eastAsia="Arial" w:hAnsi="Arial"/>
          <w:sz w:val="18"/>
          <w:szCs w:val="18"/>
          <w:color w:val="0000EE"/>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rFonts w:ascii="Arial" w:cs="Arial" w:eastAsia="Arial" w:hAnsi="Arial"/>
          <w:sz w:val="18"/>
          <w:szCs w:val="18"/>
          <w:color w:val="0000EE"/>
        </w:rPr>
      </w:pPr>
    </w:p>
    <w:p>
      <w:pPr>
        <w:ind w:firstLine="440"/>
        <w:spacing w:after="0" w:line="269" w:lineRule="auto"/>
        <w:rPr>
          <w:sz w:val="20"/>
          <w:szCs w:val="20"/>
          <w:color w:val="auto"/>
        </w:rPr>
      </w:pPr>
      <w:r>
        <w:rPr>
          <w:rFonts w:ascii="Arial" w:cs="Arial" w:eastAsia="Arial" w:hAnsi="Arial"/>
          <w:sz w:val="17"/>
          <w:szCs w:val="17"/>
          <w:color w:val="auto"/>
        </w:rPr>
        <w:t>Section 145 of the Delaware General Corporation Law (the “DGCL”) permits a corporation to indemnify any person who is or has been a director, officer, employee or agent of the corporation or who is or has been serving as director, officer, employee or agent of another corporation, partnership, joint venture, trust or other enterprise at the request of the corporation, against expenses (including, but not limited to, attorneys’ fees and disbursements and amounts paid in settlement or in satisfaction of judgments or as fines or penalties) actually and reasonably incurred in connection with any such action, suit or proceeding, whether civil, criminal, administrative or investigative, in which he/she may be involved by reason of the fact that he/she served or is serving in these capacities, if he/she acted in good faith and in a manner he/she reasonably believed to be in or not opposed to the best interest of the corporation and, with respect to any criminal action or proceeding, had no cause to believe his/her conduct was unlawful. In the case of an action, suit or proceeding made or brought by or in the right of the corporation to procure a judgment in its favor, the corporation shall not indemnify such person in respect of any claim, issue or matter as to which such person has been adjudged to be liable to the corporation, except for such expenses as the court may allow. Any such person who has been wholly successful on the merits or otherwise with respect to any such action, suit or proceeding or with respect to any such claim, issue or matter therein, shall be indemnified against all expenses actually and reasonably incurred in connection therewith.</w:t>
      </w:r>
    </w:p>
    <w:p>
      <w:pPr>
        <w:sectPr>
          <w:pgSz w:w="11900" w:h="16838" w:orient="portrait"/>
          <w:cols w:equalWidth="0" w:num="1">
            <w:col w:w="11000"/>
          </w:cols>
          <w:pgMar w:left="440" w:top="274" w:right="459" w:bottom="1440" w:gutter="0" w:footer="0" w:header="0"/>
        </w:sectPr>
      </w:pPr>
    </w:p>
    <w:bookmarkStart w:id="4" w:name="page5"/>
    <w:bookmarkEnd w:id="4"/>
    <w:p>
      <w:pPr>
        <w:ind w:right="1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102(b)(7) of the DGCL provides that a corporation may eliminate or limit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2"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Registrant’s Amended and Restated Certificate of Incorporation (the “Charter”) and Amended and Restated Bylaws (the “Bylaws”) include provisions that require the Registrant to indemnify, to the fullest extent allowable under the laws of the State of Delaware, directors or officers against monetary damages for actions taken as a director or officer of the Registrant, or for serving at the Registrant’s request in any capacity at another corporation or enterprise, as the case may be. The Charter and the Bylaws also provide that the Registrant must indemnify and advance reasonable expenses to its directors and officers, subject to the Registrant’s receipt of an undertaking from the indemnified party to repay all amounts advanced if it is determined ultimately that the indemnified party is not entitled to be indemnified. The Registrant is also expressly authorized to carry directors’ and officers’ insurance to protect the Registrant and its directors and officers for some liabilities. In addition, as permitted by Delaware law, the Charter provides that no director shall be liable to the Registrant or its stockholders for monetary damages for breach of fiduciary duty as a director.</w:t>
      </w:r>
    </w:p>
    <w:p>
      <w:pPr>
        <w:spacing w:after="0" w:line="16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connection with the transactions contemplated by the Business Combination Agreement, on November 20, 2020, the Registrant approved indemnification agreements with each of the directors and executive officers of the Registrant. The indemnification agreements provide indemnification, to the fullest extent permitted by applicable law, to each such director or officer who was, is or becomes or is threatened to be made, in his or her capacity as a director or officer of the Registrant or any of its subsidiaries or any capacity of any other corporation, partnership, joint venture, trust, employee benefit plan or other enterprise at the request of the Registrant, a party to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380" w:type="dxa"/>
            <w:vAlign w:val="bottom"/>
            <w:gridSpan w:val="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Numbers</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3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20" w:type="dxa"/>
            <w:vAlign w:val="bottom"/>
          </w:tcPr>
          <w:p>
            <w:pPr>
              <w:spacing w:after="0"/>
              <w:rPr>
                <w:sz w:val="24"/>
                <w:szCs w:val="24"/>
                <w:color w:val="auto"/>
              </w:rPr>
            </w:pPr>
          </w:p>
        </w:tc>
        <w:tc>
          <w:tcPr>
            <w:tcW w:w="9340" w:type="dxa"/>
            <w:vAlign w:val="bottom"/>
            <w:tcBorders>
              <w:bottom w:val="single" w:sz="8" w:color="0000EE"/>
            </w:tcBorders>
            <w:gridSpan w:val="5"/>
          </w:tcPr>
          <w:p>
            <w:pPr>
              <w:spacing w:after="0"/>
              <w:rPr>
                <w:rFonts w:ascii="Arial" w:cs="Arial" w:eastAsia="Arial" w:hAnsi="Arial"/>
                <w:sz w:val="18"/>
                <w:szCs w:val="18"/>
                <w:color w:val="0000EE"/>
                <w:w w:val="92"/>
              </w:rPr>
            </w:pPr>
            <w:hyperlink r:id="rId45">
              <w:r>
                <w:rPr>
                  <w:rFonts w:ascii="Arial" w:cs="Arial" w:eastAsia="Arial" w:hAnsi="Arial"/>
                  <w:sz w:val="18"/>
                  <w:szCs w:val="18"/>
                  <w:color w:val="0000EE"/>
                  <w:w w:val="92"/>
                </w:rPr>
                <w:t>Amended and Restated Certificate of Incorporation of Upjohn Inc., effective as of November 13, 2020, filed as Exhibit 3.1 to the</w:t>
              </w:r>
            </w:hyperlink>
          </w:p>
        </w:tc>
        <w:tc>
          <w:tcPr>
            <w:tcW w:w="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gridSpan w:val="8"/>
          </w:tcPr>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Registrant’s Report on Form 8-K filed with the Commission on November 19, 2020, and incorporated herein by reference.</w:t>
              </w:r>
            </w:hyperlink>
          </w:p>
        </w:tc>
        <w:tc>
          <w:tcPr>
            <w:tcW w:w="0" w:type="dxa"/>
            <w:vAlign w:val="bottom"/>
          </w:tcPr>
          <w:p>
            <w:pPr>
              <w:spacing w:after="0"/>
              <w:rPr>
                <w:sz w:val="1"/>
                <w:szCs w:val="1"/>
                <w:color w:val="auto"/>
              </w:rPr>
            </w:pPr>
          </w:p>
        </w:tc>
      </w:tr>
      <w:tr>
        <w:trPr>
          <w:trHeight w:val="283"/>
        </w:trPr>
        <w:tc>
          <w:tcPr>
            <w:tcW w:w="5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2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Amended and Restated Bylaws of Upjohn Inc., effective as of November 13, 2020, filed as Exhibit 3.2 to the Registrant’s Report on</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00" w:type="dxa"/>
            <w:vAlign w:val="bottom"/>
            <w:gridSpan w:val="8"/>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Form 8-K filed with the Commission on November 19, 2020, and incorporated herein by reference.</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20" w:type="dxa"/>
            <w:vAlign w:val="bottom"/>
            <w:gridSpan w:val="3"/>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20" w:type="dxa"/>
            <w:vAlign w:val="bottom"/>
          </w:tcPr>
          <w:p>
            <w:pPr>
              <w:spacing w:after="0"/>
              <w:rPr>
                <w:sz w:val="24"/>
                <w:szCs w:val="24"/>
                <w:color w:val="auto"/>
              </w:rPr>
            </w:pPr>
          </w:p>
        </w:tc>
        <w:tc>
          <w:tcPr>
            <w:tcW w:w="9700" w:type="dxa"/>
            <w:vAlign w:val="bottom"/>
            <w:gridSpan w:val="8"/>
          </w:tcPr>
          <w:p>
            <w:pP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Certificate of Amendment to Amended and Restated Certificate of Incorporation of Upjohn Inc., effective as of November 16, 2020,</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4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filed as Exhibit 3.3 to the Registrant’s Report on Form 8-K filed with the Commission on November 19, 2020, and incorporated herein</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700" w:type="dxa"/>
            <w:vAlign w:val="bottom"/>
            <w:gridSpan w:val="8"/>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by reference.</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520" w:type="dxa"/>
            <w:vAlign w:val="bottom"/>
          </w:tcPr>
          <w:p>
            <w:pPr>
              <w:spacing w:after="0"/>
              <w:rPr>
                <w:sz w:val="24"/>
                <w:szCs w:val="24"/>
                <w:color w:val="auto"/>
              </w:rPr>
            </w:pPr>
          </w:p>
        </w:tc>
        <w:tc>
          <w:tcPr>
            <w:tcW w:w="9700" w:type="dxa"/>
            <w:vAlign w:val="bottom"/>
            <w:gridSpan w:val="8"/>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Opinion of Cravath, Swaine &amp; Moore LLP.</w:t>
              </w:r>
            </w:hyperlink>
          </w:p>
        </w:tc>
        <w:tc>
          <w:tcPr>
            <w:tcW w:w="0" w:type="dxa"/>
            <w:vAlign w:val="bottom"/>
          </w:tcPr>
          <w:p>
            <w:pPr>
              <w:spacing w:after="0"/>
              <w:rPr>
                <w:sz w:val="1"/>
                <w:szCs w:val="1"/>
                <w:color w:val="auto"/>
              </w:rPr>
            </w:pPr>
          </w:p>
        </w:tc>
      </w:tr>
      <w:tr>
        <w:trPr>
          <w:trHeight w:val="324"/>
        </w:trPr>
        <w:tc>
          <w:tcPr>
            <w:tcW w:w="58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520" w:type="dxa"/>
            <w:vAlign w:val="bottom"/>
          </w:tcPr>
          <w:p>
            <w:pPr>
              <w:spacing w:after="0"/>
              <w:rPr>
                <w:sz w:val="24"/>
                <w:szCs w:val="24"/>
                <w:color w:val="auto"/>
              </w:rPr>
            </w:pPr>
          </w:p>
        </w:tc>
        <w:tc>
          <w:tcPr>
            <w:tcW w:w="9700" w:type="dxa"/>
            <w:vAlign w:val="bottom"/>
            <w:gridSpan w:val="8"/>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Consent of Cravath, Swaine &amp; Moore LLP (included as part of Exhibit 5.1 hereto).</w:t>
              </w:r>
            </w:hyperlink>
          </w:p>
        </w:tc>
        <w:tc>
          <w:tcPr>
            <w:tcW w:w="0" w:type="dxa"/>
            <w:vAlign w:val="bottom"/>
          </w:tcPr>
          <w:p>
            <w:pPr>
              <w:spacing w:after="0"/>
              <w:rPr>
                <w:sz w:val="1"/>
                <w:szCs w:val="1"/>
                <w:color w:val="auto"/>
              </w:rPr>
            </w:pPr>
          </w:p>
        </w:tc>
      </w:tr>
    </w:tbl>
    <w:p>
      <w:pPr>
        <w:sectPr>
          <w:pgSz w:w="11900" w:h="16838" w:orient="portrait"/>
          <w:cols w:equalWidth="0" w:num="1">
            <w:col w:w="10980"/>
          </w:cols>
          <w:pgMar w:left="440" w:top="274" w:right="479" w:bottom="1440" w:gutter="0" w:footer="0" w:header="0"/>
        </w:sectPr>
      </w:pPr>
    </w:p>
    <w:bookmarkStart w:id="5" w:name="page6"/>
    <w:bookmarkEnd w:id="5"/>
    <w:p>
      <w:pPr>
        <w:ind w:left="2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*23.2</w:t>
      </w:r>
      <w:r>
        <w:rPr>
          <w:sz w:val="20"/>
          <w:szCs w:val="20"/>
          <w:color w:val="auto"/>
        </w:rPr>
        <w:tab/>
      </w:r>
      <w:hyperlink w:anchor="page12">
        <w:r>
          <w:rPr>
            <w:rFonts w:ascii="Arial" w:cs="Arial" w:eastAsia="Arial" w:hAnsi="Arial"/>
            <w:sz w:val="16"/>
            <w:szCs w:val="16"/>
            <w:u w:val="single" w:color="auto"/>
            <w:color w:val="0000EE"/>
          </w:rPr>
          <w:t>Consent of KPMG LLP.</w:t>
        </w:r>
      </w:hyperlink>
    </w:p>
    <w:p>
      <w:pPr>
        <w:spacing w:after="0" w:line="117" w:lineRule="exact"/>
        <w:rPr>
          <w:sz w:val="20"/>
          <w:szCs w:val="20"/>
          <w:color w:val="auto"/>
        </w:rPr>
      </w:pPr>
    </w:p>
    <w:p>
      <w:pPr>
        <w:ind w:left="2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13">
        <w:r>
          <w:rPr>
            <w:rFonts w:ascii="Arial" w:cs="Arial" w:eastAsia="Arial" w:hAnsi="Arial"/>
            <w:sz w:val="16"/>
            <w:szCs w:val="16"/>
            <w:u w:val="single" w:color="auto"/>
            <w:color w:val="0000EE"/>
          </w:rPr>
          <w:t>Consent of KPMG LLP.</w:t>
        </w:r>
      </w:hyperlink>
    </w:p>
    <w:p>
      <w:pPr>
        <w:spacing w:after="0" w:line="117" w:lineRule="exact"/>
        <w:rPr>
          <w:sz w:val="20"/>
          <w:szCs w:val="20"/>
          <w:color w:val="auto"/>
        </w:rPr>
      </w:pPr>
    </w:p>
    <w:p>
      <w:pPr>
        <w:ind w:left="2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*23.4</w:t>
      </w:r>
      <w:r>
        <w:rPr>
          <w:sz w:val="20"/>
          <w:szCs w:val="20"/>
          <w:color w:val="auto"/>
        </w:rPr>
        <w:tab/>
      </w:r>
      <w:hyperlink w:anchor="page14">
        <w:r>
          <w:rPr>
            <w:rFonts w:ascii="Arial" w:cs="Arial" w:eastAsia="Arial" w:hAnsi="Arial"/>
            <w:sz w:val="16"/>
            <w:szCs w:val="16"/>
            <w:u w:val="single" w:color="auto"/>
            <w:color w:val="0000EE"/>
          </w:rPr>
          <w:t>Consent of Deloitte &amp; Touche LLP</w:t>
        </w:r>
        <w:r>
          <w:rPr>
            <w:rFonts w:ascii="Arial" w:cs="Arial" w:eastAsia="Arial" w:hAnsi="Arial"/>
            <w:sz w:val="16"/>
            <w:szCs w:val="16"/>
            <w:color w:val="0000EE"/>
          </w:rPr>
          <w:t>.</w:t>
        </w:r>
      </w:hyperlink>
    </w:p>
    <w:p>
      <w:pPr>
        <w:spacing w:after="0" w:line="117" w:lineRule="exact"/>
        <w:rPr>
          <w:sz w:val="20"/>
          <w:szCs w:val="20"/>
          <w:color w:val="auto"/>
        </w:rPr>
      </w:pPr>
    </w:p>
    <w:p>
      <w:pPr>
        <w:ind w:left="24"/>
        <w:spacing w:after="0"/>
        <w:tabs>
          <w:tab w:leader="none" w:pos="76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8">
        <w:r>
          <w:rPr>
            <w:rFonts w:ascii="Arial" w:cs="Arial" w:eastAsia="Arial" w:hAnsi="Arial"/>
            <w:sz w:val="16"/>
            <w:szCs w:val="16"/>
            <w:u w:val="single" w:color="auto"/>
            <w:color w:val="0000EE"/>
          </w:rPr>
          <w:t>Power of Attorney (included as part of the signature page of this registration statement).</w:t>
        </w:r>
      </w:hyperlink>
    </w:p>
    <w:p>
      <w:pPr>
        <w:spacing w:after="0" w:line="117" w:lineRule="exact"/>
        <w:rPr>
          <w:sz w:val="20"/>
          <w:szCs w:val="20"/>
          <w:color w:val="auto"/>
        </w:rPr>
      </w:pPr>
    </w:p>
    <w:p>
      <w:pPr>
        <w:ind w:left="784" w:right="880" w:hanging="710"/>
        <w:spacing w:after="0" w:line="277"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r:id="rId49">
        <w:r>
          <w:rPr>
            <w:rFonts w:ascii="Arial" w:cs="Arial" w:eastAsia="Arial" w:hAnsi="Arial"/>
            <w:sz w:val="18"/>
            <w:szCs w:val="18"/>
            <w:u w:val="single" w:color="auto"/>
            <w:color w:val="0000EE"/>
          </w:rPr>
          <w:t>Viatris Inc. 2020 Stock Incentive Plan, filed as Exhibit 10.9 to the Registrant’s Report on Form 8-K filed with the Commission on</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November 19, 2020, and incorporated herein by reference.</w:t>
        </w:r>
      </w:hyperlink>
    </w:p>
    <w:p>
      <w:pPr>
        <w:spacing w:after="0" w:line="62" w:lineRule="exact"/>
        <w:rPr>
          <w:sz w:val="20"/>
          <w:szCs w:val="20"/>
          <w:color w:val="auto"/>
        </w:rPr>
      </w:pPr>
    </w:p>
    <w:p>
      <w:pPr>
        <w:ind w:left="784" w:right="360" w:hanging="710"/>
        <w:spacing w:after="0" w:line="277" w:lineRule="auto"/>
        <w:tabs>
          <w:tab w:leader="none" w:pos="76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50">
        <w:r>
          <w:rPr>
            <w:rFonts w:ascii="Arial" w:cs="Arial" w:eastAsia="Arial" w:hAnsi="Arial"/>
            <w:sz w:val="18"/>
            <w:szCs w:val="18"/>
            <w:u w:val="single" w:color="auto"/>
            <w:color w:val="0000EE"/>
          </w:rPr>
          <w:t>Mylan N.V. Amended and Restated 2003 Long-Term Incentive Plan, filed as Appendix B to Mylan N.V.’s Definitive Proxy Statement on</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Schedule 14A filed with the Commission on May 25, 2016,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left="4" w:right="80" w:hanging="4"/>
        <w:spacing w:after="0" w:line="293" w:lineRule="auto"/>
        <w:tabs>
          <w:tab w:leader="none" w:pos="269"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left="4" w:right="320" w:hanging="4"/>
        <w:spacing w:after="0" w:line="27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Exchange Act that are incorporated by reference in the registration statement.</w:t>
      </w:r>
    </w:p>
    <w:p>
      <w:pPr>
        <w:spacing w:after="0" w:line="76" w:lineRule="exact"/>
        <w:rPr>
          <w:sz w:val="20"/>
          <w:szCs w:val="20"/>
          <w:color w:val="auto"/>
        </w:rPr>
      </w:pPr>
    </w:p>
    <w:p>
      <w:pPr>
        <w:ind w:left="4" w:right="140" w:hanging="4"/>
        <w:spacing w:after="0" w:line="26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 w:hanging="4"/>
        <w:spacing w:after="0" w:line="277"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4" w:right="80" w:hanging="4"/>
        <w:spacing w:after="0" w:line="257"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4"/>
          </w:cols>
          <w:pgMar w:left="436" w:top="382" w:right="459" w:bottom="1440" w:gutter="0" w:footer="0" w:header="0"/>
        </w:sectPr>
      </w:pPr>
    </w:p>
    <w:bookmarkStart w:id="6" w:name="page7"/>
    <w:bookmarkEnd w:id="6"/>
    <w:p>
      <w:pPr>
        <w:ind w:left="4" w:hanging="4"/>
        <w:spacing w:after="0" w:line="271" w:lineRule="auto"/>
        <w:tabs>
          <w:tab w:leader="none" w:pos="249"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84"/>
          </w:cols>
          <w:pgMar w:left="436" w:top="274" w:right="67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Pittsburgh, State of Pennsylvania on November 20,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VIATRIS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Sanjeev Narula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PERSONS BY THESE PRESENTS, each person whose signature appears below, as a director or officer of Viatris Inc., a Delaware corporation, does hereby constitute and appoint each of Sanjeev Narula and Paul Campbell the true and lawful attorney-in-fact and agent, with full power of substitution and resubstitution, of the undersigned, to sign, in the name and on behalf of the undersigned, the Registration Statement on Form S-8 to which this power of attorney is filed as an exhibit, and any and all amendments thereto, including post-effective amendments, and to file or cause to be filed the same, with all exhibits thereto, and other documents in connection therewith, with the Securities and Exchange Commission, and hereby grants to such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either of them, or their or his or her substitute or substitutes, may lawfully do or cause to be done by virtue 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ind w:left="1800"/>
              <w:spacing w:after="0"/>
              <w:rPr>
                <w:sz w:val="20"/>
                <w:szCs w:val="20"/>
                <w:color w:val="auto"/>
              </w:rPr>
            </w:pPr>
            <w:r>
              <w:rPr>
                <w:rFonts w:ascii="Arial" w:cs="Arial" w:eastAsia="Arial" w:hAnsi="Arial"/>
                <w:sz w:val="14"/>
                <w:szCs w:val="14"/>
                <w:b w:val="1"/>
                <w:bCs w:val="1"/>
                <w:color w:val="auto"/>
              </w:rPr>
              <w:t>Signature</w:t>
            </w:r>
          </w:p>
        </w:tc>
        <w:tc>
          <w:tcPr>
            <w:tcW w:w="4100" w:type="dxa"/>
            <w:vAlign w:val="bottom"/>
          </w:tcPr>
          <w:p>
            <w:pPr>
              <w:ind w:left="206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ind w:left="1360"/>
              <w:spacing w:after="0"/>
              <w:rPr>
                <w:sz w:val="20"/>
                <w:szCs w:val="20"/>
                <w:color w:val="auto"/>
              </w:rPr>
            </w:pPr>
            <w:r>
              <w:rPr>
                <w:rFonts w:ascii="Arial" w:cs="Arial" w:eastAsia="Arial" w:hAnsi="Arial"/>
                <w:sz w:val="14"/>
                <w:szCs w:val="14"/>
                <w:b w:val="1"/>
                <w:bCs w:val="1"/>
                <w:color w:val="auto"/>
              </w:rPr>
              <w:t>Date</w:t>
            </w:r>
          </w:p>
        </w:tc>
      </w:tr>
      <w:tr>
        <w:trPr>
          <w:trHeight w:val="417"/>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Coury</w:t>
            </w:r>
          </w:p>
        </w:tc>
        <w:tc>
          <w:tcPr>
            <w:tcW w:w="4100" w:type="dxa"/>
            <w:vAlign w:val="bottom"/>
          </w:tcPr>
          <w:p>
            <w:pPr>
              <w:ind w:left="100"/>
              <w:spacing w:after="0"/>
              <w:rPr>
                <w:sz w:val="20"/>
                <w:szCs w:val="20"/>
                <w:color w:val="auto"/>
              </w:rPr>
            </w:pPr>
            <w:r>
              <w:rPr>
                <w:rFonts w:ascii="Arial" w:cs="Arial" w:eastAsia="Arial" w:hAnsi="Arial"/>
                <w:sz w:val="18"/>
                <w:szCs w:val="18"/>
                <w:color w:val="auto"/>
              </w:rPr>
              <w:t>Executive Chairman of the Board and Director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Robert J. Coury</w:t>
            </w:r>
          </w:p>
        </w:tc>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Goettler</w:t>
            </w:r>
          </w:p>
        </w:tc>
        <w:tc>
          <w:tcPr>
            <w:tcW w:w="4100" w:type="dxa"/>
            <w:vAlign w:val="bottom"/>
          </w:tcPr>
          <w:p>
            <w:pPr>
              <w:ind w:left="100"/>
              <w:spacing w:after="0"/>
              <w:rPr>
                <w:sz w:val="20"/>
                <w:szCs w:val="20"/>
                <w:color w:val="auto"/>
              </w:rPr>
            </w:pPr>
            <w:r>
              <w:rPr>
                <w:rFonts w:ascii="Arial" w:cs="Arial" w:eastAsia="Arial" w:hAnsi="Arial"/>
                <w:sz w:val="18"/>
                <w:szCs w:val="18"/>
                <w:color w:val="auto"/>
              </w:rPr>
              <w:t>Chief Executive Officer and Director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Michael Goettler</w:t>
            </w:r>
          </w:p>
        </w:tc>
        <w:tc>
          <w:tcPr>
            <w:tcW w:w="41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Sanjeev Narula</w:t>
            </w:r>
          </w:p>
        </w:tc>
        <w:tc>
          <w:tcPr>
            <w:tcW w:w="41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Sanjeev Narula</w:t>
            </w:r>
          </w:p>
        </w:tc>
        <w:tc>
          <w:tcPr>
            <w:tcW w:w="410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Campbell</w:t>
            </w:r>
          </w:p>
        </w:tc>
        <w:tc>
          <w:tcPr>
            <w:tcW w:w="4100" w:type="dxa"/>
            <w:vAlign w:val="bottom"/>
          </w:tcPr>
          <w:p>
            <w:pPr>
              <w:ind w:left="100"/>
              <w:spacing w:after="0"/>
              <w:rPr>
                <w:sz w:val="20"/>
                <w:szCs w:val="20"/>
                <w:color w:val="auto"/>
              </w:rPr>
            </w:pPr>
            <w:r>
              <w:rPr>
                <w:rFonts w:ascii="Arial" w:cs="Arial" w:eastAsia="Arial" w:hAnsi="Arial"/>
                <w:sz w:val="18"/>
                <w:szCs w:val="18"/>
                <w:color w:val="auto"/>
              </w:rPr>
              <w:t>Chief Accounting Officer and Corporate Controller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Paul Campbell</w:t>
            </w:r>
          </w:p>
        </w:tc>
        <w:tc>
          <w:tcPr>
            <w:tcW w:w="410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Don Cornwell</w:t>
            </w:r>
          </w:p>
        </w:tc>
        <w:tc>
          <w:tcPr>
            <w:tcW w:w="4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W. Don Cornwell</w:t>
            </w:r>
          </w:p>
        </w:tc>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JoEllen Lyons Dillon</w:t>
            </w:r>
          </w:p>
        </w:tc>
        <w:tc>
          <w:tcPr>
            <w:tcW w:w="4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JoEllen Lyons Dillon</w:t>
            </w:r>
          </w:p>
        </w:tc>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Dimick</w:t>
            </w:r>
          </w:p>
        </w:tc>
        <w:tc>
          <w:tcPr>
            <w:tcW w:w="4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Neil Dimick</w:t>
            </w:r>
          </w:p>
        </w:tc>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Melina Higgins</w:t>
            </w:r>
          </w:p>
        </w:tc>
        <w:tc>
          <w:tcPr>
            <w:tcW w:w="4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Melina Higgins</w:t>
            </w:r>
          </w:p>
        </w:tc>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Kilts</w:t>
            </w:r>
          </w:p>
        </w:tc>
        <w:tc>
          <w:tcPr>
            <w:tcW w:w="4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30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James M. Kilts</w:t>
            </w:r>
          </w:p>
        </w:tc>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ectPr>
          <w:pgSz w:w="11900" w:h="16838" w:orient="portrait"/>
          <w:cols w:equalWidth="0" w:num="1">
            <w:col w:w="10940"/>
          </w:cols>
          <w:pgMar w:left="440" w:top="270" w:right="5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A. Korman</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4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Harry A. Korman</w:t>
            </w:r>
          </w:p>
        </w:tc>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Rajiv Malik</w:t>
            </w:r>
          </w:p>
        </w:tc>
        <w:tc>
          <w:tcPr>
            <w:tcW w:w="3060" w:type="dxa"/>
            <w:vAlign w:val="bottom"/>
          </w:tcPr>
          <w:p>
            <w:pPr>
              <w:ind w:left="100"/>
              <w:spacing w:after="0"/>
              <w:rPr>
                <w:sz w:val="20"/>
                <w:szCs w:val="20"/>
                <w:color w:val="auto"/>
              </w:rPr>
            </w:pPr>
            <w:r>
              <w:rPr>
                <w:rFonts w:ascii="Arial" w:cs="Arial" w:eastAsia="Arial" w:hAnsi="Arial"/>
                <w:sz w:val="18"/>
                <w:szCs w:val="18"/>
                <w:color w:val="auto"/>
              </w:rPr>
              <w:t>President and Director</w:t>
            </w:r>
          </w:p>
        </w:tc>
        <w:tc>
          <w:tcPr>
            <w:tcW w:w="2760" w:type="dxa"/>
            <w:vAlign w:val="bottom"/>
          </w:tcPr>
          <w:p>
            <w:pPr>
              <w:ind w:left="134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Rajiv Malik</w:t>
            </w:r>
          </w:p>
        </w:tc>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Mark</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4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Richard A. Mark</w:t>
            </w:r>
          </w:p>
        </w:tc>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Parrish</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4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Mark W. Parrish</w:t>
            </w:r>
          </w:p>
        </w:tc>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Read</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4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Ian Read</w:t>
            </w:r>
          </w:p>
        </w:tc>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Pauline van der Meer Mohr</w:t>
            </w:r>
          </w:p>
        </w:tc>
        <w:tc>
          <w:tcPr>
            <w:tcW w:w="306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340"/>
              <w:spacing w:after="0"/>
              <w:rPr>
                <w:sz w:val="20"/>
                <w:szCs w:val="20"/>
                <w:color w:val="auto"/>
              </w:rPr>
            </w:pPr>
            <w:r>
              <w:rPr>
                <w:rFonts w:ascii="Arial" w:cs="Arial" w:eastAsia="Arial" w:hAnsi="Arial"/>
                <w:sz w:val="18"/>
                <w:szCs w:val="18"/>
                <w:color w:val="auto"/>
                <w:w w:val="88"/>
              </w:rPr>
              <w:t>November 20, 2020</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Pauline van der Meer Mohr</w:t>
            </w:r>
          </w:p>
        </w:tc>
        <w:tc>
          <w:tcPr>
            <w:tcW w:w="3060" w:type="dxa"/>
            <w:vAlign w:val="bottom"/>
          </w:tcPr>
          <w:p>
            <w:pPr>
              <w:spacing w:after="0"/>
              <w:rPr>
                <w:sz w:val="19"/>
                <w:szCs w:val="19"/>
                <w:color w:val="auto"/>
              </w:rPr>
            </w:pPr>
          </w:p>
        </w:tc>
        <w:tc>
          <w:tcPr>
            <w:tcW w:w="2760" w:type="dxa"/>
            <w:vAlign w:val="bottom"/>
          </w:tcPr>
          <w:p>
            <w:pPr>
              <w:spacing w:after="0"/>
              <w:rPr>
                <w:sz w:val="19"/>
                <w:szCs w:val="19"/>
                <w:color w:val="auto"/>
              </w:rPr>
            </w:pPr>
          </w:p>
        </w:tc>
      </w:tr>
    </w:tbl>
    <w:p>
      <w:pPr>
        <w:sectPr>
          <w:pgSz w:w="11900" w:h="16838" w:orient="portrait"/>
          <w:cols w:equalWidth="0" w:num="1">
            <w:col w:w="10020"/>
          </w:cols>
          <w:pgMar w:left="440" w:top="490" w:right="1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171450</wp:posOffset>
            </wp:positionV>
            <wp:extent cx="6943725" cy="2322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extLst>
                    </a:blip>
                    <a:srcRect/>
                    <a:stretch>
                      <a:fillRect/>
                    </a:stretch>
                  </pic:blipFill>
                  <pic:spPr bwMode="auto">
                    <a:xfrm>
                      <a:off x="0" y="0"/>
                      <a:ext cx="694372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20,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Viatris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We have acted as counsel for Viatris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(i) 72,500,000 shares of Common Stock, par value $0.01 per share (the “Common Stock”), of the Company authorized for grant pursuant to the Viatris Inc. 2020 Stock Incentive Plan (the “</w:t>
      </w:r>
      <w:r>
        <w:rPr>
          <w:rFonts w:ascii="Arial" w:cs="Arial" w:eastAsia="Arial" w:hAnsi="Arial"/>
          <w:sz w:val="16"/>
          <w:szCs w:val="16"/>
          <w:u w:val="single" w:color="auto"/>
          <w:color w:val="auto"/>
        </w:rPr>
        <w:t>Viatris Plan</w:t>
      </w:r>
      <w:r>
        <w:rPr>
          <w:rFonts w:ascii="Arial" w:cs="Arial" w:eastAsia="Arial" w:hAnsi="Arial"/>
          <w:sz w:val="16"/>
          <w:szCs w:val="16"/>
          <w:color w:val="auto"/>
        </w:rPr>
        <w:t>”), (ii) 6,757,640 shares of Common Stock to be issued pursuant to the exercise of outstanding stock options granted to participants under the Mylan N.V. Amended and Restated 2003 Long-Term Incentive Plan (the “</w:t>
      </w:r>
      <w:r>
        <w:rPr>
          <w:rFonts w:ascii="Arial" w:cs="Arial" w:eastAsia="Arial" w:hAnsi="Arial"/>
          <w:sz w:val="16"/>
          <w:szCs w:val="16"/>
          <w:u w:val="single" w:color="auto"/>
          <w:color w:val="auto"/>
        </w:rPr>
        <w:t>Mylan Plan</w:t>
      </w:r>
      <w:r>
        <w:rPr>
          <w:rFonts w:ascii="Arial" w:cs="Arial" w:eastAsia="Arial" w:hAnsi="Arial"/>
          <w:sz w:val="16"/>
          <w:szCs w:val="16"/>
          <w:color w:val="auto"/>
        </w:rPr>
        <w:t>” and, together with the Viatris Plan, the “</w:t>
      </w:r>
      <w:r>
        <w:rPr>
          <w:rFonts w:ascii="Arial" w:cs="Arial" w:eastAsia="Arial" w:hAnsi="Arial"/>
          <w:sz w:val="16"/>
          <w:szCs w:val="16"/>
          <w:u w:val="single" w:color="auto"/>
          <w:color w:val="auto"/>
        </w:rPr>
        <w:t>Plans</w:t>
      </w:r>
      <w:r>
        <w:rPr>
          <w:rFonts w:ascii="Arial" w:cs="Arial" w:eastAsia="Arial" w:hAnsi="Arial"/>
          <w:sz w:val="16"/>
          <w:szCs w:val="16"/>
          <w:color w:val="auto"/>
        </w:rPr>
        <w:t>”) and assumed by the Company in connection with the transactions contemplated by the Business Combination Agreement dated as of July 29, 2019, by and among Pfizer Inc., the Company, Mylan N.V. and certain of their respective affiliates, as amended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and (iii) 13,535,627 shares of Common Stock subject to outstanding equity-based awards, other than stock options, assumed by the Company in connection with the transactions contemplated by the Business Combination Agreement, or that otherwise remain available for issuance under the Mylan Plan (collectively,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16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that connection, we have examined originals, or copies certified or otherwise identified to our satisfaction, of such documents, corporate records and other instruments as we have deemed necessary or appropriate for the purposes of this opinion, including: (a) the Amended and Restated Certificate of Incorporation of the Company; (b) the Amended and Restated Bylaws of the Company; and (c) certain resolutions adopted by the Board of Directors of the Company.</w:t>
      </w:r>
    </w:p>
    <w:p>
      <w:pPr>
        <w:sectPr>
          <w:pgSz w:w="11900" w:h="16838" w:orient="portrait"/>
          <w:cols w:equalWidth="0" w:num="1">
            <w:col w:w="11020"/>
          </w:cols>
          <w:pgMar w:left="440" w:top="121" w:right="439" w:bottom="1440" w:gutter="0" w:footer="0" w:header="0"/>
        </w:sectPr>
      </w:pPr>
    </w:p>
    <w:bookmarkStart w:id="10" w:name="page11"/>
    <w:bookmarkEnd w:id="10"/>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expressing the opinions set forth herein, we have assumed,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We have relied, with respect to factual matters, on statements of public officials and officers and other representatives of the Company.</w:t>
      </w:r>
    </w:p>
    <w:p>
      <w:pPr>
        <w:spacing w:after="0" w:line="187"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Based on the foregoing and subject to the qualifications set forth herein, and subject to compliance with applicable state securities laws, we are of the opinion that the Shares, when and if issued pursuant to the terms of the applicable Plan, will be validly issued, fully paid and non-assessable.</w:t>
      </w:r>
    </w:p>
    <w:p>
      <w:pPr>
        <w:spacing w:after="0" w:line="12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We are admitted to practice in the State of New York, and we express no opinion as to matters governed by any laws other than the General Corporation Law of the State of Delaware and the Federal laws of the United States of America. In particular, we do not purport to pass on any matter governed by the laws of Pennsylvania.</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with the Commission as Exhibit 5.1 to the Registration Statement. In giving this consent, we do not hereby admit that we are within the category of persons whose consent is required under Section 7 of the Securities Act or the rules and regulations of the Commission promulgated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1000 Mylan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Canonsburg, Pennsylvania 15317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ectPr>
          <w:pgSz w:w="11900" w:h="16838" w:orient="portrait"/>
          <w:cols w:equalWidth="0" w:num="1">
            <w:col w:w="10980"/>
          </w:cols>
          <w:pgMar w:left="440" w:top="274" w:right="4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of Viatris Inc. of our report dated March 20, 2020, with respect to the combined balance sheets of Upjohn (formerly a business unit of Pfizer Inc.) as of December 31, 2019 and 2018, the related combined statements of income, comprehensive income, equity, and cash flows for each of the years in the three-year period ended December 31, 2019, and the related notes, which report appears in the Form 8-K of Mylan N.V. dated May 29,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2020</w:t>
      </w:r>
    </w:p>
    <w:p>
      <w:pPr>
        <w:sectPr>
          <w:pgSz w:w="11900" w:h="16838" w:orient="portrait"/>
          <w:cols w:equalWidth="0" w:num="1">
            <w:col w:w="11020"/>
          </w:cols>
          <w:pgMar w:left="440" w:top="121" w:right="4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consent to use of our report dated May 7, 2020, with respect to the consolidated balance sheet of Upjohn Inc. and subsidiaries as of December 31, 2019, the related consolidated statements of income, comprehensive income, equity, and cash flows for the period from February 14, 2019 (date of incorporation) to December 31, 2019, and the related notes,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2020</w:t>
      </w:r>
    </w:p>
    <w:p>
      <w:pPr>
        <w:sectPr>
          <w:pgSz w:w="11900" w:h="16838" w:orient="portrait"/>
          <w:cols w:equalWidth="0" w:num="1">
            <w:col w:w="11020"/>
          </w:cols>
          <w:pgMar w:left="440" w:top="121" w:right="4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680"/>
        <w:spacing w:after="0" w:line="286"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reports dated February 27, 2020 relating to the consolidated financial statements of Mylan N.V. and subsidiaries (the “Company”) and the effectiveness of the Company’s internal control over financial reporting, appearing in the Annual Report on Form 10-K of Mylan N.V.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44" Type="http://schemas.openxmlformats.org/officeDocument/2006/relationships/image" Target="media/image12.png"/><Relationship Id="rId48" Type="http://schemas.openxmlformats.org/officeDocument/2006/relationships/image" Target="media/image13.png"/><Relationship Id="rId51" Type="http://schemas.openxmlformats.org/officeDocument/2006/relationships/image" Target="media/image14.png"/><Relationship Id="rId52" Type="http://schemas.openxmlformats.org/officeDocument/2006/relationships/image" Target="media/image15.png"/><Relationship Id="rId53" Type="http://schemas.openxmlformats.org/officeDocument/2006/relationships/image" Target="media/image16.png"/><Relationship Id="rId54" Type="http://schemas.openxmlformats.org/officeDocument/2006/relationships/image" Target="media/image17.png"/><Relationship Id="rId55" Type="http://schemas.openxmlformats.org/officeDocument/2006/relationships/image" Target="media/image18.png"/><Relationship Id="rId56" Type="http://schemas.openxmlformats.org/officeDocument/2006/relationships/image" Target="media/image19.jpeg"/><Relationship Id="rId57" Type="http://schemas.openxmlformats.org/officeDocument/2006/relationships/image" Target="media/image20.png"/><Relationship Id="rId19" Type="http://schemas.openxmlformats.org/officeDocument/2006/relationships/hyperlink" Target="http://www.sec.gov/ix?doc=/Archives/edgar/data/1792044/000119312520136001/d792786d10k.htm" TargetMode="External"/><Relationship Id="rId20" Type="http://schemas.openxmlformats.org/officeDocument/2006/relationships/hyperlink" Target="http://www.sec.gov/ix?doc=/Archives/edgar/data/1792044/000119312520140498/d792614d10q.htm" TargetMode="External"/><Relationship Id="rId21" Type="http://schemas.openxmlformats.org/officeDocument/2006/relationships/hyperlink" Target="http://www.sec.gov/ix?doc=/Archives/edgar/data/1792044/000119312520216755/d48787d10q.htm" TargetMode="External"/><Relationship Id="rId22" Type="http://schemas.openxmlformats.org/officeDocument/2006/relationships/hyperlink" Target="http://www.sec.gov/ix?doc=/Archives/edgar/data/1792044/000119312520290294/d939086d10q.htm" TargetMode="External"/><Relationship Id="rId23" Type="http://schemas.openxmlformats.org/officeDocument/2006/relationships/hyperlink" Target="http://www.sec.gov/ix?doc=/Archives/edgar/data/1792044/000119312520298226/d56774d8k.htm" TargetMode="External"/><Relationship Id="rId24" Type="http://schemas.openxmlformats.org/officeDocument/2006/relationships/hyperlink" Target="http://www.sec.gov/ix?doc=/Archives/edgar/data/1792044/000119312520298236/d57281d8ka.htm" TargetMode="External"/><Relationship Id="rId25" Type="http://schemas.openxmlformats.org/officeDocument/2006/relationships/hyperlink" Target="http://www.sec.gov/Archives/edgar/data/1792044/000119312520167802/d781435d1012g.htm" TargetMode="External"/><Relationship Id="rId26" Type="http://schemas.openxmlformats.org/officeDocument/2006/relationships/hyperlink" Target="http://www.sec.gov/Archives/edgar/data/1792044/000119312520290141/d869966d8a12b.htm" TargetMode="External"/><Relationship Id="rId27" Type="http://schemas.openxmlformats.org/officeDocument/2006/relationships/hyperlink" Target="http://www.sec.gov/ix?doc=/Archives/edgar/data/1623613/000162361320000011/myl10k20191231doc.htm" TargetMode="External"/><Relationship Id="rId28" Type="http://schemas.openxmlformats.org/officeDocument/2006/relationships/hyperlink" Target="http://www.sec.gov/ix?doc=/Archives/edgar/data/1623613/000162361320000018/myl10q20200331doc.htm" TargetMode="External"/><Relationship Id="rId29" Type="http://schemas.openxmlformats.org/officeDocument/2006/relationships/hyperlink" Target="http://www.sec.gov/ix?doc=/Archives/edgar/data/1623613/000162361320000024/myl-20200630.htm" TargetMode="External"/><Relationship Id="rId30" Type="http://schemas.openxmlformats.org/officeDocument/2006/relationships/hyperlink" Target="http://www.sec.gov/ix?doc=/Archives/edgar/data/1623613/000162361320000035/myl-20200930.htm" TargetMode="External"/><Relationship Id="rId31" Type="http://schemas.openxmlformats.org/officeDocument/2006/relationships/hyperlink" Target="http://www.sec.gov/ix?doc=/Archives/edgar/data/1623613/000119312520126521/d842513d10ka.htm" TargetMode="External"/><Relationship Id="rId32" Type="http://schemas.openxmlformats.org/officeDocument/2006/relationships/hyperlink" Target="http://www.sec.gov/ix?doc=/Archives/edgar/data/1623613/000162361320000014/a8-kerngsrls20200331doc.htm" TargetMode="External"/><Relationship Id="rId33" Type="http://schemas.openxmlformats.org/officeDocument/2006/relationships/hyperlink" Target="http://www.sec.gov/ix?doc=/Archives/edgar/data/1623613/000119312520155887/d932382d8k.htm" TargetMode="External"/><Relationship Id="rId34" Type="http://schemas.openxmlformats.org/officeDocument/2006/relationships/hyperlink" Target="http://www.sec.gov/ix?doc=/Archives/edgar/data/1623613/000119312520157416/d830428d8k.htm" TargetMode="External"/><Relationship Id="rId35" Type="http://schemas.openxmlformats.org/officeDocument/2006/relationships/hyperlink" Target="http://www.sec.gov/ix?doc=/Archives/edgar/data/1623613/000119312520167804/d935526d8k.htm" TargetMode="External"/><Relationship Id="rId36" Type="http://schemas.openxmlformats.org/officeDocument/2006/relationships/hyperlink" Target="http://www.sec.gov/ix?doc=/Archives/edgar/data/1623613/000119312520170592/d944550d8k.htm" TargetMode="External"/><Relationship Id="rId37" Type="http://schemas.openxmlformats.org/officeDocument/2006/relationships/hyperlink" Target="http://www.sec.gov/ix?doc=/Archives/edgar/data/1623613/000119312520174122/d931119d8k.htm" TargetMode="External"/><Relationship Id="rId38" Type="http://schemas.openxmlformats.org/officeDocument/2006/relationships/hyperlink" Target="http://www.sec.gov/ix?doc=/Archives/edgar/data/1623613/000119312520186952/d936503d8k.htm" TargetMode="External"/><Relationship Id="rId39" Type="http://schemas.openxmlformats.org/officeDocument/2006/relationships/hyperlink" Target="http://www.sec.gov/ix?doc=/Archives/edgar/data/1623613/000095015720000930/form8k-a.htm" TargetMode="External"/><Relationship Id="rId40" Type="http://schemas.openxmlformats.org/officeDocument/2006/relationships/hyperlink" Target="http://www.sec.gov/ix?doc=/Archives/edgar/data/1623613/000162361320000022/myl-20200806.htm" TargetMode="External"/><Relationship Id="rId41" Type="http://schemas.openxmlformats.org/officeDocument/2006/relationships/hyperlink" Target="http://www.sec.gov/ix?doc=/Archives/edgar/data/1623613/000119312520235006/d141293d8ka.htm" TargetMode="External"/><Relationship Id="rId42" Type="http://schemas.openxmlformats.org/officeDocument/2006/relationships/hyperlink" Target="http://www.sec.gov/ix?doc=/Archives/edgar/data/1623613/000119312520244226/d169217d8k.htm" TargetMode="External"/><Relationship Id="rId43" Type="http://schemas.openxmlformats.org/officeDocument/2006/relationships/hyperlink" Target="http://www.sec.gov/ix?doc=/Archives/edgar/data/1623613/000119312520298224/d91045d8k.htm" TargetMode="External"/><Relationship Id="rId45" Type="http://schemas.openxmlformats.org/officeDocument/2006/relationships/hyperlink" Target="http://www.sec.gov/Archives/edgar/data/1792044/000119312520298226/d56774dex31.htm" TargetMode="External"/><Relationship Id="rId46" Type="http://schemas.openxmlformats.org/officeDocument/2006/relationships/hyperlink" Target="http://www.sec.gov/Archives/edgar/data/1792044/000119312520298226/d56774dex32.htm" TargetMode="External"/><Relationship Id="rId47" Type="http://schemas.openxmlformats.org/officeDocument/2006/relationships/hyperlink" Target="http://www.sec.gov/Archives/edgar/data/1792044/000119312520298226/d56774dex33.htm" TargetMode="External"/><Relationship Id="rId49" Type="http://schemas.openxmlformats.org/officeDocument/2006/relationships/hyperlink" Target="http://www.sec.gov/Archives/edgar/data/1792044/000119312520167802/d781435dex101.htm" TargetMode="External"/><Relationship Id="rId50" Type="http://schemas.openxmlformats.org/officeDocument/2006/relationships/hyperlink" Target="http://www.sec.gov/Archives/edgar/data/1623613/000119312516602386/d157810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2020-11-20T16:03:24Z</dcterms:created>
  <dcterms:modified xsi:type="dcterms:W3CDTF">2020-11-20T16:03:24Z</dcterms:modified>
</cp:coreProperties>
</file>