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8" w:lineRule="exact"/>
        <w:rPr>
          <w:sz w:val="24"/>
          <w:szCs w:val="24"/>
          <w:color w:val="auto"/>
        </w:rPr>
      </w:pPr>
    </w:p>
    <w:p>
      <w:pPr>
        <w:jc w:val="center"/>
        <w:ind w:right="16"/>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6"/>
        <w:spacing w:after="0"/>
        <w:rPr>
          <w:sz w:val="20"/>
          <w:szCs w:val="20"/>
          <w:color w:val="auto"/>
        </w:rPr>
      </w:pPr>
      <w:r>
        <w:rPr>
          <w:rFonts w:ascii="Arial" w:cs="Arial" w:eastAsia="Arial" w:hAnsi="Arial"/>
          <w:sz w:val="24"/>
          <w:szCs w:val="24"/>
          <w:b w:val="1"/>
          <w:bCs w:val="1"/>
          <w:color w:val="auto"/>
        </w:rPr>
        <w:t>Washington, D.C. 20549</w:t>
      </w:r>
    </w:p>
    <w:p>
      <w:pPr>
        <w:spacing w:after="0" w:line="1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10-K/A</w:t>
      </w:r>
    </w:p>
    <w:p>
      <w:pPr>
        <w:spacing w:after="0" w:line="1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(Amendment No. 1)</w:t>
      </w:r>
    </w:p>
    <w:p>
      <w:pPr>
        <w:spacing w:after="0" w:line="7" w:lineRule="exact"/>
        <w:rPr>
          <w:sz w:val="24"/>
          <w:szCs w:val="24"/>
          <w:color w:val="auto"/>
        </w:rPr>
      </w:pPr>
    </w:p>
    <w:p>
      <w:pPr>
        <w:ind w:left="544" w:right="3480" w:hanging="544"/>
        <w:spacing w:after="0" w:line="259" w:lineRule="auto"/>
        <w:tabs>
          <w:tab w:leader="none" w:pos="42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jc w:val="center"/>
        <w:ind w:right="16"/>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sz w:val="24"/>
          <w:szCs w:val="24"/>
          <w:color w:val="auto"/>
        </w:rPr>
      </w:pPr>
    </w:p>
    <w:p>
      <w:pPr>
        <w:ind w:left="544"/>
        <w:spacing w:after="0"/>
        <w:tabs>
          <w:tab w:leader="none" w:pos="3444" w:val="left"/>
          <w:tab w:leader="none" w:pos="404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4" w:lineRule="exact"/>
        <w:rPr>
          <w:sz w:val="24"/>
          <w:szCs w:val="24"/>
          <w:color w:val="auto"/>
        </w:rPr>
      </w:pPr>
    </w:p>
    <w:p>
      <w:pPr>
        <w:ind w:left="4044"/>
        <w:spacing w:after="0"/>
        <w:rPr>
          <w:sz w:val="20"/>
          <w:szCs w:val="20"/>
          <w:color w:val="auto"/>
        </w:rPr>
      </w:pPr>
      <w:r>
        <w:rPr>
          <w:rFonts w:ascii="Arial" w:cs="Arial" w:eastAsia="Arial" w:hAnsi="Arial"/>
          <w:sz w:val="18"/>
          <w:szCs w:val="18"/>
          <w:b w:val="1"/>
          <w:bCs w:val="1"/>
          <w:color w:val="auto"/>
        </w:rPr>
        <w:t>Commission file number 001-39695</w:t>
      </w:r>
    </w:p>
    <w:p>
      <w:pPr>
        <w:spacing w:after="0" w:line="2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VIATRIS INC.</w:t>
      </w:r>
    </w:p>
    <w:p>
      <w:pPr>
        <w:spacing w:after="0" w:line="43" w:lineRule="exact"/>
        <w:rPr>
          <w:sz w:val="24"/>
          <w:szCs w:val="24"/>
          <w:color w:val="auto"/>
        </w:rPr>
      </w:pPr>
    </w:p>
    <w:p>
      <w:pPr>
        <w:jc w:val="center"/>
        <w:ind w:right="16"/>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4"/>
          </w:cols>
          <w:pgMar w:left="436" w:top="335" w:right="439" w:bottom="1440" w:gutter="0" w:footer="0" w:header="0"/>
        </w:sectPr>
      </w:pPr>
    </w:p>
    <w:p>
      <w:pPr>
        <w:spacing w:after="0" w:line="184" w:lineRule="exact"/>
        <w:rPr>
          <w:sz w:val="24"/>
          <w:szCs w:val="24"/>
          <w:color w:val="auto"/>
        </w:rPr>
      </w:pPr>
    </w:p>
    <w:p>
      <w:pPr>
        <w:ind w:left="24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49" w:lineRule="exact"/>
        <w:rPr>
          <w:sz w:val="24"/>
          <w:szCs w:val="24"/>
          <w:color w:val="auto"/>
        </w:rPr>
      </w:pPr>
    </w:p>
    <w:p>
      <w:pPr>
        <w:sectPr>
          <w:pgSz w:w="11900" w:h="16838" w:orient="portrait"/>
          <w:cols w:equalWidth="0" w:num="2">
            <w:col w:w="7164" w:space="720"/>
            <w:col w:w="3140"/>
          </w:cols>
          <w:pgMar w:left="436" w:top="335" w:right="439" w:bottom="1440" w:gutter="0" w:footer="0" w:header="0"/>
          <w:type w:val="continuous"/>
        </w:sectPr>
      </w:pPr>
    </w:p>
    <w:p>
      <w:pPr>
        <w:ind w:left="1044"/>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 w:lineRule="exact"/>
        <w:rPr>
          <w:sz w:val="24"/>
          <w:szCs w:val="24"/>
          <w:color w:val="auto"/>
        </w:rPr>
      </w:pPr>
    </w:p>
    <w:p>
      <w:pPr>
        <w:sectPr>
          <w:pgSz w:w="11900" w:h="16838" w:orient="portrait"/>
          <w:cols w:equalWidth="0" w:num="2">
            <w:col w:w="6584" w:space="720"/>
            <w:col w:w="3720"/>
          </w:cols>
          <w:pgMar w:left="436" w:top="335"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3"/>
          <w:szCs w:val="13"/>
          <w:i w:val="1"/>
          <w:iCs w:val="1"/>
          <w:color w:val="auto"/>
        </w:rPr>
        <w:t>(Address of principal executive offices) (Zip Code)</w:t>
      </w:r>
    </w:p>
    <w:p>
      <w:pPr>
        <w:jc w:val="center"/>
        <w:ind w:right="-3"/>
        <w:spacing w:after="0" w:line="238" w:lineRule="auto"/>
        <w:rPr>
          <w:sz w:val="20"/>
          <w:szCs w:val="20"/>
          <w:color w:val="auto"/>
        </w:rPr>
      </w:pPr>
      <w:r>
        <w:rPr>
          <w:rFonts w:ascii="Arial" w:cs="Arial" w:eastAsia="Arial" w:hAnsi="Arial"/>
          <w:sz w:val="18"/>
          <w:szCs w:val="18"/>
          <w:b w:val="1"/>
          <w:bCs w:val="1"/>
          <w:color w:val="auto"/>
        </w:rPr>
        <w:t>(724) 514-1800</w:t>
      </w:r>
    </w:p>
    <w:p>
      <w:pPr>
        <w:jc w:val="center"/>
        <w:ind w:right="-3"/>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 w:lineRule="exact"/>
        <w:rPr>
          <w:sz w:val="24"/>
          <w:szCs w:val="24"/>
          <w:color w:val="auto"/>
        </w:rPr>
      </w:pPr>
    </w:p>
    <w:tbl>
      <w:tblPr>
        <w:tblLayout w:type="fixed"/>
        <w:tblInd w:w="4"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820" w:type="dxa"/>
            <w:vAlign w:val="bottom"/>
          </w:tcPr>
          <w:p>
            <w:pPr>
              <w:jc w:val="center"/>
              <w:ind w:right="252"/>
              <w:spacing w:after="0"/>
              <w:rPr>
                <w:sz w:val="20"/>
                <w:szCs w:val="20"/>
                <w:color w:val="auto"/>
              </w:rPr>
            </w:pPr>
            <w:r>
              <w:rPr>
                <w:rFonts w:ascii="Arial" w:cs="Arial" w:eastAsia="Arial" w:hAnsi="Arial"/>
                <w:sz w:val="18"/>
                <w:szCs w:val="18"/>
                <w:b w:val="1"/>
                <w:bCs w:val="1"/>
                <w:color w:val="auto"/>
                <w:w w:val="96"/>
              </w:rPr>
              <w:t>Trading</w:t>
            </w:r>
          </w:p>
        </w:tc>
        <w:tc>
          <w:tcPr>
            <w:tcW w:w="360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7"/>
              </w:rPr>
              <w:t>Name of Each Exchange</w:t>
            </w:r>
          </w:p>
        </w:tc>
        <w:tc>
          <w:tcPr>
            <w:tcW w:w="0" w:type="dxa"/>
            <w:vAlign w:val="bottom"/>
          </w:tcPr>
          <w:p>
            <w:pPr>
              <w:spacing w:after="0"/>
              <w:rPr>
                <w:sz w:val="1"/>
                <w:szCs w:val="1"/>
                <w:color w:val="auto"/>
              </w:rPr>
            </w:pPr>
          </w:p>
        </w:tc>
      </w:tr>
      <w:tr>
        <w:trPr>
          <w:trHeight w:val="238"/>
        </w:trPr>
        <w:tc>
          <w:tcPr>
            <w:tcW w:w="4160" w:type="dxa"/>
            <w:vAlign w:val="bottom"/>
          </w:tcPr>
          <w:p>
            <w:pPr>
              <w:jc w:val="center"/>
              <w:ind w:right="652"/>
              <w:spacing w:after="0"/>
              <w:rPr>
                <w:sz w:val="20"/>
                <w:szCs w:val="20"/>
                <w:color w:val="auto"/>
              </w:rPr>
            </w:pPr>
            <w:r>
              <w:rPr>
                <w:rFonts w:ascii="Arial" w:cs="Arial" w:eastAsia="Arial" w:hAnsi="Arial"/>
                <w:sz w:val="18"/>
                <w:szCs w:val="18"/>
                <w:b w:val="1"/>
                <w:bCs w:val="1"/>
                <w:color w:val="auto"/>
                <w:w w:val="97"/>
              </w:rPr>
              <w:t>Title of Each Class:</w:t>
            </w:r>
          </w:p>
        </w:tc>
        <w:tc>
          <w:tcPr>
            <w:tcW w:w="2820" w:type="dxa"/>
            <w:vAlign w:val="bottom"/>
          </w:tcPr>
          <w:p>
            <w:pPr>
              <w:jc w:val="center"/>
              <w:ind w:right="252"/>
              <w:spacing w:after="0"/>
              <w:rPr>
                <w:sz w:val="20"/>
                <w:szCs w:val="20"/>
                <w:color w:val="auto"/>
              </w:rPr>
            </w:pPr>
            <w:r>
              <w:rPr>
                <w:rFonts w:ascii="Arial" w:cs="Arial" w:eastAsia="Arial" w:hAnsi="Arial"/>
                <w:sz w:val="18"/>
                <w:szCs w:val="18"/>
                <w:b w:val="1"/>
                <w:bCs w:val="1"/>
                <w:color w:val="auto"/>
                <w:w w:val="96"/>
              </w:rPr>
              <w:t>Symbol(s)</w:t>
            </w:r>
          </w:p>
        </w:tc>
        <w:tc>
          <w:tcPr>
            <w:tcW w:w="360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7"/>
              </w:rPr>
              <w:t>on Which Registered:</w:t>
            </w:r>
          </w:p>
        </w:tc>
        <w:tc>
          <w:tcPr>
            <w:tcW w:w="0" w:type="dxa"/>
            <w:vAlign w:val="bottom"/>
          </w:tcPr>
          <w:p>
            <w:pPr>
              <w:spacing w:after="0"/>
              <w:rPr>
                <w:sz w:val="1"/>
                <w:szCs w:val="1"/>
                <w:color w:val="auto"/>
              </w:rPr>
            </w:pPr>
          </w:p>
        </w:tc>
      </w:tr>
      <w:tr>
        <w:trPr>
          <w:trHeight w:val="208"/>
        </w:trPr>
        <w:tc>
          <w:tcPr>
            <w:tcW w:w="4160" w:type="dxa"/>
            <w:vAlign w:val="bottom"/>
          </w:tcPr>
          <w:p>
            <w:pPr>
              <w:jc w:val="center"/>
              <w:ind w:right="652"/>
              <w:spacing w:after="0"/>
              <w:rPr>
                <w:sz w:val="20"/>
                <w:szCs w:val="20"/>
                <w:color w:val="auto"/>
              </w:rPr>
            </w:pPr>
            <w:r>
              <w:rPr>
                <w:rFonts w:ascii="Arial" w:cs="Arial" w:eastAsia="Arial" w:hAnsi="Arial"/>
                <w:sz w:val="18"/>
                <w:szCs w:val="18"/>
                <w:color w:val="auto"/>
                <w:w w:val="97"/>
              </w:rPr>
              <w:t>Common Stock, par value $0.01 per share</w:t>
            </w:r>
          </w:p>
        </w:tc>
        <w:tc>
          <w:tcPr>
            <w:tcW w:w="2820" w:type="dxa"/>
            <w:vAlign w:val="bottom"/>
          </w:tcPr>
          <w:p>
            <w:pPr>
              <w:jc w:val="center"/>
              <w:ind w:right="252"/>
              <w:spacing w:after="0"/>
              <w:rPr>
                <w:sz w:val="20"/>
                <w:szCs w:val="20"/>
                <w:color w:val="auto"/>
              </w:rPr>
            </w:pPr>
            <w:r>
              <w:rPr>
                <w:rFonts w:ascii="Arial" w:cs="Arial" w:eastAsia="Arial" w:hAnsi="Arial"/>
                <w:sz w:val="18"/>
                <w:szCs w:val="18"/>
                <w:color w:val="auto"/>
                <w:w w:val="99"/>
              </w:rPr>
              <w:t>VTRS</w:t>
            </w:r>
          </w:p>
        </w:tc>
        <w:tc>
          <w:tcPr>
            <w:tcW w:w="3600" w:type="dxa"/>
            <w:vAlign w:val="bottom"/>
            <w:gridSpan w:val="3"/>
          </w:tcPr>
          <w:p>
            <w:pPr>
              <w:jc w:val="center"/>
              <w:ind w:left="752"/>
              <w:spacing w:after="0"/>
              <w:rPr>
                <w:sz w:val="20"/>
                <w:szCs w:val="20"/>
                <w:color w:val="auto"/>
              </w:rPr>
            </w:pPr>
            <w:r>
              <w:rPr>
                <w:rFonts w:ascii="Arial" w:cs="Arial" w:eastAsia="Arial" w:hAnsi="Arial"/>
                <w:sz w:val="18"/>
                <w:szCs w:val="18"/>
                <w:color w:val="auto"/>
                <w:w w:val="97"/>
              </w:rPr>
              <w:t>The NASDAQ Stock Market</w:t>
            </w:r>
          </w:p>
        </w:tc>
        <w:tc>
          <w:tcPr>
            <w:tcW w:w="0" w:type="dxa"/>
            <w:vAlign w:val="bottom"/>
          </w:tcPr>
          <w:p>
            <w:pPr>
              <w:spacing w:after="0"/>
              <w:rPr>
                <w:sz w:val="1"/>
                <w:szCs w:val="1"/>
                <w:color w:val="auto"/>
              </w:rPr>
            </w:pPr>
          </w:p>
        </w:tc>
      </w:tr>
      <w:tr>
        <w:trPr>
          <w:trHeight w:val="23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220" w:type="dxa"/>
            <w:vAlign w:val="bottom"/>
          </w:tcPr>
          <w:p>
            <w:pPr>
              <w:spacing w:after="0"/>
              <w:rPr>
                <w:sz w:val="20"/>
                <w:szCs w:val="20"/>
                <w:color w:val="auto"/>
              </w:rPr>
            </w:pPr>
          </w:p>
        </w:tc>
        <w:tc>
          <w:tcPr>
            <w:tcW w:w="740" w:type="dxa"/>
            <w:vAlign w:val="bottom"/>
            <w:vMerge w:val="restart"/>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9200" w:type="dxa"/>
            <w:vAlign w:val="bottom"/>
            <w:gridSpan w:val="3"/>
          </w:tcPr>
          <w:p>
            <w:pPr>
              <w:spacing w:after="0"/>
              <w:rPr>
                <w:sz w:val="20"/>
                <w:szCs w:val="20"/>
                <w:color w:val="auto"/>
              </w:rPr>
            </w:pPr>
            <w:r>
              <w:rPr>
                <w:rFonts w:ascii="Arial" w:cs="Arial" w:eastAsia="Arial" w:hAnsi="Arial"/>
                <w:sz w:val="18"/>
                <w:szCs w:val="18"/>
                <w:color w:val="auto"/>
                <w:w w:val="98"/>
              </w:rPr>
              <w:t>Indicate by check mark if the registrant is a well-known seasoned issuer, as defined in Rule 405 of the Securities Act.</w:t>
            </w:r>
          </w:p>
        </w:tc>
        <w:tc>
          <w:tcPr>
            <w:tcW w:w="7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9200" w:type="dxa"/>
            <w:vAlign w:val="bottom"/>
            <w:gridSpan w:val="3"/>
          </w:tcPr>
          <w:p>
            <w:pPr>
              <w:spacing w:after="0"/>
              <w:rPr>
                <w:sz w:val="20"/>
                <w:szCs w:val="20"/>
                <w:color w:val="auto"/>
              </w:rPr>
            </w:pPr>
            <w:r>
              <w:rPr>
                <w:rFonts w:ascii="Arial" w:cs="Arial" w:eastAsia="Arial" w:hAnsi="Arial"/>
                <w:sz w:val="18"/>
                <w:szCs w:val="18"/>
                <w:color w:val="auto"/>
                <w:w w:val="97"/>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ind w:left="4"/>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ind w:left="4" w:right="2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ind w:left="4"/>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 w:type="dxa"/>
        <w:tblCellMar>
          <w:top w:w="0" w:type="dxa"/>
          <w:left w:w="0" w:type="dxa"/>
          <w:bottom w:w="0" w:type="dxa"/>
          <w:right w:w="0" w:type="dxa"/>
        </w:tblCellMar>
      </w:tblPr>
      <w:tr>
        <w:trPr>
          <w:trHeight w:val="204"/>
        </w:trPr>
        <w:tc>
          <w:tcPr>
            <w:tcW w:w="1980" w:type="dxa"/>
            <w:vAlign w:val="bottom"/>
          </w:tcPr>
          <w:p>
            <w:pPr>
              <w:spacing w:after="0" w:line="204" w:lineRule="exact"/>
              <w:rPr>
                <w:sz w:val="20"/>
                <w:szCs w:val="20"/>
                <w:color w:val="auto"/>
              </w:rPr>
            </w:pPr>
            <w:r>
              <w:rPr>
                <w:rFonts w:ascii="Arial" w:cs="Arial" w:eastAsia="Arial" w:hAnsi="Arial"/>
                <w:sz w:val="18"/>
                <w:szCs w:val="18"/>
                <w:color w:val="auto"/>
              </w:rPr>
              <w:t>Large 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840"/>
              <w:spacing w:after="0" w:line="204" w:lineRule="exact"/>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9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526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 w:lineRule="exact"/>
        <w:rPr>
          <w:sz w:val="24"/>
          <w:szCs w:val="24"/>
          <w:color w:val="auto"/>
        </w:rPr>
      </w:pPr>
    </w:p>
    <w:p>
      <w:pPr>
        <w:jc w:val="both"/>
        <w:ind w:left="4" w:right="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 w:lineRule="exact"/>
        <w:rPr>
          <w:sz w:val="24"/>
          <w:szCs w:val="24"/>
          <w:color w:val="auto"/>
        </w:rPr>
      </w:pPr>
    </w:p>
    <w:p>
      <w:pPr>
        <w:jc w:val="both"/>
        <w:ind w:left="4" w:right="20"/>
        <w:spacing w:after="0" w:line="21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4"/>
        <w:spacing w:after="0" w:line="207" w:lineRule="exact"/>
        <w:tabs>
          <w:tab w:leader="none" w:pos="8104" w:val="left"/>
          <w:tab w:leader="none" w:pos="8844"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8" w:lineRule="exact"/>
        <w:rPr>
          <w:sz w:val="24"/>
          <w:szCs w:val="24"/>
          <w:color w:val="auto"/>
        </w:rPr>
      </w:pPr>
    </w:p>
    <w:p>
      <w:pPr>
        <w:jc w:val="both"/>
        <w:ind w:left="4"/>
        <w:spacing w:after="0" w:line="23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26, 2020, the last business day of the registrant’s most recently completed second fiscal quarter: No established public trading market for the registrant’s common stock as of such date.</w:t>
      </w:r>
    </w:p>
    <w:p>
      <w:pPr>
        <w:spacing w:after="0" w:line="19" w:lineRule="exact"/>
        <w:rPr>
          <w:sz w:val="24"/>
          <w:szCs w:val="24"/>
          <w:color w:val="auto"/>
        </w:rPr>
      </w:pPr>
    </w:p>
    <w:p>
      <w:pPr>
        <w:ind w:left="4"/>
        <w:spacing w:after="0"/>
        <w:rPr>
          <w:sz w:val="20"/>
          <w:szCs w:val="20"/>
          <w:color w:val="auto"/>
        </w:rPr>
      </w:pPr>
      <w:r>
        <w:rPr>
          <w:rFonts w:ascii="Arial" w:cs="Arial" w:eastAsia="Arial" w:hAnsi="Arial"/>
          <w:sz w:val="18"/>
          <w:szCs w:val="18"/>
          <w:color w:val="auto"/>
        </w:rPr>
        <w:t>The number of shares of common stock outstanding, par value $0.01 per share, of the registrant as of April 26, 2021 was 1,208,643,411.</w:t>
      </w:r>
    </w:p>
    <w:p>
      <w:pPr>
        <w:spacing w:after="0" w:line="4" w:lineRule="exact"/>
        <w:rPr>
          <w:sz w:val="24"/>
          <w:szCs w:val="24"/>
          <w:color w:val="auto"/>
        </w:rPr>
      </w:pPr>
    </w:p>
    <w:p>
      <w:pPr>
        <w:ind w:left="3504"/>
        <w:spacing w:after="0"/>
        <w:rPr>
          <w:sz w:val="20"/>
          <w:szCs w:val="20"/>
          <w:color w:val="auto"/>
        </w:rPr>
      </w:pPr>
      <w:r>
        <w:rPr>
          <w:rFonts w:ascii="Arial" w:cs="Arial" w:eastAsia="Arial" w:hAnsi="Arial"/>
          <w:sz w:val="18"/>
          <w:szCs w:val="18"/>
          <w:b w:val="1"/>
          <w:bCs w:val="1"/>
          <w:color w:val="auto"/>
        </w:rPr>
        <w:t>DOCUMENTS INCORPORATED BY REFERENCE</w:t>
      </w:r>
    </w:p>
    <w:p>
      <w:pPr>
        <w:spacing w:after="0" w:line="41" w:lineRule="exact"/>
        <w:rPr>
          <w:sz w:val="24"/>
          <w:szCs w:val="24"/>
          <w:color w:val="auto"/>
        </w:rPr>
      </w:pPr>
    </w:p>
    <w:p>
      <w:pPr>
        <w:ind w:left="4"/>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99516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1 on Form 10-K/A (this “Amendment”) amends our Annual Report on Form 10-K for the fiscal year ended December 31, 2020, originally filed on March 1, 2021 (the “Original Filing”). We are filing this Amendment to include the information required by Part III and not included in the Original Filing, as we do not intend to file a definitive proxy statement for an annual meeting of shareholders within 120 days of the end of our fiscal year ended December 31, 2020.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Item 15 of Part IV has also been amended to reflect the filing of these new certifications and a corrected exhibit. 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used in this Amendment, unless the context requires otherwise, the “Company,” “Viatris,” “our,” and “we” mean Viatris Inc. and its consolidated subsidiaries, “NASDAQ” means The NASDAQ Global Select Stock Market, and “U.S. GAAP” means accounting principles generally accepted in the United States (“U.S.”).</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On November 16, 2020, Viatris, formerly known as Upjohn Inc. (“Upjohn”), Mylan N.V. (“Mylan”) and Pfizer Inc. (“Pfizer”) consummated the combination of Mylan with Pfizer’s Upjohn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shareholders as of the Record Date (the “Distribution”), and (3) immediately following the Distribution, Viatris and Mylan engaged in a strategic business combination transaction (the “Combination”). As a result of the Combination, Viatris holds the combined Upjohn Business and Mylan business. In accordance with </w:t>
      </w:r>
      <w:r>
        <w:rPr>
          <w:rFonts w:ascii="Arial" w:cs="Arial" w:eastAsia="Arial" w:hAnsi="Arial"/>
          <w:sz w:val="16"/>
          <w:szCs w:val="16"/>
          <w:i w:val="1"/>
          <w:iCs w:val="1"/>
          <w:color w:val="auto"/>
        </w:rPr>
        <w:t>ASC 805, Business Combinations</w:t>
      </w:r>
      <w:r>
        <w:rPr>
          <w:rFonts w:ascii="Arial" w:cs="Arial" w:eastAsia="Arial" w:hAnsi="Arial"/>
          <w:sz w:val="16"/>
          <w:szCs w:val="16"/>
          <w:color w:val="auto"/>
        </w:rPr>
        <w:t>, Mylan is considered the accounting acquirer of the Upjohn Business and all historical financial information of the Company prior to November 16, 2020 represents Mylan’s historical results and the Company’s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Amendment contains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debt ratio,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w:t>
      </w:r>
    </w:p>
    <w:p>
      <w:pPr>
        <w:sectPr>
          <w:pgSz w:w="11900" w:h="16838" w:orient="portrait"/>
          <w:cols w:equalWidth="0" w:num="1">
            <w:col w:w="11020"/>
          </w:cols>
          <w:pgMar w:left="440" w:top="296" w:right="439" w:bottom="1440" w:gutter="0" w:footer="0" w:header="0"/>
        </w:sectPr>
      </w:pPr>
    </w:p>
    <w:bookmarkStart w:id="2" w:name="page3"/>
    <w:bookmarkEnd w:id="2"/>
    <w:p>
      <w:pPr>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materially from those expressed or implied by such forward-looking statements. Factors that could cause or contribute to such differences include, but are not limited to:</w:t>
      </w:r>
    </w:p>
    <w:p>
      <w:pPr>
        <w:spacing w:after="0" w:line="74" w:lineRule="exact"/>
        <w:rPr>
          <w:sz w:val="20"/>
          <w:szCs w:val="20"/>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spacing w:after="0" w:line="76" w:lineRule="exact"/>
        <w:rPr>
          <w:rFonts w:ascii="Arial" w:cs="Arial" w:eastAsia="Arial" w:hAnsi="Arial"/>
          <w:sz w:val="18"/>
          <w:szCs w:val="18"/>
          <w:color w:val="auto"/>
        </w:rPr>
      </w:pPr>
    </w:p>
    <w:p>
      <w:pPr>
        <w:ind w:left="4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sectPr>
          <w:pgSz w:w="11900" w:h="16838" w:orient="portrait"/>
          <w:cols w:equalWidth="0" w:num="1">
            <w:col w:w="11020"/>
          </w:cols>
          <w:pgMar w:left="440" w:top="318" w:right="439" w:bottom="1440" w:gutter="0" w:footer="0" w:header="0"/>
        </w:sectPr>
      </w:pPr>
    </w:p>
    <w:bookmarkStart w:id="3" w:name="page4"/>
    <w:bookmarkEnd w:id="3"/>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changes in the economic and financial conditions of the Company or its partners;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76" w:lineRule="exact"/>
        <w:rPr>
          <w:rFonts w:ascii="Arial" w:cs="Arial" w:eastAsia="Arial" w:hAnsi="Arial"/>
          <w:sz w:val="18"/>
          <w:szCs w:val="18"/>
          <w:color w:val="auto"/>
        </w:rPr>
      </w:pPr>
    </w:p>
    <w:p>
      <w:pPr>
        <w:ind w:left="420" w:hanging="316"/>
        <w:spacing w:after="0" w:line="23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of the Original Filing and our other filings with the SEC.</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Amendment and shall not be deemed “filed” under the Securities Exchange Act of 1934, as amended (the “Exchange Act”). Viatris undertakes no obligation to update any statements herein for revisions or changes after the filing date of this Amendment other than as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includes the presentation and discussion of certain financial information that differs from what is reported under U.S. GAAP. These non-GAAP financial measures, including adjusted EBITDA,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Beginning in 2021, management’s incentive compensation will be derived, in part, based on non-GAAP financial measures. Non-GAAP financial measures set forth in this Amendment also include adjusted EBITDA, ROIC (as defined herein) and Adjusted FCF/Credit Agreement Debt (as defined herein), each of which was a performance metric used in Mylan’s 2020 long-term and annual incentive compensation program as discussed herein. Appendix A to this Amendment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Appendix A, and investors and other readers should consider non-GAAP measures only as supplements to, not as substitutes for or as superior measures to, the measures of financial performance prepared in accordance with U.S. GAAP.</w:t>
      </w:r>
    </w:p>
    <w:p>
      <w:pPr>
        <w:sectPr>
          <w:pgSz w:w="11900" w:h="16838" w:orient="portrait"/>
          <w:cols w:equalWidth="0" w:num="1">
            <w:col w:w="11020"/>
          </w:cols>
          <w:pgMar w:left="440" w:top="318" w:right="439" w:bottom="1440" w:gutter="0" w:footer="0" w:header="0"/>
        </w:sectPr>
      </w:pPr>
    </w:p>
    <w:bookmarkStart w:id="4" w:name="page5"/>
    <w:bookmarkEnd w:id="4"/>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VIATRIS INC.</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INDEX TO FORM 10-K/A</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gridSpan w:val="4"/>
            <w:vMerge w:val="restart"/>
          </w:tcPr>
          <w:p>
            <w:pPr>
              <w:ind w:left="780"/>
              <w:spacing w:after="0"/>
              <w:rPr>
                <w:sz w:val="20"/>
                <w:szCs w:val="20"/>
                <w:color w:val="auto"/>
              </w:rPr>
            </w:pPr>
            <w:r>
              <w:rPr>
                <w:rFonts w:ascii="Arial" w:cs="Arial" w:eastAsia="Arial" w:hAnsi="Arial"/>
                <w:sz w:val="18"/>
                <w:szCs w:val="18"/>
                <w:color w:val="auto"/>
              </w:rPr>
              <w:t>PART III</w:t>
            </w:r>
          </w:p>
        </w:tc>
        <w:tc>
          <w:tcPr>
            <w:tcW w:w="2080" w:type="dxa"/>
            <w:vAlign w:val="bottom"/>
          </w:tcPr>
          <w:p>
            <w:pPr>
              <w:jc w:val="right"/>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20" w:type="dxa"/>
            <w:vAlign w:val="bottom"/>
            <w:gridSpan w:val="4"/>
            <w:vMerge w:val="continue"/>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gridSpan w:val="2"/>
          </w:tcPr>
          <w:p>
            <w:pPr>
              <w:spacing w:after="0" w:line="205" w:lineRule="exact"/>
              <w:rPr>
                <w:sz w:val="20"/>
                <w:szCs w:val="20"/>
                <w:color w:val="auto"/>
              </w:rPr>
            </w:pPr>
            <w:r>
              <w:rPr>
                <w:rFonts w:ascii="Arial" w:cs="Arial" w:eastAsia="Arial" w:hAnsi="Arial"/>
                <w:sz w:val="18"/>
                <w:szCs w:val="18"/>
                <w:color w:val="auto"/>
              </w:rPr>
              <w:t>ITEM 10.</w:t>
            </w:r>
          </w:p>
        </w:tc>
        <w:tc>
          <w:tcPr>
            <w:tcW w:w="7800" w:type="dxa"/>
            <w:vAlign w:val="bottom"/>
            <w:gridSpan w:val="7"/>
          </w:tcPr>
          <w:p>
            <w:pPr>
              <w:spacing w:after="0" w:line="205" w:lineRule="exact"/>
              <w:rPr>
                <w:rFonts w:ascii="Arial" w:cs="Arial" w:eastAsia="Arial" w:hAnsi="Arial"/>
                <w:sz w:val="18"/>
                <w:szCs w:val="18"/>
                <w:color w:val="0000EE"/>
              </w:rPr>
            </w:pPr>
            <w:hyperlink w:anchor="page6">
              <w:r>
                <w:rPr>
                  <w:rFonts w:ascii="Arial" w:cs="Arial" w:eastAsia="Arial" w:hAnsi="Arial"/>
                  <w:sz w:val="18"/>
                  <w:szCs w:val="18"/>
                  <w:color w:val="0000EE"/>
                </w:rPr>
                <w:t>Directors, Executive Officers and Corporate Governance</w:t>
              </w:r>
            </w:hyperlink>
          </w:p>
        </w:tc>
        <w:tc>
          <w:tcPr>
            <w:tcW w:w="2080" w:type="dxa"/>
            <w:vAlign w:val="bottom"/>
          </w:tcPr>
          <w:p>
            <w:pPr>
              <w:jc w:val="right"/>
              <w:spacing w:after="0" w:line="20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Executive Compensation</w:t>
              </w:r>
            </w:hyperlink>
          </w:p>
        </w:tc>
        <w:tc>
          <w:tcPr>
            <w:tcW w:w="2440" w:type="dxa"/>
            <w:vAlign w:val="bottom"/>
            <w:tcBorders>
              <w:top w:val="single" w:sz="8" w:color="0000EE"/>
            </w:tcBorders>
            <w:gridSpan w:val="3"/>
          </w:tcPr>
          <w:p>
            <w:pPr>
              <w:spacing w:after="0"/>
              <w:rPr>
                <w:sz w:val="15"/>
                <w:szCs w:val="15"/>
                <w:color w:val="auto"/>
              </w:rPr>
            </w:pPr>
          </w:p>
        </w:tc>
        <w:tc>
          <w:tcPr>
            <w:tcW w:w="3420" w:type="dxa"/>
            <w:vAlign w:val="bottom"/>
            <w:gridSpan w:val="2"/>
          </w:tcPr>
          <w:p>
            <w:pPr>
              <w:spacing w:after="0"/>
              <w:rPr>
                <w:sz w:val="15"/>
                <w:szCs w:val="15"/>
                <w:color w:val="auto"/>
              </w:rPr>
            </w:pP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Security Ownership of Certain Beneficial Owners and Management and Related Stockholder Matters</w:t>
              </w:r>
            </w:hyperlink>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7800" w:type="dxa"/>
            <w:vAlign w:val="bottom"/>
            <w:gridSpan w:val="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Principal Accounting Fees and Services</w:t>
              </w:r>
            </w:hyperlink>
          </w:p>
        </w:tc>
        <w:tc>
          <w:tcPr>
            <w:tcW w:w="1880" w:type="dxa"/>
            <w:vAlign w:val="bottom"/>
          </w:tcPr>
          <w:p>
            <w:pPr>
              <w:spacing w:after="0"/>
              <w:rPr>
                <w:sz w:val="15"/>
                <w:szCs w:val="15"/>
                <w:color w:val="auto"/>
              </w:rPr>
            </w:pP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9"/>
        </w:trPr>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720" w:type="dxa"/>
            <w:vAlign w:val="bottom"/>
            <w:gridSpan w:val="4"/>
          </w:tcPr>
          <w:p>
            <w:pPr>
              <w:ind w:left="760"/>
              <w:spacing w:after="0"/>
              <w:rPr>
                <w:sz w:val="20"/>
                <w:szCs w:val="20"/>
                <w:color w:val="auto"/>
              </w:rPr>
            </w:pPr>
            <w:r>
              <w:rPr>
                <w:rFonts w:ascii="Arial" w:cs="Arial" w:eastAsia="Arial" w:hAnsi="Arial"/>
                <w:sz w:val="18"/>
                <w:szCs w:val="18"/>
                <w:color w:val="auto"/>
              </w:rPr>
              <w:t>PART IV</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spacing w:after="0" w:line="205" w:lineRule="exact"/>
              <w:rPr>
                <w:sz w:val="20"/>
                <w:szCs w:val="20"/>
                <w:color w:val="auto"/>
              </w:rPr>
            </w:pPr>
            <w:r>
              <w:rPr>
                <w:rFonts w:ascii="Arial" w:cs="Arial" w:eastAsia="Arial" w:hAnsi="Arial"/>
                <w:sz w:val="18"/>
                <w:szCs w:val="18"/>
                <w:color w:val="auto"/>
              </w:rPr>
              <w:t>ITEM 15.</w:t>
            </w:r>
          </w:p>
        </w:tc>
        <w:tc>
          <w:tcPr>
            <w:tcW w:w="7800" w:type="dxa"/>
            <w:vAlign w:val="bottom"/>
            <w:gridSpan w:val="7"/>
          </w:tcPr>
          <w:p>
            <w:pPr>
              <w:spacing w:after="0" w:line="205"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2080" w:type="dxa"/>
            <w:vAlign w:val="bottom"/>
          </w:tcPr>
          <w:p>
            <w:pPr>
              <w:jc w:val="right"/>
              <w:spacing w:after="0" w:line="205"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Signature</w:t>
              </w:r>
            </w:hyperlink>
          </w:p>
        </w:tc>
        <w:tc>
          <w:tcPr>
            <w:tcW w:w="620" w:type="dxa"/>
            <w:vAlign w:val="bottom"/>
            <w:tcBorders>
              <w:top w:val="single" w:sz="8" w:color="0000EE"/>
            </w:tcBorders>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Appendix A — Reconciliation of Non-GAAP Measures (Unaudited)</w:t>
              </w:r>
            </w:hyperlink>
          </w:p>
        </w:tc>
        <w:tc>
          <w:tcPr>
            <w:tcW w:w="3720" w:type="dxa"/>
            <w:vAlign w:val="bottom"/>
            <w:gridSpan w:val="3"/>
          </w:tcPr>
          <w:p>
            <w:pPr>
              <w:spacing w:after="0"/>
              <w:rPr>
                <w:sz w:val="15"/>
                <w:szCs w:val="15"/>
                <w:color w:val="auto"/>
              </w:rPr>
            </w:pP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6"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III</w:t>
      </w:r>
    </w:p>
    <w:p>
      <w:pPr>
        <w:spacing w:after="0" w:line="27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10. Directors, Executive Officers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Viatris’ executive officers as of April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color w:val="auto"/>
              </w:rPr>
              <w:t>Robert J. Coury</w:t>
            </w:r>
          </w:p>
        </w:tc>
        <w:tc>
          <w:tcPr>
            <w:tcW w:w="1720" w:type="dxa"/>
            <w:vAlign w:val="bottom"/>
          </w:tcPr>
          <w:p>
            <w:pPr>
              <w:jc w:val="right"/>
              <w:ind w:right="212"/>
              <w:spacing w:after="0"/>
              <w:rPr>
                <w:sz w:val="20"/>
                <w:szCs w:val="20"/>
                <w:color w:val="auto"/>
              </w:rPr>
            </w:pPr>
            <w:r>
              <w:rPr>
                <w:rFonts w:ascii="Arial" w:cs="Arial" w:eastAsia="Arial" w:hAnsi="Arial"/>
                <w:sz w:val="18"/>
                <w:szCs w:val="18"/>
                <w:color w:val="auto"/>
              </w:rPr>
              <w:t>60</w:t>
            </w:r>
          </w:p>
        </w:tc>
        <w:tc>
          <w:tcPr>
            <w:tcW w:w="6400" w:type="dxa"/>
            <w:vAlign w:val="bottom"/>
          </w:tcPr>
          <w:p>
            <w:pPr>
              <w:ind w:left="300"/>
              <w:spacing w:after="0"/>
              <w:rPr>
                <w:sz w:val="20"/>
                <w:szCs w:val="20"/>
                <w:color w:val="auto"/>
              </w:rPr>
            </w:pPr>
            <w:r>
              <w:rPr>
                <w:rFonts w:ascii="Arial" w:cs="Arial" w:eastAsia="Arial" w:hAnsi="Arial"/>
                <w:sz w:val="18"/>
                <w:szCs w:val="18"/>
                <w:color w:val="auto"/>
              </w:rPr>
              <w:t>Executive Chairman</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Michael Goettler</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53</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Chief Executive Officer (principal executive officer)</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Rajiv Malik</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60</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Sanjeev Narula</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60</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Chief Financial Officer (principal financial officer)</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Paul Campbell</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54</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w w:val="96"/>
              </w:rPr>
              <w:t>Chief Accounting Officer and Corporate Controller (principal accounting officer)</w:t>
            </w:r>
          </w:p>
        </w:tc>
      </w:tr>
      <w:tr>
        <w:trPr>
          <w:trHeight w:val="202"/>
        </w:trPr>
        <w:tc>
          <w:tcPr>
            <w:tcW w:w="2840" w:type="dxa"/>
            <w:vAlign w:val="bottom"/>
          </w:tcPr>
          <w:p>
            <w:pPr>
              <w:spacing w:after="0" w:line="202" w:lineRule="exact"/>
              <w:rPr>
                <w:sz w:val="20"/>
                <w:szCs w:val="20"/>
                <w:color w:val="auto"/>
              </w:rPr>
            </w:pPr>
            <w:r>
              <w:rPr>
                <w:rFonts w:ascii="Arial" w:cs="Arial" w:eastAsia="Arial" w:hAnsi="Arial"/>
                <w:sz w:val="18"/>
                <w:szCs w:val="18"/>
                <w:color w:val="auto"/>
              </w:rPr>
              <w:t>Brian Roman</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51</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Global General Counsel</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Andrew Cuneo</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President, Japan, Australia and New Zealand (“JANZ”)</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Anthony Mauro</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48</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President, Developed Markets</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Xiangyang (Sean) Ni</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52</w:t>
            </w: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President, Greater China</w:t>
            </w:r>
          </w:p>
        </w:tc>
      </w:tr>
      <w:tr>
        <w:trPr>
          <w:trHeight w:val="211"/>
        </w:trPr>
        <w:tc>
          <w:tcPr>
            <w:tcW w:w="2840" w:type="dxa"/>
            <w:vAlign w:val="bottom"/>
          </w:tcPr>
          <w:p>
            <w:pPr>
              <w:spacing w:after="0"/>
              <w:rPr>
                <w:sz w:val="20"/>
                <w:szCs w:val="20"/>
                <w:color w:val="auto"/>
              </w:rPr>
            </w:pPr>
            <w:r>
              <w:rPr>
                <w:rFonts w:ascii="Arial" w:cs="Arial" w:eastAsia="Arial" w:hAnsi="Arial"/>
                <w:sz w:val="18"/>
                <w:szCs w:val="18"/>
                <w:color w:val="auto"/>
              </w:rPr>
              <w:t>Menassie Taddese</w:t>
            </w:r>
          </w:p>
        </w:tc>
        <w:tc>
          <w:tcPr>
            <w:tcW w:w="172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6400" w:type="dxa"/>
            <w:vAlign w:val="bottom"/>
          </w:tcPr>
          <w:p>
            <w:pPr>
              <w:ind w:left="300"/>
              <w:spacing w:after="0"/>
              <w:rPr>
                <w:sz w:val="20"/>
                <w:szCs w:val="20"/>
                <w:color w:val="auto"/>
              </w:rPr>
            </w:pPr>
            <w:r>
              <w:rPr>
                <w:rFonts w:ascii="Arial" w:cs="Arial" w:eastAsia="Arial" w:hAnsi="Arial"/>
                <w:sz w:val="18"/>
                <w:szCs w:val="18"/>
                <w:color w:val="auto"/>
              </w:rPr>
              <w:t>President, Emerging Markets</w:t>
            </w:r>
          </w:p>
        </w:tc>
      </w:tr>
    </w:tbl>
    <w:p>
      <w:pPr>
        <w:spacing w:after="0" w:line="132"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Executive Chairman</w:t>
      </w:r>
      <w:r>
        <w:rPr>
          <w:rFonts w:ascii="Arial" w:cs="Arial" w:eastAsia="Arial" w:hAnsi="Arial"/>
          <w:sz w:val="16"/>
          <w:szCs w:val="16"/>
          <w:color w:val="auto"/>
        </w:rPr>
        <w:t>. Mr. Coury has served as Viatris’ Executive Chairman since the closing of the Combination on November 16, 2020.</w:t>
      </w:r>
      <w:r>
        <w:rPr>
          <w:rFonts w:ascii="Arial" w:cs="Arial" w:eastAsia="Arial" w:hAnsi="Arial"/>
          <w:sz w:val="16"/>
          <w:szCs w:val="16"/>
          <w:b w:val="1"/>
          <w:bCs w:val="1"/>
          <w:color w:val="auto"/>
        </w:rPr>
        <w:t xml:space="preserve"> </w:t>
      </w:r>
      <w:r>
        <w:rPr>
          <w:rFonts w:ascii="Arial" w:cs="Arial" w:eastAsia="Arial" w:hAnsi="Arial"/>
          <w:sz w:val="16"/>
          <w:szCs w:val="16"/>
          <w:color w:val="auto"/>
        </w:rPr>
        <w:t>Mr. Coury leads the Viatris Board of Directors (the “Board” or “Viatris Board”), oversees the strategic direction of the Company with the Board and in collaboration with executive management, and advises the management team as they execute on the Company’s strategy to drive value creation, while also ensuring robust board engagement with shareholders and other key stakeholders, among other responsibilities. Additional details regarding Mr. Coury’s background and experience can be found under the heading “Board of Directors” on page 4.</w:t>
      </w:r>
    </w:p>
    <w:p>
      <w:pPr>
        <w:spacing w:after="0" w:line="1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Chief Executive Officer</w:t>
      </w:r>
      <w:r>
        <w:rPr>
          <w:rFonts w:ascii="Arial" w:cs="Arial" w:eastAsia="Arial" w:hAnsi="Arial"/>
          <w:sz w:val="18"/>
          <w:szCs w:val="18"/>
          <w:color w:val="auto"/>
        </w:rPr>
        <w:t>. Mr. Goettler has served as Viatris’ Chief Executive Officer (“CEO”) since the closing of the Combination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2020. His responsibilities include leading the overall performance of the Company and executing on the strategies developed in collaboration with the Executive Chairman and the Board, including the strategy to launch Viatris’ Global Healthcare Gateway</w:t>
      </w:r>
      <w:r>
        <w:rPr>
          <w:rFonts w:ascii="Arial" w:cs="Arial" w:eastAsia="Arial" w:hAnsi="Arial"/>
          <w:sz w:val="9"/>
          <w:szCs w:val="9"/>
          <w:color w:val="auto"/>
        </w:rPr>
        <w:t>®</w:t>
      </w:r>
      <w:r>
        <w:rPr>
          <w:rFonts w:ascii="Arial" w:cs="Arial" w:eastAsia="Arial" w:hAnsi="Arial"/>
          <w:sz w:val="18"/>
          <w:szCs w:val="18"/>
          <w:color w:val="auto"/>
        </w:rPr>
        <w:t>, among other responsibilities. Additional details regarding Mr. Goettler’s background and experience can be found under the heading “Board of Directors” on page 6.</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President</w:t>
      </w:r>
      <w:r>
        <w:rPr>
          <w:rFonts w:ascii="Arial" w:cs="Arial" w:eastAsia="Arial" w:hAnsi="Arial"/>
          <w:sz w:val="18"/>
          <w:szCs w:val="18"/>
          <w:color w:val="auto"/>
        </w:rPr>
        <w:t>. Mr. Malik has served as Viatris’ President since the closing of the Combination on November 16, 2020. His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day-to-day operations of the Company, overseeing the Company’s commercial business units, the Medical, Information Technology and Quality functions, and Research and Development (“R&amp;D”) and Operations. Additional details regarding Mr. Malik’s background and experience can be found under the heading “Board of Directors” on page 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Messrs. Coury, Goettler, and Malik are also members of the Viatris Board.</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Chief Financial Officer</w:t>
      </w:r>
      <w:r>
        <w:rPr>
          <w:rFonts w:ascii="Arial" w:cs="Arial" w:eastAsia="Arial" w:hAnsi="Arial"/>
          <w:sz w:val="18"/>
          <w:szCs w:val="18"/>
          <w:color w:val="auto"/>
        </w:rPr>
        <w:t>. Mr. Narula has served as Viatris’ Chief Financial Officer since the closing of the Combination on November 16, 2020.</w:t>
      </w:r>
      <w:r>
        <w:rPr>
          <w:rFonts w:ascii="Arial" w:cs="Arial" w:eastAsia="Arial" w:hAnsi="Arial"/>
          <w:sz w:val="18"/>
          <w:szCs w:val="18"/>
          <w:b w:val="1"/>
          <w:bCs w:val="1"/>
          <w:color w:val="auto"/>
        </w:rPr>
        <w:t xml:space="preserve"> </w:t>
      </w:r>
      <w:r>
        <w:rPr>
          <w:rFonts w:ascii="Arial" w:cs="Arial" w:eastAsia="Arial" w:hAnsi="Arial"/>
          <w:sz w:val="18"/>
          <w:szCs w:val="18"/>
          <w:color w:val="auto"/>
        </w:rPr>
        <w:t>His responsibilities include oversight of the global Finance Department, which includes corporate controllership, financial planning and analysis, internal audit, and tax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96" w:right="439" w:bottom="1440" w:gutter="0" w:footer="0" w:header="0"/>
        </w:sectPr>
      </w:pPr>
    </w:p>
    <w:bookmarkStart w:id="6" w:name="page7"/>
    <w:bookmarkEnd w:id="6"/>
    <w:p>
      <w:pPr>
        <w:jc w:val="both"/>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Chief Accounting Officer and Corporate Controller</w:t>
      </w:r>
      <w:r>
        <w:rPr>
          <w:rFonts w:ascii="Arial" w:cs="Arial" w:eastAsia="Arial" w:hAnsi="Arial"/>
          <w:sz w:val="18"/>
          <w:szCs w:val="18"/>
          <w:color w:val="auto"/>
        </w:rPr>
        <w:t>. Mr. Campbell has served as Viatris’ Chief Accounting Officer and Corporate Controller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closing of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37"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Global General Counsel</w:t>
      </w:r>
      <w:r>
        <w:rPr>
          <w:rFonts w:ascii="Arial" w:cs="Arial" w:eastAsia="Arial" w:hAnsi="Arial"/>
          <w:sz w:val="16"/>
          <w:szCs w:val="16"/>
          <w:color w:val="auto"/>
        </w:rPr>
        <w:t>. Mr. Roman has served as Viatris’ Global General Counsel since the closing of the Combination on November 16,</w:t>
      </w:r>
      <w:r>
        <w:rPr>
          <w:rFonts w:ascii="Arial" w:cs="Arial" w:eastAsia="Arial" w:hAnsi="Arial"/>
          <w:sz w:val="16"/>
          <w:szCs w:val="16"/>
          <w:b w:val="1"/>
          <w:bCs w:val="1"/>
          <w:color w:val="auto"/>
        </w:rPr>
        <w:t xml:space="preserve"> </w:t>
      </w:r>
      <w:r>
        <w:rPr>
          <w:rFonts w:ascii="Arial" w:cs="Arial" w:eastAsia="Arial" w:hAnsi="Arial"/>
          <w:sz w:val="16"/>
          <w:szCs w:val="16"/>
          <w:color w:val="auto"/>
        </w:rPr>
        <w:t>2020. His 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10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President, Japan, Australia, and New Zealand (JANZ)</w:t>
      </w:r>
      <w:r>
        <w:rPr>
          <w:rFonts w:ascii="Arial" w:cs="Arial" w:eastAsia="Arial" w:hAnsi="Arial"/>
          <w:sz w:val="16"/>
          <w:szCs w:val="16"/>
          <w:color w:val="auto"/>
        </w:rPr>
        <w:t>. Mr. Cuneo has served as President, JANZ since the closing of the Combination on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16, 2020. His responsibilities include oversight of the day-to-day operations in the region. From April 2017 until the closing of the Combination, Mr. Cuneo was Mylan’s President—Rest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1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President, Developed Markets</w:t>
      </w:r>
      <w:r>
        <w:rPr>
          <w:rFonts w:ascii="Arial" w:cs="Arial" w:eastAsia="Arial" w:hAnsi="Arial"/>
          <w:sz w:val="18"/>
          <w:szCs w:val="18"/>
          <w:color w:val="auto"/>
        </w:rPr>
        <w:t>. Mr. Mauro has served as President, Developed Markets since the closing of the Combination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2020. His responsibilities include oversight of the commercial functions in the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President, Greater China</w:t>
      </w:r>
      <w:r>
        <w:rPr>
          <w:rFonts w:ascii="Arial" w:cs="Arial" w:eastAsia="Arial" w:hAnsi="Arial"/>
          <w:sz w:val="16"/>
          <w:szCs w:val="16"/>
          <w:color w:val="auto"/>
        </w:rPr>
        <w:t>. Mr. Ni has served as President, Greater China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oversight of day-to-day operations in the region and overseeing the development and execution of the Company’s strategy in Greater China. From March 2019 until the closing of the Combination, Mr. Ni served as Senior Vice President of Global Strategy,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318" w:right="439" w:bottom="1440" w:gutter="0" w:footer="0" w:header="0"/>
        </w:sectPr>
      </w:pPr>
    </w:p>
    <w:bookmarkStart w:id="7" w:name="page8"/>
    <w:bookmarkEnd w:id="7"/>
    <w:p>
      <w:pPr>
        <w:jc w:val="both"/>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Pfizer’s Upjohn division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President, Emerging Markets</w:t>
      </w:r>
      <w:r>
        <w:rPr>
          <w:rFonts w:ascii="Arial" w:cs="Arial" w:eastAsia="Arial" w:hAnsi="Arial"/>
          <w:sz w:val="18"/>
          <w:szCs w:val="18"/>
          <w:color w:val="auto"/>
        </w:rPr>
        <w:t>. Mr. Taddese has served as President, Emerging Markets since the closing of the Combination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2020. His responsibilities include oversight of day-to-day operations in the segment, including leading the segment’s commercial team and establishing and executing on the Company’s strategy. From October 2018 until the closing of the Combination, Mr. Taddese served as Regional President, Emerging Markets at Pfizer’s Upjohn division, with commercial responsibility for the Upjohn Business across the segment. From December 2017 until October 2018, Mr. Taddese served as Regional President for Pfizer’s Essential Health business in Africa and the Middle East, with responsibility for Pfizer’s established portfolio business throughout the region. Prior to that role, he served as Regional Lead and General Manager from January 2016 until November 2017, with responsibility for Pfizer’s Innovative Health Business in Africa and the Middle East. Previously, Mr. Taddese held a number of senior roles at Pfizer, including Vice President, Chief Financial Officer, GIP North America from January 2014 until December 2015, and Vice President and Chief Financial Officer, US Primary Care from April 2011 to December 2013.</w:t>
      </w:r>
    </w:p>
    <w:p>
      <w:pPr>
        <w:spacing w:after="0" w:line="15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Pursuant to Viatris Inc.’s Amended and Restated Bylaws (“Bylaws”), officers hold office until their successors are chosen and qualify in their stead or until their earlier death, resignation or removal.</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Viatris’ Board currently consists of 13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732282"/>
              </w:rPr>
              <w:t>Name</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732282"/>
                <w:w w:val="86"/>
              </w:rPr>
              <w:t>Age</w:t>
            </w:r>
            <w:r>
              <w:rPr>
                <w:rFonts w:ascii="Arial" w:cs="Arial" w:eastAsia="Arial" w:hAnsi="Arial"/>
                <w:sz w:val="18"/>
                <w:szCs w:val="18"/>
                <w:b w:val="1"/>
                <w:bCs w:val="1"/>
                <w:color w:val="732282"/>
                <w:w w:val="86"/>
                <w:vertAlign w:val="superscript"/>
              </w:rPr>
              <w:t>(1)</w:t>
            </w:r>
          </w:p>
        </w:tc>
        <w:tc>
          <w:tcPr>
            <w:tcW w:w="320" w:type="dxa"/>
            <w:vAlign w:val="bottom"/>
          </w:tcPr>
          <w:p>
            <w:pPr>
              <w:spacing w:after="0"/>
              <w:rPr>
                <w:sz w:val="20"/>
                <w:szCs w:val="20"/>
                <w:color w:val="auto"/>
              </w:rPr>
            </w:pPr>
          </w:p>
        </w:tc>
        <w:tc>
          <w:tcPr>
            <w:tcW w:w="61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732282"/>
              </w:rPr>
              <w:t>Other Positions with Viatris and Principal Occupation</w:t>
            </w: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W. Don Cornwell</w:t>
            </w:r>
          </w:p>
        </w:tc>
        <w:tc>
          <w:tcPr>
            <w:tcW w:w="440" w:type="dxa"/>
            <w:vAlign w:val="bottom"/>
          </w:tcPr>
          <w:p>
            <w:pPr>
              <w:spacing w:after="0"/>
              <w:rPr>
                <w:sz w:val="20"/>
                <w:szCs w:val="20"/>
                <w:color w:val="auto"/>
              </w:rPr>
            </w:pPr>
            <w:r>
              <w:rPr>
                <w:rFonts w:ascii="Arial" w:cs="Arial" w:eastAsia="Arial" w:hAnsi="Arial"/>
                <w:sz w:val="18"/>
                <w:szCs w:val="18"/>
                <w:color w:val="auto"/>
              </w:rPr>
              <w:t>73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w w:val="98"/>
              </w:rPr>
              <w:t>Retired Chairman &amp; Chief Executive Officer, Granite Broadcasting Corporation</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Robert J. Coury</w:t>
            </w:r>
          </w:p>
        </w:tc>
        <w:tc>
          <w:tcPr>
            <w:tcW w:w="440" w:type="dxa"/>
            <w:vAlign w:val="bottom"/>
          </w:tcPr>
          <w:p>
            <w:pPr>
              <w:spacing w:after="0"/>
              <w:rPr>
                <w:sz w:val="20"/>
                <w:szCs w:val="20"/>
                <w:color w:val="auto"/>
              </w:rPr>
            </w:pPr>
            <w:r>
              <w:rPr>
                <w:rFonts w:ascii="Arial" w:cs="Arial" w:eastAsia="Arial" w:hAnsi="Arial"/>
                <w:sz w:val="18"/>
                <w:szCs w:val="18"/>
                <w:color w:val="auto"/>
              </w:rPr>
              <w:t>60</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Executive Chairman, Viatris</w:t>
            </w:r>
          </w:p>
        </w:tc>
      </w:tr>
      <w:tr>
        <w:trPr>
          <w:trHeight w:val="248"/>
        </w:trPr>
        <w:tc>
          <w:tcPr>
            <w:tcW w:w="4080" w:type="dxa"/>
            <w:vAlign w:val="bottom"/>
            <w:gridSpan w:val="2"/>
          </w:tcPr>
          <w:p>
            <w:pPr>
              <w:spacing w:after="0"/>
              <w:rPr>
                <w:sz w:val="20"/>
                <w:szCs w:val="20"/>
                <w:color w:val="auto"/>
              </w:rPr>
            </w:pPr>
            <w:r>
              <w:rPr>
                <w:rFonts w:ascii="Arial" w:cs="Arial" w:eastAsia="Arial" w:hAnsi="Arial"/>
                <w:sz w:val="18"/>
                <w:szCs w:val="18"/>
                <w:color w:val="auto"/>
              </w:rPr>
              <w:t>JoEllen Lyons Dillon</w:t>
            </w:r>
          </w:p>
        </w:tc>
        <w:tc>
          <w:tcPr>
            <w:tcW w:w="440" w:type="dxa"/>
            <w:vAlign w:val="bottom"/>
          </w:tcPr>
          <w:p>
            <w:pPr>
              <w:spacing w:after="0"/>
              <w:rPr>
                <w:sz w:val="20"/>
                <w:szCs w:val="20"/>
                <w:color w:val="auto"/>
              </w:rPr>
            </w:pPr>
            <w:r>
              <w:rPr>
                <w:rFonts w:ascii="Arial" w:cs="Arial" w:eastAsia="Arial" w:hAnsi="Arial"/>
                <w:sz w:val="18"/>
                <w:szCs w:val="18"/>
                <w:color w:val="auto"/>
              </w:rPr>
              <w:t>57</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w w:val="98"/>
              </w:rPr>
              <w:t>Retired Executive Vice President, Chief Legal Officer and Corporate Secretary,</w:t>
            </w:r>
          </w:p>
        </w:tc>
      </w:tr>
      <w:tr>
        <w:trPr>
          <w:trHeight w:val="211"/>
        </w:trPr>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The ExOne Company</w:t>
            </w:r>
          </w:p>
        </w:tc>
      </w:tr>
      <w:tr>
        <w:trPr>
          <w:trHeight w:val="248"/>
        </w:trPr>
        <w:tc>
          <w:tcPr>
            <w:tcW w:w="4080" w:type="dxa"/>
            <w:vAlign w:val="bottom"/>
            <w:gridSpan w:val="2"/>
          </w:tcPr>
          <w:p>
            <w:pPr>
              <w:spacing w:after="0"/>
              <w:rPr>
                <w:sz w:val="20"/>
                <w:szCs w:val="20"/>
                <w:color w:val="auto"/>
              </w:rPr>
            </w:pPr>
            <w:r>
              <w:rPr>
                <w:rFonts w:ascii="Arial" w:cs="Arial" w:eastAsia="Arial" w:hAnsi="Arial"/>
                <w:sz w:val="18"/>
                <w:szCs w:val="18"/>
                <w:color w:val="auto"/>
              </w:rPr>
              <w:t>Neil Dimick, C.P.A.</w:t>
            </w:r>
            <w:r>
              <w:rPr>
                <w:rFonts w:ascii="Arial" w:cs="Arial" w:eastAsia="Arial" w:hAnsi="Arial"/>
                <w:sz w:val="9"/>
                <w:szCs w:val="9"/>
                <w:color w:val="auto"/>
              </w:rPr>
              <w:t>(2)</w:t>
            </w:r>
          </w:p>
        </w:tc>
        <w:tc>
          <w:tcPr>
            <w:tcW w:w="440" w:type="dxa"/>
            <w:vAlign w:val="bottom"/>
          </w:tcPr>
          <w:p>
            <w:pPr>
              <w:spacing w:after="0"/>
              <w:rPr>
                <w:sz w:val="20"/>
                <w:szCs w:val="20"/>
                <w:color w:val="auto"/>
              </w:rPr>
            </w:pPr>
            <w:r>
              <w:rPr>
                <w:rFonts w:ascii="Arial" w:cs="Arial" w:eastAsia="Arial" w:hAnsi="Arial"/>
                <w:sz w:val="18"/>
                <w:szCs w:val="18"/>
                <w:color w:val="auto"/>
              </w:rPr>
              <w:t>71</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Retired Executive Vice President and Chief Financial Officer,</w:t>
            </w:r>
          </w:p>
        </w:tc>
      </w:tr>
      <w:tr>
        <w:trPr>
          <w:trHeight w:val="211"/>
        </w:trPr>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AmerisourceBergen Corporation</w:t>
            </w: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Michael Goettler</w:t>
            </w:r>
          </w:p>
        </w:tc>
        <w:tc>
          <w:tcPr>
            <w:tcW w:w="440" w:type="dxa"/>
            <w:vAlign w:val="bottom"/>
          </w:tcPr>
          <w:p>
            <w:pPr>
              <w:spacing w:after="0"/>
              <w:rPr>
                <w:sz w:val="20"/>
                <w:szCs w:val="20"/>
                <w:color w:val="auto"/>
              </w:rPr>
            </w:pPr>
            <w:r>
              <w:rPr>
                <w:rFonts w:ascii="Arial" w:cs="Arial" w:eastAsia="Arial" w:hAnsi="Arial"/>
                <w:sz w:val="18"/>
                <w:szCs w:val="18"/>
                <w:color w:val="auto"/>
              </w:rPr>
              <w:t>53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Chief Executive Officer, Viatris</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Melina Higgins</w:t>
            </w:r>
          </w:p>
        </w:tc>
        <w:tc>
          <w:tcPr>
            <w:tcW w:w="440" w:type="dxa"/>
            <w:vAlign w:val="bottom"/>
          </w:tcPr>
          <w:p>
            <w:pPr>
              <w:spacing w:after="0"/>
              <w:rPr>
                <w:sz w:val="20"/>
                <w:szCs w:val="20"/>
                <w:color w:val="auto"/>
              </w:rPr>
            </w:pPr>
            <w:r>
              <w:rPr>
                <w:rFonts w:ascii="Arial" w:cs="Arial" w:eastAsia="Arial" w:hAnsi="Arial"/>
                <w:sz w:val="18"/>
                <w:szCs w:val="18"/>
                <w:color w:val="auto"/>
              </w:rPr>
              <w:t>53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Retired Partner and Managing Director, Goldman Sachs</w:t>
            </w: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James Kilts</w:t>
            </w:r>
          </w:p>
        </w:tc>
        <w:tc>
          <w:tcPr>
            <w:tcW w:w="440" w:type="dxa"/>
            <w:vAlign w:val="bottom"/>
          </w:tcPr>
          <w:p>
            <w:pPr>
              <w:spacing w:after="0"/>
              <w:rPr>
                <w:sz w:val="20"/>
                <w:szCs w:val="20"/>
                <w:color w:val="auto"/>
              </w:rPr>
            </w:pPr>
            <w:r>
              <w:rPr>
                <w:rFonts w:ascii="Arial" w:cs="Arial" w:eastAsia="Arial" w:hAnsi="Arial"/>
                <w:sz w:val="18"/>
                <w:szCs w:val="18"/>
                <w:color w:val="auto"/>
              </w:rPr>
              <w:t>73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Founding Partner, Centerview Capital</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Harry A. Korman</w:t>
            </w:r>
          </w:p>
        </w:tc>
        <w:tc>
          <w:tcPr>
            <w:tcW w:w="440" w:type="dxa"/>
            <w:vAlign w:val="bottom"/>
          </w:tcPr>
          <w:p>
            <w:pPr>
              <w:spacing w:after="0"/>
              <w:rPr>
                <w:sz w:val="20"/>
                <w:szCs w:val="20"/>
                <w:color w:val="auto"/>
              </w:rPr>
            </w:pPr>
            <w:r>
              <w:rPr>
                <w:rFonts w:ascii="Arial" w:cs="Arial" w:eastAsia="Arial" w:hAnsi="Arial"/>
                <w:sz w:val="18"/>
                <w:szCs w:val="18"/>
                <w:color w:val="auto"/>
              </w:rPr>
              <w:t>63</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Retired Chief Operating Officer, Mylan Inc.</w:t>
            </w: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Rajiv Malik</w:t>
            </w:r>
          </w:p>
        </w:tc>
        <w:tc>
          <w:tcPr>
            <w:tcW w:w="440" w:type="dxa"/>
            <w:vAlign w:val="bottom"/>
          </w:tcPr>
          <w:p>
            <w:pPr>
              <w:spacing w:after="0"/>
              <w:rPr>
                <w:sz w:val="20"/>
                <w:szCs w:val="20"/>
                <w:color w:val="auto"/>
              </w:rPr>
            </w:pPr>
            <w:r>
              <w:rPr>
                <w:rFonts w:ascii="Arial" w:cs="Arial" w:eastAsia="Arial" w:hAnsi="Arial"/>
                <w:sz w:val="18"/>
                <w:szCs w:val="18"/>
                <w:color w:val="auto"/>
              </w:rPr>
              <w:t>60</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President, Viatris</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Richard A. Mark, C.P.A.</w:t>
            </w:r>
          </w:p>
        </w:tc>
        <w:tc>
          <w:tcPr>
            <w:tcW w:w="440" w:type="dxa"/>
            <w:vAlign w:val="bottom"/>
          </w:tcPr>
          <w:p>
            <w:pPr>
              <w:spacing w:after="0"/>
              <w:rPr>
                <w:sz w:val="20"/>
                <w:szCs w:val="20"/>
                <w:color w:val="auto"/>
              </w:rPr>
            </w:pPr>
            <w:r>
              <w:rPr>
                <w:rFonts w:ascii="Arial" w:cs="Arial" w:eastAsia="Arial" w:hAnsi="Arial"/>
                <w:sz w:val="18"/>
                <w:szCs w:val="18"/>
                <w:color w:val="auto"/>
              </w:rPr>
              <w:t>67</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Retired Partner, Deloitte &amp; Touche LLP</w:t>
            </w:r>
          </w:p>
        </w:tc>
      </w:tr>
      <w:tr>
        <w:trPr>
          <w:trHeight w:val="248"/>
        </w:trPr>
        <w:tc>
          <w:tcPr>
            <w:tcW w:w="4080" w:type="dxa"/>
            <w:vAlign w:val="bottom"/>
            <w:gridSpan w:val="2"/>
          </w:tcPr>
          <w:p>
            <w:pPr>
              <w:spacing w:after="0"/>
              <w:rPr>
                <w:sz w:val="20"/>
                <w:szCs w:val="20"/>
                <w:color w:val="auto"/>
              </w:rPr>
            </w:pPr>
            <w:r>
              <w:rPr>
                <w:rFonts w:ascii="Arial" w:cs="Arial" w:eastAsia="Arial" w:hAnsi="Arial"/>
                <w:sz w:val="18"/>
                <w:szCs w:val="18"/>
                <w:color w:val="auto"/>
              </w:rPr>
              <w:t>Mark W. Parrish</w:t>
            </w:r>
          </w:p>
        </w:tc>
        <w:tc>
          <w:tcPr>
            <w:tcW w:w="440" w:type="dxa"/>
            <w:vAlign w:val="bottom"/>
          </w:tcPr>
          <w:p>
            <w:pPr>
              <w:spacing w:after="0"/>
              <w:rPr>
                <w:sz w:val="20"/>
                <w:szCs w:val="20"/>
                <w:color w:val="auto"/>
              </w:rPr>
            </w:pPr>
            <w:r>
              <w:rPr>
                <w:rFonts w:ascii="Arial" w:cs="Arial" w:eastAsia="Arial" w:hAnsi="Arial"/>
                <w:sz w:val="18"/>
                <w:szCs w:val="18"/>
                <w:color w:val="auto"/>
              </w:rPr>
              <w:t>65</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Lead Independent Director and Vice Chairman, Viatris; Executive Chairman,</w:t>
            </w:r>
          </w:p>
        </w:tc>
      </w:tr>
      <w:tr>
        <w:trPr>
          <w:trHeight w:val="211"/>
        </w:trPr>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TridentUSA Health Services</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Ian Read</w:t>
            </w:r>
          </w:p>
        </w:tc>
        <w:tc>
          <w:tcPr>
            <w:tcW w:w="440" w:type="dxa"/>
            <w:vAlign w:val="bottom"/>
          </w:tcPr>
          <w:p>
            <w:pPr>
              <w:spacing w:after="0"/>
              <w:rPr>
                <w:sz w:val="20"/>
                <w:szCs w:val="20"/>
                <w:color w:val="auto"/>
              </w:rPr>
            </w:pPr>
            <w:r>
              <w:rPr>
                <w:rFonts w:ascii="Arial" w:cs="Arial" w:eastAsia="Arial" w:hAnsi="Arial"/>
                <w:sz w:val="18"/>
                <w:szCs w:val="18"/>
                <w:color w:val="auto"/>
              </w:rPr>
              <w:t>67</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w w:val="98"/>
              </w:rPr>
              <w:t>Operating Executive at The Carlyle Group; Retired Executive Chairman, Pfizer</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Pauline van der Meer Mohr</w:t>
            </w:r>
          </w:p>
        </w:tc>
        <w:tc>
          <w:tcPr>
            <w:tcW w:w="440" w:type="dxa"/>
            <w:vAlign w:val="bottom"/>
          </w:tcPr>
          <w:p>
            <w:pPr>
              <w:spacing w:after="0"/>
              <w:rPr>
                <w:sz w:val="20"/>
                <w:szCs w:val="20"/>
                <w:color w:val="auto"/>
              </w:rPr>
            </w:pPr>
            <w:r>
              <w:rPr>
                <w:rFonts w:ascii="Arial" w:cs="Arial" w:eastAsia="Arial" w:hAnsi="Arial"/>
                <w:sz w:val="18"/>
                <w:szCs w:val="18"/>
                <w:color w:val="auto"/>
              </w:rPr>
              <w:t>61</w:t>
            </w: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Former President of the Executive Board at Erasmus University, Rotterdam</w:t>
            </w:r>
          </w:p>
        </w:tc>
      </w:tr>
      <w:tr>
        <w:trPr>
          <w:trHeight w:val="351"/>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00" w:type="dxa"/>
            <w:vAlign w:val="bottom"/>
            <w:gridSpan w:val="2"/>
          </w:tcPr>
          <w:p>
            <w:pPr>
              <w:jc w:val="right"/>
              <w:ind w:right="537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0"/>
          </w:cols>
          <w:pgMar w:left="440" w:top="318" w:right="439" w:bottom="1440" w:gutter="0" w:footer="0" w:header="0"/>
        </w:sectPr>
      </w:pPr>
    </w:p>
    <w:bookmarkStart w:id="8" w:name="page9"/>
    <w:bookmarkEnd w:id="8"/>
    <w:p>
      <w:pPr>
        <w:ind w:left="424" w:hanging="424"/>
        <w:spacing w:after="0"/>
        <w:tabs>
          <w:tab w:leader="none" w:pos="424"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268605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t>Ages as of April 30, 2021.</w:t>
      </w:r>
    </w:p>
    <w:p>
      <w:pPr>
        <w:spacing w:after="0" w:line="67" w:lineRule="exact"/>
        <w:rPr>
          <w:rFonts w:ascii="Arial" w:cs="Arial" w:eastAsia="Arial" w:hAnsi="Arial"/>
          <w:sz w:val="19"/>
          <w:szCs w:val="19"/>
          <w:color w:val="auto"/>
          <w:vertAlign w:val="superscript"/>
        </w:rPr>
      </w:pPr>
    </w:p>
    <w:p>
      <w:pPr>
        <w:ind w:left="424" w:hanging="424"/>
        <w:spacing w:after="0" w:line="188" w:lineRule="auto"/>
        <w:tabs>
          <w:tab w:leader="none" w:pos="424"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C.P.A. distinction is “inactive” status.</w:t>
      </w:r>
    </w:p>
    <w:p>
      <w:pPr>
        <w:spacing w:after="0" w:line="152"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Each of the Directors has served on the Board since November 16, 2020, the closing date of the Combination. Additional background information for each Director is set forth immediately below.</w:t>
      </w:r>
    </w:p>
    <w:p>
      <w:pPr>
        <w:spacing w:after="0" w:line="133" w:lineRule="exact"/>
        <w:rPr>
          <w:sz w:val="20"/>
          <w:szCs w:val="20"/>
          <w:color w:val="auto"/>
        </w:rPr>
      </w:pPr>
    </w:p>
    <w:p>
      <w:pPr>
        <w:jc w:val="both"/>
        <w:ind w:left="4" w:right="20"/>
        <w:spacing w:after="0" w:line="242" w:lineRule="auto"/>
        <w:rPr>
          <w:sz w:val="20"/>
          <w:szCs w:val="20"/>
          <w:color w:val="auto"/>
        </w:rPr>
      </w:pPr>
      <w:r>
        <w:rPr>
          <w:rFonts w:ascii="Arial" w:cs="Arial" w:eastAsia="Arial" w:hAnsi="Arial"/>
          <w:sz w:val="18"/>
          <w:szCs w:val="18"/>
          <w:b w:val="1"/>
          <w:bCs w:val="1"/>
          <w:u w:val="single" w:color="auto"/>
          <w:color w:val="auto"/>
        </w:rPr>
        <w:t>Robert J. Coury</w:t>
      </w:r>
      <w:r>
        <w:rPr>
          <w:rFonts w:ascii="Arial" w:cs="Arial" w:eastAsia="Arial" w:hAnsi="Arial"/>
          <w:sz w:val="18"/>
          <w:szCs w:val="18"/>
          <w:b w:val="1"/>
          <w:bCs w:val="1"/>
          <w:color w:val="auto"/>
        </w:rPr>
        <w:t xml:space="preserve">. </w:t>
      </w:r>
      <w:r>
        <w:rPr>
          <w:rFonts w:ascii="Arial" w:cs="Arial" w:eastAsia="Arial" w:hAnsi="Arial"/>
          <w:sz w:val="18"/>
          <w:szCs w:val="18"/>
          <w:color w:val="auto"/>
        </w:rPr>
        <w:t>Robert J. Coury has served as Viatris’ Executive Chairman since the closing of the Combination on November 16,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Coury leads the Viatris Board; oversees the strategic direction of the Company with the Board and in collaboration with executive management; advises the management team as they execute on the Company’s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w:t>
      </w:r>
    </w:p>
    <w:p>
      <w:pPr>
        <w:spacing w:after="0" w:line="153"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color w:val="auto"/>
        </w:rPr>
        <w:t>Mr. Coury most recently served as Executive Chairman of Mylan. During his tenure with Mylan, Mr. Coury’s strategic vision led to the creation of a strong foundation for Viatris. Under Mr. Coury’s leadership, Mylan grew from the third-largest generics pharmaceutical company in the United States to one of the largest pharmaceutical companies in the world, earning spots in both the S&amp;P 500 and, prior to Mylan’s reincorporation outside of the United States in 2015, the Fortune 500.</w:t>
      </w:r>
    </w:p>
    <w:p>
      <w:pPr>
        <w:spacing w:after="0" w:line="154" w:lineRule="exact"/>
        <w:rPr>
          <w:sz w:val="20"/>
          <w:szCs w:val="20"/>
          <w:color w:val="auto"/>
        </w:rPr>
      </w:pPr>
    </w:p>
    <w:p>
      <w:pPr>
        <w:jc w:val="both"/>
        <w:ind w:left="4" w:right="20"/>
        <w:spacing w:after="0" w:line="235" w:lineRule="auto"/>
        <w:rPr>
          <w:sz w:val="20"/>
          <w:szCs w:val="20"/>
          <w:color w:val="auto"/>
        </w:rPr>
      </w:pPr>
      <w:r>
        <w:rPr>
          <w:rFonts w:ascii="Arial" w:cs="Arial" w:eastAsia="Arial" w:hAnsi="Arial"/>
          <w:sz w:val="18"/>
          <w:szCs w:val="18"/>
          <w:color w:val="auto"/>
        </w:rPr>
        <w:t>Mr. Coury was first was elected to Mylan’s Board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Mylan’s Board. The Mylan Board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w:t>
      </w:r>
    </w:p>
    <w:p>
      <w:pPr>
        <w:spacing w:after="0" w:line="160"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w:t>
      </w:r>
    </w:p>
    <w:p>
      <w:pPr>
        <w:spacing w:after="0" w:line="154"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Mr. Coury’s qualifications to serve on the Viatris Board include, among others, his unique strategic vision, leadership, extensive knowledge of the industry and the Company and its management and businesses around the world, demonstrated outstanding business acumen, proven ability to proactively anticipate and respond to opportunities and challenges, and strong business judgment.</w:t>
      </w:r>
    </w:p>
    <w:p>
      <w:pPr>
        <w:spacing w:after="0" w:line="132"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b w:val="1"/>
          <w:bCs w:val="1"/>
          <w:u w:val="single" w:color="auto"/>
          <w:color w:val="auto"/>
        </w:rPr>
        <w:t>W. Don Cornwell</w:t>
      </w:r>
      <w:r>
        <w:rPr>
          <w:rFonts w:ascii="Arial" w:cs="Arial" w:eastAsia="Arial" w:hAnsi="Arial"/>
          <w:sz w:val="18"/>
          <w:szCs w:val="18"/>
          <w:b w:val="1"/>
          <w:bCs w:val="1"/>
          <w:color w:val="auto"/>
        </w:rPr>
        <w:t xml:space="preserve">. </w:t>
      </w:r>
      <w:r>
        <w:rPr>
          <w:rFonts w:ascii="Arial" w:cs="Arial" w:eastAsia="Arial" w:hAnsi="Arial"/>
          <w:sz w:val="18"/>
          <w:szCs w:val="18"/>
          <w:color w:val="auto"/>
        </w:rPr>
        <w:t>W. Don Cornwell has served on the Viatris Board since the closing of the Combination on November 16,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Cornwell also has served on the board of directors of American International Group, Inc. (NYSE: AIG) since 2011, and chairs that company’s Compensation and Management Resources Committee and serves on its Nominating and Corporate Governance Committee. He has also been a member of the board of directors of Natura &amp; Co Holding S.A. (NYSE: NTCO) since January 2020 and was a Director of Avon Products, Inc. from 2002 until its acquisition by Natura in 2020. Mr. Cornwell served on the Pfizer (NYSE: PFE) board of directors from 1997 until the closing of the Combination, where he most recently chaired the Regulatory and Compliance Committee and was a member of the Governance and Sustainability</w:t>
      </w:r>
    </w:p>
    <w:p>
      <w:pPr>
        <w:spacing w:after="0" w:line="14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07" w:right="439" w:bottom="1440" w:gutter="0" w:footer="0" w:header="0"/>
        </w:sectPr>
      </w:pPr>
    </w:p>
    <w:bookmarkStart w:id="9" w:name="page10"/>
    <w:bookmarkEnd w:id="9"/>
    <w:p>
      <w:pPr>
        <w:jc w:val="both"/>
        <w:ind w:left="4"/>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a Director of Blue Meridian Partners, a partnership of philanthropists that invests in strategies to impact social problems confronting young people and families in poverty.</w:t>
      </w:r>
    </w:p>
    <w:p>
      <w:pPr>
        <w:spacing w:after="0" w:line="154"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Mr. Cornwell’s qualifications to serve on the Viatris Board include, among others, his experience and expertise as a Chief Executive Officer and regarding corporate governance, finance, information security, public company management and strategy, human capital management and executive compensation, the healthcare industry, and international business transactions.</w:t>
      </w:r>
    </w:p>
    <w:p>
      <w:pPr>
        <w:spacing w:after="0" w:line="132"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b w:val="1"/>
          <w:bCs w:val="1"/>
          <w:u w:val="single" w:color="auto"/>
          <w:color w:val="auto"/>
        </w:rPr>
        <w:t>JoEllen Lyons Dillon</w:t>
      </w:r>
      <w:r>
        <w:rPr>
          <w:rFonts w:ascii="Arial" w:cs="Arial" w:eastAsia="Arial" w:hAnsi="Arial"/>
          <w:sz w:val="18"/>
          <w:szCs w:val="18"/>
          <w:b w:val="1"/>
          <w:bCs w:val="1"/>
          <w:color w:val="auto"/>
        </w:rPr>
        <w:t xml:space="preserve">. </w:t>
      </w:r>
      <w:r>
        <w:rPr>
          <w:rFonts w:ascii="Arial" w:cs="Arial" w:eastAsia="Arial" w:hAnsi="Arial"/>
          <w:sz w:val="18"/>
          <w:szCs w:val="18"/>
          <w:color w:val="auto"/>
        </w:rPr>
        <w:t>Ms. Dillon has served on the Viatris Board since the closing of the Combination on November 16, 2020. Ms. Dillon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Director of Mylan from 2014 until the closing of the Combination, most recently chairing the Compensation and Governance and Nominating Committees, and serving as a member of the Audit, Compliance and Executive Committees. She served from March 2013 to August 2017 as an executive officer of The ExOne Company (“ExOne”) (NASDAQ: XONE), an emerging growth company and global provider of three-dimensional printing machines and services. She was promoted to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serves as a member of the board of trustees of the Allegheny District chapter of the National Multiple Sclerosis Society and served as Chair and Audit Committee chair.</w:t>
      </w:r>
    </w:p>
    <w:p>
      <w:pPr>
        <w:spacing w:after="0" w:line="161"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Ms. Dillon’s qualifications to serve on the Viatris Board include, among others, her experience and expertise regarding legal and regulatory matters, financial matters, compliance, corporate governance, executive and director compensation, public company management and international business and strategy.</w:t>
      </w:r>
    </w:p>
    <w:p>
      <w:pPr>
        <w:spacing w:after="0" w:line="132"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b w:val="1"/>
          <w:bCs w:val="1"/>
          <w:u w:val="single" w:color="auto"/>
          <w:color w:val="auto"/>
        </w:rPr>
        <w:t>Neil Dimick, C.P.A.</w:t>
      </w:r>
      <w:r>
        <w:rPr>
          <w:rFonts w:ascii="Arial" w:cs="Arial" w:eastAsia="Arial" w:hAnsi="Arial"/>
          <w:sz w:val="9"/>
          <w:szCs w:val="9"/>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Mr. Dimick has served on the Viatris Board since the closing of the Combination on November 16, 2020. Mr. Dimick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on the board of directors of Resources Connection, Inc. (NASDAQ: RECN) since November 2003, and chairs its Audit Committee and serves on its Compensation Committee. Mr. Dimick previously served as a Director of Mylan from 2005 until the closing of the Combination, most recently chairing the Audit Committee and serving as a member of the Executive, Finance, and Risk Oversight Committees. Mr. Dimick served as Executive Vice President and Chief Financial Officer of AmerisourceBergen Corporation (NYSE: ABC), a wholesale distributor of pharmaceuticals, from 2001 to 2002. From 1992 to 2001, he was Senior Executive Vice President and Chief Financial Officer of Bergen Brunswig Corporation, a wholesale drug distributor. Prior to that, Mr. Dimick was a Partner with Deloitte &amp; Touche LLP (“Deloitte”) for eight years. Mr. Dimick also served on the boards of directors of WebMD Health Corp. from 2005 to September 2017; Alliance HealthCare Services, Inc. from 2002 to August 2017; and Thoratec Corporation from 2003 to October 2015.</w:t>
      </w:r>
    </w:p>
    <w:p>
      <w:pPr>
        <w:spacing w:after="0" w:line="159"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Mr. Dimick’s qualifications to serve on the Viatris Board include, among others, his experience and expertise regarding accounting, finance, the healthcare industry, international business, information security, corporate governance, public company management, oversight and strategy, and international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3"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9"/>
          <w:szCs w:val="19"/>
          <w:color w:val="auto"/>
          <w:vertAlign w:val="superscript"/>
        </w:rPr>
      </w:pPr>
      <w:r>
        <w:rPr>
          <w:rFonts w:ascii="Arial" w:cs="Arial" w:eastAsia="Arial" w:hAnsi="Arial"/>
          <w:sz w:val="18"/>
          <w:szCs w:val="18"/>
          <w:color w:val="auto"/>
        </w:rPr>
        <w:t>C.P.A. distinction is “inactive” status.</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318" w:right="439" w:bottom="1440" w:gutter="0" w:footer="0" w:header="0"/>
        </w:sectPr>
      </w:pPr>
    </w:p>
    <w:bookmarkStart w:id="10" w:name="page11"/>
    <w:bookmarkEnd w:id="10"/>
    <w:p>
      <w:pPr>
        <w:jc w:val="both"/>
        <w:ind w:right="20"/>
        <w:spacing w:after="0" w:line="244"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Michael Goettler</w:t>
      </w:r>
      <w:r>
        <w:rPr>
          <w:rFonts w:ascii="Arial" w:cs="Arial" w:eastAsia="Arial" w:hAnsi="Arial"/>
          <w:sz w:val="18"/>
          <w:szCs w:val="18"/>
          <w:b w:val="1"/>
          <w:bCs w:val="1"/>
          <w:color w:val="auto"/>
        </w:rPr>
        <w:t xml:space="preserve">. </w:t>
      </w:r>
      <w:r>
        <w:rPr>
          <w:rFonts w:ascii="Arial" w:cs="Arial" w:eastAsia="Arial" w:hAnsi="Arial"/>
          <w:sz w:val="18"/>
          <w:szCs w:val="18"/>
          <w:color w:val="auto"/>
        </w:rPr>
        <w:t>Mr. Goettler has served as Viatris’ CEO and on the Viatris Board since the closing of the Combination on November 16,</w:t>
      </w:r>
      <w:r>
        <w:rPr>
          <w:rFonts w:ascii="Arial" w:cs="Arial" w:eastAsia="Arial" w:hAnsi="Arial"/>
          <w:sz w:val="18"/>
          <w:szCs w:val="18"/>
          <w:b w:val="1"/>
          <w:bCs w:val="1"/>
          <w:color w:val="auto"/>
        </w:rPr>
        <w:t xml:space="preserve"> </w:t>
      </w:r>
      <w:r>
        <w:rPr>
          <w:rFonts w:ascii="Arial" w:cs="Arial" w:eastAsia="Arial" w:hAnsi="Arial"/>
          <w:sz w:val="18"/>
          <w:szCs w:val="18"/>
          <w:color w:val="auto"/>
        </w:rPr>
        <w:t>2020. His responsibilities include leading the overall performance of the Company and executing on the strategies developed in collaboration with the Executive Chairman and the Board, including the strategy to launch Viatris’ Global Healthcare Gateway</w:t>
      </w:r>
      <w:r>
        <w:rPr>
          <w:rFonts w:ascii="Arial" w:cs="Arial" w:eastAsia="Arial" w:hAnsi="Arial"/>
          <w:sz w:val="9"/>
          <w:szCs w:val="9"/>
          <w:color w:val="auto"/>
        </w:rPr>
        <w:t>®</w:t>
      </w:r>
      <w:r>
        <w:rPr>
          <w:rFonts w:ascii="Arial" w:cs="Arial" w:eastAsia="Arial" w:hAnsi="Arial"/>
          <w:sz w:val="18"/>
          <w:szCs w:val="18"/>
          <w:color w:val="auto"/>
        </w:rPr>
        <w:t>, among other responsibilities.</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January 2019 until the closing of the Combination, Mr. Goettler was the Group President of Pfizer’s Upjohn division, where his responsibilities included leading the division’s performance and strategy, including commercial, R&amp;D, operations and enabling functions. From July 2018 until December 2018, Mr. Goettler served as Executive Vice President, Established Products Division, which subsequently became Upjohn. Mr. Goettler also served as Global President of Pfizer Inflammation &amp; Immunology from January 2018 until June 2018; Global President of Pfizer’s Rare Disease Business from January 2016 until December 2017; Global Commercial Officer, Senior Vice President for Pfizer’s Global Innovative Pharma Business from January 2014 until December 2015; and Regional President, Europe for Pfizer Specialty Care and Chair of the European Management Team from June 2012 until December 2013.</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2015 until 2020, Mr. Goettler served on the board of directors of Population Services International, a global organization dedicated to improving the health of people in the developing world. Since 2019, Mr. Goettler has been a member of the Tsinghua School of Pharmacy Advisory Board.</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Goettler’s qualifications to serve on the Viatris Board include, among others, his experience and expertise regarding the healthcare industry, international business, corporate governance, oversight and strategy, and international business transactions and markets.</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u w:val="single" w:color="auto"/>
          <w:color w:val="auto"/>
        </w:rPr>
        <w:t>Melina Higgins</w:t>
      </w:r>
      <w:r>
        <w:rPr>
          <w:rFonts w:ascii="Arial" w:cs="Arial" w:eastAsia="Arial" w:hAnsi="Arial"/>
          <w:sz w:val="18"/>
          <w:szCs w:val="18"/>
          <w:b w:val="1"/>
          <w:bCs w:val="1"/>
          <w:color w:val="auto"/>
        </w:rPr>
        <w:t xml:space="preserve">. </w:t>
      </w:r>
      <w:r>
        <w:rPr>
          <w:rFonts w:ascii="Arial" w:cs="Arial" w:eastAsia="Arial" w:hAnsi="Arial"/>
          <w:sz w:val="18"/>
          <w:szCs w:val="18"/>
          <w:color w:val="auto"/>
        </w:rPr>
        <w:t>Ms. Higgins has served on the Viatris Board since the closing of the Combination on November 16, 2020. Ms. Higgins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 member of the board of directors of Genworth Financial Inc. (NYSE: GNW), an insurance company, since September 2013, and serves on its Management Development &amp; Compensation and Nominating &amp; Corporate Governance Committees. In March 2021, Ms. Higgins joined the board of NextGen Acquisition Corp. II (NASDAQ: NGCAU),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(NYSE: GS),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which managed over $30 billion of assets. Ms. Higgins is a member of the women’s leadership board of Harvard University’s John F. Kennedy School of Government.</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Ms. Higgins’ qualifications to serve on the Viatris Board include, among others, her experience and expertise regarding finance, capital markets, international business and strategy, director and executive compensation, international business transactions, corporate governance, and risk oversight and compliance.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96" w:right="439" w:bottom="1440"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James Kilts</w:t>
      </w:r>
      <w:r>
        <w:rPr>
          <w:rFonts w:ascii="Arial" w:cs="Arial" w:eastAsia="Arial" w:hAnsi="Arial"/>
          <w:sz w:val="18"/>
          <w:szCs w:val="18"/>
          <w:b w:val="1"/>
          <w:bCs w:val="1"/>
          <w:color w:val="auto"/>
        </w:rPr>
        <w:t xml:space="preserve">. </w:t>
      </w:r>
      <w:r>
        <w:rPr>
          <w:rFonts w:ascii="Arial" w:cs="Arial" w:eastAsia="Arial" w:hAnsi="Arial"/>
          <w:sz w:val="18"/>
          <w:szCs w:val="18"/>
          <w:color w:val="auto"/>
        </w:rPr>
        <w:t>Mr. Kilts has served on the Viatris Board since the closing of the Combination on November 16, 2020. Mr. Kilts is a founding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Centerview Capital, a private equity firm, and has served as non-executive Chairman of Advantage Solutions Inc. (NASDAQ: ADV) since October 2020 following that company’s combination with Conyers Park II Acquisition Corp., where he served as Executive Chairman from May 2019. He has served as Chairman of The Simply Good Foods Company (NASDAQ: SMPL) since 2017, and serves on that company’s Nominating and Corporate Governance Committee. Since 2016, Mr. Kilts has served as a Director of Unifi Inc. (NYSE: UFI) and currently serves on that company’s Compensation Committee. Previously, Mr. Kilts served on the board of directors of Pfizer from 2007 until the closing of the Combination, where he most recently served on the Compensation Committee; MetLife, Inc. (NYSE: MET) from 2005 until June 2020, where he most recently chaired the Compensation Committee and was a member of the Governance and Corporate Responsibility Committee; The Procter &amp; Gamble Company (NYSE: PG) from 2005 to 2006; as Chairman of Conyers Park Acquisition Corporation from its formation in April 2016 until its merger with The Simply Good Foods Company in July 2017; as a non-executive Director of Nielsen Holdings plc (NYSE: NLSN)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as a Director of Ole Smoky Distillery LLC, a craft spirits company; as a Life Trustee of Knox College; on the board of trustees of the University of Chicago; and as a life member of the Advisory Council of the University of Chicago Booth School of Business. Mr. Kilts also served as Chairman of Big Heart Pet Brands from 2011 until 2015.</w:t>
      </w:r>
    </w:p>
    <w:p>
      <w:pPr>
        <w:spacing w:after="0" w:line="16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Mr. Kilts’ qualifications to serve on the Viatris Board include, among others, his experience and expertise as a Chief Executive Officer and regarding corporate governance, finance, public company oversight, human resources, human capital management, director and executive compensation, international business, and risk management and oversight.</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u w:val="single" w:color="auto"/>
          <w:color w:val="auto"/>
        </w:rPr>
        <w:t>Harry A. Korman</w:t>
      </w:r>
      <w:r>
        <w:rPr>
          <w:rFonts w:ascii="Arial" w:cs="Arial" w:eastAsia="Arial" w:hAnsi="Arial"/>
          <w:sz w:val="18"/>
          <w:szCs w:val="18"/>
          <w:b w:val="1"/>
          <w:bCs w:val="1"/>
          <w:color w:val="auto"/>
        </w:rPr>
        <w:t xml:space="preserve">. </w:t>
      </w:r>
      <w:r>
        <w:rPr>
          <w:rFonts w:ascii="Arial" w:cs="Arial" w:eastAsia="Arial" w:hAnsi="Arial"/>
          <w:sz w:val="18"/>
          <w:szCs w:val="18"/>
          <w:color w:val="auto"/>
        </w:rPr>
        <w:t>Mr. Korman has served on the Viatris Board since the closing of the Combination on November 16, 2020. Mr. Korman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w:t>
      </w:r>
    </w:p>
    <w:p>
      <w:pPr>
        <w:spacing w:after="0" w:line="16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Mr. Korman’s qualifications to serve on the Viatris Board include, among others, his extensive industry experience, his knowledge of healthcare systems and the U.S. and global commercial markets, and his experience and expertise in the areas of global strategy, information security, risk oversight, sales and marketing, commercial operations, supply chain, and business development.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96" w:right="439" w:bottom="1440" w:gutter="0" w:footer="0" w:header="0"/>
        </w:sectPr>
      </w:pPr>
    </w:p>
    <w:bookmarkStart w:id="12" w:name="page13"/>
    <w:bookmarkEnd w:id="12"/>
    <w:p>
      <w:pPr>
        <w:jc w:val="both"/>
        <w:ind w:right="20"/>
        <w:spacing w:after="0" w:line="249"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Rajiv Malik</w:t>
      </w:r>
      <w:r>
        <w:rPr>
          <w:rFonts w:ascii="Arial" w:cs="Arial" w:eastAsia="Arial" w:hAnsi="Arial"/>
          <w:sz w:val="18"/>
          <w:szCs w:val="18"/>
          <w:b w:val="1"/>
          <w:bCs w:val="1"/>
          <w:color w:val="auto"/>
        </w:rPr>
        <w:t xml:space="preserve">. </w:t>
      </w:r>
      <w:r>
        <w:rPr>
          <w:rFonts w:ascii="Arial" w:cs="Arial" w:eastAsia="Arial" w:hAnsi="Arial"/>
          <w:sz w:val="18"/>
          <w:szCs w:val="18"/>
          <w:color w:val="auto"/>
        </w:rPr>
        <w:t>Mr. Malik has served as Viatris’ President and on the Viatris Board since the closing of the Combination on November 16, 2020.</w:t>
      </w:r>
      <w:r>
        <w:rPr>
          <w:rFonts w:ascii="Arial" w:cs="Arial" w:eastAsia="Arial" w:hAnsi="Arial"/>
          <w:sz w:val="18"/>
          <w:szCs w:val="18"/>
          <w:b w:val="1"/>
          <w:bCs w:val="1"/>
          <w:color w:val="auto"/>
        </w:rPr>
        <w:t xml:space="preserve"> </w:t>
      </w:r>
      <w:r>
        <w:rPr>
          <w:rFonts w:ascii="Arial" w:cs="Arial" w:eastAsia="Arial" w:hAnsi="Arial"/>
          <w:sz w:val="18"/>
          <w:szCs w:val="18"/>
          <w:color w:val="auto"/>
        </w:rPr>
        <w:t>His responsibilities include the day-to-day operations of the Company, overseeing the Company’s commercial business units, the Commercial Development, Medical, Information Technology and Quality functions, as well as R&amp;D and Operations.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w:t>
      </w:r>
    </w:p>
    <w:p>
      <w:pPr>
        <w:spacing w:after="0" w:line="13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Mr. Malik’s qualifications to serve on Viatris’ Board include, among others, his knowledge and experience regarding Viatris’ businesses, markets and strategies, as well as its global research, supply chain, manufacturing, and commercial platforms; his knowledge and experience regarding issues, risks and opportunities in the global healthcare industry; and his experience and expertise regarding R&amp;D, manufacturing, and quality, human capital management, global regulatory matters, public company management and leadership, and international business transactions and integration.</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u w:val="single" w:color="auto"/>
          <w:color w:val="auto"/>
        </w:rPr>
        <w:t>Richard A. Mark, C.P.A.</w:t>
      </w:r>
      <w:r>
        <w:rPr>
          <w:rFonts w:ascii="Arial" w:cs="Arial" w:eastAsia="Arial" w:hAnsi="Arial"/>
          <w:sz w:val="18"/>
          <w:szCs w:val="18"/>
          <w:b w:val="1"/>
          <w:bCs w:val="1"/>
          <w:color w:val="auto"/>
        </w:rPr>
        <w:t xml:space="preserve"> </w:t>
      </w:r>
      <w:r>
        <w:rPr>
          <w:rFonts w:ascii="Arial" w:cs="Arial" w:eastAsia="Arial" w:hAnsi="Arial"/>
          <w:sz w:val="18"/>
          <w:szCs w:val="18"/>
          <w:color w:val="auto"/>
        </w:rPr>
        <w:t>Mr. Mark has served on the Viatris Board since the closing of the Combination on November 16, 2020. Mr. Mark</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serves on the board of directors of Goldman Sachs BDC, Inc. (“GSBDC”), chairing its Audit Committee and serving on its Compliance, Compensation, Contract Review, and Governance and Nominating Committees. He previously served on the board of directors of Mylan from 2019 until the closing of the Combination, most recently serving on the Audit and Finance Committees. Previously, Mr. Mark served on the board of directors of Goldman Sachs Middle Market Lending Corp. prior to its merger with GSBDC in October 2020, most recently chairing its Audit Committee and serving on its Compliance, Governance and Nominating, and Contract Review Committees. Mr. Mark also was a Partner with Deloitte from June 2002 to May 2015, most recently leading the advisory corporate development function. 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(“Northwestern”) in September 2014. Following the acquisition of Cadence Health, Mr. Mark was a Director of Northwestern from September 2014 to August 2015, serving on its Executive and Nominating and Governance committees. Mr. Mark currently serves as a Director of Almost Home Kids, a not-for-profit corporation affiliated with Lurie Children’s Hospital of Chicago, which provides transitional care to children with complicated health needs, training for their families, and respite care.</w:t>
      </w:r>
    </w:p>
    <w:p>
      <w:pPr>
        <w:spacing w:after="0" w:line="15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Mr. Mark’s qualifications to serve on the Viatris Board include, among others, his experience and expertise regarding accounting and finance, the healthcare industry, information security, global business, corporate governance, public company management, risk oversight and strategy, and international M&amp;A.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96" w:right="4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Mark W. Parrish</w:t>
      </w:r>
      <w:r>
        <w:rPr>
          <w:rFonts w:ascii="Arial" w:cs="Arial" w:eastAsia="Arial" w:hAnsi="Arial"/>
          <w:sz w:val="16"/>
          <w:szCs w:val="16"/>
          <w:b w:val="1"/>
          <w:bCs w:val="1"/>
          <w:color w:val="auto"/>
        </w:rPr>
        <w:t xml:space="preserve">. </w:t>
      </w:r>
      <w:r>
        <w:rPr>
          <w:rFonts w:ascii="Arial" w:cs="Arial" w:eastAsia="Arial" w:hAnsi="Arial"/>
          <w:sz w:val="16"/>
          <w:szCs w:val="16"/>
          <w:color w:val="auto"/>
        </w:rPr>
        <w:t>Mr. Parrish has served as the Lead Independent Director and Vice Chairman of the Viatris Board since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on November 16, 2020. He served as Chief Executive Officer of TridentUSA Health Services (“TridentUSA”), a provider of mobile X-ray and laboratory services to the long-term care industry, from 2008 to August 2018, and as Executive Chairman from 2008 to 2013. Since August 2018, he has served as Executive Chairman of TridentUSA. In February 2019, TridentUSA filed for protection under Chapter 11 of the U.S. Bankruptcy Code and emerged from bankruptcy in September 2019. Since January 2013, Mr. Parrish has served on the board of directors of Omnicell, Inc. (NASDAQ: OMCL), a company that specializes in healthcare technology, and serves on its Audit and Compensation committees; and since May 2019, he has served on the board of directors, and is the Chairman of the Audit Committee, of Comprehensive Pharmacy Services, a private company that specializes in the outsourcing of hospital pharmacies. He served on the board of directors of Mylan from 2009 until the closing of the Combination, most recently serving as Lead Independent Director and Vice Chairman and as Chair of the Compliance Committee and member of the Audit, Executive, Governance and Nominating, and Risk Oversight Committees;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(NYSE: CAH) (“Cardinal”) and its affiliates, including Chief Executive Officer of healthcare supply chain services, from 2006 to 2007. Mr. Parrish serves as president of the International Federation of Pharmaceutical Wholesalers, an association of pharmaceutical wholesalers and pharmaceutical supply chain service companies, and as senior adviser to Frazier Healthcare Ventures, a healthcare-oriented growth equity firm.</w:t>
      </w:r>
    </w:p>
    <w:p>
      <w:pPr>
        <w:spacing w:after="0" w:line="3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Parrish’s qualifications to serve on the Viatris Board include, among others, his experience and expertise as a Chief Executive Officer and regarding issues, risks and opportunities in the global healthcare industry, compliance, corporate governance, information security, risk management oversight, supply chain, the healthcare industry and technology, human capital management, public company management and strategy, and international business transactions.</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u w:val="single" w:color="auto"/>
          <w:color w:val="auto"/>
        </w:rPr>
        <w:t>Ian Read</w:t>
      </w:r>
      <w:r>
        <w:rPr>
          <w:rFonts w:ascii="Arial" w:cs="Arial" w:eastAsia="Arial" w:hAnsi="Arial"/>
          <w:sz w:val="16"/>
          <w:szCs w:val="16"/>
          <w:b w:val="1"/>
          <w:bCs w:val="1"/>
          <w:color w:val="auto"/>
        </w:rPr>
        <w:t xml:space="preserve">. </w:t>
      </w:r>
      <w:r>
        <w:rPr>
          <w:rFonts w:ascii="Arial" w:cs="Arial" w:eastAsia="Arial" w:hAnsi="Arial"/>
          <w:sz w:val="16"/>
          <w:szCs w:val="16"/>
          <w:color w:val="auto"/>
        </w:rPr>
        <w:t>Mr. Read has served on the Viatris Board since the closing of the Combination on November 16, 2020. Mr. Read also has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Operating Executive of The Carlyle Group’s (NASDAQ: CG) Global Healthcare Group since January 2020, where he advises on growth strategies, leadership, talent development, effective operations, and risk management. Mr. Read has served as Lead Independent Director of Kimberly-Clark Corporation’s board of directors since March 2008 and currently serves on that company’s Management Development &amp; Compensation and Nominating and Corporate Governance Committees. Mr. Read has also served as Chairman of DXC Technology (NYSE: DXC) since February 2020 and is the co-founder of Population Health Investment Co. Inc. (NASDAQ: PHIC), serving as that company’s Executive Chairman since November 2020. In September 2020, Mr. Read joined the supervisory board of avateramedical N.V., a private financial holding company that focuses on investments in and start-ups of medical technology companies. He also serves as an advisory board member of Tennor Holding B.V., avateramedical’s largest shareholder. Mr. Read previously held several positions at Pfizer between 1978 and 2019, including Executive Chairman from January 2019 until December 2019 and Chief Executive Officer from December 2010 until December 2018. He served as Chairman of Pfizer’s board of directors from December 2011 to December 2018.</w:t>
      </w:r>
    </w:p>
    <w:p>
      <w:pPr>
        <w:spacing w:after="0" w:line="34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Read’s qualifications to serve on the Viatris Board include, among others, his experience and expertise as a Chief Executive Officer and regarding issues, risks and opportunities in the global healthcare industry,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96" w:right="439" w:bottom="1440" w:gutter="0" w:footer="0" w:header="0"/>
        </w:sectPr>
      </w:pPr>
    </w:p>
    <w:bookmarkStart w:id="14" w:name="page15"/>
    <w:bookmarkEnd w:id="14"/>
    <w:p>
      <w:pPr>
        <w:jc w:val="both"/>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finance, human capital management, global business, corporate governance, public company management, risk management and oversight and strategy, and international M&amp;A.</w:t>
      </w:r>
    </w:p>
    <w:p>
      <w:pPr>
        <w:spacing w:after="0" w:line="13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b w:val="1"/>
          <w:bCs w:val="1"/>
          <w:u w:val="single" w:color="auto"/>
          <w:color w:val="auto"/>
        </w:rPr>
        <w:t>Pauline van der Meer Mohr</w:t>
      </w:r>
      <w:r>
        <w:rPr>
          <w:rFonts w:ascii="Arial" w:cs="Arial" w:eastAsia="Arial" w:hAnsi="Arial"/>
          <w:sz w:val="18"/>
          <w:szCs w:val="18"/>
          <w:b w:val="1"/>
          <w:bCs w:val="1"/>
          <w:color w:val="auto"/>
        </w:rPr>
        <w:t xml:space="preserve">. </w:t>
      </w:r>
      <w:r>
        <w:rPr>
          <w:rFonts w:ascii="Arial" w:cs="Arial" w:eastAsia="Arial" w:hAnsi="Arial"/>
          <w:sz w:val="18"/>
          <w:szCs w:val="18"/>
          <w:color w:val="auto"/>
        </w:rPr>
        <w:t>Ms. van der Meer Mohr has served on the Viatris Board since the closing of the Combination on November 16,</w:t>
      </w:r>
      <w:r>
        <w:rPr>
          <w:rFonts w:ascii="Arial" w:cs="Arial" w:eastAsia="Arial" w:hAnsi="Arial"/>
          <w:sz w:val="18"/>
          <w:szCs w:val="18"/>
          <w:b w:val="1"/>
          <w:bCs w:val="1"/>
          <w:color w:val="auto"/>
        </w:rPr>
        <w:t xml:space="preserve"> </w:t>
      </w:r>
      <w:r>
        <w:rPr>
          <w:rFonts w:ascii="Arial" w:cs="Arial" w:eastAsia="Arial" w:hAnsi="Arial"/>
          <w:sz w:val="18"/>
          <w:szCs w:val="18"/>
          <w:color w:val="auto"/>
        </w:rPr>
        <w:t>2020. Ms. van der Meer Mohr is currently a director of HSBC Holdings plc (LON: HSBA), chairing that company’s Group Remuneration Committee and serving as a member of its Group Audit Committee, Group Risk Committee, and the Nomination &amp; Corporate Governance Committee. She also is a member of the supervisory boards of Royal DSM N.V. (AMS: DSM), currently serving as Deputy Chair, chairing its Remuneration Committee and serving on its Nomination Committee, and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(NASDAQ and AMS: ASML)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(AMS: PNL), before becoming Senior Executive Vice President and Head of Group Human Resources at ABN AMRO NV in 2006. She served as a member of the Dutch Banking Code Monitoring Commission in the Netherlands from 2010 to 2013, and began her own human capital consulting firm in 2008.</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Van der Meer Mohr’s qualifications to serve on the Viatris Board include, among others, her experience and expertise regarding corporate governance, finance, information security, public company oversight, legal and regulatory matters, human resources, human capital management, director and executive compensation, risk management and oversight, and corporate social responsibility (“CSR”).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Viatris’ Board Structure</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set forth in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his or her irrevocable resignation to the Board, such resignation to be effective upon acceptance by the Board.</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Combination, Mylan and Pfizer agreed that the Viatris Board would be classified for three years with respect to the time for which directors hold office (designated as Class I, Class II and Class III). The first term of office of the Class I directors expires as of the date of the 2021 annual meeting of stockholders; the first term of office of the Class II directors expires as of the date of the 2022 annual meeting of stockholders; and the first term of office of the Class III directors expires as of the date of the 2023 annual meeting of stockholders. At the 2021 annual meeting of stockholders, the Class I directors shall be submitted for election for a term of office to expire at the 2023 annual meeting of stockholders; and at the 2022 annual meeting of stockholders, the Class II directors shall be submitted for election for a term of office to expire at the 2023 annual meeting of stockholders. Commencing with the 2023 annual meeting of stockholders and at all subsequent annual meetings of stockholders, all directors will be submitted for election at each annual meeting of stockholders. Neil Dimick, Michael Goettler, Ian Read, and Pauline van der Meer Mohr are in Class I; W. Don Cornwell, Harry A. Korman, Rajiv Malik, and Richard A. Mark are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318"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II; and Robert J. Coury, JoEllen Lyons Dillon, Melina Higgins, James Kilts, and Mark W. Parrish are in Class III.</w:t>
      </w:r>
    </w:p>
    <w:p>
      <w:pPr>
        <w:spacing w:after="0" w:line="15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Viatris operates in a complex and rapidly changing environment that involves global scientific, manufacturing, supply chain, regulatory, and commercial platforms; and diverse and often differing regulations, healthcare systems, and governmental and regulatory scrutiny, among numerous other complexities impacting our business and performance. The members of the Board collectively have expertise in developing and overseeing strategies in the context of this complex environment, as well as a deep understanding of the management team and culture of the Company, our global platforms, the healthcare systems in which we operate, and the opportunities and challenges facing the Company around the world. Our Board members have experience with branded and generic pharmaceuticals businesses; corporate governance, compliance, and enterprise risk management; corporate social responsibility; complex international M&amp;A; financing; human capital management; commercial and operational management; director and executive compensation; commercial and operational management; R&amp;D; pharmaceutical manufacturing and quality; the regulatory environments in which we operate around the world; and business integration, among many other areas. We are confident that the collective experience and expertise of our Directors enables the Board to effectively guide and oversee the management team.</w:t>
      </w:r>
    </w:p>
    <w:p>
      <w:pPr>
        <w:spacing w:after="0" w:line="16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Coury serves as Executive Chairman of the Company. Mr. Coury’s primary responsibilities include overall leadership and strategic direction of the Company, and leadership and coordination of activities of the Board, among others. See also page 4.</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Parrish is the Lead Independent Director and Vice Chairman of the Board. The responsibilities of the Lead Independent Director include calling and presiding over executive sessions of the independent Directors, consulting with the Executive Chairman regarding Board meeting schedules, agendas, and information sent to the Board and separately approving those items, and serving as a liaison between the Executive Chairman and independent Directors. The Executive Chairman and the Lead Independent Director serve as point persons for shareholders wishing to communicate to the Board.</w:t>
      </w:r>
    </w:p>
    <w:p>
      <w:pPr>
        <w:spacing w:after="0" w:line="15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Considering the opportunities and challenges facing the Company, the Board has determined that its current leadership structure — Mr. Coury as Executive Chairman, Mr. Parrish as Lead Independent Director and Vice Chairman, Mr. Goettler as CEO, Mr. Malik as President, and a strong, independent majority of Directors with collective experience overseeing each of Mylan and Upjohn — enables it to best oversee and empower the management team and is optimal for Viatris and its shareholders and other stakeholders.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Among the factors that support the Board’s confidence that its current structure and governance practices enable it to provide highly effective oversight and direction are:</w:t>
      </w:r>
    </w:p>
    <w:p>
      <w:pPr>
        <w:spacing w:after="0" w:line="74" w:lineRule="exact"/>
        <w:rPr>
          <w:sz w:val="20"/>
          <w:szCs w:val="20"/>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9 out of 13 Directors are independent;</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operates pursuant to robust Corporate Governance Principles, which are reviewed by the Governance and Nominating Committee at least annually;</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Chairman possesses deep knowledge of our management, business, and the healthcare industry, and he fosters a culture of robust Board engagement, interaction, and oversight;</w:t>
      </w:r>
    </w:p>
    <w:p>
      <w:pPr>
        <w:spacing w:after="0" w:line="73" w:lineRule="exact"/>
        <w:rPr>
          <w:rFonts w:ascii="Arial" w:cs="Arial" w:eastAsia="Arial" w:hAnsi="Arial"/>
          <w:sz w:val="18"/>
          <w:szCs w:val="18"/>
          <w:color w:val="auto"/>
        </w:rPr>
      </w:pPr>
    </w:p>
    <w:p>
      <w:pPr>
        <w:jc w:val="both"/>
        <w:ind w:left="420" w:right="20" w:hanging="316"/>
        <w:spacing w:after="0" w:line="23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has a strong Lead Independent Director, who is also Vice Chairman, with key areas of expertise and experience (including, among others, public company management, corporate governance, corporate compliance, information security, risk management oversight, and the healthcare industry) that help enhance the Board’s oversight of management and the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318" w:right="439" w:bottom="1440" w:gutter="0" w:footer="0" w:header="0"/>
        </w:sectPr>
      </w:pPr>
    </w:p>
    <w:bookmarkStart w:id="16" w:name="page17"/>
    <w:bookmarkEnd w:id="16"/>
    <w:p>
      <w:pPr>
        <w:ind w:left="420" w:right="20" w:hanging="316"/>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members of the Board have experience overseeing Mylan and Upjohn, which will help support the ongoing integration of the two businesses and provides the Board with a strong understanding of the opportunities and challenges facing the combined company;</w:t>
      </w:r>
    </w:p>
    <w:p>
      <w:pPr>
        <w:spacing w:after="0" w:line="73" w:lineRule="exact"/>
        <w:rPr>
          <w:rFonts w:ascii="Arial" w:cs="Arial" w:eastAsia="Arial" w:hAnsi="Arial"/>
          <w:sz w:val="18"/>
          <w:szCs w:val="18"/>
          <w:color w:val="auto"/>
        </w:rPr>
      </w:pPr>
    </w:p>
    <w:p>
      <w:pPr>
        <w:ind w:left="420" w:hanging="316"/>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Compensation, Finance, Governance and Nominating, and Risk Oversight Committees are composed entirely of independent Directors (as defined in the applicable NASDAQ listing rules and applicable SEC rules);</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approval of any appointment of members to the Audit, Compensation, Compliance, Governance and Nominating, and Risk Oversight Committees must include at least a majority of the independent Directors;</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Board committees operate pursuant to robust written charters and will conduct annual self-assessments;</w:t>
      </w:r>
    </w:p>
    <w:p>
      <w:pPr>
        <w:spacing w:after="0" w:line="76" w:lineRule="exact"/>
        <w:rPr>
          <w:rFonts w:ascii="Arial" w:cs="Arial" w:eastAsia="Arial" w:hAnsi="Arial"/>
          <w:sz w:val="18"/>
          <w:szCs w:val="18"/>
          <w:color w:val="auto"/>
        </w:rPr>
      </w:pPr>
    </w:p>
    <w:p>
      <w:pPr>
        <w:jc w:val="both"/>
        <w:ind w:left="420" w:right="20" w:hanging="316"/>
        <w:spacing w:after="0" w:line="23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Oversight Committee assists the Board in its oversight of management’s efforts with respect to CSR-related matters and the Company’s enterprise risk framework, infrastructure and controls, and receives updates from senior management on data security, cybersecurity, and information security-related matters on at least a quarterly basis;</w:t>
      </w:r>
    </w:p>
    <w:p>
      <w:pPr>
        <w:spacing w:after="0" w:line="72" w:lineRule="exact"/>
        <w:rPr>
          <w:rFonts w:ascii="Arial" w:cs="Arial" w:eastAsia="Arial" w:hAnsi="Arial"/>
          <w:sz w:val="18"/>
          <w:szCs w:val="18"/>
          <w:color w:val="auto"/>
        </w:rPr>
      </w:pPr>
    </w:p>
    <w:p>
      <w:pPr>
        <w:jc w:val="both"/>
        <w:ind w:left="420" w:hanging="316"/>
        <w:spacing w:after="0" w:line="23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independent Directors on the Viatris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72" w:lineRule="exact"/>
        <w:rPr>
          <w:rFonts w:ascii="Arial" w:cs="Arial" w:eastAsia="Arial" w:hAnsi="Arial"/>
          <w:sz w:val="18"/>
          <w:szCs w:val="18"/>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Viatris Board and its committees have full access to officers and employees of the Company;</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Viatris Board and its committees have the authority to select, retain, and supervise advisors as necessary to fulfill their mandates; and</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the closing of the Combination in November 2020 through April 30, 2021, Viatris’ Board has held 7 meetings, which included 5 executive sessions of independent Directors, and its committees have collectively held 21 meetings, including 4 executive sessions.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Viatris Board</w:t>
      </w:r>
    </w:p>
    <w:p>
      <w:pPr>
        <w:spacing w:after="0" w:line="99"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Following the closing of the Combination on November 16, 2020, the Viatris Board met two times in 2020. In addition, Directors attended meetings of individual Board committees of which they were members after such date in 2020. All Directors attended greater than 75% of the aggregate of Viatris Board meetings and meetings of the committees of which they were a member in 2020 after the closing of the Combination. Pursuant to our Corporate Governance Principles, Directors are expected to attend the annual meeting of shareholders of the Company, where practicable.</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Viatris’ Corporate Governance Principles require the independent Directors of the Board to meet in separate executive sessions periodically, and at least twice annually, during regularly scheduled meetings of the Board. The independent Directors of the Board met two times in executive session in 2020 following the closing of the Combination, with Mr. Parrish presiding at those executive sessions.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Viatris Board Committees</w:t>
      </w:r>
    </w:p>
    <w:p>
      <w:pPr>
        <w:spacing w:after="0" w:line="9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committees of the Viatris Board are the Audit Committee, the Compensation Committee, the Compliance Committee, the Executive Committee, the Finance Committee, the Governance and Nominating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318" w:right="439" w:bottom="1440" w:gutter="0" w:footer="0" w:header="0"/>
        </w:sectPr>
      </w:pPr>
    </w:p>
    <w:bookmarkStart w:id="17" w:name="page18"/>
    <w:bookmarkEnd w:id="17"/>
    <w:p>
      <w:pPr>
        <w:jc w:val="both"/>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the Risk Oversight Committee, and the Science and Technology Committee. Each committee operates pursuant to a written charter, a current copy of which, along with our Amended and Restated Certificate of Incorporation, Amended and Restated Bylaws, and Corporate Governance Principles, is available on Viatris’ website at https://www.viatris.com/en/About-Us/Corporate-Governance.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members of the Audit, Compensation, Finance, Governance and Nominating, and Risk Oversight Committees, and a majority of the members of the Compliance Committee, are independent Directors, as defined in the applicable NASDAQ listing rules and applicable SEC rules, and all members of each of these committees are non-employee directors. Board approval of any Director appointment to the Audit, Compensation, Compliance, Governance and Nominating, and Risk Oversight Committees must include at least a majority of the independent Directors. The Viatris Board has determined that Mr. Dimick, the Chair of the Audit Committee, is an “audit committee financial expert”, as that term is defined in the rules of the SEC.</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regarding each of the committees is provided on the following pages, and pages 17 to 18 provide additional discussion of committee responsibilities with respect to risk oversight.</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table below provides the current membership (as of the date of this report) and 2020 meeting information for each Viatris Board committee held following the closing of the Combination on November 16, 2020. As noted above, through April 30, 2021, the committees collectively have had 21 meetings.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Borders>
              <w:right w:val="single" w:sz="8" w:color="231161"/>
            </w:tcBorders>
            <w:shd w:val="clear" w:color="auto" w:fill="231161"/>
          </w:tcPr>
          <w:p>
            <w:pPr>
              <w:spacing w:after="0"/>
              <w:rPr>
                <w:sz w:val="16"/>
                <w:szCs w:val="16"/>
                <w:color w:val="auto"/>
              </w:rPr>
            </w:pPr>
          </w:p>
        </w:tc>
        <w:tc>
          <w:tcPr>
            <w:tcW w:w="740" w:type="dxa"/>
            <w:vAlign w:val="bottom"/>
            <w:tcBorders>
              <w:right w:val="single" w:sz="8" w:color="231161"/>
            </w:tcBorders>
            <w:shd w:val="clear" w:color="auto" w:fill="231161"/>
          </w:tcPr>
          <w:p>
            <w:pPr>
              <w:spacing w:after="0"/>
              <w:rPr>
                <w:sz w:val="16"/>
                <w:szCs w:val="16"/>
                <w:color w:val="auto"/>
              </w:rPr>
            </w:pPr>
          </w:p>
        </w:tc>
        <w:tc>
          <w:tcPr>
            <w:tcW w:w="1080" w:type="dxa"/>
            <w:vAlign w:val="bottom"/>
            <w:tcBorders>
              <w:right w:val="single" w:sz="8" w:color="231161"/>
            </w:tcBorders>
            <w:shd w:val="clear" w:color="auto" w:fill="231161"/>
          </w:tcPr>
          <w:p>
            <w:pPr>
              <w:spacing w:after="0"/>
              <w:rPr>
                <w:sz w:val="16"/>
                <w:szCs w:val="16"/>
                <w:color w:val="auto"/>
              </w:rPr>
            </w:pPr>
          </w:p>
        </w:tc>
        <w:tc>
          <w:tcPr>
            <w:tcW w:w="920" w:type="dxa"/>
            <w:vAlign w:val="bottom"/>
            <w:tcBorders>
              <w:right w:val="single" w:sz="8" w:color="231161"/>
            </w:tcBorders>
            <w:shd w:val="clear" w:color="auto" w:fill="231161"/>
          </w:tcPr>
          <w:p>
            <w:pPr>
              <w:spacing w:after="0"/>
              <w:rPr>
                <w:sz w:val="16"/>
                <w:szCs w:val="16"/>
                <w:color w:val="auto"/>
              </w:rPr>
            </w:pPr>
          </w:p>
        </w:tc>
        <w:tc>
          <w:tcPr>
            <w:tcW w:w="820" w:type="dxa"/>
            <w:vAlign w:val="bottom"/>
            <w:tcBorders>
              <w:right w:val="single" w:sz="8" w:color="231161"/>
            </w:tcBorders>
            <w:shd w:val="clear" w:color="auto" w:fill="231161"/>
          </w:tcPr>
          <w:p>
            <w:pPr>
              <w:spacing w:after="0"/>
              <w:rPr>
                <w:sz w:val="16"/>
                <w:szCs w:val="16"/>
                <w:color w:val="auto"/>
              </w:rPr>
            </w:pPr>
          </w:p>
        </w:tc>
        <w:tc>
          <w:tcPr>
            <w:tcW w:w="760" w:type="dxa"/>
            <w:vAlign w:val="bottom"/>
            <w:tcBorders>
              <w:right w:val="single" w:sz="8" w:color="231161"/>
            </w:tcBorders>
            <w:shd w:val="clear" w:color="auto" w:fill="231161"/>
          </w:tcPr>
          <w:p>
            <w:pPr>
              <w:spacing w:after="0"/>
              <w:rPr>
                <w:sz w:val="16"/>
                <w:szCs w:val="16"/>
                <w:color w:val="auto"/>
              </w:rPr>
            </w:pPr>
          </w:p>
        </w:tc>
        <w:tc>
          <w:tcPr>
            <w:tcW w:w="920" w:type="dxa"/>
            <w:vAlign w:val="bottom"/>
            <w:tcBorders>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Governance</w:t>
            </w:r>
          </w:p>
        </w:tc>
        <w:tc>
          <w:tcPr>
            <w:tcW w:w="860" w:type="dxa"/>
            <w:vAlign w:val="bottom"/>
            <w:tcBorders>
              <w:right w:val="single" w:sz="8" w:color="231161"/>
            </w:tcBorders>
            <w:shd w:val="clear" w:color="auto" w:fill="231161"/>
          </w:tcPr>
          <w:p>
            <w:pPr>
              <w:spacing w:after="0"/>
              <w:rPr>
                <w:sz w:val="16"/>
                <w:szCs w:val="16"/>
                <w:color w:val="auto"/>
              </w:rPr>
            </w:pPr>
          </w:p>
        </w:tc>
        <w:tc>
          <w:tcPr>
            <w:tcW w:w="940" w:type="dxa"/>
            <w:vAlign w:val="bottom"/>
            <w:shd w:val="clear" w:color="auto" w:fill="231161"/>
          </w:tcPr>
          <w:p>
            <w:pPr>
              <w:jc w:val="center"/>
              <w:ind w:left="53"/>
              <w:spacing w:after="0"/>
              <w:rPr>
                <w:sz w:val="20"/>
                <w:szCs w:val="20"/>
                <w:color w:val="auto"/>
              </w:rPr>
            </w:pPr>
            <w:r>
              <w:rPr>
                <w:rFonts w:ascii="Arial" w:cs="Arial" w:eastAsia="Arial" w:hAnsi="Arial"/>
                <w:sz w:val="13"/>
                <w:szCs w:val="13"/>
                <w:b w:val="1"/>
                <w:bCs w:val="1"/>
                <w:color w:val="FFFFFF"/>
              </w:rPr>
              <w:t>Science</w:t>
            </w:r>
          </w:p>
        </w:tc>
      </w:tr>
      <w:tr>
        <w:trPr>
          <w:trHeight w:val="148"/>
        </w:trPr>
        <w:tc>
          <w:tcPr>
            <w:tcW w:w="3980" w:type="dxa"/>
            <w:vAlign w:val="bottom"/>
            <w:tcBorders>
              <w:right w:val="single" w:sz="8" w:color="231161"/>
            </w:tcBorders>
            <w:shd w:val="clear" w:color="auto" w:fill="231161"/>
          </w:tcPr>
          <w:p>
            <w:pPr>
              <w:spacing w:after="0"/>
              <w:rPr>
                <w:sz w:val="12"/>
                <w:szCs w:val="12"/>
                <w:color w:val="auto"/>
              </w:rPr>
            </w:pPr>
          </w:p>
        </w:tc>
        <w:tc>
          <w:tcPr>
            <w:tcW w:w="740" w:type="dxa"/>
            <w:vAlign w:val="bottom"/>
            <w:tcBorders>
              <w:right w:val="single" w:sz="8" w:color="231161"/>
            </w:tcBorders>
            <w:shd w:val="clear" w:color="auto" w:fill="231161"/>
          </w:tcPr>
          <w:p>
            <w:pPr>
              <w:spacing w:after="0"/>
              <w:rPr>
                <w:sz w:val="12"/>
                <w:szCs w:val="12"/>
                <w:color w:val="auto"/>
              </w:rPr>
            </w:pPr>
          </w:p>
        </w:tc>
        <w:tc>
          <w:tcPr>
            <w:tcW w:w="1080" w:type="dxa"/>
            <w:vAlign w:val="bottom"/>
            <w:tcBorders>
              <w:right w:val="single" w:sz="8" w:color="231161"/>
            </w:tcBorders>
            <w:shd w:val="clear" w:color="auto" w:fill="231161"/>
          </w:tcPr>
          <w:p>
            <w:pPr>
              <w:spacing w:after="0"/>
              <w:rPr>
                <w:sz w:val="12"/>
                <w:szCs w:val="12"/>
                <w:color w:val="auto"/>
              </w:rPr>
            </w:pPr>
          </w:p>
        </w:tc>
        <w:tc>
          <w:tcPr>
            <w:tcW w:w="920" w:type="dxa"/>
            <w:vAlign w:val="bottom"/>
            <w:tcBorders>
              <w:right w:val="single" w:sz="8" w:color="231161"/>
            </w:tcBorders>
            <w:shd w:val="clear" w:color="auto" w:fill="231161"/>
          </w:tcPr>
          <w:p>
            <w:pPr>
              <w:spacing w:after="0"/>
              <w:rPr>
                <w:sz w:val="12"/>
                <w:szCs w:val="12"/>
                <w:color w:val="auto"/>
              </w:rPr>
            </w:pPr>
          </w:p>
        </w:tc>
        <w:tc>
          <w:tcPr>
            <w:tcW w:w="820" w:type="dxa"/>
            <w:vAlign w:val="bottom"/>
            <w:tcBorders>
              <w:right w:val="single" w:sz="8" w:color="231161"/>
            </w:tcBorders>
            <w:shd w:val="clear" w:color="auto" w:fill="231161"/>
          </w:tcPr>
          <w:p>
            <w:pPr>
              <w:spacing w:after="0"/>
              <w:rPr>
                <w:sz w:val="12"/>
                <w:szCs w:val="12"/>
                <w:color w:val="auto"/>
              </w:rPr>
            </w:pPr>
          </w:p>
        </w:tc>
        <w:tc>
          <w:tcPr>
            <w:tcW w:w="760" w:type="dxa"/>
            <w:vAlign w:val="bottom"/>
            <w:tcBorders>
              <w:right w:val="single" w:sz="8" w:color="231161"/>
            </w:tcBorders>
            <w:shd w:val="clear" w:color="auto" w:fill="231161"/>
          </w:tcPr>
          <w:p>
            <w:pPr>
              <w:spacing w:after="0"/>
              <w:rPr>
                <w:sz w:val="12"/>
                <w:szCs w:val="12"/>
                <w:color w:val="auto"/>
              </w:rPr>
            </w:pPr>
          </w:p>
        </w:tc>
        <w:tc>
          <w:tcPr>
            <w:tcW w:w="920" w:type="dxa"/>
            <w:vAlign w:val="bottom"/>
            <w:tcBorders>
              <w:right w:val="single" w:sz="8" w:color="231161"/>
            </w:tcBorders>
            <w:shd w:val="clear" w:color="auto" w:fill="231161"/>
          </w:tcPr>
          <w:p>
            <w:pPr>
              <w:jc w:val="center"/>
              <w:ind w:left="53"/>
              <w:spacing w:after="0"/>
              <w:rPr>
                <w:sz w:val="20"/>
                <w:szCs w:val="20"/>
                <w:color w:val="auto"/>
              </w:rPr>
            </w:pPr>
            <w:r>
              <w:rPr>
                <w:rFonts w:ascii="Arial" w:cs="Arial" w:eastAsia="Arial" w:hAnsi="Arial"/>
                <w:sz w:val="13"/>
                <w:szCs w:val="13"/>
                <w:b w:val="1"/>
                <w:bCs w:val="1"/>
                <w:color w:val="FFFFFF"/>
              </w:rPr>
              <w:t>and</w:t>
            </w:r>
          </w:p>
        </w:tc>
        <w:tc>
          <w:tcPr>
            <w:tcW w:w="860" w:type="dxa"/>
            <w:vAlign w:val="bottom"/>
            <w:tcBorders>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Risk</w:t>
            </w:r>
          </w:p>
        </w:tc>
        <w:tc>
          <w:tcPr>
            <w:tcW w:w="940" w:type="dxa"/>
            <w:vAlign w:val="bottom"/>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and</w:t>
            </w:r>
          </w:p>
        </w:tc>
      </w:tr>
      <w:tr>
        <w:trPr>
          <w:trHeight w:val="199"/>
        </w:trPr>
        <w:tc>
          <w:tcPr>
            <w:tcW w:w="3980" w:type="dxa"/>
            <w:vAlign w:val="bottom"/>
            <w:tcBorders>
              <w:bottom w:val="single" w:sz="8" w:color="231161"/>
              <w:right w:val="single" w:sz="8" w:color="231161"/>
            </w:tcBorders>
            <w:shd w:val="clear" w:color="auto" w:fill="231161"/>
          </w:tcPr>
          <w:p>
            <w:pPr>
              <w:ind w:left="60"/>
              <w:spacing w:after="0"/>
              <w:rPr>
                <w:sz w:val="20"/>
                <w:szCs w:val="20"/>
                <w:color w:val="auto"/>
              </w:rPr>
            </w:pPr>
            <w:r>
              <w:rPr>
                <w:rFonts w:ascii="Arial" w:cs="Arial" w:eastAsia="Arial" w:hAnsi="Arial"/>
                <w:sz w:val="13"/>
                <w:szCs w:val="13"/>
                <w:b w:val="1"/>
                <w:bCs w:val="1"/>
                <w:color w:val="FFFFFF"/>
              </w:rPr>
              <w:t>Director</w:t>
            </w:r>
          </w:p>
        </w:tc>
        <w:tc>
          <w:tcPr>
            <w:tcW w:w="740" w:type="dxa"/>
            <w:vAlign w:val="bottom"/>
            <w:tcBorders>
              <w:bottom w:val="single" w:sz="8" w:color="231161"/>
              <w:right w:val="single" w:sz="8" w:color="231161"/>
            </w:tcBorders>
            <w:shd w:val="clear" w:color="auto" w:fill="231161"/>
          </w:tcPr>
          <w:p>
            <w:pPr>
              <w:jc w:val="center"/>
              <w:ind w:left="13"/>
              <w:spacing w:after="0"/>
              <w:rPr>
                <w:sz w:val="20"/>
                <w:szCs w:val="20"/>
                <w:color w:val="auto"/>
              </w:rPr>
            </w:pPr>
            <w:r>
              <w:rPr>
                <w:rFonts w:ascii="Arial" w:cs="Arial" w:eastAsia="Arial" w:hAnsi="Arial"/>
                <w:sz w:val="13"/>
                <w:szCs w:val="13"/>
                <w:b w:val="1"/>
                <w:bCs w:val="1"/>
                <w:color w:val="FFFFFF"/>
              </w:rPr>
              <w:t>Audit</w:t>
            </w:r>
          </w:p>
        </w:tc>
        <w:tc>
          <w:tcPr>
            <w:tcW w:w="1080" w:type="dxa"/>
            <w:vAlign w:val="bottom"/>
            <w:tcBorders>
              <w:bottom w:val="single" w:sz="8" w:color="231161"/>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Compensation</w:t>
            </w:r>
          </w:p>
        </w:tc>
        <w:tc>
          <w:tcPr>
            <w:tcW w:w="920" w:type="dxa"/>
            <w:vAlign w:val="bottom"/>
            <w:tcBorders>
              <w:bottom w:val="single" w:sz="8" w:color="231161"/>
              <w:right w:val="single" w:sz="8" w:color="231161"/>
            </w:tcBorders>
            <w:shd w:val="clear" w:color="auto" w:fill="231161"/>
          </w:tcPr>
          <w:p>
            <w:pPr>
              <w:jc w:val="center"/>
              <w:ind w:left="13"/>
              <w:spacing w:after="0"/>
              <w:rPr>
                <w:sz w:val="20"/>
                <w:szCs w:val="20"/>
                <w:color w:val="auto"/>
              </w:rPr>
            </w:pPr>
            <w:r>
              <w:rPr>
                <w:rFonts w:ascii="Arial" w:cs="Arial" w:eastAsia="Arial" w:hAnsi="Arial"/>
                <w:sz w:val="13"/>
                <w:szCs w:val="13"/>
                <w:b w:val="1"/>
                <w:bCs w:val="1"/>
                <w:color w:val="FFFFFF"/>
              </w:rPr>
              <w:t>Compliance</w:t>
            </w:r>
          </w:p>
        </w:tc>
        <w:tc>
          <w:tcPr>
            <w:tcW w:w="820" w:type="dxa"/>
            <w:vAlign w:val="bottom"/>
            <w:tcBorders>
              <w:bottom w:val="single" w:sz="8" w:color="231161"/>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Executive</w:t>
            </w:r>
          </w:p>
        </w:tc>
        <w:tc>
          <w:tcPr>
            <w:tcW w:w="760" w:type="dxa"/>
            <w:vAlign w:val="bottom"/>
            <w:tcBorders>
              <w:bottom w:val="single" w:sz="8" w:color="231161"/>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Finance</w:t>
            </w:r>
          </w:p>
        </w:tc>
        <w:tc>
          <w:tcPr>
            <w:tcW w:w="920" w:type="dxa"/>
            <w:vAlign w:val="bottom"/>
            <w:tcBorders>
              <w:bottom w:val="single" w:sz="8" w:color="231161"/>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Nominating</w:t>
            </w:r>
          </w:p>
        </w:tc>
        <w:tc>
          <w:tcPr>
            <w:tcW w:w="860" w:type="dxa"/>
            <w:vAlign w:val="bottom"/>
            <w:tcBorders>
              <w:bottom w:val="single" w:sz="8" w:color="231161"/>
              <w:right w:val="single" w:sz="8" w:color="231161"/>
            </w:tcBorders>
            <w:shd w:val="clear" w:color="auto" w:fill="231161"/>
          </w:tcPr>
          <w:p>
            <w:pPr>
              <w:jc w:val="center"/>
              <w:ind w:left="33"/>
              <w:spacing w:after="0"/>
              <w:rPr>
                <w:sz w:val="20"/>
                <w:szCs w:val="20"/>
                <w:color w:val="auto"/>
              </w:rPr>
            </w:pPr>
            <w:r>
              <w:rPr>
                <w:rFonts w:ascii="Arial" w:cs="Arial" w:eastAsia="Arial" w:hAnsi="Arial"/>
                <w:sz w:val="13"/>
                <w:szCs w:val="13"/>
                <w:b w:val="1"/>
                <w:bCs w:val="1"/>
                <w:color w:val="FFFFFF"/>
              </w:rPr>
              <w:t>Oversight</w:t>
            </w:r>
          </w:p>
        </w:tc>
        <w:tc>
          <w:tcPr>
            <w:tcW w:w="940" w:type="dxa"/>
            <w:vAlign w:val="bottom"/>
            <w:tcBorders>
              <w:bottom w:val="single" w:sz="8" w:color="231161"/>
            </w:tcBorders>
            <w:shd w:val="clear" w:color="auto" w:fill="231161"/>
          </w:tcPr>
          <w:p>
            <w:pPr>
              <w:jc w:val="center"/>
              <w:ind w:left="53"/>
              <w:spacing w:after="0"/>
              <w:rPr>
                <w:sz w:val="20"/>
                <w:szCs w:val="20"/>
                <w:color w:val="auto"/>
              </w:rPr>
            </w:pPr>
            <w:r>
              <w:rPr>
                <w:rFonts w:ascii="Arial" w:cs="Arial" w:eastAsia="Arial" w:hAnsi="Arial"/>
                <w:sz w:val="13"/>
                <w:szCs w:val="13"/>
                <w:b w:val="1"/>
                <w:bCs w:val="1"/>
                <w:color w:val="FFFFFF"/>
              </w:rPr>
              <w:t>Technology</w:t>
            </w: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W. Don Cornwell</w:t>
            </w:r>
          </w:p>
        </w:tc>
        <w:tc>
          <w:tcPr>
            <w:tcW w:w="74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20" w:type="dxa"/>
            <w:vAlign w:val="bottom"/>
            <w:tcBorders>
              <w:right w:val="single" w:sz="8" w:color="732282"/>
            </w:tcBorders>
            <w:shd w:val="clear" w:color="auto" w:fill="E5E5E5"/>
          </w:tcPr>
          <w:p>
            <w:pPr>
              <w:spacing w:after="0"/>
              <w:rPr>
                <w:sz w:val="12"/>
                <w:szCs w:val="12"/>
                <w:color w:val="auto"/>
              </w:rPr>
            </w:pP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6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940" w:type="dxa"/>
            <w:vAlign w:val="bottom"/>
            <w:shd w:val="clear" w:color="auto" w:fill="E5E5E5"/>
          </w:tcPr>
          <w:p>
            <w:pPr>
              <w:spacing w:after="0"/>
              <w:rPr>
                <w:sz w:val="12"/>
                <w:szCs w:val="12"/>
                <w:color w:val="auto"/>
              </w:rPr>
            </w:pPr>
          </w:p>
        </w:tc>
      </w:tr>
      <w:tr>
        <w:trPr>
          <w:trHeight w:val="148"/>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Robert J. Coury</w:t>
            </w:r>
          </w:p>
        </w:tc>
        <w:tc>
          <w:tcPr>
            <w:tcW w:w="740" w:type="dxa"/>
            <w:vAlign w:val="bottom"/>
            <w:tcBorders>
              <w:right w:val="single" w:sz="8" w:color="732282"/>
            </w:tcBorders>
          </w:tcPr>
          <w:p>
            <w:pPr>
              <w:spacing w:after="0"/>
              <w:rPr>
                <w:sz w:val="12"/>
                <w:szCs w:val="12"/>
                <w:color w:val="auto"/>
              </w:rPr>
            </w:pPr>
          </w:p>
        </w:tc>
        <w:tc>
          <w:tcPr>
            <w:tcW w:w="1080" w:type="dxa"/>
            <w:vAlign w:val="bottom"/>
            <w:tcBorders>
              <w:right w:val="single" w:sz="8" w:color="732282"/>
            </w:tcBorders>
          </w:tcPr>
          <w:p>
            <w:pPr>
              <w:spacing w:after="0"/>
              <w:rPr>
                <w:sz w:val="12"/>
                <w:szCs w:val="12"/>
                <w:color w:val="auto"/>
              </w:rPr>
            </w:pPr>
          </w:p>
        </w:tc>
        <w:tc>
          <w:tcPr>
            <w:tcW w:w="920" w:type="dxa"/>
            <w:vAlign w:val="bottom"/>
            <w:tcBorders>
              <w:right w:val="single" w:sz="8" w:color="732282"/>
            </w:tcBorders>
          </w:tcPr>
          <w:p>
            <w:pPr>
              <w:spacing w:after="0"/>
              <w:rPr>
                <w:sz w:val="12"/>
                <w:szCs w:val="12"/>
                <w:color w:val="auto"/>
              </w:rPr>
            </w:pPr>
          </w:p>
        </w:tc>
        <w:tc>
          <w:tcPr>
            <w:tcW w:w="820" w:type="dxa"/>
            <w:vAlign w:val="bottom"/>
            <w:tcBorders>
              <w:right w:val="single" w:sz="8" w:color="732282"/>
            </w:tcBorders>
          </w:tcPr>
          <w:p>
            <w:pPr>
              <w:jc w:val="center"/>
              <w:ind w:left="13"/>
              <w:spacing w:after="0"/>
              <w:rPr>
                <w:sz w:val="20"/>
                <w:szCs w:val="20"/>
                <w:color w:val="auto"/>
              </w:rPr>
            </w:pPr>
            <w:r>
              <w:rPr>
                <w:rFonts w:ascii="Arial" w:cs="Arial" w:eastAsia="Arial" w:hAnsi="Arial"/>
                <w:sz w:val="13"/>
                <w:szCs w:val="13"/>
                <w:color w:val="auto"/>
                <w:w w:val="96"/>
              </w:rPr>
              <w:t>Chair</w:t>
            </w:r>
          </w:p>
        </w:tc>
        <w:tc>
          <w:tcPr>
            <w:tcW w:w="760" w:type="dxa"/>
            <w:vAlign w:val="bottom"/>
            <w:tcBorders>
              <w:right w:val="single" w:sz="8" w:color="732282"/>
            </w:tcBorders>
          </w:tcPr>
          <w:p>
            <w:pPr>
              <w:spacing w:after="0"/>
              <w:rPr>
                <w:sz w:val="12"/>
                <w:szCs w:val="12"/>
                <w:color w:val="auto"/>
              </w:rPr>
            </w:pPr>
          </w:p>
        </w:tc>
        <w:tc>
          <w:tcPr>
            <w:tcW w:w="920" w:type="dxa"/>
            <w:vAlign w:val="bottom"/>
            <w:tcBorders>
              <w:right w:val="single" w:sz="8" w:color="732282"/>
            </w:tcBorders>
          </w:tcPr>
          <w:p>
            <w:pPr>
              <w:spacing w:after="0"/>
              <w:rPr>
                <w:sz w:val="12"/>
                <w:szCs w:val="12"/>
                <w:color w:val="auto"/>
              </w:rPr>
            </w:pPr>
          </w:p>
        </w:tc>
        <w:tc>
          <w:tcPr>
            <w:tcW w:w="860" w:type="dxa"/>
            <w:vAlign w:val="bottom"/>
            <w:tcBorders>
              <w:right w:val="single" w:sz="8" w:color="732282"/>
            </w:tcBorders>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JoEllen Lyons Dillon</w:t>
            </w:r>
          </w:p>
        </w:tc>
        <w:tc>
          <w:tcPr>
            <w:tcW w:w="74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76"/>
              </w:rPr>
              <w:t>✓</w:t>
            </w:r>
          </w:p>
        </w:tc>
        <w:tc>
          <w:tcPr>
            <w:tcW w:w="82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33"/>
              <w:spacing w:after="0"/>
              <w:rPr>
                <w:sz w:val="20"/>
                <w:szCs w:val="20"/>
                <w:color w:val="auto"/>
              </w:rPr>
            </w:pPr>
            <w:r>
              <w:rPr>
                <w:rFonts w:ascii="Arial" w:cs="Arial" w:eastAsia="Arial" w:hAnsi="Arial"/>
                <w:sz w:val="13"/>
                <w:szCs w:val="13"/>
                <w:color w:val="auto"/>
                <w:w w:val="96"/>
              </w:rPr>
              <w:t>Chair</w:t>
            </w:r>
          </w:p>
        </w:tc>
        <w:tc>
          <w:tcPr>
            <w:tcW w:w="860" w:type="dxa"/>
            <w:vAlign w:val="bottom"/>
            <w:tcBorders>
              <w:right w:val="single" w:sz="8" w:color="732282"/>
            </w:tcBorders>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r>
      <w:tr>
        <w:trPr>
          <w:trHeight w:val="149"/>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Neil Dimick</w:t>
            </w:r>
          </w:p>
        </w:tc>
        <w:tc>
          <w:tcPr>
            <w:tcW w:w="740" w:type="dxa"/>
            <w:vAlign w:val="bottom"/>
            <w:tcBorders>
              <w:right w:val="single" w:sz="8" w:color="732282"/>
            </w:tcBorders>
          </w:tcPr>
          <w:p>
            <w:pPr>
              <w:jc w:val="center"/>
              <w:ind w:left="13"/>
              <w:spacing w:after="0"/>
              <w:rPr>
                <w:sz w:val="20"/>
                <w:szCs w:val="20"/>
                <w:color w:val="auto"/>
              </w:rPr>
            </w:pPr>
            <w:r>
              <w:rPr>
                <w:rFonts w:ascii="Arial" w:cs="Arial" w:eastAsia="Arial" w:hAnsi="Arial"/>
                <w:sz w:val="13"/>
                <w:szCs w:val="13"/>
                <w:color w:val="auto"/>
                <w:w w:val="96"/>
              </w:rPr>
              <w:t>Chair</w:t>
            </w:r>
          </w:p>
        </w:tc>
        <w:tc>
          <w:tcPr>
            <w:tcW w:w="108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tcPr>
          <w:p>
            <w:pPr>
              <w:spacing w:after="0"/>
              <w:rPr>
                <w:sz w:val="12"/>
                <w:szCs w:val="12"/>
                <w:color w:val="auto"/>
              </w:rPr>
            </w:pPr>
          </w:p>
        </w:tc>
        <w:tc>
          <w:tcPr>
            <w:tcW w:w="820" w:type="dxa"/>
            <w:vAlign w:val="bottom"/>
            <w:tcBorders>
              <w:right w:val="single" w:sz="8" w:color="732282"/>
            </w:tcBorders>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tcPr>
          <w:p>
            <w:pPr>
              <w:spacing w:after="0"/>
              <w:rPr>
                <w:sz w:val="12"/>
                <w:szCs w:val="12"/>
                <w:color w:val="auto"/>
              </w:rPr>
            </w:pPr>
          </w:p>
        </w:tc>
        <w:tc>
          <w:tcPr>
            <w:tcW w:w="860" w:type="dxa"/>
            <w:vAlign w:val="bottom"/>
            <w:tcBorders>
              <w:right w:val="single" w:sz="8" w:color="732282"/>
            </w:tcBorders>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Michael Goettler</w:t>
            </w:r>
          </w:p>
        </w:tc>
        <w:tc>
          <w:tcPr>
            <w:tcW w:w="740" w:type="dxa"/>
            <w:vAlign w:val="bottom"/>
            <w:tcBorders>
              <w:right w:val="single" w:sz="8" w:color="732282"/>
            </w:tcBorders>
            <w:shd w:val="clear" w:color="auto" w:fill="E5E5E5"/>
          </w:tcPr>
          <w:p>
            <w:pPr>
              <w:spacing w:after="0"/>
              <w:rPr>
                <w:sz w:val="12"/>
                <w:szCs w:val="12"/>
                <w:color w:val="auto"/>
              </w:rPr>
            </w:pP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20" w:type="dxa"/>
            <w:vAlign w:val="bottom"/>
            <w:tcBorders>
              <w:right w:val="single" w:sz="8" w:color="732282"/>
            </w:tcBorders>
            <w:shd w:val="clear" w:color="auto" w:fill="E5E5E5"/>
          </w:tcPr>
          <w:p>
            <w:pPr>
              <w:spacing w:after="0"/>
              <w:rPr>
                <w:sz w:val="12"/>
                <w:szCs w:val="12"/>
                <w:color w:val="auto"/>
              </w:rPr>
            </w:pP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60" w:type="dxa"/>
            <w:vAlign w:val="bottom"/>
            <w:tcBorders>
              <w:right w:val="single" w:sz="8" w:color="732282"/>
            </w:tcBorders>
            <w:shd w:val="clear" w:color="auto" w:fill="E5E5E5"/>
          </w:tcPr>
          <w:p>
            <w:pPr>
              <w:spacing w:after="0"/>
              <w:rPr>
                <w:sz w:val="12"/>
                <w:szCs w:val="12"/>
                <w:color w:val="auto"/>
              </w:rPr>
            </w:pPr>
          </w:p>
        </w:tc>
        <w:tc>
          <w:tcPr>
            <w:tcW w:w="940" w:type="dxa"/>
            <w:vAlign w:val="bottom"/>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Melina Higgins</w:t>
            </w:r>
          </w:p>
        </w:tc>
        <w:tc>
          <w:tcPr>
            <w:tcW w:w="740" w:type="dxa"/>
            <w:vAlign w:val="bottom"/>
            <w:tcBorders>
              <w:right w:val="single" w:sz="8" w:color="732282"/>
            </w:tcBorders>
          </w:tcPr>
          <w:p>
            <w:pPr>
              <w:spacing w:after="0"/>
              <w:rPr>
                <w:sz w:val="12"/>
                <w:szCs w:val="12"/>
                <w:color w:val="auto"/>
              </w:rPr>
            </w:pPr>
          </w:p>
        </w:tc>
        <w:tc>
          <w:tcPr>
            <w:tcW w:w="1080" w:type="dxa"/>
            <w:vAlign w:val="bottom"/>
            <w:tcBorders>
              <w:right w:val="single" w:sz="8" w:color="732282"/>
            </w:tcBorders>
          </w:tcPr>
          <w:p>
            <w:pPr>
              <w:jc w:val="center"/>
              <w:ind w:left="33"/>
              <w:spacing w:after="0"/>
              <w:rPr>
                <w:sz w:val="20"/>
                <w:szCs w:val="20"/>
                <w:color w:val="auto"/>
              </w:rPr>
            </w:pPr>
            <w:r>
              <w:rPr>
                <w:rFonts w:ascii="Arial" w:cs="Arial" w:eastAsia="Arial" w:hAnsi="Arial"/>
                <w:sz w:val="13"/>
                <w:szCs w:val="13"/>
                <w:color w:val="auto"/>
                <w:w w:val="96"/>
              </w:rPr>
              <w:t>Chair</w:t>
            </w:r>
          </w:p>
        </w:tc>
        <w:tc>
          <w:tcPr>
            <w:tcW w:w="920" w:type="dxa"/>
            <w:vAlign w:val="bottom"/>
            <w:tcBorders>
              <w:right w:val="single" w:sz="8" w:color="732282"/>
            </w:tcBorders>
          </w:tcPr>
          <w:p>
            <w:pPr>
              <w:spacing w:after="0"/>
              <w:rPr>
                <w:sz w:val="12"/>
                <w:szCs w:val="12"/>
                <w:color w:val="auto"/>
              </w:rPr>
            </w:pPr>
          </w:p>
        </w:tc>
        <w:tc>
          <w:tcPr>
            <w:tcW w:w="820" w:type="dxa"/>
            <w:vAlign w:val="bottom"/>
            <w:tcBorders>
              <w:right w:val="single" w:sz="8" w:color="732282"/>
            </w:tcBorders>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Borders>
              <w:right w:val="single" w:sz="8" w:color="732282"/>
            </w:tcBorders>
          </w:tcPr>
          <w:p>
            <w:pPr>
              <w:jc w:val="center"/>
              <w:ind w:left="33"/>
              <w:spacing w:after="0"/>
              <w:rPr>
                <w:sz w:val="20"/>
                <w:szCs w:val="20"/>
                <w:color w:val="auto"/>
              </w:rPr>
            </w:pPr>
            <w:r>
              <w:rPr>
                <w:rFonts w:ascii="Arial" w:cs="Arial" w:eastAsia="Arial" w:hAnsi="Arial"/>
                <w:sz w:val="13"/>
                <w:szCs w:val="13"/>
                <w:color w:val="auto"/>
                <w:w w:val="96"/>
              </w:rPr>
              <w:t>Chair</w:t>
            </w:r>
          </w:p>
        </w:tc>
        <w:tc>
          <w:tcPr>
            <w:tcW w:w="92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860" w:type="dxa"/>
            <w:vAlign w:val="bottom"/>
            <w:tcBorders>
              <w:right w:val="single" w:sz="8" w:color="732282"/>
            </w:tcBorders>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Harry A. Korman</w:t>
            </w:r>
          </w:p>
        </w:tc>
        <w:tc>
          <w:tcPr>
            <w:tcW w:w="740" w:type="dxa"/>
            <w:vAlign w:val="bottom"/>
            <w:tcBorders>
              <w:right w:val="single" w:sz="8" w:color="732282"/>
            </w:tcBorders>
            <w:shd w:val="clear" w:color="auto" w:fill="E5E5E5"/>
          </w:tcPr>
          <w:p>
            <w:pPr>
              <w:spacing w:after="0"/>
              <w:rPr>
                <w:sz w:val="12"/>
                <w:szCs w:val="12"/>
                <w:color w:val="auto"/>
              </w:rPr>
            </w:pP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76"/>
              </w:rPr>
              <w:t>✓</w:t>
            </w:r>
          </w:p>
        </w:tc>
        <w:tc>
          <w:tcPr>
            <w:tcW w:w="820" w:type="dxa"/>
            <w:vAlign w:val="bottom"/>
            <w:tcBorders>
              <w:right w:val="single" w:sz="8" w:color="732282"/>
            </w:tcBorders>
            <w:shd w:val="clear" w:color="auto" w:fill="E5E5E5"/>
          </w:tcPr>
          <w:p>
            <w:pPr>
              <w:spacing w:after="0"/>
              <w:rPr>
                <w:sz w:val="12"/>
                <w:szCs w:val="12"/>
                <w:color w:val="auto"/>
              </w:rPr>
            </w:pP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860" w:type="dxa"/>
            <w:vAlign w:val="bottom"/>
            <w:tcBorders>
              <w:right w:val="single" w:sz="8" w:color="732282"/>
            </w:tcBorders>
            <w:shd w:val="clear" w:color="auto" w:fill="E5E5E5"/>
          </w:tcPr>
          <w:p>
            <w:pPr>
              <w:jc w:val="center"/>
              <w:ind w:left="13"/>
              <w:spacing w:after="0"/>
              <w:rPr>
                <w:sz w:val="20"/>
                <w:szCs w:val="20"/>
                <w:color w:val="auto"/>
              </w:rPr>
            </w:pPr>
            <w:r>
              <w:rPr>
                <w:rFonts w:ascii="Arial" w:cs="Arial" w:eastAsia="Arial" w:hAnsi="Arial"/>
                <w:sz w:val="13"/>
                <w:szCs w:val="13"/>
                <w:color w:val="auto"/>
                <w:w w:val="96"/>
              </w:rPr>
              <w:t>Chair</w:t>
            </w:r>
          </w:p>
        </w:tc>
        <w:tc>
          <w:tcPr>
            <w:tcW w:w="940" w:type="dxa"/>
            <w:vAlign w:val="bottom"/>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James Kilts</w:t>
            </w:r>
          </w:p>
        </w:tc>
        <w:tc>
          <w:tcPr>
            <w:tcW w:w="740" w:type="dxa"/>
            <w:vAlign w:val="bottom"/>
            <w:tcBorders>
              <w:right w:val="single" w:sz="8" w:color="732282"/>
            </w:tcBorders>
          </w:tcPr>
          <w:p>
            <w:pPr>
              <w:spacing w:after="0"/>
              <w:rPr>
                <w:sz w:val="12"/>
                <w:szCs w:val="12"/>
                <w:color w:val="auto"/>
              </w:rPr>
            </w:pPr>
          </w:p>
        </w:tc>
        <w:tc>
          <w:tcPr>
            <w:tcW w:w="108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tcPr>
          <w:p>
            <w:pPr>
              <w:spacing w:after="0"/>
              <w:rPr>
                <w:sz w:val="12"/>
                <w:szCs w:val="12"/>
                <w:color w:val="auto"/>
              </w:rPr>
            </w:pPr>
          </w:p>
        </w:tc>
        <w:tc>
          <w:tcPr>
            <w:tcW w:w="820" w:type="dxa"/>
            <w:vAlign w:val="bottom"/>
            <w:tcBorders>
              <w:right w:val="single" w:sz="8" w:color="732282"/>
            </w:tcBorders>
          </w:tcPr>
          <w:p>
            <w:pPr>
              <w:spacing w:after="0"/>
              <w:rPr>
                <w:sz w:val="12"/>
                <w:szCs w:val="12"/>
                <w:color w:val="auto"/>
              </w:rPr>
            </w:pPr>
          </w:p>
        </w:tc>
        <w:tc>
          <w:tcPr>
            <w:tcW w:w="76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tcPr>
          <w:p>
            <w:pPr>
              <w:spacing w:after="0"/>
              <w:rPr>
                <w:sz w:val="12"/>
                <w:szCs w:val="12"/>
                <w:color w:val="auto"/>
              </w:rPr>
            </w:pPr>
          </w:p>
        </w:tc>
        <w:tc>
          <w:tcPr>
            <w:tcW w:w="860" w:type="dxa"/>
            <w:vAlign w:val="bottom"/>
            <w:tcBorders>
              <w:right w:val="single" w:sz="8" w:color="732282"/>
            </w:tcBorders>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Rajiv Malik</w:t>
            </w:r>
          </w:p>
        </w:tc>
        <w:tc>
          <w:tcPr>
            <w:tcW w:w="740" w:type="dxa"/>
            <w:vAlign w:val="bottom"/>
            <w:tcBorders>
              <w:right w:val="single" w:sz="8" w:color="732282"/>
            </w:tcBorders>
            <w:shd w:val="clear" w:color="auto" w:fill="E5E5E5"/>
          </w:tcPr>
          <w:p>
            <w:pPr>
              <w:spacing w:after="0"/>
              <w:rPr>
                <w:sz w:val="12"/>
                <w:szCs w:val="12"/>
                <w:color w:val="auto"/>
              </w:rPr>
            </w:pP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20" w:type="dxa"/>
            <w:vAlign w:val="bottom"/>
            <w:tcBorders>
              <w:right w:val="single" w:sz="8" w:color="732282"/>
            </w:tcBorders>
            <w:shd w:val="clear" w:color="auto" w:fill="E5E5E5"/>
          </w:tcPr>
          <w:p>
            <w:pPr>
              <w:spacing w:after="0"/>
              <w:rPr>
                <w:sz w:val="12"/>
                <w:szCs w:val="12"/>
                <w:color w:val="auto"/>
              </w:rPr>
            </w:pP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60" w:type="dxa"/>
            <w:vAlign w:val="bottom"/>
            <w:tcBorders>
              <w:right w:val="single" w:sz="8" w:color="732282"/>
            </w:tcBorders>
            <w:shd w:val="clear" w:color="auto" w:fill="E5E5E5"/>
          </w:tcPr>
          <w:p>
            <w:pPr>
              <w:spacing w:after="0"/>
              <w:rPr>
                <w:sz w:val="12"/>
                <w:szCs w:val="12"/>
                <w:color w:val="auto"/>
              </w:rPr>
            </w:pPr>
          </w:p>
        </w:tc>
        <w:tc>
          <w:tcPr>
            <w:tcW w:w="940" w:type="dxa"/>
            <w:vAlign w:val="bottom"/>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Richard A. Mark</w:t>
            </w:r>
          </w:p>
        </w:tc>
        <w:tc>
          <w:tcPr>
            <w:tcW w:w="740" w:type="dxa"/>
            <w:vAlign w:val="bottom"/>
            <w:tcBorders>
              <w:right w:val="single" w:sz="8" w:color="732282"/>
            </w:tcBorders>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1080" w:type="dxa"/>
            <w:vAlign w:val="bottom"/>
            <w:tcBorders>
              <w:right w:val="single" w:sz="8" w:color="732282"/>
            </w:tcBorders>
          </w:tcPr>
          <w:p>
            <w:pPr>
              <w:spacing w:after="0"/>
              <w:rPr>
                <w:sz w:val="12"/>
                <w:szCs w:val="12"/>
                <w:color w:val="auto"/>
              </w:rPr>
            </w:pPr>
          </w:p>
        </w:tc>
        <w:tc>
          <w:tcPr>
            <w:tcW w:w="920" w:type="dxa"/>
            <w:vAlign w:val="bottom"/>
            <w:tcBorders>
              <w:right w:val="single" w:sz="8" w:color="732282"/>
            </w:tcBorders>
          </w:tcPr>
          <w:p>
            <w:pPr>
              <w:spacing w:after="0"/>
              <w:rPr>
                <w:sz w:val="12"/>
                <w:szCs w:val="12"/>
                <w:color w:val="auto"/>
              </w:rPr>
            </w:pPr>
          </w:p>
        </w:tc>
        <w:tc>
          <w:tcPr>
            <w:tcW w:w="820" w:type="dxa"/>
            <w:vAlign w:val="bottom"/>
            <w:tcBorders>
              <w:right w:val="single" w:sz="8" w:color="732282"/>
            </w:tcBorders>
          </w:tcPr>
          <w:p>
            <w:pPr>
              <w:spacing w:after="0"/>
              <w:rPr>
                <w:sz w:val="12"/>
                <w:szCs w:val="12"/>
                <w:color w:val="auto"/>
              </w:rPr>
            </w:pPr>
          </w:p>
        </w:tc>
        <w:tc>
          <w:tcPr>
            <w:tcW w:w="760" w:type="dxa"/>
            <w:vAlign w:val="bottom"/>
            <w:tcBorders>
              <w:right w:val="single" w:sz="8" w:color="732282"/>
            </w:tcBorders>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tcPr>
          <w:p>
            <w:pPr>
              <w:spacing w:after="0"/>
              <w:rPr>
                <w:sz w:val="12"/>
                <w:szCs w:val="12"/>
                <w:color w:val="auto"/>
              </w:rPr>
            </w:pPr>
          </w:p>
        </w:tc>
        <w:tc>
          <w:tcPr>
            <w:tcW w:w="860" w:type="dxa"/>
            <w:vAlign w:val="bottom"/>
            <w:tcBorders>
              <w:right w:val="single" w:sz="8" w:color="732282"/>
            </w:tcBorders>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940" w:type="dxa"/>
            <w:vAlign w:val="bottom"/>
          </w:tcPr>
          <w:p>
            <w:pPr>
              <w:spacing w:after="0"/>
              <w:rPr>
                <w:sz w:val="12"/>
                <w:szCs w:val="12"/>
                <w:color w:val="auto"/>
              </w:rPr>
            </w:pP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Mark W. Parrish</w:t>
            </w:r>
          </w:p>
        </w:tc>
        <w:tc>
          <w:tcPr>
            <w:tcW w:w="74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108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33"/>
              <w:spacing w:after="0"/>
              <w:rPr>
                <w:sz w:val="20"/>
                <w:szCs w:val="20"/>
                <w:color w:val="auto"/>
              </w:rPr>
            </w:pPr>
            <w:r>
              <w:rPr>
                <w:rFonts w:ascii="Arial" w:cs="Arial" w:eastAsia="Arial" w:hAnsi="Arial"/>
                <w:sz w:val="13"/>
                <w:szCs w:val="13"/>
                <w:color w:val="auto"/>
                <w:w w:val="96"/>
              </w:rPr>
              <w:t>Chair</w:t>
            </w:r>
          </w:p>
        </w:tc>
        <w:tc>
          <w:tcPr>
            <w:tcW w:w="82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860" w:type="dxa"/>
            <w:vAlign w:val="bottom"/>
            <w:tcBorders>
              <w:right w:val="single" w:sz="8" w:color="732282"/>
            </w:tcBorders>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r>
      <w:tr>
        <w:trPr>
          <w:trHeight w:val="148"/>
        </w:trPr>
        <w:tc>
          <w:tcPr>
            <w:tcW w:w="3980" w:type="dxa"/>
            <w:vAlign w:val="bottom"/>
            <w:tcBorders>
              <w:right w:val="single" w:sz="8" w:color="732282"/>
            </w:tcBorders>
          </w:tcPr>
          <w:p>
            <w:pPr>
              <w:spacing w:after="0"/>
              <w:rPr>
                <w:sz w:val="20"/>
                <w:szCs w:val="20"/>
                <w:color w:val="auto"/>
              </w:rPr>
            </w:pPr>
            <w:r>
              <w:rPr>
                <w:rFonts w:ascii="Arial" w:cs="Arial" w:eastAsia="Arial" w:hAnsi="Arial"/>
                <w:sz w:val="13"/>
                <w:szCs w:val="13"/>
                <w:color w:val="auto"/>
              </w:rPr>
              <w:t>Ian Read</w:t>
            </w:r>
          </w:p>
        </w:tc>
        <w:tc>
          <w:tcPr>
            <w:tcW w:w="740" w:type="dxa"/>
            <w:vAlign w:val="bottom"/>
            <w:tcBorders>
              <w:right w:val="single" w:sz="8" w:color="732282"/>
            </w:tcBorders>
          </w:tcPr>
          <w:p>
            <w:pPr>
              <w:spacing w:after="0"/>
              <w:rPr>
                <w:sz w:val="12"/>
                <w:szCs w:val="12"/>
                <w:color w:val="auto"/>
              </w:rPr>
            </w:pPr>
          </w:p>
        </w:tc>
        <w:tc>
          <w:tcPr>
            <w:tcW w:w="1080" w:type="dxa"/>
            <w:vAlign w:val="bottom"/>
            <w:tcBorders>
              <w:right w:val="single" w:sz="8" w:color="732282"/>
            </w:tcBorders>
          </w:tcPr>
          <w:p>
            <w:pPr>
              <w:spacing w:after="0"/>
              <w:rPr>
                <w:sz w:val="12"/>
                <w:szCs w:val="12"/>
                <w:color w:val="auto"/>
              </w:rPr>
            </w:pPr>
          </w:p>
        </w:tc>
        <w:tc>
          <w:tcPr>
            <w:tcW w:w="920" w:type="dxa"/>
            <w:vAlign w:val="bottom"/>
            <w:tcBorders>
              <w:right w:val="single" w:sz="8" w:color="732282"/>
            </w:tcBorders>
          </w:tcPr>
          <w:p>
            <w:pPr>
              <w:jc w:val="center"/>
              <w:ind w:left="33"/>
              <w:spacing w:after="0" w:line="131" w:lineRule="exact"/>
              <w:rPr>
                <w:sz w:val="20"/>
                <w:szCs w:val="20"/>
                <w:color w:val="auto"/>
              </w:rPr>
            </w:pPr>
            <w:r>
              <w:rPr>
                <w:rFonts w:ascii="MS PGothic" w:cs="MS PGothic" w:eastAsia="MS PGothic" w:hAnsi="MS PGothic"/>
                <w:sz w:val="13"/>
                <w:szCs w:val="13"/>
                <w:color w:val="auto"/>
                <w:w w:val="76"/>
              </w:rPr>
              <w:t>✓</w:t>
            </w:r>
          </w:p>
        </w:tc>
        <w:tc>
          <w:tcPr>
            <w:tcW w:w="820" w:type="dxa"/>
            <w:vAlign w:val="bottom"/>
            <w:tcBorders>
              <w:right w:val="single" w:sz="8" w:color="732282"/>
            </w:tcBorders>
          </w:tcPr>
          <w:p>
            <w:pPr>
              <w:spacing w:after="0"/>
              <w:rPr>
                <w:sz w:val="12"/>
                <w:szCs w:val="12"/>
                <w:color w:val="auto"/>
              </w:rPr>
            </w:pPr>
          </w:p>
        </w:tc>
        <w:tc>
          <w:tcPr>
            <w:tcW w:w="760" w:type="dxa"/>
            <w:vAlign w:val="bottom"/>
            <w:tcBorders>
              <w:right w:val="single" w:sz="8" w:color="732282"/>
            </w:tcBorders>
          </w:tcPr>
          <w:p>
            <w:pPr>
              <w:spacing w:after="0"/>
              <w:rPr>
                <w:sz w:val="12"/>
                <w:szCs w:val="12"/>
                <w:color w:val="auto"/>
              </w:rPr>
            </w:pPr>
          </w:p>
        </w:tc>
        <w:tc>
          <w:tcPr>
            <w:tcW w:w="920" w:type="dxa"/>
            <w:vAlign w:val="bottom"/>
            <w:tcBorders>
              <w:right w:val="single" w:sz="8" w:color="732282"/>
            </w:tcBorders>
          </w:tcPr>
          <w:p>
            <w:pPr>
              <w:spacing w:after="0"/>
              <w:rPr>
                <w:sz w:val="12"/>
                <w:szCs w:val="12"/>
                <w:color w:val="auto"/>
              </w:rPr>
            </w:pPr>
          </w:p>
        </w:tc>
        <w:tc>
          <w:tcPr>
            <w:tcW w:w="860" w:type="dxa"/>
            <w:vAlign w:val="bottom"/>
            <w:tcBorders>
              <w:right w:val="single" w:sz="8" w:color="732282"/>
            </w:tcBorders>
          </w:tcPr>
          <w:p>
            <w:pPr>
              <w:spacing w:after="0"/>
              <w:rPr>
                <w:sz w:val="12"/>
                <w:szCs w:val="12"/>
                <w:color w:val="auto"/>
              </w:rPr>
            </w:pPr>
          </w:p>
        </w:tc>
        <w:tc>
          <w:tcPr>
            <w:tcW w:w="940" w:type="dxa"/>
            <w:vAlign w:val="bottom"/>
          </w:tcPr>
          <w:p>
            <w:pPr>
              <w:jc w:val="center"/>
              <w:ind w:left="53"/>
              <w:spacing w:after="0"/>
              <w:rPr>
                <w:sz w:val="20"/>
                <w:szCs w:val="20"/>
                <w:color w:val="auto"/>
              </w:rPr>
            </w:pPr>
            <w:r>
              <w:rPr>
                <w:rFonts w:ascii="Arial" w:cs="Arial" w:eastAsia="Arial" w:hAnsi="Arial"/>
                <w:sz w:val="13"/>
                <w:szCs w:val="13"/>
                <w:color w:val="auto"/>
                <w:w w:val="96"/>
              </w:rPr>
              <w:t>Chair</w:t>
            </w:r>
          </w:p>
        </w:tc>
      </w:tr>
      <w:tr>
        <w:trPr>
          <w:trHeight w:val="148"/>
        </w:trPr>
        <w:tc>
          <w:tcPr>
            <w:tcW w:w="39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3"/>
                <w:szCs w:val="13"/>
                <w:color w:val="auto"/>
              </w:rPr>
              <w:t>Pauline van der Meer Mohr</w:t>
            </w:r>
          </w:p>
        </w:tc>
        <w:tc>
          <w:tcPr>
            <w:tcW w:w="740" w:type="dxa"/>
            <w:vAlign w:val="bottom"/>
            <w:tcBorders>
              <w:right w:val="single" w:sz="8" w:color="732282"/>
            </w:tcBorders>
            <w:shd w:val="clear" w:color="auto" w:fill="E5E5E5"/>
          </w:tcPr>
          <w:p>
            <w:pPr>
              <w:spacing w:after="0"/>
              <w:rPr>
                <w:sz w:val="12"/>
                <w:szCs w:val="12"/>
                <w:color w:val="auto"/>
              </w:rPr>
            </w:pPr>
          </w:p>
        </w:tc>
        <w:tc>
          <w:tcPr>
            <w:tcW w:w="1080" w:type="dxa"/>
            <w:vAlign w:val="bottom"/>
            <w:tcBorders>
              <w:right w:val="single" w:sz="8" w:color="732282"/>
            </w:tcBorders>
            <w:shd w:val="clear" w:color="auto" w:fill="E5E5E5"/>
          </w:tcPr>
          <w:p>
            <w:pPr>
              <w:jc w:val="center"/>
              <w:ind w:left="53"/>
              <w:spacing w:after="0" w:line="131" w:lineRule="exact"/>
              <w:rPr>
                <w:sz w:val="20"/>
                <w:szCs w:val="20"/>
                <w:color w:val="auto"/>
              </w:rPr>
            </w:pPr>
            <w:r>
              <w:rPr>
                <w:rFonts w:ascii="MS PGothic" w:cs="MS PGothic" w:eastAsia="MS PGothic" w:hAnsi="MS PGothic"/>
                <w:sz w:val="13"/>
                <w:szCs w:val="13"/>
                <w:color w:val="auto"/>
                <w:w w:val="91"/>
              </w:rPr>
              <w:t>✓</w:t>
            </w:r>
          </w:p>
        </w:tc>
        <w:tc>
          <w:tcPr>
            <w:tcW w:w="92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76"/>
              </w:rPr>
              <w:t>✓</w:t>
            </w:r>
          </w:p>
        </w:tc>
        <w:tc>
          <w:tcPr>
            <w:tcW w:w="820" w:type="dxa"/>
            <w:vAlign w:val="bottom"/>
            <w:tcBorders>
              <w:right w:val="single" w:sz="8" w:color="732282"/>
            </w:tcBorders>
            <w:shd w:val="clear" w:color="auto" w:fill="E5E5E5"/>
          </w:tcPr>
          <w:p>
            <w:pPr>
              <w:spacing w:after="0"/>
              <w:rPr>
                <w:sz w:val="12"/>
                <w:szCs w:val="12"/>
                <w:color w:val="auto"/>
              </w:rPr>
            </w:pPr>
          </w:p>
        </w:tc>
        <w:tc>
          <w:tcPr>
            <w:tcW w:w="760" w:type="dxa"/>
            <w:vAlign w:val="bottom"/>
            <w:tcBorders>
              <w:right w:val="single" w:sz="8" w:color="732282"/>
            </w:tcBorders>
            <w:shd w:val="clear" w:color="auto" w:fill="E5E5E5"/>
          </w:tcPr>
          <w:p>
            <w:pPr>
              <w:spacing w:after="0"/>
              <w:rPr>
                <w:sz w:val="12"/>
                <w:szCs w:val="12"/>
                <w:color w:val="auto"/>
              </w:rPr>
            </w:pPr>
          </w:p>
        </w:tc>
        <w:tc>
          <w:tcPr>
            <w:tcW w:w="920" w:type="dxa"/>
            <w:vAlign w:val="bottom"/>
            <w:tcBorders>
              <w:right w:val="single" w:sz="8" w:color="732282"/>
            </w:tcBorders>
            <w:shd w:val="clear" w:color="auto" w:fill="E5E5E5"/>
          </w:tcPr>
          <w:p>
            <w:pPr>
              <w:spacing w:after="0"/>
              <w:rPr>
                <w:sz w:val="12"/>
                <w:szCs w:val="12"/>
                <w:color w:val="auto"/>
              </w:rPr>
            </w:pPr>
          </w:p>
        </w:tc>
        <w:tc>
          <w:tcPr>
            <w:tcW w:w="860" w:type="dxa"/>
            <w:vAlign w:val="bottom"/>
            <w:tcBorders>
              <w:right w:val="single" w:sz="8" w:color="732282"/>
            </w:tcBorders>
            <w:shd w:val="clear" w:color="auto" w:fill="E5E5E5"/>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940" w:type="dxa"/>
            <w:vAlign w:val="bottom"/>
            <w:shd w:val="clear" w:color="auto" w:fill="E5E5E5"/>
          </w:tcPr>
          <w:p>
            <w:pPr>
              <w:spacing w:after="0"/>
              <w:rPr>
                <w:sz w:val="12"/>
                <w:szCs w:val="12"/>
                <w:color w:val="auto"/>
              </w:rPr>
            </w:pPr>
          </w:p>
        </w:tc>
      </w:tr>
      <w:tr>
        <w:trPr>
          <w:trHeight w:val="148"/>
        </w:trPr>
        <w:tc>
          <w:tcPr>
            <w:tcW w:w="3980" w:type="dxa"/>
            <w:vAlign w:val="bottom"/>
            <w:tcBorders>
              <w:bottom w:val="single" w:sz="8" w:color="732282"/>
              <w:right w:val="single" w:sz="8" w:color="732282"/>
            </w:tcBorders>
          </w:tcPr>
          <w:p>
            <w:pPr>
              <w:spacing w:after="0"/>
              <w:rPr>
                <w:sz w:val="20"/>
                <w:szCs w:val="20"/>
                <w:color w:val="auto"/>
              </w:rPr>
            </w:pPr>
            <w:r>
              <w:rPr>
                <w:rFonts w:ascii="Arial" w:cs="Arial" w:eastAsia="Arial" w:hAnsi="Arial"/>
                <w:sz w:val="13"/>
                <w:szCs w:val="13"/>
                <w:color w:val="auto"/>
              </w:rPr>
              <w:t>Meetings during 2020</w:t>
            </w:r>
          </w:p>
        </w:tc>
        <w:tc>
          <w:tcPr>
            <w:tcW w:w="74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w w:val="82"/>
              </w:rPr>
              <w:t>1</w:t>
            </w:r>
          </w:p>
        </w:tc>
        <w:tc>
          <w:tcPr>
            <w:tcW w:w="92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w w:val="82"/>
              </w:rPr>
              <w:t>1</w:t>
            </w:r>
          </w:p>
        </w:tc>
        <w:tc>
          <w:tcPr>
            <w:tcW w:w="82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w w:val="82"/>
              </w:rPr>
              <w:t>0</w:t>
            </w:r>
          </w:p>
        </w:tc>
        <w:tc>
          <w:tcPr>
            <w:tcW w:w="920" w:type="dxa"/>
            <w:vAlign w:val="bottom"/>
            <w:tcBorders>
              <w:bottom w:val="single" w:sz="8" w:color="732282"/>
              <w:right w:val="single" w:sz="8" w:color="732282"/>
            </w:tcBorders>
          </w:tcPr>
          <w:p>
            <w:pPr>
              <w:jc w:val="center"/>
              <w:ind w:left="33"/>
              <w:spacing w:after="0"/>
              <w:rPr>
                <w:sz w:val="20"/>
                <w:szCs w:val="20"/>
                <w:color w:val="auto"/>
              </w:rPr>
            </w:pPr>
            <w:r>
              <w:rPr>
                <w:rFonts w:ascii="Arial" w:cs="Arial" w:eastAsia="Arial" w:hAnsi="Arial"/>
                <w:sz w:val="13"/>
                <w:szCs w:val="13"/>
                <w:color w:val="auto"/>
                <w:w w:val="82"/>
              </w:rPr>
              <w:t>1</w:t>
            </w:r>
          </w:p>
        </w:tc>
        <w:tc>
          <w:tcPr>
            <w:tcW w:w="860" w:type="dxa"/>
            <w:vAlign w:val="bottom"/>
            <w:tcBorders>
              <w:bottom w:val="single" w:sz="8" w:color="732282"/>
              <w:right w:val="single" w:sz="8" w:color="732282"/>
            </w:tcBorders>
          </w:tcPr>
          <w:p>
            <w:pPr>
              <w:jc w:val="center"/>
              <w:ind w:left="13"/>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732282"/>
            </w:tcBorders>
          </w:tcPr>
          <w:p>
            <w:pPr>
              <w:jc w:val="center"/>
              <w:ind w:left="53"/>
              <w:spacing w:after="0"/>
              <w:rPr>
                <w:sz w:val="20"/>
                <w:szCs w:val="20"/>
                <w:color w:val="auto"/>
              </w:rPr>
            </w:pPr>
            <w:r>
              <w:rPr>
                <w:rFonts w:ascii="Arial" w:cs="Arial" w:eastAsia="Arial" w:hAnsi="Arial"/>
                <w:sz w:val="13"/>
                <w:szCs w:val="13"/>
                <w:color w:val="auto"/>
                <w:w w:val="82"/>
              </w:rPr>
              <w:t>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key oversight responsibilities include, but are not limited to:</w:t>
      </w:r>
    </w:p>
    <w:p>
      <w:pPr>
        <w:spacing w:after="0" w:line="77" w:lineRule="exact"/>
        <w:rPr>
          <w:sz w:val="20"/>
          <w:szCs w:val="20"/>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of the Company’s financial statements and its accounting and financial reporting processes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the Company’s internal control over financial reporting</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Qualifications, independence, and performance of the independent registered public accounting firm</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Services to be performed by, and fees payable to, the independent registered public accounting firm</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Internal Audit group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318" w:right="439" w:bottom="1440" w:gutter="0" w:footer="0" w:header="0"/>
        </w:sectPr>
      </w:pPr>
    </w:p>
    <w:bookmarkStart w:id="18" w:name="page19"/>
    <w:bookmarkEnd w:id="18"/>
    <w:p>
      <w:pPr>
        <w:ind w:left="420" w:right="20" w:hanging="316"/>
        <w:spacing w:after="0" w:line="23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processes and procedures related to risk assessment and risk management of financial and disclosure control-related, as well as SEC reporting-related, matters</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compliance with applicable legal and regulatory requirements (including U.S. federal securities laws) regarding the preceding matters</w:t>
      </w:r>
    </w:p>
    <w:p>
      <w:pPr>
        <w:spacing w:after="0" w:line="73" w:lineRule="exact"/>
        <w:rPr>
          <w:rFonts w:ascii="Arial" w:cs="Arial" w:eastAsia="Arial" w:hAnsi="Arial"/>
          <w:sz w:val="18"/>
          <w:szCs w:val="18"/>
          <w:color w:val="auto"/>
        </w:rPr>
      </w:pPr>
    </w:p>
    <w:p>
      <w:pPr>
        <w:ind w:left="420" w:hanging="316"/>
        <w:spacing w:after="0" w:line="23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any critical audit matters identified by the independent registered public accounting firm in connection with its audit of the Company’s annual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key oversight responsibilities include, but are not limited to:</w:t>
      </w:r>
    </w:p>
    <w:p>
      <w:pPr>
        <w:spacing w:after="0" w:line="77" w:lineRule="exact"/>
        <w:rPr>
          <w:sz w:val="20"/>
          <w:szCs w:val="20"/>
          <w:color w:val="auto"/>
        </w:rPr>
      </w:pPr>
    </w:p>
    <w:p>
      <w:pPr>
        <w:ind w:left="420" w:right="20" w:hanging="316"/>
        <w:spacing w:after="0" w:line="23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Chairman, CEO, and senior management compensation, including the corporate goals and objectives relevant to such compensation</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Board and committee compensation</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compensation plans in which Directors and/or executives participate</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benefits-related disclosures in annual reports and proxy statements</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Relationship between compensation policies and practices and the Company’s risk management with respect to compensation-related matters</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time to time reviewing reports from management regarding pay equity, human capital management and succession planning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Committee’s key oversight responsibilities include, but are not limited to:</w:t>
      </w:r>
    </w:p>
    <w:p>
      <w:pPr>
        <w:spacing w:after="0" w:line="77" w:lineRule="exact"/>
        <w:rPr>
          <w:sz w:val="20"/>
          <w:szCs w:val="20"/>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Compliance Officer’s implementation of the Company’s corporate compliance program</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and/or management with respect to Viatris’ corporate compliance program, the Code of Business Conduct and Ethics, and significant related global policies</w:t>
      </w:r>
    </w:p>
    <w:p>
      <w:pPr>
        <w:spacing w:after="0" w:line="73" w:lineRule="exact"/>
        <w:rPr>
          <w:rFonts w:ascii="Arial" w:cs="Arial" w:eastAsia="Arial" w:hAnsi="Arial"/>
          <w:sz w:val="18"/>
          <w:szCs w:val="18"/>
          <w:color w:val="auto"/>
        </w:rPr>
      </w:pPr>
    </w:p>
    <w:p>
      <w:pPr>
        <w:jc w:val="both"/>
        <w:ind w:left="420" w:right="20" w:hanging="316"/>
        <w:spacing w:after="0" w:line="238"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w:t>
      </w:r>
    </w:p>
    <w:p>
      <w:pPr>
        <w:spacing w:after="0" w:line="72"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metrics used by management or requested by the Committee to provide insight into the status and efficacy of the corporate compliance program, including the Company’s global compliance systems and organization</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reports of significant actual and alleged violations of the Code of Business Conduct and Ethics, corporate policies and procedures, and applicable laws and regulations</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checks and balances implemented by the Company designed to support and promote compliance with approved corporate policies, legal rules, and regulations</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Company’s policies and procedures for corporate political and lobbying expenditures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318"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Committee’s key oversight responsibilities include, but are not limited to:</w:t>
      </w:r>
    </w:p>
    <w:p>
      <w:pPr>
        <w:spacing w:after="0" w:line="77" w:lineRule="exact"/>
        <w:rPr>
          <w:sz w:val="20"/>
          <w:szCs w:val="20"/>
          <w:color w:val="auto"/>
        </w:rPr>
      </w:pPr>
    </w:p>
    <w:p>
      <w:pPr>
        <w:ind w:left="420" w:right="20" w:hanging="316"/>
        <w:spacing w:after="0" w:line="239"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Assisting the Board in fulfilling its fiduciary responsibilities by exercising those powers of the Board not otherwise limited by a resolution of the Board or by law</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planning and additional oversight of strategy implementation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Finance Committee’s key oversight responsibilities include, but are not limited to:</w:t>
      </w:r>
    </w:p>
    <w:p>
      <w:pPr>
        <w:spacing w:after="0" w:line="77" w:lineRule="exact"/>
        <w:rPr>
          <w:sz w:val="20"/>
          <w:szCs w:val="20"/>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mergers, acquisitions, and combinations with other companies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Swaps and other derivatives transactions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establishment of credit facilities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financings with commercial lenders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and repurchase of the Company’s debt, equity, hybrid or other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and Nominating Committee’s key oversight responsibilities include, but are not limited to:</w:t>
      </w:r>
    </w:p>
    <w:p>
      <w:pPr>
        <w:spacing w:after="0" w:line="77" w:lineRule="exact"/>
        <w:rPr>
          <w:sz w:val="20"/>
          <w:szCs w:val="20"/>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matters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nomination or re-nomination of Director candidates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Board’s review and consideration of shareholder recommendations for, and nominations of, Director candidates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self-evaluation of the Board and its committees</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Risk Oversight Committee’s key oversight responsibilities include, but are not limited to:</w:t>
      </w:r>
    </w:p>
    <w:p>
      <w:pPr>
        <w:spacing w:after="0" w:line="77" w:lineRule="exact"/>
        <w:rPr>
          <w:sz w:val="20"/>
          <w:szCs w:val="20"/>
          <w:color w:val="auto"/>
        </w:rPr>
      </w:pPr>
    </w:p>
    <w:p>
      <w:pPr>
        <w:ind w:left="420" w:hanging="3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enterprise risk framework, infrastructure, and controls implemented by management to help identify, assess, manage and monitor material risks</w:t>
      </w:r>
    </w:p>
    <w:p>
      <w:pPr>
        <w:spacing w:after="0" w:line="73"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management’s exercise of its responsibility to identify, assess and manage material risks not allocated to the Board or another committee, including, for example, data security programs and cybersecurity and information technology</w:t>
      </w:r>
    </w:p>
    <w:p>
      <w:pPr>
        <w:spacing w:after="0" w:line="73" w:lineRule="exact"/>
        <w:rPr>
          <w:rFonts w:ascii="Arial" w:cs="Arial" w:eastAsia="Arial" w:hAnsi="Arial"/>
          <w:sz w:val="18"/>
          <w:szCs w:val="18"/>
          <w:color w:val="auto"/>
        </w:rPr>
      </w:pPr>
    </w:p>
    <w:p>
      <w:pPr>
        <w:ind w:left="420" w:hanging="3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efforts with respect to CSR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and Technology Committee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Committee’s key oversight responsibilities include, but are not limited to:</w:t>
      </w:r>
    </w:p>
    <w:p>
      <w:pPr>
        <w:spacing w:after="0" w:line="77" w:lineRule="exact"/>
        <w:rPr>
          <w:sz w:val="20"/>
          <w:szCs w:val="20"/>
          <w:color w:val="auto"/>
        </w:rPr>
      </w:pPr>
    </w:p>
    <w:p>
      <w:pPr>
        <w:ind w:left="5400" w:right="4660" w:hanging="5296"/>
        <w:spacing w:after="0" w:line="411" w:lineRule="auto"/>
        <w:tabs>
          <w:tab w:leader="none" w:pos="4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overall strategy and direction of the Company’s R&amp;D program 15</w:t>
      </w:r>
    </w:p>
    <w:p>
      <w:pPr>
        <w:sectPr>
          <w:pgSz w:w="11900" w:h="16838" w:orient="portrait"/>
          <w:cols w:equalWidth="0" w:num="1">
            <w:col w:w="11020"/>
          </w:cols>
          <w:pgMar w:left="440" w:top="296" w:right="439" w:bottom="1440" w:gutter="0" w:footer="0" w:header="0"/>
        </w:sectPr>
      </w:pPr>
    </w:p>
    <w:bookmarkStart w:id="20" w:name="page21"/>
    <w:bookmarkEnd w:id="20"/>
    <w:p>
      <w:pPr>
        <w:ind w:left="420" w:hanging="3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Reviewing presentations regarding significant emerging scientific and technological developments relevant to Viatris</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Setting and Overseeing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Board actively discusses and determines the Company’s strategies intended to ensure the growth, durability, and sustainability of the business, unlock value, and create long-term value for shareholders.</w:t>
      </w:r>
    </w:p>
    <w:p>
      <w:pPr>
        <w:spacing w:after="0" w:line="155"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Board’s current focus includes overseeing the actions of management with respect to the integration of legacy Mylan and Upjohn following the Combination and overseeing the ongoing development and execution of Viatris’ strategic plan. The Board’s strategic planning, under the leadership of the Executive Chairman, supports a diversified and differentiated portfolio that is not reliant on a single market or product, resulting in stable and durable cash flows despite evolving, challenging, and often unpredictable, market conditions.</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Board expects that its strategy will drive a global platform with a sustainable, diverse and differentiated portfolio of prescription medicines, complex generics, and biosimilars supported by commercial and regulatory expertise, established infrastructure, best-in-class R&amp;D capabilities, and high-quality manufacturing and supply chain excellence.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its expectation of creating, enhancing or otherwise unlocking the value of the Company’s unique global platform, the Board began implementing a strategy to delever and return capital to shareholders through a strong focus on execution, restructuring, and rapid delevering, and we expect to begin to return capital to shareholders by initiating a dividend in the second quarter of 2021.</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Board is committed to maintaining a dialogue with shareholders regarding a broad range of topics, including, among others, our differentiated strategy and business model; our Global Healthcare Gateway</w:t>
      </w:r>
      <w:r>
        <w:rPr>
          <w:rFonts w:ascii="Arial" w:cs="Arial" w:eastAsia="Arial" w:hAnsi="Arial"/>
          <w:sz w:val="9"/>
          <w:szCs w:val="9"/>
          <w:color w:val="auto"/>
        </w:rPr>
        <w:t>®</w:t>
      </w:r>
      <w:r>
        <w:rPr>
          <w:rFonts w:ascii="Arial" w:cs="Arial" w:eastAsia="Arial" w:hAnsi="Arial"/>
          <w:sz w:val="18"/>
          <w:szCs w:val="18"/>
          <w:color w:val="auto"/>
        </w:rPr>
        <w:t>; our efforts to further unlock the value of our unique global platform; delevering; governance; compensation; returning capital to shareholders; promoting sustainability; and further enhancing our efforts regarding CSR matters.</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Viatris operates in a complex and rapidly changing environment that involves many potential risks. In addition to general market, industry, R&amp;D, supply chain, political, and economic risks, the Company faces potential risks related to the integration of Mylan and Upjohn; our ongoing global restructuring initiatives; information technology and cybersecurity; data privacy; financial controls and reporting; manufacturing and quality; legal, regulatory and compliance requirements and developments; finance; the global nature of our operations; human capital management and retention;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protect our assets (financial, intellectual property, and information, among others), and enhance shareholder and other stakeholder value. Risk management is an enterprise-wide objective subject to oversight by the Board and its committees.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the responsibility of Viatris’ management and employees to identify material risks to our business and to implement and administer robust risk management and mitigation processes and programs, while also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318" w:right="439" w:bottom="1440" w:gutter="0" w:footer="0" w:header="0"/>
        </w:sectPr>
      </w:pPr>
    </w:p>
    <w:bookmarkStart w:id="21" w:name="page22"/>
    <w:bookmarkEnd w:id="21"/>
    <w:p>
      <w:pPr>
        <w:jc w:val="both"/>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maintaining reasonable flexibility in how we operate. To further embed risk management and compliance into our culture, Viatris has a robust global corporate compliance program, implements relevant policies and procedures, trains employees on how to implement and comply with them, and maintains an extensive program of oversight and audit to help ensure compliance and appropriate enterprise risk management.</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Viatris Board, in turn, directly or through its committees, oversees the implementation of risk management and mitigation processes. The Board and its committees rigorously review with management the risk management program at least quarterly, as well as during the Board’s annual budget review and approval process. Each of our committees has full access to officers and employees of the Company, and our Board and committees also meet without members of management present.</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Board also has approved a Code of Business Conduct and Ethics, Code of Ethics for Chief Executive Officer, Chief Financial Officer and Corporate Controller, and other related policies to help manage and mitigate risk globally.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Roles in Risk Oversight</w:t>
      </w:r>
    </w:p>
    <w:p>
      <w:pPr>
        <w:spacing w:after="0" w:line="79" w:lineRule="exact"/>
        <w:rPr>
          <w:sz w:val="20"/>
          <w:szCs w:val="20"/>
          <w:color w:val="auto"/>
        </w:rPr>
      </w:pPr>
    </w:p>
    <w:p>
      <w:pPr>
        <w:jc w:val="both"/>
        <w:ind w:left="420" w:hanging="316"/>
        <w:spacing w:after="0" w:line="274"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Audit Committee </w:t>
      </w:r>
      <w:r>
        <w:rPr>
          <w:rFonts w:ascii="Arial" w:cs="Arial" w:eastAsia="Arial" w:hAnsi="Arial"/>
          <w:sz w:val="16"/>
          <w:szCs w:val="16"/>
          <w:color w:val="auto"/>
        </w:rPr>
        <w:t>focuses on risks relating to financial and disclosure controls, SEC reporting matters, and oversight of Viatris’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28" w:lineRule="exact"/>
        <w:rPr>
          <w:rFonts w:ascii="Arial" w:cs="Arial" w:eastAsia="Arial" w:hAnsi="Arial"/>
          <w:sz w:val="16"/>
          <w:szCs w:val="16"/>
          <w:color w:val="auto"/>
        </w:rPr>
      </w:pPr>
    </w:p>
    <w:p>
      <w:pPr>
        <w:jc w:val="both"/>
        <w:ind w:left="420" w:hanging="316"/>
        <w:spacing w:after="0" w:line="241"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Compensation Committee </w:t>
      </w:r>
      <w:r>
        <w:rPr>
          <w:rFonts w:ascii="Arial" w:cs="Arial" w:eastAsia="Arial" w:hAnsi="Arial"/>
          <w:sz w:val="18"/>
          <w:szCs w:val="18"/>
          <w:color w:val="auto"/>
        </w:rPr>
        <w:t>focuses on the design and administration of compensation-related plans and programs, and considers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and 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human capital management, and succession planning.</w:t>
      </w:r>
    </w:p>
    <w:p>
      <w:pPr>
        <w:spacing w:after="0" w:line="54" w:lineRule="exact"/>
        <w:rPr>
          <w:rFonts w:ascii="Arial" w:cs="Arial" w:eastAsia="Arial" w:hAnsi="Arial"/>
          <w:sz w:val="18"/>
          <w:szCs w:val="18"/>
          <w:color w:val="auto"/>
        </w:rPr>
      </w:pPr>
    </w:p>
    <w:p>
      <w:pPr>
        <w:jc w:val="both"/>
        <w:ind w:left="420" w:hanging="316"/>
        <w:spacing w:after="0" w:line="238"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Compliance Committee </w:t>
      </w:r>
      <w:r>
        <w:rPr>
          <w:rFonts w:ascii="Arial" w:cs="Arial" w:eastAsia="Arial" w:hAnsi="Arial"/>
          <w:sz w:val="18"/>
          <w:szCs w:val="18"/>
          <w:color w:val="auto"/>
        </w:rPr>
        <w:t>is responsible for overseeing the Chief Compliance Officer’s implementation of Viatris’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Program. The Chief Compliance Officer reports to the Committee and the CEO, and the Committee is responsible for appointing and, as applicable, replacing, this individual, and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and reviews significant global compliance-related policies, including policies related to pricing and/or commercialization of Company products and services.</w:t>
      </w:r>
    </w:p>
    <w:p>
      <w:pPr>
        <w:spacing w:after="0" w:line="56" w:lineRule="exact"/>
        <w:rPr>
          <w:rFonts w:ascii="Arial" w:cs="Arial" w:eastAsia="Arial" w:hAnsi="Arial"/>
          <w:sz w:val="18"/>
          <w:szCs w:val="18"/>
          <w:color w:val="auto"/>
        </w:rPr>
      </w:pPr>
    </w:p>
    <w:p>
      <w:pPr>
        <w:ind w:left="420" w:right="20" w:hanging="316"/>
        <w:spacing w:after="0" w:line="262"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Finance Committee </w:t>
      </w:r>
      <w:r>
        <w:rPr>
          <w:rFonts w:ascii="Arial" w:cs="Arial" w:eastAsia="Arial" w:hAnsi="Arial"/>
          <w:sz w:val="18"/>
          <w:szCs w:val="18"/>
          <w:color w:val="auto"/>
        </w:rPr>
        <w:t>is responsible for reviewing and, as appropriate, providing recommendations to the Viatris Board with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significant strategies and policies of the Company relating to its capital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318" w:right="439" w:bottom="1440" w:gutter="0" w:footer="0" w:header="0"/>
        </w:sectPr>
      </w:pPr>
    </w:p>
    <w:bookmarkStart w:id="22" w:name="page23"/>
    <w:bookmarkEnd w:id="22"/>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structure and deployment and/or allocation of capital, material financial matters and transactions, and the risks related to such activities.</w:t>
      </w:r>
    </w:p>
    <w:p>
      <w:pPr>
        <w:spacing w:after="0" w:line="80" w:lineRule="exact"/>
        <w:rPr>
          <w:sz w:val="20"/>
          <w:szCs w:val="20"/>
          <w:color w:val="auto"/>
        </w:rPr>
      </w:pPr>
    </w:p>
    <w:p>
      <w:pPr>
        <w:jc w:val="both"/>
        <w:ind w:left="420" w:hanging="316"/>
        <w:spacing w:after="0" w:line="241"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Governance and Nominating Committee </w:t>
      </w:r>
      <w:r>
        <w:rPr>
          <w:rFonts w:ascii="Arial" w:cs="Arial" w:eastAsia="Arial" w:hAnsi="Arial"/>
          <w:sz w:val="18"/>
          <w:szCs w:val="18"/>
          <w:color w:val="auto"/>
        </w:rPr>
        <w:t>is responsible for identifying, assisting in recruiting, and nominating qualified individuals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become members of the Viatris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54" w:lineRule="exact"/>
        <w:rPr>
          <w:rFonts w:ascii="Arial" w:cs="Arial" w:eastAsia="Arial" w:hAnsi="Arial"/>
          <w:sz w:val="18"/>
          <w:szCs w:val="18"/>
          <w:color w:val="auto"/>
        </w:rPr>
      </w:pPr>
    </w:p>
    <w:p>
      <w:pPr>
        <w:jc w:val="both"/>
        <w:ind w:left="420" w:hanging="3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Risk Oversight Committee </w:t>
      </w:r>
      <w:r>
        <w:rPr>
          <w:rFonts w:ascii="Arial" w:cs="Arial" w:eastAsia="Arial" w:hAnsi="Arial"/>
          <w:sz w:val="18"/>
          <w:szCs w:val="18"/>
          <w:color w:val="auto"/>
        </w:rPr>
        <w:t>assists the Board in its oversight of Viatris’ enterprise risk management framework.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the 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CSR; and reviews the Company’s efforts to foster a culture of risk-adjusted decision-making without constraining reasonable risk-taking and innovation. The Committee also meets with the Chairs of the other committees at least two times a year to discuss enterprise risk and related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Education</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Governance and Nominating Committee is responsible for overseeing and annually reviewing Director orientation and continuing education programs, including educational seminars, presentations, conferences and other Director education programs and opportunities presented by external and internal resources, on matters that may relate to, among other topics: compensation, governance, board process, risk oversight, audit and accounting, regulatory and other current issues. Directors also may elect to attend additional third-party educational events. The Company reimburses Directors for costs associated with any related seminars and conferences, including travel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318"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11. Executive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43"/>
          <w:szCs w:val="43"/>
          <w:b w:val="1"/>
          <w:bCs w:val="1"/>
          <w:color w:val="732282"/>
        </w:rPr>
        <w:t>Compensation Discussion and Analysis</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Executive Summary — Important Background and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360"/>
          </w:cols>
          <w:pgMar w:left="440" w:top="296" w:right="1099" w:bottom="1440" w:gutter="0" w:footer="0" w:header="0"/>
        </w:sectPr>
      </w:pPr>
    </w:p>
    <w:p>
      <w:pPr>
        <w:spacing w:after="0" w:line="252" w:lineRule="exact"/>
        <w:rPr>
          <w:sz w:val="20"/>
          <w:szCs w:val="20"/>
          <w:color w:val="auto"/>
        </w:rPr>
      </w:pPr>
    </w:p>
    <w:p>
      <w:pPr>
        <w:jc w:val="both"/>
        <w:ind w:right="200"/>
        <w:spacing w:after="0" w:line="273" w:lineRule="auto"/>
        <w:rPr>
          <w:sz w:val="20"/>
          <w:szCs w:val="20"/>
          <w:color w:val="auto"/>
        </w:rPr>
      </w:pPr>
      <w:r>
        <w:rPr>
          <w:rFonts w:ascii="Arial" w:cs="Arial" w:eastAsia="Arial" w:hAnsi="Arial"/>
          <w:sz w:val="16"/>
          <w:szCs w:val="16"/>
          <w:b w:val="1"/>
          <w:bCs w:val="1"/>
          <w:color w:val="732282"/>
        </w:rPr>
        <w:t xml:space="preserve">Viatris has a shareholder-aligned compensation philosophy. </w:t>
      </w:r>
      <w:r>
        <w:rPr>
          <w:rFonts w:ascii="Arial" w:cs="Arial" w:eastAsia="Arial" w:hAnsi="Arial"/>
          <w:sz w:val="16"/>
          <w:szCs w:val="16"/>
          <w:color w:val="000000"/>
        </w:rPr>
        <w:t>Viatris empowers people worldwide</w:t>
      </w:r>
      <w:r>
        <w:rPr>
          <w:rFonts w:ascii="Arial" w:cs="Arial" w:eastAsia="Arial" w:hAnsi="Arial"/>
          <w:sz w:val="16"/>
          <w:szCs w:val="16"/>
          <w:b w:val="1"/>
          <w:bCs w:val="1"/>
          <w:color w:val="732282"/>
        </w:rPr>
        <w:t xml:space="preserve"> </w:t>
      </w:r>
      <w:r>
        <w:rPr>
          <w:rFonts w:ascii="Arial" w:cs="Arial" w:eastAsia="Arial" w:hAnsi="Arial"/>
          <w:sz w:val="16"/>
          <w:szCs w:val="16"/>
          <w:color w:val="000000"/>
        </w:rPr>
        <w:t>to live healthier at every stage of life. As the world’s healthcare needs evolve, we believe that the Viatris Global Healthcare Gateway</w:t>
      </w:r>
      <w:r>
        <w:rPr>
          <w:rFonts w:ascii="Arial" w:cs="Arial" w:eastAsia="Arial" w:hAnsi="Arial"/>
          <w:sz w:val="9"/>
          <w:szCs w:val="9"/>
          <w:color w:val="000000"/>
        </w:rPr>
        <w:t>®</w:t>
      </w:r>
      <w:r>
        <w:rPr>
          <w:rFonts w:ascii="Arial" w:cs="Arial" w:eastAsia="Arial" w:hAnsi="Arial"/>
          <w:sz w:val="16"/>
          <w:szCs w:val="16"/>
          <w:color w:val="000000"/>
        </w:rPr>
        <w:t xml:space="preserve"> will fuel our organic development of innovative products and offer partners ready access to expanded markets through an innovative global infrastructure that connects people around the world to the high-quality medicines and services they need. We provide access to medicines, advance sustainable operations, develop innovative solutions, and leverage our collective expertise to improve patient health. Our compensation program supports these and other goals, drives performance, and aligns with shareholder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29210</wp:posOffset>
            </wp:positionV>
            <wp:extent cx="367728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77285" cy="34290"/>
                    </a:xfrm>
                    <a:prstGeom prst="rect">
                      <a:avLst/>
                    </a:prstGeom>
                    <a:noFill/>
                  </pic:spPr>
                </pic:pic>
              </a:graphicData>
            </a:graphic>
          </wp:anchor>
        </w:drawing>
      </w:r>
    </w:p>
    <w:p>
      <w:pPr>
        <w:spacing w:after="0" w:line="142"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b w:val="1"/>
          <w:bCs w:val="1"/>
          <w:color w:val="732282"/>
        </w:rPr>
        <w:t xml:space="preserve">Employee health and safety has been a priority throughout the COVID-19 pandemic. </w:t>
      </w:r>
      <w:r>
        <w:rPr>
          <w:rFonts w:ascii="Arial" w:cs="Arial" w:eastAsia="Arial" w:hAnsi="Arial"/>
          <w:sz w:val="18"/>
          <w:szCs w:val="18"/>
          <w:color w:val="000000"/>
        </w:rPr>
        <w:t>Steps were</w:t>
      </w:r>
      <w:r>
        <w:rPr>
          <w:rFonts w:ascii="Arial" w:cs="Arial" w:eastAsia="Arial" w:hAnsi="Arial"/>
          <w:sz w:val="18"/>
          <w:szCs w:val="18"/>
          <w:b w:val="1"/>
          <w:bCs w:val="1"/>
          <w:color w:val="732282"/>
        </w:rPr>
        <w:t xml:space="preserve"> </w:t>
      </w:r>
      <w:r>
        <w:rPr>
          <w:rFonts w:ascii="Arial" w:cs="Arial" w:eastAsia="Arial" w:hAnsi="Arial"/>
          <w:sz w:val="18"/>
          <w:szCs w:val="18"/>
          <w:color w:val="000000"/>
        </w:rPr>
        <w:t>taken throughout 2020 to protect Mylan, Upjohn, and Viatris employees. We utilized screening and safe work protocols, and provided personal protective equipment (PPE) to employees. In addition, we provided bonuses to our frontline workers in recognition of their efforts to help ensure that patients around the world continued to receive essential medications uninterrupted. Employees were also provided with additional benefits during the COVID-19 pandemic, including expansion of Employee Assistance Program counseling and flexible work arrangements, among other supplemental benefit offerings in certain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45085</wp:posOffset>
            </wp:positionV>
            <wp:extent cx="367728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77285" cy="34290"/>
                    </a:xfrm>
                    <a:prstGeom prst="rect">
                      <a:avLst/>
                    </a:prstGeom>
                    <a:noFill/>
                  </pic:spPr>
                </pic:pic>
              </a:graphicData>
            </a:graphic>
          </wp:anchor>
        </w:drawing>
      </w:r>
    </w:p>
    <w:p>
      <w:pPr>
        <w:spacing w:after="0" w:line="167" w:lineRule="exact"/>
        <w:rPr>
          <w:sz w:val="20"/>
          <w:szCs w:val="20"/>
          <w:color w:val="auto"/>
        </w:rPr>
      </w:pPr>
    </w:p>
    <w:p>
      <w:pPr>
        <w:jc w:val="both"/>
        <w:ind w:right="200"/>
        <w:spacing w:after="0"/>
        <w:rPr>
          <w:sz w:val="20"/>
          <w:szCs w:val="20"/>
          <w:color w:val="auto"/>
        </w:rPr>
      </w:pPr>
      <w:r>
        <w:rPr>
          <w:rFonts w:ascii="Arial" w:cs="Arial" w:eastAsia="Arial" w:hAnsi="Arial"/>
          <w:sz w:val="18"/>
          <w:szCs w:val="18"/>
          <w:b w:val="1"/>
          <w:bCs w:val="1"/>
          <w:color w:val="732282"/>
        </w:rPr>
        <w:t>Despite the challenges presented by the global pandemic, we continued to serve the needs of patient access in 2020</w:t>
      </w:r>
      <w:r>
        <w:rPr>
          <w:rFonts w:ascii="Arial" w:cs="Arial" w:eastAsia="Arial" w:hAnsi="Arial"/>
          <w:sz w:val="18"/>
          <w:szCs w:val="18"/>
          <w:color w:val="000000"/>
        </w:rPr>
        <w:t>. Mylan and Pfizer’s Upjohn division (and Viatris post-Combination)</w:t>
      </w:r>
      <w:r>
        <w:rPr>
          <w:rFonts w:ascii="Arial" w:cs="Arial" w:eastAsia="Arial" w:hAnsi="Arial"/>
          <w:sz w:val="18"/>
          <w:szCs w:val="18"/>
          <w:b w:val="1"/>
          <w:bCs w:val="1"/>
          <w:color w:val="732282"/>
        </w:rPr>
        <w:t xml:space="preserve"> </w:t>
      </w:r>
      <w:r>
        <w:rPr>
          <w:rFonts w:ascii="Arial" w:cs="Arial" w:eastAsia="Arial" w:hAnsi="Arial"/>
          <w:sz w:val="18"/>
          <w:szCs w:val="18"/>
          <w:color w:val="000000"/>
        </w:rPr>
        <w:t>collectively sold approximately 85 billion doses of medicine across 165 countries and territories in 2020 on a full year basis. Our outstanding colleagues around the world maintained consistent supply of product to ensure continued patient access while also effectively managing the integration of two large companies. See pages 22-23 for additional selected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46355</wp:posOffset>
            </wp:positionV>
            <wp:extent cx="367728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77285" cy="34290"/>
                    </a:xfrm>
                    <a:prstGeom prst="rect">
                      <a:avLst/>
                    </a:prstGeom>
                    <a:noFill/>
                  </pic:spPr>
                </pic:pic>
              </a:graphicData>
            </a:graphic>
          </wp:anchor>
        </w:drawing>
      </w:r>
    </w:p>
    <w:p>
      <w:pPr>
        <w:spacing w:after="0" w:line="169"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b w:val="1"/>
          <w:bCs w:val="1"/>
          <w:color w:val="732282"/>
        </w:rPr>
        <w:t xml:space="preserve">Reported 2020 compensation reflects three distinct programs. </w:t>
      </w:r>
      <w:r>
        <w:rPr>
          <w:rFonts w:ascii="Arial" w:cs="Arial" w:eastAsia="Arial" w:hAnsi="Arial"/>
          <w:sz w:val="16"/>
          <w:szCs w:val="16"/>
          <w:color w:val="000000"/>
        </w:rPr>
        <w:t>Viatris was formed in November</w:t>
      </w:r>
      <w:r>
        <w:rPr>
          <w:rFonts w:ascii="Arial" w:cs="Arial" w:eastAsia="Arial" w:hAnsi="Arial"/>
          <w:sz w:val="16"/>
          <w:szCs w:val="16"/>
          <w:b w:val="1"/>
          <w:bCs w:val="1"/>
          <w:color w:val="732282"/>
        </w:rPr>
        <w:t xml:space="preserve"> </w:t>
      </w:r>
      <w:r>
        <w:rPr>
          <w:rFonts w:ascii="Arial" w:cs="Arial" w:eastAsia="Arial" w:hAnsi="Arial"/>
          <w:sz w:val="16"/>
          <w:szCs w:val="16"/>
          <w:color w:val="000000"/>
        </w:rPr>
        <w:t>2020 after the Combination of Mylan and Upjohn. As a result, reported 2020 compensation must be viewed as a reflection of three distinct compensation programs: those of Mylan, Upjohn, and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367728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77285" cy="34290"/>
                    </a:xfrm>
                    <a:prstGeom prst="rect">
                      <a:avLst/>
                    </a:prstGeom>
                    <a:noFill/>
                  </pic:spPr>
                </pic:pic>
              </a:graphicData>
            </a:graphic>
          </wp:anchor>
        </w:drawing>
      </w:r>
    </w:p>
    <w:p>
      <w:pPr>
        <w:spacing w:after="0" w:line="123" w:lineRule="exact"/>
        <w:rPr>
          <w:sz w:val="20"/>
          <w:szCs w:val="20"/>
          <w:color w:val="auto"/>
        </w:rPr>
      </w:pPr>
    </w:p>
    <w:p>
      <w:pPr>
        <w:jc w:val="both"/>
        <w:ind w:right="200"/>
        <w:spacing w:after="0" w:line="244" w:lineRule="auto"/>
        <w:rPr>
          <w:sz w:val="20"/>
          <w:szCs w:val="20"/>
          <w:color w:val="auto"/>
        </w:rPr>
      </w:pPr>
      <w:r>
        <w:rPr>
          <w:rFonts w:ascii="Arial" w:cs="Arial" w:eastAsia="Arial" w:hAnsi="Arial"/>
          <w:sz w:val="18"/>
          <w:szCs w:val="18"/>
          <w:b w:val="1"/>
          <w:bCs w:val="1"/>
          <w:color w:val="732282"/>
        </w:rPr>
        <w:t xml:space="preserve">Our 2020 compensation tables include certain one-time, transaction-related payments. </w:t>
      </w:r>
      <w:r>
        <w:rPr>
          <w:rFonts w:ascii="Arial" w:cs="Arial" w:eastAsia="Arial" w:hAnsi="Arial"/>
          <w:sz w:val="18"/>
          <w:szCs w:val="18"/>
          <w:color w:val="000000"/>
        </w:rPr>
        <w:t>In 2020,</w:t>
      </w:r>
      <w:r>
        <w:rPr>
          <w:rFonts w:ascii="Arial" w:cs="Arial" w:eastAsia="Arial" w:hAnsi="Arial"/>
          <w:sz w:val="18"/>
          <w:szCs w:val="18"/>
          <w:b w:val="1"/>
          <w:bCs w:val="1"/>
          <w:color w:val="732282"/>
        </w:rPr>
        <w:t xml:space="preserve"> </w:t>
      </w:r>
      <w:r>
        <w:rPr>
          <w:rFonts w:ascii="Arial" w:cs="Arial" w:eastAsia="Arial" w:hAnsi="Arial"/>
          <w:sz w:val="18"/>
          <w:szCs w:val="18"/>
          <w:color w:val="000000"/>
        </w:rPr>
        <w:t>certain one-time payments were made to support the successful combination of Mylan and Upjohn and to secure the ongoing services of our NEOs. These payments are reflected in the 2020 compensation tables but will not be part of the executive compensation program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-384810</wp:posOffset>
            </wp:positionV>
            <wp:extent cx="1697355" cy="6720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97355" cy="67208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to Delivering</w:t>
      </w:r>
    </w:p>
    <w:p>
      <w:pPr>
        <w:jc w:val="center"/>
        <w:spacing w:after="0"/>
        <w:rPr>
          <w:sz w:val="20"/>
          <w:szCs w:val="20"/>
          <w:color w:val="auto"/>
        </w:rPr>
      </w:pPr>
      <w:r>
        <w:rPr>
          <w:rFonts w:ascii="Arial" w:cs="Arial" w:eastAsia="Arial" w:hAnsi="Arial"/>
          <w:sz w:val="13"/>
          <w:szCs w:val="13"/>
          <w:color w:val="auto"/>
        </w:rPr>
        <w:t>Significant</w:t>
      </w:r>
    </w:p>
    <w:p>
      <w:pPr>
        <w:jc w:val="center"/>
        <w:spacing w:after="0"/>
        <w:rPr>
          <w:sz w:val="20"/>
          <w:szCs w:val="20"/>
          <w:color w:val="auto"/>
        </w:rPr>
      </w:pPr>
      <w:r>
        <w:rPr>
          <w:rFonts w:ascii="Arial" w:cs="Arial" w:eastAsia="Arial" w:hAnsi="Arial"/>
          <w:sz w:val="13"/>
          <w:szCs w:val="13"/>
          <w:color w:val="auto"/>
        </w:rPr>
        <w:t>Shareholder</w:t>
      </w:r>
    </w:p>
    <w:p>
      <w:pPr>
        <w:jc w:val="center"/>
        <w:spacing w:after="0"/>
        <w:rPr>
          <w:sz w:val="20"/>
          <w:szCs w:val="20"/>
          <w:color w:val="auto"/>
        </w:rPr>
      </w:pPr>
      <w:r>
        <w:rPr>
          <w:rFonts w:ascii="Arial" w:cs="Arial" w:eastAsia="Arial" w:hAnsi="Arial"/>
          <w:sz w:val="13"/>
          <w:szCs w:val="13"/>
          <w:color w:val="auto"/>
        </w:rPr>
        <w:t>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231161"/>
        </w:rPr>
        <w:t>Unique global</w:t>
      </w:r>
    </w:p>
    <w:p>
      <w:pPr>
        <w:jc w:val="center"/>
        <w:spacing w:after="0"/>
        <w:rPr>
          <w:sz w:val="20"/>
          <w:szCs w:val="20"/>
          <w:color w:val="auto"/>
        </w:rPr>
      </w:pPr>
      <w:r>
        <w:rPr>
          <w:rFonts w:ascii="Arial" w:cs="Arial" w:eastAsia="Arial" w:hAnsi="Arial"/>
          <w:sz w:val="13"/>
          <w:szCs w:val="13"/>
          <w:color w:val="231161"/>
        </w:rPr>
        <w:t>platform</w:t>
      </w:r>
    </w:p>
    <w:p>
      <w:pPr>
        <w:jc w:val="center"/>
        <w:spacing w:after="0" w:line="245" w:lineRule="auto"/>
        <w:rPr>
          <w:sz w:val="20"/>
          <w:szCs w:val="20"/>
          <w:color w:val="auto"/>
        </w:rPr>
      </w:pPr>
      <w:r>
        <w:rPr>
          <w:rFonts w:ascii="Arial" w:cs="Arial" w:eastAsia="Arial" w:hAnsi="Arial"/>
          <w:sz w:val="13"/>
          <w:szCs w:val="13"/>
          <w:color w:val="auto"/>
        </w:rPr>
        <w:t>Unparalleled global reach and global network with sustainable, diverse, and differentiated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20"/>
        <w:spacing w:after="0" w:line="241" w:lineRule="auto"/>
        <w:rPr>
          <w:sz w:val="20"/>
          <w:szCs w:val="20"/>
          <w:color w:val="auto"/>
        </w:rPr>
      </w:pPr>
      <w:r>
        <w:rPr>
          <w:rFonts w:ascii="Arial" w:cs="Arial" w:eastAsia="Arial" w:hAnsi="Arial"/>
          <w:sz w:val="13"/>
          <w:szCs w:val="13"/>
          <w:color w:val="231161"/>
        </w:rPr>
        <w:t xml:space="preserve">Performance-driven culture </w:t>
      </w:r>
      <w:r>
        <w:rPr>
          <w:rFonts w:ascii="Arial" w:cs="Arial" w:eastAsia="Arial" w:hAnsi="Arial"/>
          <w:sz w:val="13"/>
          <w:szCs w:val="13"/>
          <w:color w:val="000000"/>
        </w:rPr>
        <w:t>Focused on commercial execution, operational excellence, financial discipline, and corporate social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231161"/>
        </w:rPr>
        <w:t>Global</w:t>
      </w:r>
    </w:p>
    <w:p>
      <w:pPr>
        <w:jc w:val="center"/>
        <w:spacing w:after="0" w:line="234" w:lineRule="auto"/>
        <w:rPr>
          <w:sz w:val="20"/>
          <w:szCs w:val="20"/>
          <w:color w:val="auto"/>
        </w:rPr>
      </w:pPr>
      <w:r>
        <w:rPr>
          <w:rFonts w:ascii="Arial" w:cs="Arial" w:eastAsia="Arial" w:hAnsi="Arial"/>
          <w:sz w:val="13"/>
          <w:szCs w:val="13"/>
          <w:color w:val="231161"/>
        </w:rPr>
        <w:t>Healthcare</w:t>
      </w:r>
    </w:p>
    <w:p>
      <w:pPr>
        <w:jc w:val="center"/>
        <w:spacing w:after="0" w:line="185" w:lineRule="auto"/>
        <w:rPr>
          <w:sz w:val="20"/>
          <w:szCs w:val="20"/>
          <w:color w:val="auto"/>
        </w:rPr>
      </w:pPr>
      <w:r>
        <w:rPr>
          <w:rFonts w:ascii="Arial" w:cs="Arial" w:eastAsia="Arial" w:hAnsi="Arial"/>
          <w:sz w:val="13"/>
          <w:szCs w:val="13"/>
          <w:color w:val="231161"/>
        </w:rPr>
        <w:t>Gateway</w:t>
      </w:r>
      <w:r>
        <w:rPr>
          <w:rFonts w:ascii="Arial" w:cs="Arial" w:eastAsia="Arial" w:hAnsi="Arial"/>
          <w:sz w:val="17"/>
          <w:szCs w:val="17"/>
          <w:color w:val="231161"/>
          <w:vertAlign w:val="superscript"/>
        </w:rPr>
        <w:t>®</w:t>
      </w:r>
    </w:p>
    <w:p>
      <w:pPr>
        <w:jc w:val="center"/>
        <w:spacing w:after="0"/>
        <w:rPr>
          <w:sz w:val="20"/>
          <w:szCs w:val="20"/>
          <w:color w:val="auto"/>
        </w:rPr>
      </w:pPr>
      <w:r>
        <w:rPr>
          <w:rFonts w:ascii="Arial" w:cs="Arial" w:eastAsia="Arial" w:hAnsi="Arial"/>
          <w:sz w:val="13"/>
          <w:szCs w:val="13"/>
          <w:color w:val="auto"/>
        </w:rPr>
        <w:t>innovative global</w:t>
      </w:r>
    </w:p>
    <w:p>
      <w:pPr>
        <w:jc w:val="center"/>
        <w:spacing w:after="0"/>
        <w:rPr>
          <w:sz w:val="20"/>
          <w:szCs w:val="20"/>
          <w:color w:val="auto"/>
        </w:rPr>
      </w:pPr>
      <w:r>
        <w:rPr>
          <w:rFonts w:ascii="Arial" w:cs="Arial" w:eastAsia="Arial" w:hAnsi="Arial"/>
          <w:sz w:val="13"/>
          <w:szCs w:val="13"/>
          <w:color w:val="auto"/>
        </w:rPr>
        <w:t>infrastructure</w:t>
      </w:r>
    </w:p>
    <w:p>
      <w:pPr>
        <w:jc w:val="center"/>
        <w:ind w:left="60"/>
        <w:spacing w:after="0" w:line="243" w:lineRule="auto"/>
        <w:rPr>
          <w:sz w:val="20"/>
          <w:szCs w:val="20"/>
          <w:color w:val="auto"/>
        </w:rPr>
      </w:pPr>
      <w:r>
        <w:rPr>
          <w:rFonts w:ascii="Arial" w:cs="Arial" w:eastAsia="Arial" w:hAnsi="Arial"/>
          <w:sz w:val="13"/>
          <w:szCs w:val="13"/>
          <w:color w:val="auto"/>
        </w:rPr>
        <w:t>offers partners ready access to expanded markets as well as our organic development to fuel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231161"/>
        </w:rPr>
        <w:t>Execution</w:t>
      </w:r>
    </w:p>
    <w:p>
      <w:pPr>
        <w:jc w:val="center"/>
        <w:spacing w:after="0"/>
        <w:rPr>
          <w:sz w:val="20"/>
          <w:szCs w:val="20"/>
          <w:color w:val="auto"/>
        </w:rPr>
      </w:pPr>
      <w:r>
        <w:rPr>
          <w:rFonts w:ascii="Arial" w:cs="Arial" w:eastAsia="Arial" w:hAnsi="Arial"/>
          <w:sz w:val="13"/>
          <w:szCs w:val="13"/>
          <w:color w:val="231161"/>
        </w:rPr>
        <w:t>roadmap to</w:t>
      </w:r>
    </w:p>
    <w:p>
      <w:pPr>
        <w:jc w:val="center"/>
        <w:spacing w:after="0"/>
        <w:rPr>
          <w:sz w:val="20"/>
          <w:szCs w:val="20"/>
          <w:color w:val="auto"/>
        </w:rPr>
      </w:pPr>
      <w:r>
        <w:rPr>
          <w:rFonts w:ascii="Arial" w:cs="Arial" w:eastAsia="Arial" w:hAnsi="Arial"/>
          <w:sz w:val="13"/>
          <w:szCs w:val="13"/>
          <w:color w:val="231161"/>
        </w:rPr>
        <w:t>optimize total</w:t>
      </w:r>
    </w:p>
    <w:p>
      <w:pPr>
        <w:jc w:val="center"/>
        <w:spacing w:after="0"/>
        <w:rPr>
          <w:sz w:val="20"/>
          <w:szCs w:val="20"/>
          <w:color w:val="auto"/>
        </w:rPr>
      </w:pPr>
      <w:r>
        <w:rPr>
          <w:rFonts w:ascii="Arial" w:cs="Arial" w:eastAsia="Arial" w:hAnsi="Arial"/>
          <w:sz w:val="13"/>
          <w:szCs w:val="13"/>
          <w:color w:val="231161"/>
        </w:rPr>
        <w:t>shareholder</w:t>
      </w:r>
    </w:p>
    <w:p>
      <w:pPr>
        <w:jc w:val="center"/>
        <w:spacing w:after="0"/>
        <w:rPr>
          <w:sz w:val="20"/>
          <w:szCs w:val="20"/>
          <w:color w:val="auto"/>
        </w:rPr>
      </w:pPr>
      <w:r>
        <w:rPr>
          <w:rFonts w:ascii="Arial" w:cs="Arial" w:eastAsia="Arial" w:hAnsi="Arial"/>
          <w:sz w:val="13"/>
          <w:szCs w:val="13"/>
          <w:color w:val="231161"/>
        </w:rPr>
        <w:t>return</w:t>
      </w:r>
    </w:p>
    <w:p>
      <w:pPr>
        <w:jc w:val="center"/>
        <w:spacing w:after="0"/>
        <w:rPr>
          <w:sz w:val="20"/>
          <w:szCs w:val="20"/>
          <w:color w:val="auto"/>
        </w:rPr>
      </w:pPr>
      <w:r>
        <w:rPr>
          <w:rFonts w:ascii="Arial" w:cs="Arial" w:eastAsia="Arial" w:hAnsi="Arial"/>
          <w:sz w:val="13"/>
          <w:szCs w:val="13"/>
          <w:color w:val="auto"/>
        </w:rPr>
        <w:t>Right internal conditions</w:t>
      </w:r>
    </w:p>
    <w:p>
      <w:pPr>
        <w:jc w:val="center"/>
        <w:spacing w:after="0"/>
        <w:rPr>
          <w:sz w:val="20"/>
          <w:szCs w:val="20"/>
          <w:color w:val="auto"/>
        </w:rPr>
      </w:pPr>
      <w:r>
        <w:rPr>
          <w:rFonts w:ascii="Arial" w:cs="Arial" w:eastAsia="Arial" w:hAnsi="Arial"/>
          <w:sz w:val="13"/>
          <w:szCs w:val="13"/>
          <w:color w:val="auto"/>
        </w:rPr>
        <w:t>to maximize value</w:t>
      </w:r>
    </w:p>
    <w:p>
      <w:pPr>
        <w:jc w:val="center"/>
        <w:spacing w:after="0"/>
        <w:rPr>
          <w:sz w:val="20"/>
          <w:szCs w:val="20"/>
          <w:color w:val="auto"/>
        </w:rPr>
      </w:pPr>
      <w:r>
        <w:rPr>
          <w:rFonts w:ascii="Arial" w:cs="Arial" w:eastAsia="Arial" w:hAnsi="Arial"/>
          <w:sz w:val="13"/>
          <w:szCs w:val="13"/>
          <w:color w:val="auto"/>
        </w:rPr>
        <w:t>creation with clear</w:t>
      </w:r>
    </w:p>
    <w:p>
      <w:pPr>
        <w:jc w:val="center"/>
        <w:spacing w:after="0"/>
        <w:rPr>
          <w:sz w:val="20"/>
          <w:szCs w:val="20"/>
          <w:color w:val="auto"/>
        </w:rPr>
      </w:pPr>
      <w:r>
        <w:rPr>
          <w:rFonts w:ascii="Arial" w:cs="Arial" w:eastAsia="Arial" w:hAnsi="Arial"/>
          <w:sz w:val="13"/>
          <w:szCs w:val="13"/>
          <w:color w:val="auto"/>
        </w:rPr>
        <w:t>execution plan and</w:t>
      </w:r>
    </w:p>
    <w:p>
      <w:pPr>
        <w:jc w:val="center"/>
        <w:spacing w:after="0"/>
        <w:rPr>
          <w:sz w:val="20"/>
          <w:szCs w:val="20"/>
          <w:color w:val="auto"/>
        </w:rPr>
      </w:pPr>
      <w:r>
        <w:rPr>
          <w:rFonts w:ascii="Arial" w:cs="Arial" w:eastAsia="Arial" w:hAnsi="Arial"/>
          <w:sz w:val="13"/>
          <w:szCs w:val="13"/>
          <w:color w:val="auto"/>
        </w:rPr>
        <w:t>disciplined capital</w:t>
      </w:r>
    </w:p>
    <w:p>
      <w:pPr>
        <w:jc w:val="center"/>
        <w:spacing w:after="0"/>
        <w:rPr>
          <w:sz w:val="20"/>
          <w:szCs w:val="20"/>
          <w:color w:val="auto"/>
        </w:rPr>
      </w:pPr>
      <w:r>
        <w:rPr>
          <w:rFonts w:ascii="Arial" w:cs="Arial" w:eastAsia="Arial" w:hAnsi="Arial"/>
          <w:sz w:val="13"/>
          <w:szCs w:val="13"/>
          <w:color w:val="auto"/>
        </w:rPr>
        <w:t>deployment</w:t>
      </w:r>
    </w:p>
    <w:p>
      <w:pPr>
        <w:sectPr>
          <w:pgSz w:w="11900" w:h="16838" w:orient="portrait"/>
          <w:cols w:equalWidth="0" w:num="2">
            <w:col w:w="8120" w:space="720"/>
            <w:col w:w="1520"/>
          </w:cols>
          <w:pgMar w:left="440" w:top="296" w:right="1099" w:bottom="1440" w:gutter="0" w:footer="0" w:header="0"/>
          <w:type w:val="continuous"/>
        </w:sectPr>
      </w:pPr>
    </w:p>
    <w:bookmarkStart w:id="24" w:name="page25"/>
    <w:bookmarkEnd w:id="24"/>
    <w:p>
      <w:pPr>
        <w:jc w:val="both"/>
        <w:ind w:right="20"/>
        <w:spacing w:after="0" w:line="244" w:lineRule="auto"/>
        <w:rPr>
          <w:sz w:val="20"/>
          <w:szCs w:val="20"/>
          <w:color w:val="auto"/>
        </w:rPr>
      </w:pPr>
      <w:r>
        <w:rPr>
          <w:rFonts w:ascii="Arial" w:cs="Arial" w:eastAsia="Arial" w:hAnsi="Arial"/>
          <w:sz w:val="18"/>
          <w:szCs w:val="18"/>
          <w:b w:val="1"/>
          <w:bCs w:val="1"/>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The Viatris Compensation Committee took several actions responsive to shareholder feedback in developing its initial executive compensation program. </w:t>
      </w:r>
      <w:r>
        <w:rPr>
          <w:rFonts w:ascii="Arial" w:cs="Arial" w:eastAsia="Arial" w:hAnsi="Arial"/>
          <w:sz w:val="18"/>
          <w:szCs w:val="18"/>
          <w:color w:val="000000"/>
        </w:rPr>
        <w:t>Consistent with shareholder feedback, we eliminated all NEO excise tax gross-ups that otherwise would have</w:t>
      </w:r>
      <w:r>
        <w:rPr>
          <w:rFonts w:ascii="Arial" w:cs="Arial" w:eastAsia="Arial" w:hAnsi="Arial"/>
          <w:sz w:val="18"/>
          <w:szCs w:val="18"/>
          <w:b w:val="1"/>
          <w:bCs w:val="1"/>
          <w:color w:val="732282"/>
        </w:rPr>
        <w:t xml:space="preserve"> </w:t>
      </w:r>
      <w:r>
        <w:rPr>
          <w:rFonts w:ascii="Arial" w:cs="Arial" w:eastAsia="Arial" w:hAnsi="Arial"/>
          <w:sz w:val="18"/>
          <w:szCs w:val="18"/>
          <w:color w:val="000000"/>
        </w:rPr>
        <w:t>carried forward from predecessor companies and froze or eliminated supplemental executive retirement benefits, among other actions described herein. See also pages 25-26.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43180</wp:posOffset>
            </wp:positionV>
            <wp:extent cx="518604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86045" cy="34290"/>
                    </a:xfrm>
                    <a:prstGeom prst="rect">
                      <a:avLst/>
                    </a:prstGeom>
                    <a:noFill/>
                  </pic:spPr>
                </pic:pic>
              </a:graphicData>
            </a:graphic>
          </wp:anchor>
        </w:drawing>
      </w:r>
    </w:p>
    <w:p>
      <w:pPr>
        <w:spacing w:after="0" w:line="164"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color w:val="732282"/>
        </w:rPr>
        <w:t xml:space="preserve">In 2021, the Viatris Compensation Committee and Board implemented a new performance-based, shareholder-aligned compensation program. </w:t>
      </w:r>
      <w:r>
        <w:rPr>
          <w:rFonts w:ascii="Arial" w:cs="Arial" w:eastAsia="Arial" w:hAnsi="Arial"/>
          <w:sz w:val="18"/>
          <w:szCs w:val="18"/>
          <w:color w:val="000000"/>
        </w:rPr>
        <w:t>After closing of the Combination, we implemented a rigorous performance-based compensation program, with</w:t>
      </w:r>
      <w:r>
        <w:rPr>
          <w:rFonts w:ascii="Arial" w:cs="Arial" w:eastAsia="Arial" w:hAnsi="Arial"/>
          <w:sz w:val="18"/>
          <w:szCs w:val="18"/>
          <w:b w:val="1"/>
          <w:bCs w:val="1"/>
          <w:color w:val="732282"/>
        </w:rPr>
        <w:t xml:space="preserve"> </w:t>
      </w:r>
      <w:r>
        <w:rPr>
          <w:rFonts w:ascii="Arial" w:cs="Arial" w:eastAsia="Arial" w:hAnsi="Arial"/>
          <w:sz w:val="18"/>
          <w:szCs w:val="18"/>
          <w:color w:val="000000"/>
        </w:rPr>
        <w:t>approximately 70% of executive target pay opportunity in the form of equity-based awards, and almost 60% of executive target pay opportunity tied to key, shareholder-aligned performance metrics. Our compensation program is designed to promote retention and motivate the senior leadership team to achieve rigorous performance goals that are closely tied to our strategy and which we believe will promote the creation of shareholder value.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Because Viatris first became a new public company in November 2020, this Compensation Discussion and Analysis (“CD&amp;A”) includes disclosure of compensation related to three distinct programs: those of Viatris, Mylan and Upjohn. Although Viatris is not a successor registrant of Mylan or Pfizer, we are presenting consolidated full-year compensation information with respect to the Viatris NEOs for 2020 consistent with applicable SEC regulations and to provide insight with respect to the full year as well as context for the Viatris compensation program moving forward. Specifically, this CD&amp;A includes a discussion of both pre-Combination compensation of our NEOs with Mylan or Pfizer, as applicable, and our NEOs’ post-Combination compensation with Viatris. Notably, significant portions of the reported 2020 compensation include one-time transaction-related items that will not be components of the Viatris 2021 compensation program.</w:t>
      </w:r>
    </w:p>
    <w:p>
      <w:pPr>
        <w:spacing w:after="0" w:line="13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reported compensation in this CD&amp;A thus reflects three distinct corporate philosophies. However, given that the Viatris compensation program will be the sole program following the closing of the Combination, we will focus on the philosophy governing Viatris’ compensation program, which will provide the most relevant context for our program going forward.</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Viatris: A New Kind of Healthcare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Viatris is a global healthcare company whose mission is to empower people worldwide to live healthier at every stage of life. Viatris brings together some of the industry’s best talent and an unparalleled business platform in service to patients, regardless of their geography or circumstance. We believe that the Company is uniquely positioned to deliver increased access to affordable, quality medicines for patients worldwide.</w:t>
      </w:r>
    </w:p>
    <w:p>
      <w:pPr>
        <w:spacing w:after="0" w:line="15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believe that the combined company has industry leading R&amp;D, medical, regulatory, manufacturing, supply chain, and commercial expertise complemented by an unequivocal commitment to quality and a global geographic footprint that is capable of delivering high-quality medicines to patients in more than 165 countries and territories. Viatris’ sustainable, diverse, and differentiated portfolio comprises more than 1,400 approved molecules across a wide range of key therapeutic areas, including globally recognized iconic and key brands, generics, complex generics, and biosimilars. Viatris operates manufacturing sites worldwide that produce oral solid doses, injectables, complex dosage forms, and active pharmaceutical ingredients.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Viatris provides trusted, high-quality medicines that treat nine out of 10 of the World Health Organization’s (WHO) leading causes of death. Additionally, Viatris is a leading provider of antiretrovirals to treat HIV/AIDS and other infectious diseases. Roughly 40% of the more than 23 million people receiving treatment for HIV use our products, including 60% of the world’s HIV-positive children receiving treatment.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96" w:right="4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66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the world’s healthcare needs evolve, we believe that the Viatris Global Healthcare Gateway</w:t>
      </w:r>
      <w:r>
        <w:rPr>
          <w:rFonts w:ascii="Arial" w:cs="Arial" w:eastAsia="Arial" w:hAnsi="Arial"/>
          <w:sz w:val="9"/>
          <w:szCs w:val="9"/>
          <w:color w:val="auto"/>
        </w:rPr>
        <w:t>®</w:t>
      </w:r>
      <w:r>
        <w:rPr>
          <w:rFonts w:ascii="Arial" w:cs="Arial" w:eastAsia="Arial" w:hAnsi="Arial"/>
          <w:sz w:val="18"/>
          <w:szCs w:val="18"/>
          <w:color w:val="auto"/>
        </w:rPr>
        <w:t>, where strategic capital investment priorities will be determined, will fuel our organic development of innovative products and offer partners ready access to expanded markets through an innovative global infrastructure that connects people around the world to the high-quality medicines and services they need. Powered by our best-in-class manufacturing, scientific, and legal expertise and proven commercial capabilities with unparalleled reach, we believe the Global Healthcare Gateway</w:t>
      </w:r>
      <w:r>
        <w:rPr>
          <w:rFonts w:ascii="Arial" w:cs="Arial" w:eastAsia="Arial" w:hAnsi="Arial"/>
          <w:sz w:val="9"/>
          <w:szCs w:val="9"/>
          <w:color w:val="auto"/>
        </w:rPr>
        <w:t>®</w:t>
      </w:r>
      <w:r>
        <w:rPr>
          <w:rFonts w:ascii="Arial" w:cs="Arial" w:eastAsia="Arial" w:hAnsi="Arial"/>
          <w:sz w:val="18"/>
          <w:szCs w:val="18"/>
          <w:color w:val="auto"/>
        </w:rPr>
        <w:t xml:space="preserve"> will pave the way for Viatris to be the Partner of Choice™ for those looking to expand access to their products, empowering more people worldwide to live healthier at every stage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122555</wp:posOffset>
            </wp:positionV>
            <wp:extent cx="4277360" cy="2339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7736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Viatris is headquartered in the United States, with global centers in Pittsburgh, Pennsylvania, Shanghai, China and Hyderabad, India.</w:t>
      </w:r>
    </w:p>
    <w:p>
      <w:pPr>
        <w:spacing w:after="0" w:line="14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1440" w:right="439" w:bottom="1440" w:gutter="0" w:footer="0" w:header="0"/>
        </w:sectPr>
      </w:pPr>
    </w:p>
    <w:bookmarkStart w:id="26" w:name="page27"/>
    <w:bookmarkEnd w:id="26"/>
    <w:p>
      <w:pPr>
        <w:spacing w:after="0"/>
        <w:rPr>
          <w:sz w:val="20"/>
          <w:szCs w:val="20"/>
          <w:color w:val="auto"/>
        </w:rPr>
      </w:pPr>
      <w:r>
        <w:rPr>
          <w:rFonts w:ascii="Arial" w:cs="Arial" w:eastAsia="Arial" w:hAnsi="Arial"/>
          <w:sz w:val="24"/>
          <w:szCs w:val="24"/>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(“NEOs”) for 2020 were:</w:t>
      </w:r>
    </w:p>
    <w:p>
      <w:pPr>
        <w:spacing w:after="0" w:line="77" w:lineRule="exact"/>
        <w:rPr>
          <w:sz w:val="20"/>
          <w:szCs w:val="20"/>
          <w:color w:val="auto"/>
        </w:rPr>
      </w:pPr>
    </w:p>
    <w:p>
      <w:pPr>
        <w:ind w:left="420" w:hanging="3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Robert J. Coury, Executive Chairman</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Michael Goettler, Chief Executive Officer</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Rajiv Malik, President</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Sanjeev Narula, Chief Financial Officer</w:t>
      </w:r>
    </w:p>
    <w:p>
      <w:pPr>
        <w:spacing w:after="0" w:line="76" w:lineRule="exact"/>
        <w:rPr>
          <w:rFonts w:ascii="Arial" w:cs="Arial" w:eastAsia="Arial" w:hAnsi="Arial"/>
          <w:sz w:val="18"/>
          <w:szCs w:val="18"/>
          <w:color w:val="auto"/>
        </w:rPr>
      </w:pPr>
    </w:p>
    <w:p>
      <w:pPr>
        <w:ind w:left="420" w:hanging="3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Anthony Mauro, President, Developed Markets</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Selected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Pre-Closing Highlights</w:t>
      </w:r>
    </w:p>
    <w:p>
      <w:pPr>
        <w:spacing w:after="0" w:line="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2020 certainly was an unprecedented year for Mylan and the company’s outstanding colleagues around the world. Even as supply chains were challenged like never before as a result of the COVID-19 pandemic, Mylan’s global workforce and the Company’s one-of-a-kind global platform were key to Mylan’s continued delivery of medicines to patients around the world, including numerous critically needed treatments (e.g., ICU drugs and anti-infectives). Mylan supported our global colleagues by implementing various measures to protect their well-being, while also supporting public health efforts and taking action to help ensure that Mylan remained in a position of financial strength. Additionally, Mylan’s commercial teams around the world deployed new virtual tools to maintain essential internal connectivity and continued strong levels of customer service. In total, Mylan sold approximately 63.5 billion doses of medicines in 2020. During 2020, Mylan management also prepared the organization for an effective and highly efficient integration, and the R&amp;D and Regulatory teams continued to progress important work to advance the development and launch of more complex generics and biosimilars to complement Mylan’s broad product portfolio. To help patients in need, Mylan also donated more than 500 million doses of medicines in 2020.</w:t>
      </w:r>
    </w:p>
    <w:p>
      <w:pPr>
        <w:spacing w:after="0" w:line="160"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Upjohn and its outstanding global workforce also experienced an unprecedented year. In 2020, Upjohn implemented extensive measures to ensure the safety of its workforce and the continued supply of its branded and generic established medicines, which include 20 primarily off-patent legacy brands, such as Lyrica</w:t>
      </w:r>
      <w:r>
        <w:rPr>
          <w:rFonts w:ascii="Arial" w:cs="Arial" w:eastAsia="Arial" w:hAnsi="Arial"/>
          <w:sz w:val="9"/>
          <w:szCs w:val="9"/>
          <w:color w:val="auto"/>
        </w:rPr>
        <w:t>®</w:t>
      </w:r>
      <w:r>
        <w:rPr>
          <w:rFonts w:ascii="Arial" w:cs="Arial" w:eastAsia="Arial" w:hAnsi="Arial"/>
          <w:sz w:val="16"/>
          <w:szCs w:val="16"/>
          <w:color w:val="auto"/>
        </w:rPr>
        <w:t>, Lipitor</w:t>
      </w:r>
      <w:r>
        <w:rPr>
          <w:rFonts w:ascii="Arial" w:cs="Arial" w:eastAsia="Arial" w:hAnsi="Arial"/>
          <w:sz w:val="9"/>
          <w:szCs w:val="9"/>
          <w:color w:val="auto"/>
        </w:rPr>
        <w:t>®</w:t>
      </w:r>
      <w:r>
        <w:rPr>
          <w:rFonts w:ascii="Arial" w:cs="Arial" w:eastAsia="Arial" w:hAnsi="Arial"/>
          <w:sz w:val="16"/>
          <w:szCs w:val="16"/>
          <w:color w:val="auto"/>
        </w:rPr>
        <w:t>, Celebrex</w:t>
      </w:r>
      <w:r>
        <w:rPr>
          <w:rFonts w:ascii="Arial" w:cs="Arial" w:eastAsia="Arial" w:hAnsi="Arial"/>
          <w:sz w:val="9"/>
          <w:szCs w:val="9"/>
          <w:color w:val="auto"/>
        </w:rPr>
        <w:t>®</w:t>
      </w:r>
      <w:r>
        <w:rPr>
          <w:rFonts w:ascii="Arial" w:cs="Arial" w:eastAsia="Arial" w:hAnsi="Arial"/>
          <w:sz w:val="16"/>
          <w:szCs w:val="16"/>
          <w:color w:val="auto"/>
        </w:rPr>
        <w:t>, and Viagra</w:t>
      </w:r>
      <w:r>
        <w:rPr>
          <w:rFonts w:ascii="Arial" w:cs="Arial" w:eastAsia="Arial" w:hAnsi="Arial"/>
          <w:sz w:val="9"/>
          <w:szCs w:val="9"/>
          <w:color w:val="auto"/>
        </w:rPr>
        <w:t>®</w:t>
      </w:r>
      <w:r>
        <w:rPr>
          <w:rFonts w:ascii="Arial" w:cs="Arial" w:eastAsia="Arial" w:hAnsi="Arial"/>
          <w:sz w:val="16"/>
          <w:szCs w:val="16"/>
          <w:color w:val="auto"/>
        </w:rPr>
        <w:t>, as well as an authorized generics business in the US. In total, Upjohn sold approximately 22.5 billion doses of medicines in 2020. Prior to the Combination, Upjohn also undertook the extensive work necessary to separate from Pfizer. Additionally, Upjohn worked to rebalance its focus in China and expand its reach to more retail channels to respond to emerging trends toward consumerism and also offset volume losses from the recent volume based procurement (VBP) program aimed at hospitals. In parallel, Upjohn diligently pursued day one planning for Viatris, which was executed without any business disruption.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Viatris Post-Closing Highlights</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Since the closing of the Combination, the Company has undertaken a broad and thorough integration, including the Viatris Board, management, and our 45,000 colleagues globally. This has been accomplished without significant disruption in service or supply of our products globally. We also have been building on our strong combined foundation and developing strategies to enhance value for shareholders and other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81" w:right="439" w:bottom="1440" w:gutter="0" w:footer="0" w:header="0"/>
        </w:sectPr>
      </w:pPr>
    </w:p>
    <w:bookmarkStart w:id="27" w:name="page28"/>
    <w:bookmarkEnd w:id="27"/>
    <w:p>
      <w:pPr>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stakeholders, including employees and the patients who rely on our products. At our March 1, 2021 investor day, we outlined the following objectives, among others:</w:t>
      </w:r>
    </w:p>
    <w:p>
      <w:pPr>
        <w:spacing w:after="0" w:line="52" w:lineRule="exact"/>
        <w:rPr>
          <w:sz w:val="20"/>
          <w:szCs w:val="20"/>
          <w:color w:val="auto"/>
        </w:rPr>
      </w:pPr>
    </w:p>
    <w:p>
      <w:pPr>
        <w:jc w:val="both"/>
        <w:ind w:left="420" w:right="20" w:hanging="316"/>
        <w:spacing w:after="0" w:line="24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732282"/>
        </w:rPr>
        <w:t xml:space="preserve">Leverage Viatris’ unique and differentiated business model. </w:t>
      </w:r>
      <w:r>
        <w:rPr>
          <w:rFonts w:ascii="Arial" w:cs="Arial" w:eastAsia="Arial" w:hAnsi="Arial"/>
          <w:sz w:val="18"/>
          <w:szCs w:val="18"/>
          <w:color w:val="000000"/>
        </w:rPr>
        <w:t>We intend to leverage Viatris’ unique global scale and geographic</w:t>
      </w:r>
      <w:r>
        <w:rPr>
          <w:rFonts w:ascii="Arial" w:cs="Arial" w:eastAsia="Arial" w:hAnsi="Arial"/>
          <w:sz w:val="18"/>
          <w:szCs w:val="18"/>
          <w:b w:val="1"/>
          <w:bCs w:val="1"/>
          <w:color w:val="732282"/>
        </w:rPr>
        <w:t xml:space="preserve"> </w:t>
      </w:r>
      <w:r>
        <w:rPr>
          <w:rFonts w:ascii="Arial" w:cs="Arial" w:eastAsia="Arial" w:hAnsi="Arial"/>
          <w:sz w:val="18"/>
          <w:szCs w:val="18"/>
          <w:color w:val="000000"/>
        </w:rPr>
        <w:t>reach, sustainable, diverse and differentiated portfolio and pipeline, powerful operating platform and commercial capabilities, performance-driven culture, sustainable cash flows, and disciplined capital allocation to deliver long-term shareholder value.</w:t>
      </w:r>
    </w:p>
    <w:p>
      <w:pPr>
        <w:spacing w:after="0" w:line="44" w:lineRule="exact"/>
        <w:rPr>
          <w:rFonts w:ascii="Arial" w:cs="Arial" w:eastAsia="Arial" w:hAnsi="Arial"/>
          <w:sz w:val="18"/>
          <w:szCs w:val="18"/>
          <w:color w:val="auto"/>
        </w:rPr>
      </w:pPr>
    </w:p>
    <w:p>
      <w:pPr>
        <w:jc w:val="both"/>
        <w:ind w:left="420" w:right="20" w:hanging="316"/>
        <w:spacing w:after="0" w:line="24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732282"/>
        </w:rPr>
        <w:t xml:space="preserve">Deliver on our financial commitments. </w:t>
      </w:r>
      <w:r>
        <w:rPr>
          <w:rFonts w:ascii="Arial" w:cs="Arial" w:eastAsia="Arial" w:hAnsi="Arial"/>
          <w:sz w:val="18"/>
          <w:szCs w:val="18"/>
          <w:color w:val="000000"/>
        </w:rPr>
        <w:t>In the near term, Viatris is focused on disciplined capital deployment, delevering and</w:t>
      </w:r>
      <w:r>
        <w:rPr>
          <w:rFonts w:ascii="Arial" w:cs="Arial" w:eastAsia="Arial" w:hAnsi="Arial"/>
          <w:sz w:val="18"/>
          <w:szCs w:val="18"/>
          <w:b w:val="1"/>
          <w:bCs w:val="1"/>
          <w:color w:val="732282"/>
        </w:rPr>
        <w:t xml:space="preserve"> </w:t>
      </w:r>
      <w:r>
        <w:rPr>
          <w:rFonts w:ascii="Arial" w:cs="Arial" w:eastAsia="Arial" w:hAnsi="Arial"/>
          <w:sz w:val="18"/>
          <w:szCs w:val="18"/>
          <w:color w:val="000000"/>
        </w:rPr>
        <w:t>rebalancing our business, realizing $1 billion in synergies within 3 years following the closing of the Combination, and deploying our strong cash flow to enable the Company to initiate a dividend in the second quarter of 2021 and repay approximately $6.5 billion in debt by the end of 2023.</w:t>
      </w:r>
    </w:p>
    <w:p>
      <w:pPr>
        <w:spacing w:after="0" w:line="49" w:lineRule="exact"/>
        <w:rPr>
          <w:rFonts w:ascii="Arial" w:cs="Arial" w:eastAsia="Arial" w:hAnsi="Arial"/>
          <w:sz w:val="18"/>
          <w:szCs w:val="18"/>
          <w:color w:val="auto"/>
        </w:rPr>
      </w:pPr>
    </w:p>
    <w:p>
      <w:pPr>
        <w:jc w:val="both"/>
        <w:ind w:left="420" w:hanging="316"/>
        <w:spacing w:after="0" w:line="24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732282"/>
        </w:rPr>
        <w:t>Drive future growth through our Global Healthcare Gateway</w:t>
      </w:r>
      <w:r>
        <w:rPr>
          <w:rFonts w:ascii="Arial" w:cs="Arial" w:eastAsia="Arial" w:hAnsi="Arial"/>
          <w:sz w:val="9"/>
          <w:szCs w:val="9"/>
          <w:b w:val="1"/>
          <w:bCs w:val="1"/>
          <w:color w:val="732282"/>
        </w:rPr>
        <w:t>®</w:t>
      </w:r>
      <w:r>
        <w:rPr>
          <w:rFonts w:ascii="Arial" w:cs="Arial" w:eastAsia="Arial" w:hAnsi="Arial"/>
          <w:sz w:val="18"/>
          <w:szCs w:val="18"/>
          <w:b w:val="1"/>
          <w:bCs w:val="1"/>
          <w:color w:val="732282"/>
        </w:rPr>
        <w:t xml:space="preserve">. </w:t>
      </w:r>
      <w:r>
        <w:rPr>
          <w:rFonts w:ascii="Arial" w:cs="Arial" w:eastAsia="Arial" w:hAnsi="Arial"/>
          <w:sz w:val="18"/>
          <w:szCs w:val="18"/>
          <w:color w:val="000000"/>
        </w:rPr>
        <w:t>With our highly-disciplined strategic and capital allocation processes,</w:t>
      </w:r>
      <w:r>
        <w:rPr>
          <w:rFonts w:ascii="Arial" w:cs="Arial" w:eastAsia="Arial" w:hAnsi="Arial"/>
          <w:sz w:val="18"/>
          <w:szCs w:val="18"/>
          <w:b w:val="1"/>
          <w:bCs w:val="1"/>
          <w:color w:val="732282"/>
        </w:rPr>
        <w:t xml:space="preserve"> </w:t>
      </w:r>
      <w:r>
        <w:rPr>
          <w:rFonts w:ascii="Arial" w:cs="Arial" w:eastAsia="Arial" w:hAnsi="Arial"/>
          <w:sz w:val="18"/>
          <w:szCs w:val="18"/>
          <w:color w:val="000000"/>
        </w:rPr>
        <w:t>Viatris believes that the Global Healthcare Gateway</w:t>
      </w:r>
      <w:r>
        <w:rPr>
          <w:rFonts w:ascii="Arial" w:cs="Arial" w:eastAsia="Arial" w:hAnsi="Arial"/>
          <w:sz w:val="9"/>
          <w:szCs w:val="9"/>
          <w:color w:val="000000"/>
        </w:rPr>
        <w:t>®</w:t>
      </w:r>
      <w:r>
        <w:rPr>
          <w:rFonts w:ascii="Arial" w:cs="Arial" w:eastAsia="Arial" w:hAnsi="Arial"/>
          <w:sz w:val="18"/>
          <w:szCs w:val="18"/>
          <w:color w:val="000000"/>
        </w:rPr>
        <w:t xml:space="preserve"> will provide significant opportunity not only to leverage our unique global platform to connect more patients to our products and services, but also for our partners to do the same.</w:t>
      </w:r>
    </w:p>
    <w:p>
      <w:pPr>
        <w:spacing w:after="0" w:line="44" w:lineRule="exact"/>
        <w:rPr>
          <w:rFonts w:ascii="Arial" w:cs="Arial" w:eastAsia="Arial" w:hAnsi="Arial"/>
          <w:sz w:val="18"/>
          <w:szCs w:val="18"/>
          <w:color w:val="auto"/>
        </w:rPr>
      </w:pPr>
    </w:p>
    <w:p>
      <w:pPr>
        <w:jc w:val="both"/>
        <w:ind w:left="420" w:hanging="31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732282"/>
        </w:rPr>
        <w:t xml:space="preserve">Advance our sustainability priorities in alignment with our business objectives. </w:t>
      </w:r>
      <w:r>
        <w:rPr>
          <w:rFonts w:ascii="Arial" w:cs="Arial" w:eastAsia="Arial" w:hAnsi="Arial"/>
          <w:sz w:val="18"/>
          <w:szCs w:val="18"/>
          <w:color w:val="000000"/>
        </w:rPr>
        <w:t>Viatris is building upon a strong, foundational</w:t>
      </w:r>
      <w:r>
        <w:rPr>
          <w:rFonts w:ascii="Arial" w:cs="Arial" w:eastAsia="Arial" w:hAnsi="Arial"/>
          <w:sz w:val="18"/>
          <w:szCs w:val="18"/>
          <w:b w:val="1"/>
          <w:bCs w:val="1"/>
          <w:color w:val="732282"/>
        </w:rPr>
        <w:t xml:space="preserve"> </w:t>
      </w:r>
      <w:r>
        <w:rPr>
          <w:rFonts w:ascii="Arial" w:cs="Arial" w:eastAsia="Arial" w:hAnsi="Arial"/>
          <w:sz w:val="18"/>
          <w:szCs w:val="18"/>
          <w:color w:val="000000"/>
        </w:rPr>
        <w:t>commitment to corporate responsibility, with a global platform to provide sustainable access to high quality and affordable medicine, as well as a dedication to fostering an engaging and inclusive organization and reducing its environmental impact. The Company partners with more than 100 organizations around the world to help address some of the world’s most pressing health, social and environmental challenges, and is committed to creating lasting, positive impact as it delivers on its mission for patients, employees, shareholders, and other stakeholders.</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The Viatris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4757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00" w:right="280"/>
        <w:spacing w:after="0" w:line="248" w:lineRule="auto"/>
        <w:rPr>
          <w:sz w:val="20"/>
          <w:szCs w:val="20"/>
          <w:color w:val="auto"/>
        </w:rPr>
      </w:pPr>
      <w:r>
        <w:rPr>
          <w:rFonts w:ascii="Arial" w:cs="Arial" w:eastAsia="Arial" w:hAnsi="Arial"/>
          <w:sz w:val="13"/>
          <w:szCs w:val="13"/>
          <w:color w:val="auto"/>
        </w:rPr>
        <w:t>The Viatris Compensation Committee and Board’s compensation philosophy for 2021 and beyond reflects the Company’s sustainable, performance-based, TSR-focused business model and is designed to ensure that Viatris can continue to attract and retain high-performing executives given the highly competitive market for executive talent. The compensation program has the following key objectives,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80" w:right="1040" w:hanging="331"/>
        <w:spacing w:after="0" w:line="253" w:lineRule="auto"/>
        <w:tabs>
          <w:tab w:leader="none" w:pos="1382"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732282"/>
        </w:rPr>
        <w:t xml:space="preserve">Attract, Motivate, and Retain Highly-Skilled Executives. </w:t>
      </w:r>
      <w:r>
        <w:rPr>
          <w:rFonts w:ascii="Arial" w:cs="Arial" w:eastAsia="Arial" w:hAnsi="Arial"/>
          <w:sz w:val="13"/>
          <w:szCs w:val="13"/>
          <w:color w:val="000000"/>
        </w:rPr>
        <w:t>In order to attract and retain the leaders needed to drive execution of our ambitious</w:t>
      </w:r>
      <w:r>
        <w:rPr>
          <w:rFonts w:ascii="Arial" w:cs="Arial" w:eastAsia="Arial" w:hAnsi="Arial"/>
          <w:sz w:val="13"/>
          <w:szCs w:val="13"/>
          <w:b w:val="1"/>
          <w:bCs w:val="1"/>
          <w:color w:val="732282"/>
        </w:rPr>
        <w:t xml:space="preserve"> </w:t>
      </w:r>
      <w:r>
        <w:rPr>
          <w:rFonts w:ascii="Arial" w:cs="Arial" w:eastAsia="Arial" w:hAnsi="Arial"/>
          <w:sz w:val="13"/>
          <w:szCs w:val="13"/>
          <w:color w:val="000000"/>
        </w:rPr>
        <w:t>goals, we provide market competitive compensation with an emphasis on performance-based long-term incentives. We have designed our compensation program to help ensure that the Company, our shareholders and other stakeholders continue to benefit from the talents of our leadership team and global workforce, while also recruiting new talent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80" w:right="1040" w:hanging="331"/>
        <w:spacing w:after="0" w:line="261" w:lineRule="auto"/>
        <w:tabs>
          <w:tab w:leader="none" w:pos="1382"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732282"/>
        </w:rPr>
        <w:t xml:space="preserve">Align with Shareholder Interests. </w:t>
      </w:r>
      <w:r>
        <w:rPr>
          <w:rFonts w:ascii="Arial" w:cs="Arial" w:eastAsia="Arial" w:hAnsi="Arial"/>
          <w:sz w:val="13"/>
          <w:szCs w:val="13"/>
          <w:color w:val="000000"/>
        </w:rPr>
        <w:t>We use long-term incentives, including a relative total shareholder return (“TSR”) modifier for performance-based restricted stock units (“PRSUs”), and share ownership requirements, to align executive interests with those of our shareholders by linking pay to long-term performance and share price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380" w:right="1040" w:hanging="331"/>
        <w:spacing w:after="0" w:line="261" w:lineRule="auto"/>
        <w:tabs>
          <w:tab w:leader="none" w:pos="1382"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732282"/>
        </w:rPr>
        <w:t xml:space="preserve">Drive Company Performance. </w:t>
      </w:r>
      <w:r>
        <w:rPr>
          <w:rFonts w:ascii="Arial" w:cs="Arial" w:eastAsia="Arial" w:hAnsi="Arial"/>
          <w:sz w:val="13"/>
          <w:szCs w:val="13"/>
          <w:color w:val="000000"/>
        </w:rPr>
        <w:t>Our compensation program is designed with metrics carefully linked to our business strategies and financial</w:t>
      </w:r>
      <w:r>
        <w:rPr>
          <w:rFonts w:ascii="Arial" w:cs="Arial" w:eastAsia="Arial" w:hAnsi="Arial"/>
          <w:sz w:val="13"/>
          <w:szCs w:val="13"/>
          <w:b w:val="1"/>
          <w:bCs w:val="1"/>
          <w:color w:val="732282"/>
        </w:rPr>
        <w:t xml:space="preserve"> </w:t>
      </w:r>
      <w:r>
        <w:rPr>
          <w:rFonts w:ascii="Arial" w:cs="Arial" w:eastAsia="Arial" w:hAnsi="Arial"/>
          <w:sz w:val="13"/>
          <w:szCs w:val="13"/>
          <w:color w:val="000000"/>
        </w:rPr>
        <w:t>goals, such as adjusted EBITDA to focus on profitability of operations, product submissions to support long-term sustainability of the business, a leverage metric to encourage rapid delevering, and a cash flow metric to support future strategies and potential dividend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318" w:right="439" w:bottom="1440" w:gutter="0" w:footer="0" w:header="0"/>
        </w:sectPr>
      </w:pPr>
    </w:p>
    <w:bookmarkStart w:id="28" w:name="page29"/>
    <w:bookmarkEnd w:id="28"/>
    <w:p>
      <w:pPr>
        <w:spacing w:after="0" w:line="25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9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92065"/>
                    </a:xfrm>
                    <a:prstGeom prst="rect">
                      <a:avLst/>
                    </a:prstGeom>
                    <a:noFill/>
                  </pic:spPr>
                </pic:pic>
              </a:graphicData>
            </a:graphic>
          </wp:anchor>
        </w:drawing>
        <w:t>Our pay mix reinforces our commitment to both shareholder alignment and pay and performance alignment. The chart below highlights the pay mix composition of the executive compensation program for our NEOs during 2021.</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FFFFFF"/>
        </w:rPr>
        <w:t>2021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Consistent with our philosophy of driving long-term company performance, the Viatris Compensation Committee, with the advice of its independent compensation consultant, plans to annually consider a range of potential alternative performance metrics that link to our strategy and align with long-term value creation for our shareholders.</w:t>
      </w:r>
    </w:p>
    <w:p>
      <w:pPr>
        <w:spacing w:after="0" w:line="178" w:lineRule="exact"/>
        <w:rPr>
          <w:sz w:val="20"/>
          <w:szCs w:val="20"/>
          <w:color w:val="auto"/>
        </w:rPr>
      </w:pPr>
    </w:p>
    <w:p>
      <w:pPr>
        <w:jc w:val="both"/>
        <w:ind w:left="160" w:right="20"/>
        <w:spacing w:after="0" w:line="238" w:lineRule="auto"/>
        <w:rPr>
          <w:sz w:val="20"/>
          <w:szCs w:val="20"/>
          <w:color w:val="auto"/>
        </w:rPr>
      </w:pPr>
      <w:r>
        <w:rPr>
          <w:rFonts w:ascii="Arial" w:cs="Arial" w:eastAsia="Arial" w:hAnsi="Arial"/>
          <w:sz w:val="13"/>
          <w:szCs w:val="13"/>
          <w:color w:val="auto"/>
        </w:rPr>
        <w:t>The Viatris Compensation Committee also expects to consider incorporating environmental, social, and governance (“ESG”) goals as part of future executive compensation programs, potentially including one or more of the following: access to medicines, product safety and quality, workforce diversity and inclusion, the environmental impact of our operations, and/or other metrics.</w:t>
      </w:r>
    </w:p>
    <w:p>
      <w:pPr>
        <w:spacing w:after="0" w:line="1" w:lineRule="exact"/>
        <w:rPr>
          <w:sz w:val="20"/>
          <w:szCs w:val="20"/>
          <w:color w:val="auto"/>
        </w:rPr>
      </w:pPr>
    </w:p>
    <w:p>
      <w:pPr>
        <w:jc w:val="both"/>
        <w:ind w:left="160"/>
        <w:spacing w:after="0" w:line="258" w:lineRule="auto"/>
        <w:rPr>
          <w:sz w:val="20"/>
          <w:szCs w:val="20"/>
          <w:color w:val="auto"/>
        </w:rPr>
      </w:pPr>
      <w:r>
        <w:rPr>
          <w:rFonts w:ascii="Arial" w:cs="Arial" w:eastAsia="Arial" w:hAnsi="Arial"/>
          <w:sz w:val="13"/>
          <w:szCs w:val="13"/>
          <w:color w:val="auto"/>
        </w:rPr>
        <w:t>The Viatris Compensation Committee has also planned a year-round process to set and monitor our compensation program, as well as to assess shareholder feedback and ensure that feedback is considered in the compensation-setting process.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Additional details regarding our 2021 compensation program are on pages 27-28.</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and Other Considerations Impacting Viatris Compensation Decisions</w:t>
      </w:r>
    </w:p>
    <w:p>
      <w:pPr>
        <w:spacing w:after="0" w:line="93" w:lineRule="exact"/>
        <w:rPr>
          <w:sz w:val="20"/>
          <w:szCs w:val="20"/>
          <w:color w:val="auto"/>
        </w:rPr>
      </w:pPr>
    </w:p>
    <w:p>
      <w:pPr>
        <w:jc w:val="both"/>
        <w:ind w:left="160" w:right="20"/>
        <w:spacing w:after="0" w:line="245" w:lineRule="auto"/>
        <w:rPr>
          <w:sz w:val="20"/>
          <w:szCs w:val="20"/>
          <w:color w:val="auto"/>
        </w:rPr>
      </w:pPr>
      <w:r>
        <w:rPr>
          <w:rFonts w:ascii="Arial" w:cs="Arial" w:eastAsia="Arial" w:hAnsi="Arial"/>
          <w:sz w:val="13"/>
          <w:szCs w:val="13"/>
          <w:color w:val="auto"/>
        </w:rPr>
        <w:t>The Viatris Compensation Committee and Board proactively consider external governance-related developments and trends relating to executive compensation. The Viatris Compensation Committee and Board believe that each company must independently assess which market practices and trends are appropriate for the company at any particular time in the company’s history. The Viatris Compensation Committee and Board remain fully committed to maintaining a strong compensation governance philosophy that is aligned with shareholder interests and best practices. See also pages 23-24.</w:t>
      </w:r>
    </w:p>
    <w:p>
      <w:pPr>
        <w:spacing w:after="0" w:line="186" w:lineRule="exact"/>
        <w:rPr>
          <w:sz w:val="20"/>
          <w:szCs w:val="20"/>
          <w:color w:val="auto"/>
        </w:rPr>
      </w:pPr>
    </w:p>
    <w:p>
      <w:pPr>
        <w:jc w:val="both"/>
        <w:ind w:left="160"/>
        <w:spacing w:after="0" w:line="242" w:lineRule="auto"/>
        <w:rPr>
          <w:sz w:val="20"/>
          <w:szCs w:val="20"/>
          <w:color w:val="auto"/>
        </w:rPr>
      </w:pPr>
      <w:r>
        <w:rPr>
          <w:rFonts w:ascii="Arial" w:cs="Arial" w:eastAsia="Arial" w:hAnsi="Arial"/>
          <w:sz w:val="13"/>
          <w:szCs w:val="13"/>
          <w:color w:val="auto"/>
        </w:rPr>
        <w:t>In setting or approving executive compensation, the Viatris Compensation Committee and Board also may consider, in addition to any corporate goals and objectives specific to an individual executive, some or all of the following: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an executive’s leadership and mentoring skills and contributions, talent management, the executive’s contributions to establishment or execution of corporate strategy, retention, recognition of individual performance and contributions, compliance with the Code of Business Conduct and Ethics, Company policy and applicable law, and/or any other factors determined by the Board or the Viatris Compensation Committee to be in the interests of the 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0"/>
          </w:cols>
          <w:pgMar w:left="700" w:top="584" w:right="739" w:bottom="1440" w:gutter="0" w:footer="0" w:header="0"/>
        </w:sectPr>
      </w:pPr>
    </w:p>
    <w:bookmarkStart w:id="29" w:name="page30"/>
    <w:bookmarkEnd w:id="29"/>
    <w:p>
      <w:pPr>
        <w:spacing w:after="0"/>
        <w:rPr>
          <w:sz w:val="20"/>
          <w:szCs w:val="20"/>
          <w:color w:val="auto"/>
        </w:rPr>
      </w:pPr>
      <w:r>
        <w:rPr>
          <w:rFonts w:ascii="Arial" w:cs="Arial" w:eastAsia="Arial" w:hAnsi="Arial"/>
          <w:sz w:val="24"/>
          <w:szCs w:val="24"/>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Shareholder Engagement and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Prior to the Combination, Mylan had extensive engagement with shareholders both before and after Mylan’s June 2020 Annual General Meeting of Shareholders. Following the Combination, Viatris’ Executive Chairman, CEO, President and other members of management met, in the aggregate, with shareholders representing approximately 50% of shares outstanding (as of December 31, 2020), including approximately 81% of the shares held by our 50 largest shareholders as of that date. These meetings included institutional investor executives, governance and stewardship team leads, and portfolio managers, among others.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discussions focused on the new company, Viatris’ anticipated business model, strategies, and new management team, the anticipated rollout of a new Viatris compensation program following the closing of the Combination, and alignment of compensation with shareholder interests, among other matters. The feedback from our shareholders was discussed with members of the Viatris Compensation Committee and Board, as was shareholder feedback from engagement meetings between Mylan directors and shareholders prior to July 2020. Shareholder feedback regarding alignment of compensation with shareholder interests was an important consideration for the Viatris Compensation Committee in designing and approving our 2021 compensation program in March of this year.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Viatris Compensation Committee and Board are committed to continued robust engagement with shareholders regarding our compensation program and trends and developments relating to executive compensation, among other topics. We welcome these opportunities and will continue to take shareholder feedback into consideration as we further evolve our compensation program.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that regard, the Viatris Compensation Committee and the Board, considering business strategies and needs as well as feedback gathered through the above-noted discussions, incorporated the following design features and changes in the combined company’s compensation plans and programs (among others listed in the table on page 26):</w:t>
      </w:r>
    </w:p>
    <w:p>
      <w:pPr>
        <w:spacing w:after="0" w:line="51" w:lineRule="exact"/>
        <w:rPr>
          <w:sz w:val="20"/>
          <w:szCs w:val="20"/>
          <w:color w:val="auto"/>
        </w:rPr>
      </w:pPr>
    </w:p>
    <w:p>
      <w:pPr>
        <w:jc w:val="both"/>
        <w:ind w:left="420" w:hanging="316"/>
        <w:spacing w:after="0" w:line="244"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732282"/>
        </w:rPr>
        <w:t xml:space="preserve">Eliminated NEO Excise Tax Gross Ups. </w:t>
      </w:r>
      <w:r>
        <w:rPr>
          <w:rFonts w:ascii="Arial" w:cs="Arial" w:eastAsia="Arial" w:hAnsi="Arial"/>
          <w:sz w:val="18"/>
          <w:szCs w:val="18"/>
          <w:color w:val="000000"/>
        </w:rPr>
        <w:t>The Viatris Compensation Committee agreed with Messrs. Malik and Mauro in November</w:t>
      </w:r>
      <w:r>
        <w:rPr>
          <w:rFonts w:ascii="Arial" w:cs="Arial" w:eastAsia="Arial" w:hAnsi="Arial"/>
          <w:sz w:val="18"/>
          <w:szCs w:val="18"/>
          <w:b w:val="1"/>
          <w:bCs w:val="1"/>
          <w:color w:val="732282"/>
        </w:rPr>
        <w:t xml:space="preserve"> </w:t>
      </w:r>
      <w:r>
        <w:rPr>
          <w:rFonts w:ascii="Arial" w:cs="Arial" w:eastAsia="Arial" w:hAnsi="Arial"/>
          <w:sz w:val="18"/>
          <w:szCs w:val="18"/>
          <w:color w:val="000000"/>
        </w:rPr>
        <w:t>2020 to eliminate existing excise tax gross ups relating to Section 280G of the Internal Revenue Code of 1986, as amended (the “Code”), contained in legacy Transition and Succession Agreements with Mylan. No other Viatris NEO has a right to an excise tax gross up.</w:t>
      </w:r>
    </w:p>
    <w:p>
      <w:pPr>
        <w:spacing w:after="0" w:line="49" w:lineRule="exact"/>
        <w:rPr>
          <w:rFonts w:ascii="Arial" w:cs="Arial" w:eastAsia="Arial" w:hAnsi="Arial"/>
          <w:sz w:val="18"/>
          <w:szCs w:val="18"/>
          <w:color w:val="auto"/>
        </w:rPr>
      </w:pPr>
    </w:p>
    <w:p>
      <w:pPr>
        <w:jc w:val="both"/>
        <w:ind w:left="420" w:hanging="316"/>
        <w:spacing w:after="0" w:line="24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732282"/>
        </w:rPr>
        <w:t xml:space="preserve">No New Fixed-Term NEO Employment Agreements. </w:t>
      </w:r>
      <w:r>
        <w:rPr>
          <w:rFonts w:ascii="Arial" w:cs="Arial" w:eastAsia="Arial" w:hAnsi="Arial"/>
          <w:sz w:val="18"/>
          <w:szCs w:val="18"/>
          <w:color w:val="000000"/>
        </w:rPr>
        <w:t>The Viatris Compensation Committee and Board determined that, other than</w:t>
      </w:r>
      <w:r>
        <w:rPr>
          <w:rFonts w:ascii="Arial" w:cs="Arial" w:eastAsia="Arial" w:hAnsi="Arial"/>
          <w:sz w:val="18"/>
          <w:szCs w:val="18"/>
          <w:b w:val="1"/>
          <w:bCs w:val="1"/>
          <w:color w:val="732282"/>
        </w:rPr>
        <w:t xml:space="preserve"> </w:t>
      </w:r>
      <w:r>
        <w:rPr>
          <w:rFonts w:ascii="Arial" w:cs="Arial" w:eastAsia="Arial" w:hAnsi="Arial"/>
          <w:sz w:val="18"/>
          <w:szCs w:val="18"/>
          <w:color w:val="000000"/>
        </w:rPr>
        <w:t>Mr. Coury’s previously disclosed 2020 employment agreement, the Board will not approve any new fixed-term NEO employment agreements going forward.</w:t>
      </w:r>
    </w:p>
    <w:p>
      <w:pPr>
        <w:spacing w:after="0" w:line="44" w:lineRule="exact"/>
        <w:rPr>
          <w:rFonts w:ascii="Arial" w:cs="Arial" w:eastAsia="Arial" w:hAnsi="Arial"/>
          <w:sz w:val="18"/>
          <w:szCs w:val="18"/>
          <w:color w:val="auto"/>
        </w:rPr>
      </w:pPr>
    </w:p>
    <w:p>
      <w:pPr>
        <w:jc w:val="both"/>
        <w:ind w:left="420" w:right="20" w:hanging="316"/>
        <w:spacing w:after="0" w:line="242"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732282"/>
        </w:rPr>
        <w:t xml:space="preserve">No Retirement Benefit Agreements. </w:t>
      </w:r>
      <w:r>
        <w:rPr>
          <w:rFonts w:ascii="Arial" w:cs="Arial" w:eastAsia="Arial" w:hAnsi="Arial"/>
          <w:sz w:val="18"/>
          <w:szCs w:val="18"/>
          <w:color w:val="000000"/>
        </w:rPr>
        <w:t>Mylan provided supplemental retirement benefits to certain officers in the form of individual</w:t>
      </w:r>
      <w:r>
        <w:rPr>
          <w:rFonts w:ascii="Arial" w:cs="Arial" w:eastAsia="Arial" w:hAnsi="Arial"/>
          <w:sz w:val="18"/>
          <w:szCs w:val="18"/>
          <w:b w:val="1"/>
          <w:bCs w:val="1"/>
          <w:color w:val="732282"/>
        </w:rPr>
        <w:t xml:space="preserve"> </w:t>
      </w:r>
      <w:r>
        <w:rPr>
          <w:rFonts w:ascii="Arial" w:cs="Arial" w:eastAsia="Arial" w:hAnsi="Arial"/>
          <w:sz w:val="18"/>
          <w:szCs w:val="18"/>
          <w:color w:val="000000"/>
        </w:rPr>
        <w:t>Retirement Benefit Agreements. Following the closing of the Combination, Mr. Malik agreed with the Viatris Compensation Committee to freeze his Retirement Benefit Agreement, and he will no longer accrue any additional benefits under the agreement. No other Viatris executive is party to a Retirement Benefit Agreement. In addition, the Viatris Compensation Committee and Board determined that Viatris will not enter into any new Retirement Benefit Agreements with executives.</w:t>
      </w:r>
    </w:p>
    <w:p>
      <w:pPr>
        <w:spacing w:after="0" w:line="49" w:lineRule="exact"/>
        <w:rPr>
          <w:rFonts w:ascii="Arial" w:cs="Arial" w:eastAsia="Arial" w:hAnsi="Arial"/>
          <w:sz w:val="18"/>
          <w:szCs w:val="18"/>
          <w:color w:val="auto"/>
        </w:rPr>
      </w:pPr>
    </w:p>
    <w:p>
      <w:pPr>
        <w:jc w:val="both"/>
        <w:ind w:left="420" w:hanging="316"/>
        <w:spacing w:after="0" w:line="24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732282"/>
        </w:rPr>
        <w:t xml:space="preserve">Discontinued Tax Equalization Benefits. </w:t>
      </w:r>
      <w:r>
        <w:rPr>
          <w:rFonts w:ascii="Arial" w:cs="Arial" w:eastAsia="Arial" w:hAnsi="Arial"/>
          <w:sz w:val="18"/>
          <w:szCs w:val="18"/>
          <w:color w:val="000000"/>
        </w:rPr>
        <w:t>Mylan previously provided tax equalization benefits to Mr. Malik relating to his expatriate</w:t>
      </w:r>
      <w:r>
        <w:rPr>
          <w:rFonts w:ascii="Arial" w:cs="Arial" w:eastAsia="Arial" w:hAnsi="Arial"/>
          <w:sz w:val="18"/>
          <w:szCs w:val="18"/>
          <w:b w:val="1"/>
          <w:bCs w:val="1"/>
          <w:color w:val="732282"/>
        </w:rPr>
        <w:t xml:space="preserve"> </w:t>
      </w:r>
      <w:r>
        <w:rPr>
          <w:rFonts w:ascii="Arial" w:cs="Arial" w:eastAsia="Arial" w:hAnsi="Arial"/>
          <w:sz w:val="18"/>
          <w:szCs w:val="18"/>
          <w:color w:val="000000"/>
        </w:rPr>
        <w:t>assignment to the United States. Following the closing of the Combination, the Viatris Compensation Committee discontinued future tax equalization benefits.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81" w:right="439" w:bottom="1440" w:gutter="0" w:footer="0" w:header="0"/>
        </w:sectPr>
      </w:pPr>
    </w:p>
    <w:bookmarkStart w:id="30" w:name="page31"/>
    <w:bookmarkEnd w:id="30"/>
    <w:p>
      <w:pPr>
        <w:jc w:val="both"/>
        <w:ind w:left="420" w:hanging="316"/>
        <w:spacing w:after="0" w:line="24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Robust Clawback Policy. </w:t>
      </w:r>
      <w:r>
        <w:rPr>
          <w:rFonts w:ascii="Arial" w:cs="Arial" w:eastAsia="Arial" w:hAnsi="Arial"/>
          <w:sz w:val="18"/>
          <w:szCs w:val="18"/>
          <w:color w:val="000000"/>
        </w:rPr>
        <w:t>The Viatris Board adopted a robust clawback policy, which applies to both performance-based cash and</w:t>
      </w:r>
      <w:r>
        <w:rPr>
          <w:rFonts w:ascii="Arial" w:cs="Arial" w:eastAsia="Arial" w:hAnsi="Arial"/>
          <w:sz w:val="18"/>
          <w:szCs w:val="18"/>
          <w:b w:val="1"/>
          <w:bCs w:val="1"/>
          <w:color w:val="732282"/>
        </w:rPr>
        <w:t xml:space="preserve"> </w:t>
      </w:r>
      <w:r>
        <w:rPr>
          <w:rFonts w:ascii="Arial" w:cs="Arial" w:eastAsia="Arial" w:hAnsi="Arial"/>
          <w:sz w:val="18"/>
          <w:szCs w:val="18"/>
          <w:color w:val="000000"/>
        </w:rPr>
        <w:t>equity awards and covers all senior executives. The policy provides for potential recoupment of incentive compensation under certain circumstances relating to financial restatements, misconduct by executives, and failure to manage others who commit misconduct. See also pages 38-39.</w:t>
      </w:r>
    </w:p>
    <w:p>
      <w:pPr>
        <w:spacing w:after="0" w:line="49" w:lineRule="exact"/>
        <w:rPr>
          <w:rFonts w:ascii="Arial" w:cs="Arial" w:eastAsia="Arial" w:hAnsi="Arial"/>
          <w:sz w:val="18"/>
          <w:szCs w:val="18"/>
          <w:color w:val="auto"/>
        </w:rPr>
      </w:pPr>
    </w:p>
    <w:p>
      <w:pPr>
        <w:jc w:val="both"/>
        <w:ind w:left="420" w:hanging="316"/>
        <w:spacing w:after="0" w:line="24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732282"/>
        </w:rPr>
        <w:t xml:space="preserve">60% of Equity-Based Awards Delivered as Performance-Based Incentive Awards. </w:t>
      </w:r>
      <w:r>
        <w:rPr>
          <w:rFonts w:ascii="Arial" w:cs="Arial" w:eastAsia="Arial" w:hAnsi="Arial"/>
          <w:sz w:val="18"/>
          <w:szCs w:val="18"/>
          <w:color w:val="000000"/>
        </w:rPr>
        <w:t>For 2021, the Viatris Compensation Committee</w:t>
      </w:r>
      <w:r>
        <w:rPr>
          <w:rFonts w:ascii="Arial" w:cs="Arial" w:eastAsia="Arial" w:hAnsi="Arial"/>
          <w:sz w:val="18"/>
          <w:szCs w:val="18"/>
          <w:b w:val="1"/>
          <w:bCs w:val="1"/>
          <w:color w:val="732282"/>
        </w:rPr>
        <w:t xml:space="preserve"> </w:t>
      </w:r>
      <w:r>
        <w:rPr>
          <w:rFonts w:ascii="Arial" w:cs="Arial" w:eastAsia="Arial" w:hAnsi="Arial"/>
          <w:sz w:val="18"/>
          <w:szCs w:val="18"/>
          <w:color w:val="000000"/>
        </w:rPr>
        <w:t>and the Board set the proportion of equity-based awards granted as PRSUs at 60% of the total mix and did not include stock options among those awards.</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these and other key compensation-related governance practices adopted by the Viatris Compensation Committee and Board with respect to 2021 compensation.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60" w:right="120" w:hanging="255"/>
        <w:spacing w:after="0" w:line="242" w:lineRule="auto"/>
        <w:tabs>
          <w:tab w:leader="none" w:pos="468"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a significant portion of compensation aligned with shareholder interests and tied to share price or financial and operational business performance</w:t>
      </w:r>
    </w:p>
    <w:p>
      <w:pPr>
        <w:spacing w:after="0" w:line="1" w:lineRule="exact"/>
        <w:rPr>
          <w:rFonts w:ascii="MS PGothic" w:cs="MS PGothic" w:eastAsia="MS PGothic" w:hAnsi="MS PGothic"/>
          <w:sz w:val="18"/>
          <w:szCs w:val="18"/>
          <w:color w:val="auto"/>
        </w:rPr>
      </w:pPr>
    </w:p>
    <w:p>
      <w:pPr>
        <w:ind w:left="460" w:right="120" w:hanging="255"/>
        <w:spacing w:after="0" w:line="242" w:lineRule="auto"/>
        <w:tabs>
          <w:tab w:leader="none" w:pos="495"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Employ metrics for annual and long-term incentives that support both short- and long-term strategies and align with shareholder interests</w:t>
      </w:r>
    </w:p>
    <w:p>
      <w:pPr>
        <w:spacing w:after="0" w:line="1"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Base long-term incentives heavily on performance-based metrics and short-term incentives entirely on performance-based metrics</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Set rigorous and measurable performance goals and periodically review and discuss our executives’ performance</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Use double-trigger vesting for annual long-term incentive awards upon a change in control</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Retain independent compensation consultants that report directly to the Compensation Committee</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strong share ownership guidelines</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a robust clawback policy</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Engage with shareholders on compensation and governance matters</w:t>
      </w:r>
    </w:p>
    <w:p>
      <w:pPr>
        <w:spacing w:after="0" w:line="9" w:lineRule="exact"/>
        <w:rPr>
          <w:rFonts w:ascii="MS PGothic" w:cs="MS PGothic" w:eastAsia="MS PGothic" w:hAnsi="MS PGothic"/>
          <w:sz w:val="18"/>
          <w:szCs w:val="18"/>
          <w:color w:val="auto"/>
        </w:rPr>
      </w:pPr>
    </w:p>
    <w:p>
      <w:pPr>
        <w:ind w:left="480" w:hanging="275"/>
        <w:spacing w:after="0"/>
        <w:tabs>
          <w:tab w:leader="none" w:pos="4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Consider peer groups and market data in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-1624330</wp:posOffset>
            </wp:positionV>
            <wp:extent cx="6995160" cy="1637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637030"/>
                    </a:xfrm>
                    <a:prstGeom prst="rect">
                      <a:avLst/>
                    </a:prstGeom>
                    <a:noFill/>
                  </pic:spPr>
                </pic:pic>
              </a:graphicData>
            </a:graphic>
          </wp:anchor>
        </w:drawing>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917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917575"/>
                    </a:xfrm>
                    <a:prstGeom prst="rect">
                      <a:avLst/>
                    </a:prstGeom>
                    <a:noFill/>
                  </pic:spPr>
                </pic:pic>
              </a:graphicData>
            </a:graphic>
          </wp:anchor>
        </w:drawing>
      </w:r>
    </w:p>
    <w:p>
      <w:pPr>
        <w:ind w:left="500" w:hanging="275"/>
        <w:spacing w:after="0"/>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Excise tax gross-ups</w:t>
      </w:r>
    </w:p>
    <w:p>
      <w:pPr>
        <w:ind w:left="500" w:hanging="275"/>
        <w:spacing w:after="0" w:line="23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Exercise positive discretion in determining annual incentive compensation or LTI payouts</w:t>
      </w:r>
    </w:p>
    <w:p>
      <w:pPr>
        <w:ind w:left="500" w:hanging="275"/>
        <w:spacing w:after="0" w:line="23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Re-pricing of stock options</w:t>
      </w:r>
    </w:p>
    <w:p>
      <w:pPr>
        <w:ind w:left="500" w:hanging="275"/>
        <w:spacing w:after="0" w:line="23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Hedging or pledging of shares</w:t>
      </w:r>
    </w:p>
    <w:p>
      <w:pPr>
        <w:ind w:left="500" w:hanging="275"/>
        <w:spacing w:after="0" w:line="23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Supplemental retirement agreements</w:t>
      </w:r>
    </w:p>
    <w:p>
      <w:pPr>
        <w:ind w:left="500" w:hanging="275"/>
        <w:spacing w:after="0"/>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New fixed-term NEO employment agreements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further described below, the Viatris Compensation Committee has designed the going-forward compensation program to be straightforward, predominantly performance-based, and shareholder-aligned.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96" w:right="459" w:bottom="1440" w:gutter="0" w:footer="0" w:header="0"/>
        </w:sectPr>
      </w:pPr>
    </w:p>
    <w:bookmarkStart w:id="31" w:name="page32"/>
    <w:bookmarkEnd w:id="31"/>
    <w:p>
      <w:pPr>
        <w:spacing w:after="0"/>
        <w:rPr>
          <w:sz w:val="20"/>
          <w:szCs w:val="20"/>
          <w:color w:val="auto"/>
        </w:rPr>
      </w:pPr>
      <w:r>
        <w:rPr>
          <w:rFonts w:ascii="Arial" w:cs="Arial" w:eastAsia="Arial" w:hAnsi="Arial"/>
          <w:sz w:val="24"/>
          <w:szCs w:val="24"/>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Viatris’ 2021 Performance-Based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discussed, 2020 was a transitional year for the compensation of our NEOs, as Mylan and Upjohn came together late in the year to form Viatris.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Going forward, the Viatris Compensation Committee and the Board are committed to a straightforward, performance-based compensation program that is focused on key metrics that will help ensure continued execution against our strategy and a robust, sustainable organization, while aligning compensation with Company performance and shareholder value creation.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Compensation Structure for NEOs</w:t>
      </w:r>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shows the compensation structure for our NEOs in 2021. As noted, the program is predominantly performance-based and shareholder-aligned.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Arial" w:cs="Arial" w:eastAsia="Arial" w:hAnsi="Arial"/>
                <w:sz w:val="13"/>
                <w:szCs w:val="13"/>
                <w:b w:val="1"/>
                <w:bCs w:val="1"/>
                <w:color w:val="732282"/>
              </w:rPr>
              <w:t>Target Annual</w:t>
            </w:r>
          </w:p>
        </w:tc>
        <w:tc>
          <w:tcPr>
            <w:tcW w:w="1980" w:type="dxa"/>
            <w:vAlign w:val="bottom"/>
          </w:tcPr>
          <w:p>
            <w:pPr>
              <w:spacing w:after="0"/>
              <w:rPr>
                <w:sz w:val="13"/>
                <w:szCs w:val="13"/>
                <w:color w:val="auto"/>
              </w:rPr>
            </w:pPr>
          </w:p>
        </w:tc>
      </w:tr>
      <w:tr>
        <w:trPr>
          <w:trHeight w:val="148"/>
        </w:trPr>
        <w:tc>
          <w:tcPr>
            <w:tcW w:w="3460" w:type="dxa"/>
            <w:vAlign w:val="bottom"/>
          </w:tcPr>
          <w:p>
            <w:pPr>
              <w:spacing w:after="0"/>
              <w:rPr>
                <w:sz w:val="12"/>
                <w:szCs w:val="12"/>
                <w:color w:val="auto"/>
              </w:rPr>
            </w:pPr>
          </w:p>
        </w:tc>
        <w:tc>
          <w:tcPr>
            <w:tcW w:w="3400" w:type="dxa"/>
            <w:vAlign w:val="bottom"/>
          </w:tcPr>
          <w:p>
            <w:pPr>
              <w:jc w:val="right"/>
              <w:ind w:right="418"/>
              <w:spacing w:after="0"/>
              <w:rPr>
                <w:sz w:val="20"/>
                <w:szCs w:val="20"/>
                <w:color w:val="auto"/>
              </w:rPr>
            </w:pPr>
            <w:r>
              <w:rPr>
                <w:rFonts w:ascii="Arial" w:cs="Arial" w:eastAsia="Arial" w:hAnsi="Arial"/>
                <w:sz w:val="13"/>
                <w:szCs w:val="13"/>
                <w:b w:val="1"/>
                <w:bCs w:val="1"/>
                <w:color w:val="732282"/>
              </w:rPr>
              <w:t>Base</w:t>
            </w:r>
          </w:p>
        </w:tc>
        <w:tc>
          <w:tcPr>
            <w:tcW w:w="2180" w:type="dxa"/>
            <w:vAlign w:val="bottom"/>
          </w:tcPr>
          <w:p>
            <w:pPr>
              <w:jc w:val="right"/>
              <w:ind w:right="460"/>
              <w:spacing w:after="0"/>
              <w:rPr>
                <w:sz w:val="20"/>
                <w:szCs w:val="20"/>
                <w:color w:val="auto"/>
              </w:rPr>
            </w:pPr>
            <w:r>
              <w:rPr>
                <w:rFonts w:ascii="Arial" w:cs="Arial" w:eastAsia="Arial" w:hAnsi="Arial"/>
                <w:sz w:val="13"/>
                <w:szCs w:val="13"/>
                <w:b w:val="1"/>
                <w:bCs w:val="1"/>
                <w:color w:val="732282"/>
              </w:rPr>
              <w:t>Incentive (as % of</w:t>
            </w:r>
          </w:p>
        </w:tc>
        <w:tc>
          <w:tcPr>
            <w:tcW w:w="1980" w:type="dxa"/>
            <w:vAlign w:val="bottom"/>
          </w:tcPr>
          <w:p>
            <w:pPr>
              <w:jc w:val="right"/>
              <w:ind w:right="318"/>
              <w:spacing w:after="0"/>
              <w:rPr>
                <w:sz w:val="20"/>
                <w:szCs w:val="20"/>
                <w:color w:val="auto"/>
              </w:rPr>
            </w:pPr>
            <w:r>
              <w:rPr>
                <w:rFonts w:ascii="Arial" w:cs="Arial" w:eastAsia="Arial" w:hAnsi="Arial"/>
                <w:sz w:val="13"/>
                <w:szCs w:val="13"/>
                <w:b w:val="1"/>
                <w:bCs w:val="1"/>
                <w:color w:val="732282"/>
              </w:rPr>
              <w:t>Target LTI (as % of</w:t>
            </w:r>
          </w:p>
        </w:tc>
      </w:tr>
      <w:tr>
        <w:trPr>
          <w:trHeight w:val="165"/>
        </w:trPr>
        <w:tc>
          <w:tcPr>
            <w:tcW w:w="346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3400" w:type="dxa"/>
            <w:vAlign w:val="bottom"/>
            <w:tcBorders>
              <w:bottom w:val="single" w:sz="8" w:color="732282"/>
            </w:tcBorders>
          </w:tcPr>
          <w:p>
            <w:pPr>
              <w:jc w:val="right"/>
              <w:ind w:right="418"/>
              <w:spacing w:after="0"/>
              <w:rPr>
                <w:sz w:val="20"/>
                <w:szCs w:val="20"/>
                <w:color w:val="auto"/>
              </w:rPr>
            </w:pPr>
            <w:r>
              <w:rPr>
                <w:rFonts w:ascii="Arial" w:cs="Arial" w:eastAsia="Arial" w:hAnsi="Arial"/>
                <w:sz w:val="13"/>
                <w:szCs w:val="13"/>
                <w:b w:val="1"/>
                <w:bCs w:val="1"/>
                <w:color w:val="732282"/>
              </w:rPr>
              <w:t>Salary</w:t>
            </w:r>
          </w:p>
        </w:tc>
        <w:tc>
          <w:tcPr>
            <w:tcW w:w="2180" w:type="dxa"/>
            <w:vAlign w:val="bottom"/>
            <w:tcBorders>
              <w:bottom w:val="single" w:sz="8" w:color="732282"/>
            </w:tcBorders>
          </w:tcPr>
          <w:p>
            <w:pPr>
              <w:jc w:val="right"/>
              <w:ind w:right="460"/>
              <w:spacing w:after="0"/>
              <w:rPr>
                <w:sz w:val="20"/>
                <w:szCs w:val="20"/>
                <w:color w:val="auto"/>
              </w:rPr>
            </w:pPr>
            <w:r>
              <w:rPr>
                <w:rFonts w:ascii="Arial" w:cs="Arial" w:eastAsia="Arial" w:hAnsi="Arial"/>
                <w:sz w:val="13"/>
                <w:szCs w:val="13"/>
                <w:b w:val="1"/>
                <w:bCs w:val="1"/>
                <w:color w:val="732282"/>
              </w:rPr>
              <w:t>Base Salary)</w:t>
            </w:r>
          </w:p>
        </w:tc>
        <w:tc>
          <w:tcPr>
            <w:tcW w:w="1980" w:type="dxa"/>
            <w:vAlign w:val="bottom"/>
            <w:tcBorders>
              <w:bottom w:val="single" w:sz="8" w:color="732282"/>
            </w:tcBorders>
          </w:tcPr>
          <w:p>
            <w:pPr>
              <w:jc w:val="right"/>
              <w:ind w:right="318"/>
              <w:spacing w:after="0"/>
              <w:rPr>
                <w:sz w:val="20"/>
                <w:szCs w:val="20"/>
                <w:color w:val="auto"/>
              </w:rPr>
            </w:pPr>
            <w:r>
              <w:rPr>
                <w:rFonts w:ascii="Arial" w:cs="Arial" w:eastAsia="Arial" w:hAnsi="Arial"/>
                <w:sz w:val="13"/>
                <w:szCs w:val="13"/>
                <w:b w:val="1"/>
                <w:bCs w:val="1"/>
                <w:color w:val="732282"/>
              </w:rPr>
              <w:t>Base Salary)</w:t>
            </w:r>
          </w:p>
        </w:tc>
      </w:tr>
      <w:tr>
        <w:trPr>
          <w:trHeight w:val="196"/>
        </w:trPr>
        <w:tc>
          <w:tcPr>
            <w:tcW w:w="34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Robert J. Coury</w:t>
            </w:r>
          </w:p>
        </w:tc>
        <w:tc>
          <w:tcPr>
            <w:tcW w:w="3400" w:type="dxa"/>
            <w:vAlign w:val="bottom"/>
            <w:shd w:val="clear" w:color="auto" w:fill="CCEEFF"/>
          </w:tcPr>
          <w:p>
            <w:pPr>
              <w:jc w:val="right"/>
              <w:ind w:right="418"/>
              <w:spacing w:after="0" w:line="196" w:lineRule="exact"/>
              <w:rPr>
                <w:sz w:val="20"/>
                <w:szCs w:val="20"/>
                <w:color w:val="auto"/>
              </w:rPr>
            </w:pPr>
            <w:r>
              <w:rPr>
                <w:rFonts w:ascii="Arial" w:cs="Arial" w:eastAsia="Arial" w:hAnsi="Arial"/>
                <w:sz w:val="18"/>
                <w:szCs w:val="18"/>
                <w:color w:val="auto"/>
              </w:rPr>
              <w:t>$1,800,000</w:t>
            </w:r>
          </w:p>
        </w:tc>
        <w:tc>
          <w:tcPr>
            <w:tcW w:w="2180" w:type="dxa"/>
            <w:vAlign w:val="bottom"/>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150%</w:t>
            </w:r>
          </w:p>
        </w:tc>
        <w:tc>
          <w:tcPr>
            <w:tcW w:w="1980" w:type="dxa"/>
            <w:vAlign w:val="bottom"/>
            <w:shd w:val="clear" w:color="auto" w:fill="CCEEFF"/>
          </w:tcPr>
          <w:p>
            <w:pPr>
              <w:jc w:val="right"/>
              <w:ind w:right="158"/>
              <w:spacing w:after="0" w:line="196" w:lineRule="exact"/>
              <w:rPr>
                <w:sz w:val="20"/>
                <w:szCs w:val="20"/>
                <w:color w:val="auto"/>
              </w:rPr>
            </w:pPr>
            <w:r>
              <w:rPr>
                <w:rFonts w:ascii="Arial" w:cs="Arial" w:eastAsia="Arial" w:hAnsi="Arial"/>
                <w:sz w:val="18"/>
                <w:szCs w:val="18"/>
                <w:color w:val="auto"/>
              </w:rPr>
              <w:t>600%</w:t>
            </w: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Michael Goettler</w:t>
            </w:r>
          </w:p>
        </w:tc>
        <w:tc>
          <w:tcPr>
            <w:tcW w:w="340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$1,300,000</w:t>
            </w:r>
          </w:p>
        </w:tc>
        <w:tc>
          <w:tcPr>
            <w:tcW w:w="2180" w:type="dxa"/>
            <w:vAlign w:val="bottom"/>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19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700%</w:t>
            </w:r>
          </w:p>
        </w:tc>
      </w:tr>
      <w:tr>
        <w:trPr>
          <w:trHeight w:val="203"/>
        </w:trPr>
        <w:tc>
          <w:tcPr>
            <w:tcW w:w="3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Rajiv Malik</w:t>
            </w:r>
          </w:p>
        </w:tc>
        <w:tc>
          <w:tcPr>
            <w:tcW w:w="3400" w:type="dxa"/>
            <w:vAlign w:val="bottom"/>
            <w:shd w:val="clear" w:color="auto" w:fill="CCEEFF"/>
          </w:tcPr>
          <w:p>
            <w:pPr>
              <w:jc w:val="right"/>
              <w:ind w:right="418"/>
              <w:spacing w:after="0" w:line="202" w:lineRule="exact"/>
              <w:rPr>
                <w:sz w:val="20"/>
                <w:szCs w:val="20"/>
                <w:color w:val="auto"/>
              </w:rPr>
            </w:pPr>
            <w:r>
              <w:rPr>
                <w:rFonts w:ascii="Arial" w:cs="Arial" w:eastAsia="Arial" w:hAnsi="Arial"/>
                <w:sz w:val="18"/>
                <w:szCs w:val="18"/>
                <w:color w:val="auto"/>
              </w:rPr>
              <w:t>$1,200,000</w:t>
            </w:r>
          </w:p>
        </w:tc>
        <w:tc>
          <w:tcPr>
            <w:tcW w:w="2180" w:type="dxa"/>
            <w:vAlign w:val="bottom"/>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125%</w:t>
            </w:r>
          </w:p>
        </w:tc>
        <w:tc>
          <w:tcPr>
            <w:tcW w:w="19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600%</w:t>
            </w: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Sanjeev Narula</w:t>
            </w:r>
          </w:p>
        </w:tc>
        <w:tc>
          <w:tcPr>
            <w:tcW w:w="340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$800,000</w:t>
            </w:r>
          </w:p>
        </w:tc>
        <w:tc>
          <w:tcPr>
            <w:tcW w:w="2180" w:type="dxa"/>
            <w:vAlign w:val="bottom"/>
          </w:tcPr>
          <w:p>
            <w:pPr>
              <w:jc w:val="right"/>
              <w:ind w:right="300"/>
              <w:spacing w:after="0" w:line="202" w:lineRule="exact"/>
              <w:rPr>
                <w:sz w:val="20"/>
                <w:szCs w:val="20"/>
                <w:color w:val="auto"/>
              </w:rPr>
            </w:pPr>
            <w:r>
              <w:rPr>
                <w:rFonts w:ascii="Arial" w:cs="Arial" w:eastAsia="Arial" w:hAnsi="Arial"/>
                <w:sz w:val="18"/>
                <w:szCs w:val="18"/>
                <w:color w:val="auto"/>
              </w:rPr>
              <w:t>100%</w:t>
            </w:r>
          </w:p>
        </w:tc>
        <w:tc>
          <w:tcPr>
            <w:tcW w:w="19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350%</w:t>
            </w:r>
          </w:p>
        </w:tc>
      </w:tr>
      <w:tr>
        <w:trPr>
          <w:trHeight w:val="203"/>
        </w:trPr>
        <w:tc>
          <w:tcPr>
            <w:tcW w:w="3460" w:type="dxa"/>
            <w:vAlign w:val="bottom"/>
            <w:tcBorders>
              <w:bottom w:val="single" w:sz="8" w:color="732282"/>
            </w:tcBorders>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Anthony Mauro</w:t>
            </w:r>
          </w:p>
        </w:tc>
        <w:tc>
          <w:tcPr>
            <w:tcW w:w="3400" w:type="dxa"/>
            <w:vAlign w:val="bottom"/>
            <w:tcBorders>
              <w:bottom w:val="single" w:sz="8" w:color="732282"/>
            </w:tcBorders>
            <w:shd w:val="clear" w:color="auto" w:fill="CCEEFF"/>
          </w:tcPr>
          <w:p>
            <w:pPr>
              <w:jc w:val="right"/>
              <w:ind w:right="418"/>
              <w:spacing w:after="0" w:line="202" w:lineRule="exact"/>
              <w:rPr>
                <w:sz w:val="20"/>
                <w:szCs w:val="20"/>
                <w:color w:val="auto"/>
              </w:rPr>
            </w:pPr>
            <w:r>
              <w:rPr>
                <w:rFonts w:ascii="Arial" w:cs="Arial" w:eastAsia="Arial" w:hAnsi="Arial"/>
                <w:sz w:val="18"/>
                <w:szCs w:val="18"/>
                <w:color w:val="auto"/>
              </w:rPr>
              <w:t>$800,000</w:t>
            </w:r>
          </w:p>
        </w:tc>
        <w:tc>
          <w:tcPr>
            <w:tcW w:w="2180" w:type="dxa"/>
            <w:vAlign w:val="bottom"/>
            <w:tcBorders>
              <w:bottom w:val="single" w:sz="8" w:color="732282"/>
            </w:tcBorders>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115%</w:t>
            </w:r>
          </w:p>
        </w:tc>
        <w:tc>
          <w:tcPr>
            <w:tcW w:w="1980" w:type="dxa"/>
            <w:vAlign w:val="bottom"/>
            <w:tcBorders>
              <w:bottom w:val="single" w:sz="8" w:color="732282"/>
            </w:tcBorders>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400%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Shareholder-Aligned Performance-Based Program</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2021 annual incentive program includes adjusted EBITDA (40%), a cash flow metric (40%), and a global regulatory submissions metric (20%), which are designed to incentivize our executives toward achievement of our publicly-disclosed financial objectives announced in February 2021.</w:t>
      </w:r>
    </w:p>
    <w:p>
      <w:pPr>
        <w:spacing w:after="0" w:line="15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Long-term incentive awards for 2021 are predominantly performance-based, with 60% of each NEO’s award in the form of PRSUs and 40% in the form of restricted stock units (“RSUs”). The 2021 PRSU grants include leverage and cash flow metrics, as well as a relative market performance metric (relative TSR), which is used as a shareholder-aligned modifier to determine the final payout percentage. Each metric is measured over a 3-year performance period. These metrics align with and further our strategies of delevering, returning capital to shareholders, and delivering shareholder returns, among others. Adjusted EBITDA is calculated from Viatris’ audited financial statements in the manner described in Appendix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81" w:right="43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2021 Total Target Compensation</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chart below shows the target total direct compensation opportunity for each of our NEOs in 2021.</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30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0" w:type="dxa"/>
            <w:vAlign w:val="bottom"/>
          </w:tcPr>
          <w:p>
            <w:pPr>
              <w:jc w:val="right"/>
              <w:ind w:right="278"/>
              <w:spacing w:after="0"/>
              <w:rPr>
                <w:sz w:val="20"/>
                <w:szCs w:val="20"/>
                <w:color w:val="auto"/>
              </w:rPr>
            </w:pPr>
            <w:r>
              <w:rPr>
                <w:rFonts w:ascii="Arial" w:cs="Arial" w:eastAsia="Arial" w:hAnsi="Arial"/>
                <w:sz w:val="13"/>
                <w:szCs w:val="13"/>
                <w:b w:val="1"/>
                <w:bCs w:val="1"/>
                <w:color w:val="732282"/>
              </w:rPr>
              <w:t>Target Annual</w:t>
            </w:r>
          </w:p>
        </w:tc>
        <w:tc>
          <w:tcPr>
            <w:tcW w:w="1840" w:type="dxa"/>
            <w:vAlign w:val="bottom"/>
          </w:tcPr>
          <w:p>
            <w:pPr>
              <w:jc w:val="right"/>
              <w:ind w:right="278"/>
              <w:spacing w:after="0"/>
              <w:rPr>
                <w:sz w:val="20"/>
                <w:szCs w:val="20"/>
                <w:color w:val="auto"/>
              </w:rPr>
            </w:pPr>
            <w:r>
              <w:rPr>
                <w:rFonts w:ascii="Arial" w:cs="Arial" w:eastAsia="Arial" w:hAnsi="Arial"/>
                <w:sz w:val="13"/>
                <w:szCs w:val="13"/>
                <w:b w:val="1"/>
                <w:bCs w:val="1"/>
                <w:color w:val="732282"/>
              </w:rPr>
              <w:t>Target Long-Term</w:t>
            </w:r>
          </w:p>
        </w:tc>
        <w:tc>
          <w:tcPr>
            <w:tcW w:w="1660" w:type="dxa"/>
            <w:vAlign w:val="bottom"/>
          </w:tcPr>
          <w:p>
            <w:pPr>
              <w:jc w:val="right"/>
              <w:ind w:right="138"/>
              <w:spacing w:after="0"/>
              <w:rPr>
                <w:sz w:val="20"/>
                <w:szCs w:val="20"/>
                <w:color w:val="auto"/>
              </w:rPr>
            </w:pPr>
            <w:r>
              <w:rPr>
                <w:rFonts w:ascii="Arial" w:cs="Arial" w:eastAsia="Arial" w:hAnsi="Arial"/>
                <w:sz w:val="13"/>
                <w:szCs w:val="13"/>
                <w:b w:val="1"/>
                <w:bCs w:val="1"/>
                <w:color w:val="732282"/>
              </w:rPr>
              <w:t>2021 Total Target</w:t>
            </w:r>
          </w:p>
        </w:tc>
      </w:tr>
      <w:tr>
        <w:trPr>
          <w:trHeight w:val="175"/>
        </w:trPr>
        <w:tc>
          <w:tcPr>
            <w:tcW w:w="306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Executive</w:t>
            </w:r>
          </w:p>
        </w:tc>
        <w:tc>
          <w:tcPr>
            <w:tcW w:w="2860" w:type="dxa"/>
            <w:vAlign w:val="bottom"/>
            <w:tcBorders>
              <w:bottom w:val="single" w:sz="8" w:color="732282"/>
            </w:tcBorders>
          </w:tcPr>
          <w:p>
            <w:pPr>
              <w:jc w:val="right"/>
              <w:ind w:right="276"/>
              <w:spacing w:after="0"/>
              <w:rPr>
                <w:sz w:val="20"/>
                <w:szCs w:val="20"/>
                <w:color w:val="auto"/>
              </w:rPr>
            </w:pPr>
            <w:r>
              <w:rPr>
                <w:rFonts w:ascii="Arial" w:cs="Arial" w:eastAsia="Arial" w:hAnsi="Arial"/>
                <w:sz w:val="13"/>
                <w:szCs w:val="13"/>
                <w:b w:val="1"/>
                <w:bCs w:val="1"/>
                <w:color w:val="732282"/>
              </w:rPr>
              <w:t>Base Salary</w:t>
            </w:r>
          </w:p>
        </w:tc>
        <w:tc>
          <w:tcPr>
            <w:tcW w:w="1600" w:type="dxa"/>
            <w:vAlign w:val="bottom"/>
            <w:tcBorders>
              <w:bottom w:val="single" w:sz="8" w:color="732282"/>
            </w:tcBorders>
          </w:tcPr>
          <w:p>
            <w:pPr>
              <w:jc w:val="right"/>
              <w:ind w:right="278"/>
              <w:spacing w:after="0"/>
              <w:rPr>
                <w:sz w:val="20"/>
                <w:szCs w:val="20"/>
                <w:color w:val="auto"/>
              </w:rPr>
            </w:pPr>
            <w:r>
              <w:rPr>
                <w:rFonts w:ascii="Arial" w:cs="Arial" w:eastAsia="Arial" w:hAnsi="Arial"/>
                <w:sz w:val="13"/>
                <w:szCs w:val="13"/>
                <w:b w:val="1"/>
                <w:bCs w:val="1"/>
                <w:color w:val="732282"/>
              </w:rPr>
              <w:t>Incentive</w:t>
            </w:r>
          </w:p>
        </w:tc>
        <w:tc>
          <w:tcPr>
            <w:tcW w:w="1840" w:type="dxa"/>
            <w:vAlign w:val="bottom"/>
            <w:tcBorders>
              <w:bottom w:val="single" w:sz="8" w:color="732282"/>
            </w:tcBorders>
          </w:tcPr>
          <w:p>
            <w:pPr>
              <w:jc w:val="right"/>
              <w:ind w:right="278"/>
              <w:spacing w:after="0"/>
              <w:rPr>
                <w:sz w:val="20"/>
                <w:szCs w:val="20"/>
                <w:color w:val="auto"/>
              </w:rPr>
            </w:pPr>
            <w:r>
              <w:rPr>
                <w:rFonts w:ascii="Arial" w:cs="Arial" w:eastAsia="Arial" w:hAnsi="Arial"/>
                <w:sz w:val="13"/>
                <w:szCs w:val="13"/>
                <w:b w:val="1"/>
                <w:bCs w:val="1"/>
                <w:color w:val="732282"/>
              </w:rPr>
              <w:t>Incentive</w:t>
            </w:r>
          </w:p>
        </w:tc>
        <w:tc>
          <w:tcPr>
            <w:tcW w:w="1660" w:type="dxa"/>
            <w:vAlign w:val="bottom"/>
            <w:tcBorders>
              <w:bottom w:val="single" w:sz="8" w:color="732282"/>
            </w:tcBorders>
          </w:tcPr>
          <w:p>
            <w:pPr>
              <w:jc w:val="right"/>
              <w:ind w:right="138"/>
              <w:spacing w:after="0" w:line="176" w:lineRule="exact"/>
              <w:rPr>
                <w:sz w:val="20"/>
                <w:szCs w:val="20"/>
                <w:color w:val="auto"/>
              </w:rPr>
            </w:pPr>
            <w:r>
              <w:rPr>
                <w:rFonts w:ascii="Arial" w:cs="Arial" w:eastAsia="Arial" w:hAnsi="Arial"/>
                <w:sz w:val="13"/>
                <w:szCs w:val="13"/>
                <w:b w:val="1"/>
                <w:bCs w:val="1"/>
                <w:color w:val="732282"/>
              </w:rPr>
              <w:t>Compensation</w:t>
            </w:r>
            <w:r>
              <w:rPr>
                <w:rFonts w:ascii="Arial" w:cs="Arial" w:eastAsia="Arial" w:hAnsi="Arial"/>
                <w:sz w:val="18"/>
                <w:szCs w:val="18"/>
                <w:b w:val="1"/>
                <w:bCs w:val="1"/>
                <w:color w:val="732282"/>
                <w:vertAlign w:val="superscript"/>
              </w:rPr>
              <w:t>(1)</w:t>
            </w:r>
          </w:p>
        </w:tc>
      </w:tr>
      <w:tr>
        <w:trPr>
          <w:trHeight w:val="196"/>
        </w:trPr>
        <w:tc>
          <w:tcPr>
            <w:tcW w:w="30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Robert J. Coury</w:t>
            </w:r>
          </w:p>
        </w:tc>
        <w:tc>
          <w:tcPr>
            <w:tcW w:w="2860" w:type="dxa"/>
            <w:vAlign w:val="bottom"/>
            <w:shd w:val="clear" w:color="auto" w:fill="CCEEFF"/>
          </w:tcPr>
          <w:p>
            <w:pPr>
              <w:jc w:val="right"/>
              <w:ind w:right="276"/>
              <w:spacing w:after="0" w:line="196" w:lineRule="exact"/>
              <w:rPr>
                <w:sz w:val="20"/>
                <w:szCs w:val="20"/>
                <w:color w:val="auto"/>
              </w:rPr>
            </w:pPr>
            <w:r>
              <w:rPr>
                <w:rFonts w:ascii="Arial" w:cs="Arial" w:eastAsia="Arial" w:hAnsi="Arial"/>
                <w:sz w:val="18"/>
                <w:szCs w:val="18"/>
                <w:color w:val="auto"/>
              </w:rPr>
              <w:t>$1,800,000</w:t>
            </w:r>
          </w:p>
        </w:tc>
        <w:tc>
          <w:tcPr>
            <w:tcW w:w="160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$2,700,000</w:t>
            </w:r>
          </w:p>
        </w:tc>
        <w:tc>
          <w:tcPr>
            <w:tcW w:w="184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$10,800,000</w:t>
            </w:r>
          </w:p>
        </w:tc>
        <w:tc>
          <w:tcPr>
            <w:tcW w:w="166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$15,300,000</w:t>
            </w:r>
          </w:p>
        </w:tc>
      </w:tr>
      <w:tr>
        <w:trPr>
          <w:trHeight w:val="203"/>
        </w:trPr>
        <w:tc>
          <w:tcPr>
            <w:tcW w:w="30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Michael Goettler</w:t>
            </w:r>
          </w:p>
        </w:tc>
        <w:tc>
          <w:tcPr>
            <w:tcW w:w="286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$1,300,000</w:t>
            </w:r>
          </w:p>
        </w:tc>
        <w:tc>
          <w:tcPr>
            <w:tcW w:w="160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$1,950,000</w:t>
            </w:r>
          </w:p>
        </w:tc>
        <w:tc>
          <w:tcPr>
            <w:tcW w:w="18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$9,100,000</w:t>
            </w:r>
          </w:p>
        </w:tc>
        <w:tc>
          <w:tcPr>
            <w:tcW w:w="16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$12,350,000</w:t>
            </w:r>
          </w:p>
        </w:tc>
      </w:tr>
      <w:tr>
        <w:trPr>
          <w:trHeight w:val="203"/>
        </w:trPr>
        <w:tc>
          <w:tcPr>
            <w:tcW w:w="3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Rajiv Malik</w:t>
            </w:r>
          </w:p>
        </w:tc>
        <w:tc>
          <w:tcPr>
            <w:tcW w:w="286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$1,200,000</w:t>
            </w:r>
          </w:p>
        </w:tc>
        <w:tc>
          <w:tcPr>
            <w:tcW w:w="160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$1,500,000</w:t>
            </w:r>
          </w:p>
        </w:tc>
        <w:tc>
          <w:tcPr>
            <w:tcW w:w="184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$7,200,000</w:t>
            </w:r>
          </w:p>
        </w:tc>
        <w:tc>
          <w:tcPr>
            <w:tcW w:w="16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$9,900,000</w:t>
            </w:r>
          </w:p>
        </w:tc>
      </w:tr>
      <w:tr>
        <w:trPr>
          <w:trHeight w:val="184"/>
        </w:trPr>
        <w:tc>
          <w:tcPr>
            <w:tcW w:w="3060" w:type="dxa"/>
            <w:vAlign w:val="bottom"/>
          </w:tcPr>
          <w:p>
            <w:pPr>
              <w:ind w:left="100"/>
              <w:spacing w:after="0" w:line="183" w:lineRule="exact"/>
              <w:rPr>
                <w:sz w:val="20"/>
                <w:szCs w:val="20"/>
                <w:color w:val="auto"/>
              </w:rPr>
            </w:pPr>
            <w:r>
              <w:rPr>
                <w:rFonts w:ascii="Arial" w:cs="Arial" w:eastAsia="Arial" w:hAnsi="Arial"/>
                <w:sz w:val="18"/>
                <w:szCs w:val="18"/>
                <w:b w:val="1"/>
                <w:bCs w:val="1"/>
                <w:color w:val="auto"/>
              </w:rPr>
              <w:t>Sanjeev Narula</w:t>
            </w:r>
          </w:p>
        </w:tc>
        <w:tc>
          <w:tcPr>
            <w:tcW w:w="2860" w:type="dxa"/>
            <w:vAlign w:val="bottom"/>
          </w:tcPr>
          <w:p>
            <w:pPr>
              <w:jc w:val="right"/>
              <w:ind w:right="276"/>
              <w:spacing w:after="0" w:line="183" w:lineRule="exact"/>
              <w:rPr>
                <w:sz w:val="20"/>
                <w:szCs w:val="20"/>
                <w:color w:val="auto"/>
              </w:rPr>
            </w:pPr>
            <w:r>
              <w:rPr>
                <w:rFonts w:ascii="Arial" w:cs="Arial" w:eastAsia="Arial" w:hAnsi="Arial"/>
                <w:sz w:val="18"/>
                <w:szCs w:val="18"/>
                <w:color w:val="auto"/>
              </w:rPr>
              <w:t>$800,000</w:t>
            </w:r>
          </w:p>
        </w:tc>
        <w:tc>
          <w:tcPr>
            <w:tcW w:w="1600" w:type="dxa"/>
            <w:vAlign w:val="bottom"/>
          </w:tcPr>
          <w:p>
            <w:pPr>
              <w:jc w:val="right"/>
              <w:ind w:right="278"/>
              <w:spacing w:after="0" w:line="183" w:lineRule="exact"/>
              <w:rPr>
                <w:sz w:val="20"/>
                <w:szCs w:val="20"/>
                <w:color w:val="auto"/>
              </w:rPr>
            </w:pPr>
            <w:r>
              <w:rPr>
                <w:rFonts w:ascii="Arial" w:cs="Arial" w:eastAsia="Arial" w:hAnsi="Arial"/>
                <w:sz w:val="18"/>
                <w:szCs w:val="18"/>
                <w:color w:val="auto"/>
              </w:rPr>
              <w:t>$800,000</w:t>
            </w:r>
          </w:p>
        </w:tc>
        <w:tc>
          <w:tcPr>
            <w:tcW w:w="1840" w:type="dxa"/>
            <w:vAlign w:val="bottom"/>
          </w:tcPr>
          <w:p>
            <w:pPr>
              <w:jc w:val="right"/>
              <w:ind w:right="278"/>
              <w:spacing w:after="0" w:line="183" w:lineRule="exact"/>
              <w:rPr>
                <w:sz w:val="20"/>
                <w:szCs w:val="20"/>
                <w:color w:val="auto"/>
              </w:rPr>
            </w:pPr>
            <w:r>
              <w:rPr>
                <w:rFonts w:ascii="Arial" w:cs="Arial" w:eastAsia="Arial" w:hAnsi="Arial"/>
                <w:sz w:val="18"/>
                <w:szCs w:val="18"/>
                <w:color w:val="auto"/>
              </w:rPr>
              <w:t>$2,800,000</w:t>
            </w:r>
          </w:p>
        </w:tc>
        <w:tc>
          <w:tcPr>
            <w:tcW w:w="1660" w:type="dxa"/>
            <w:vAlign w:val="bottom"/>
          </w:tcPr>
          <w:p>
            <w:pPr>
              <w:jc w:val="right"/>
              <w:ind w:right="138"/>
              <w:spacing w:after="0" w:line="183" w:lineRule="exact"/>
              <w:rPr>
                <w:sz w:val="20"/>
                <w:szCs w:val="20"/>
                <w:color w:val="auto"/>
              </w:rPr>
            </w:pPr>
            <w:r>
              <w:rPr>
                <w:rFonts w:ascii="Arial" w:cs="Arial" w:eastAsia="Arial" w:hAnsi="Arial"/>
                <w:sz w:val="18"/>
                <w:szCs w:val="18"/>
                <w:color w:val="auto"/>
              </w:rPr>
              <w:t>$4,400,000</w:t>
            </w:r>
          </w:p>
        </w:tc>
      </w:tr>
      <w:tr>
        <w:trPr>
          <w:trHeight w:val="233"/>
        </w:trPr>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Anthony Mauro</w:t>
            </w:r>
          </w:p>
        </w:tc>
        <w:tc>
          <w:tcPr>
            <w:tcW w:w="2860" w:type="dxa"/>
            <w:vAlign w:val="bottom"/>
          </w:tcPr>
          <w:p>
            <w:pPr>
              <w:jc w:val="right"/>
              <w:ind w:right="276"/>
              <w:spacing w:after="0"/>
              <w:rPr>
                <w:sz w:val="20"/>
                <w:szCs w:val="20"/>
                <w:color w:val="auto"/>
              </w:rPr>
            </w:pPr>
            <w:r>
              <w:rPr>
                <w:rFonts w:ascii="Arial" w:cs="Arial" w:eastAsia="Arial" w:hAnsi="Arial"/>
                <w:sz w:val="18"/>
                <w:szCs w:val="18"/>
                <w:color w:val="auto"/>
              </w:rPr>
              <w:t>$800,000</w:t>
            </w:r>
          </w:p>
        </w:tc>
        <w:tc>
          <w:tcPr>
            <w:tcW w:w="1600" w:type="dxa"/>
            <w:vAlign w:val="bottom"/>
          </w:tcPr>
          <w:p>
            <w:pPr>
              <w:jc w:val="right"/>
              <w:ind w:right="278"/>
              <w:spacing w:after="0"/>
              <w:rPr>
                <w:sz w:val="20"/>
                <w:szCs w:val="20"/>
                <w:color w:val="auto"/>
              </w:rPr>
            </w:pPr>
            <w:r>
              <w:rPr>
                <w:rFonts w:ascii="Arial" w:cs="Arial" w:eastAsia="Arial" w:hAnsi="Arial"/>
                <w:sz w:val="18"/>
                <w:szCs w:val="18"/>
                <w:color w:val="auto"/>
              </w:rPr>
              <w:t>$920,000</w:t>
            </w:r>
          </w:p>
        </w:tc>
        <w:tc>
          <w:tcPr>
            <w:tcW w:w="1840" w:type="dxa"/>
            <w:vAlign w:val="bottom"/>
          </w:tcPr>
          <w:p>
            <w:pPr>
              <w:jc w:val="right"/>
              <w:ind w:right="278"/>
              <w:spacing w:after="0"/>
              <w:rPr>
                <w:sz w:val="20"/>
                <w:szCs w:val="20"/>
                <w:color w:val="auto"/>
              </w:rPr>
            </w:pPr>
            <w:r>
              <w:rPr>
                <w:rFonts w:ascii="Arial" w:cs="Arial" w:eastAsia="Arial" w:hAnsi="Arial"/>
                <w:sz w:val="18"/>
                <w:szCs w:val="18"/>
                <w:color w:val="auto"/>
              </w:rPr>
              <w:t>$3,200,000</w:t>
            </w:r>
          </w:p>
        </w:tc>
        <w:tc>
          <w:tcPr>
            <w:tcW w:w="1660" w:type="dxa"/>
            <w:vAlign w:val="bottom"/>
          </w:tcPr>
          <w:p>
            <w:pPr>
              <w:jc w:val="right"/>
              <w:ind w:right="138"/>
              <w:spacing w:after="0"/>
              <w:rPr>
                <w:sz w:val="20"/>
                <w:szCs w:val="20"/>
                <w:color w:val="auto"/>
              </w:rPr>
            </w:pPr>
            <w:r>
              <w:rPr>
                <w:rFonts w:ascii="Arial" w:cs="Arial" w:eastAsia="Arial" w:hAnsi="Arial"/>
                <w:sz w:val="18"/>
                <w:szCs w:val="18"/>
                <w:color w:val="auto"/>
              </w:rPr>
              <w:t>$4,920,000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24" w:hanging="324"/>
        <w:spacing w:after="0"/>
        <w:tabs>
          <w:tab w:leader="none" w:pos="324"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Total Target Compensation is defined as the sum of base salary, target annual incentive, and target long-term incentive.</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Viatris 2021 Peer Group</w:t>
      </w:r>
    </w:p>
    <w:p>
      <w:pPr>
        <w:spacing w:after="0" w:line="97"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While the competitive market for our executives is one factor the Viatris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154"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The peer group thus is used as one of several reference points for determining executive compensation and includes Viatris’ business competitors and companies that Viatris competes with for executive talent. Below is the peer group selected by the Viatris Compensation Committee following the Combination.</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3640" w:type="dxa"/>
            <w:vAlign w:val="bottom"/>
            <w:shd w:val="clear" w:color="auto" w:fill="EAEAEA"/>
          </w:tcPr>
          <w:p>
            <w:pPr>
              <w:spacing w:after="0"/>
              <w:rPr>
                <w:sz w:val="20"/>
                <w:szCs w:val="20"/>
                <w:color w:val="auto"/>
              </w:rPr>
            </w:pPr>
            <w:r>
              <w:rPr>
                <w:rFonts w:ascii="Arial" w:cs="Arial" w:eastAsia="Arial" w:hAnsi="Arial"/>
                <w:sz w:val="18"/>
                <w:szCs w:val="18"/>
                <w:b w:val="1"/>
                <w:bCs w:val="1"/>
                <w:color w:val="auto"/>
              </w:rPr>
              <w:t>Abbott Laboratories</w:t>
            </w:r>
          </w:p>
        </w:tc>
        <w:tc>
          <w:tcPr>
            <w:tcW w:w="3280" w:type="dxa"/>
            <w:vAlign w:val="bottom"/>
            <w:shd w:val="clear" w:color="auto" w:fill="EAEAEA"/>
          </w:tcPr>
          <w:p>
            <w:pPr>
              <w:ind w:left="100"/>
              <w:spacing w:after="0"/>
              <w:rPr>
                <w:sz w:val="20"/>
                <w:szCs w:val="20"/>
                <w:color w:val="auto"/>
              </w:rPr>
            </w:pPr>
            <w:r>
              <w:rPr>
                <w:rFonts w:ascii="Arial" w:cs="Arial" w:eastAsia="Arial" w:hAnsi="Arial"/>
                <w:sz w:val="18"/>
                <w:szCs w:val="18"/>
                <w:b w:val="1"/>
                <w:bCs w:val="1"/>
                <w:color w:val="auto"/>
              </w:rPr>
              <w:t>Biogen Inc.</w:t>
            </w:r>
          </w:p>
        </w:tc>
        <w:tc>
          <w:tcPr>
            <w:tcW w:w="4100" w:type="dxa"/>
            <w:vAlign w:val="bottom"/>
            <w:shd w:val="clear" w:color="auto" w:fill="EAEAEA"/>
          </w:tcPr>
          <w:p>
            <w:pPr>
              <w:ind w:left="560"/>
              <w:spacing w:after="0"/>
              <w:rPr>
                <w:sz w:val="20"/>
                <w:szCs w:val="20"/>
                <w:color w:val="auto"/>
              </w:rPr>
            </w:pPr>
            <w:r>
              <w:rPr>
                <w:rFonts w:ascii="Arial" w:cs="Arial" w:eastAsia="Arial" w:hAnsi="Arial"/>
                <w:sz w:val="18"/>
                <w:szCs w:val="18"/>
                <w:b w:val="1"/>
                <w:bCs w:val="1"/>
                <w:color w:val="auto"/>
              </w:rPr>
              <w:t>Novartis AG</w:t>
            </w:r>
          </w:p>
        </w:tc>
      </w:tr>
      <w:tr>
        <w:trPr>
          <w:trHeight w:val="269"/>
        </w:trPr>
        <w:tc>
          <w:tcPr>
            <w:tcW w:w="3640" w:type="dxa"/>
            <w:vAlign w:val="bottom"/>
          </w:tcPr>
          <w:p>
            <w:pPr>
              <w:spacing w:after="0"/>
              <w:rPr>
                <w:sz w:val="20"/>
                <w:szCs w:val="20"/>
                <w:color w:val="auto"/>
              </w:rPr>
            </w:pPr>
            <w:r>
              <w:rPr>
                <w:rFonts w:ascii="Arial" w:cs="Arial" w:eastAsia="Arial" w:hAnsi="Arial"/>
                <w:sz w:val="18"/>
                <w:szCs w:val="18"/>
                <w:b w:val="1"/>
                <w:bCs w:val="1"/>
                <w:color w:val="auto"/>
              </w:rPr>
              <w:t>Abbvie Inc.</w:t>
            </w:r>
          </w:p>
        </w:tc>
        <w:tc>
          <w:tcPr>
            <w:tcW w:w="3280" w:type="dxa"/>
            <w:vAlign w:val="bottom"/>
          </w:tcPr>
          <w:p>
            <w:pPr>
              <w:ind w:left="100"/>
              <w:spacing w:after="0"/>
              <w:rPr>
                <w:sz w:val="20"/>
                <w:szCs w:val="20"/>
                <w:color w:val="auto"/>
              </w:rPr>
            </w:pPr>
            <w:r>
              <w:rPr>
                <w:rFonts w:ascii="Arial" w:cs="Arial" w:eastAsia="Arial" w:hAnsi="Arial"/>
                <w:sz w:val="18"/>
                <w:szCs w:val="18"/>
                <w:b w:val="1"/>
                <w:bCs w:val="1"/>
                <w:color w:val="auto"/>
              </w:rPr>
              <w:t>Bristol-Myers Squibb Company</w:t>
            </w:r>
          </w:p>
        </w:tc>
        <w:tc>
          <w:tcPr>
            <w:tcW w:w="4100" w:type="dxa"/>
            <w:vAlign w:val="bottom"/>
          </w:tcPr>
          <w:p>
            <w:pPr>
              <w:ind w:left="560"/>
              <w:spacing w:after="0"/>
              <w:rPr>
                <w:sz w:val="20"/>
                <w:szCs w:val="20"/>
                <w:color w:val="auto"/>
              </w:rPr>
            </w:pPr>
            <w:r>
              <w:rPr>
                <w:rFonts w:ascii="Arial" w:cs="Arial" w:eastAsia="Arial" w:hAnsi="Arial"/>
                <w:sz w:val="18"/>
                <w:szCs w:val="18"/>
                <w:b w:val="1"/>
                <w:bCs w:val="1"/>
                <w:color w:val="auto"/>
              </w:rPr>
              <w:t>Pfizer Inc.</w:t>
            </w:r>
          </w:p>
        </w:tc>
      </w:tr>
      <w:tr>
        <w:trPr>
          <w:trHeight w:val="271"/>
        </w:trPr>
        <w:tc>
          <w:tcPr>
            <w:tcW w:w="3640" w:type="dxa"/>
            <w:vAlign w:val="bottom"/>
            <w:shd w:val="clear" w:color="auto" w:fill="EAEAEA"/>
          </w:tcPr>
          <w:p>
            <w:pPr>
              <w:spacing w:after="0"/>
              <w:rPr>
                <w:sz w:val="20"/>
                <w:szCs w:val="20"/>
                <w:color w:val="auto"/>
              </w:rPr>
            </w:pPr>
            <w:r>
              <w:rPr>
                <w:rFonts w:ascii="Arial" w:cs="Arial" w:eastAsia="Arial" w:hAnsi="Arial"/>
                <w:sz w:val="18"/>
                <w:szCs w:val="18"/>
                <w:b w:val="1"/>
                <w:bCs w:val="1"/>
                <w:color w:val="auto"/>
              </w:rPr>
              <w:t>Amgen Inc.</w:t>
            </w:r>
          </w:p>
        </w:tc>
        <w:tc>
          <w:tcPr>
            <w:tcW w:w="3280" w:type="dxa"/>
            <w:vAlign w:val="bottom"/>
            <w:shd w:val="clear" w:color="auto" w:fill="EAEAEA"/>
          </w:tcPr>
          <w:p>
            <w:pPr>
              <w:ind w:left="100"/>
              <w:spacing w:after="0"/>
              <w:rPr>
                <w:sz w:val="20"/>
                <w:szCs w:val="20"/>
                <w:color w:val="auto"/>
              </w:rPr>
            </w:pPr>
            <w:r>
              <w:rPr>
                <w:rFonts w:ascii="Arial" w:cs="Arial" w:eastAsia="Arial" w:hAnsi="Arial"/>
                <w:sz w:val="18"/>
                <w:szCs w:val="18"/>
                <w:b w:val="1"/>
                <w:bCs w:val="1"/>
                <w:color w:val="auto"/>
              </w:rPr>
              <w:t>Eli Lilly and Company</w:t>
            </w:r>
          </w:p>
        </w:tc>
        <w:tc>
          <w:tcPr>
            <w:tcW w:w="4100" w:type="dxa"/>
            <w:vAlign w:val="bottom"/>
            <w:shd w:val="clear" w:color="auto" w:fill="EAEAEA"/>
          </w:tcPr>
          <w:p>
            <w:pPr>
              <w:ind w:left="560"/>
              <w:spacing w:after="0"/>
              <w:rPr>
                <w:sz w:val="20"/>
                <w:szCs w:val="20"/>
                <w:color w:val="auto"/>
              </w:rPr>
            </w:pPr>
            <w:r>
              <w:rPr>
                <w:rFonts w:ascii="Arial" w:cs="Arial" w:eastAsia="Arial" w:hAnsi="Arial"/>
                <w:sz w:val="18"/>
                <w:szCs w:val="18"/>
                <w:b w:val="1"/>
                <w:bCs w:val="1"/>
                <w:color w:val="auto"/>
              </w:rPr>
              <w:t>Regeneron Pharmaceuticals, Inc.</w:t>
            </w:r>
          </w:p>
        </w:tc>
      </w:tr>
      <w:tr>
        <w:trPr>
          <w:trHeight w:val="269"/>
        </w:trPr>
        <w:tc>
          <w:tcPr>
            <w:tcW w:w="3640" w:type="dxa"/>
            <w:vAlign w:val="bottom"/>
          </w:tcPr>
          <w:p>
            <w:pPr>
              <w:spacing w:after="0"/>
              <w:rPr>
                <w:sz w:val="20"/>
                <w:szCs w:val="20"/>
                <w:color w:val="auto"/>
              </w:rPr>
            </w:pPr>
            <w:r>
              <w:rPr>
                <w:rFonts w:ascii="Arial" w:cs="Arial" w:eastAsia="Arial" w:hAnsi="Arial"/>
                <w:sz w:val="18"/>
                <w:szCs w:val="18"/>
                <w:b w:val="1"/>
                <w:bCs w:val="1"/>
                <w:color w:val="auto"/>
              </w:rPr>
              <w:t>Bausch Health Companies Inc.</w:t>
            </w:r>
          </w:p>
        </w:tc>
        <w:tc>
          <w:tcPr>
            <w:tcW w:w="3280" w:type="dxa"/>
            <w:vAlign w:val="bottom"/>
          </w:tcPr>
          <w:p>
            <w:pPr>
              <w:ind w:left="100"/>
              <w:spacing w:after="0"/>
              <w:rPr>
                <w:sz w:val="20"/>
                <w:szCs w:val="20"/>
                <w:color w:val="auto"/>
              </w:rPr>
            </w:pPr>
            <w:r>
              <w:rPr>
                <w:rFonts w:ascii="Arial" w:cs="Arial" w:eastAsia="Arial" w:hAnsi="Arial"/>
                <w:sz w:val="18"/>
                <w:szCs w:val="18"/>
                <w:b w:val="1"/>
                <w:bCs w:val="1"/>
                <w:color w:val="auto"/>
              </w:rPr>
              <w:t>Gilead Sciences, Inc.</w:t>
            </w:r>
          </w:p>
        </w:tc>
        <w:tc>
          <w:tcPr>
            <w:tcW w:w="4100" w:type="dxa"/>
            <w:vAlign w:val="bottom"/>
          </w:tcPr>
          <w:p>
            <w:pPr>
              <w:ind w:left="560"/>
              <w:spacing w:after="0"/>
              <w:rPr>
                <w:sz w:val="20"/>
                <w:szCs w:val="20"/>
                <w:color w:val="auto"/>
              </w:rPr>
            </w:pPr>
            <w:r>
              <w:rPr>
                <w:rFonts w:ascii="Arial" w:cs="Arial" w:eastAsia="Arial" w:hAnsi="Arial"/>
                <w:sz w:val="18"/>
                <w:szCs w:val="18"/>
                <w:b w:val="1"/>
                <w:bCs w:val="1"/>
                <w:color w:val="auto"/>
              </w:rPr>
              <w:t>Sanofi</w:t>
            </w:r>
          </w:p>
        </w:tc>
      </w:tr>
      <w:tr>
        <w:trPr>
          <w:trHeight w:val="271"/>
        </w:trPr>
        <w:tc>
          <w:tcPr>
            <w:tcW w:w="3640" w:type="dxa"/>
            <w:vAlign w:val="bottom"/>
            <w:shd w:val="clear" w:color="auto" w:fill="EAEAEA"/>
          </w:tcPr>
          <w:p>
            <w:pPr>
              <w:spacing w:after="0"/>
              <w:rPr>
                <w:sz w:val="20"/>
                <w:szCs w:val="20"/>
                <w:color w:val="auto"/>
              </w:rPr>
            </w:pPr>
            <w:r>
              <w:rPr>
                <w:rFonts w:ascii="Arial" w:cs="Arial" w:eastAsia="Arial" w:hAnsi="Arial"/>
                <w:sz w:val="18"/>
                <w:szCs w:val="18"/>
                <w:b w:val="1"/>
                <w:bCs w:val="1"/>
                <w:color w:val="auto"/>
              </w:rPr>
              <w:t>Baxter International Inc.</w:t>
            </w:r>
          </w:p>
        </w:tc>
        <w:tc>
          <w:tcPr>
            <w:tcW w:w="3280" w:type="dxa"/>
            <w:vAlign w:val="bottom"/>
            <w:shd w:val="clear" w:color="auto" w:fill="EAEAEA"/>
          </w:tcPr>
          <w:p>
            <w:pPr>
              <w:ind w:left="100"/>
              <w:spacing w:after="0"/>
              <w:rPr>
                <w:sz w:val="20"/>
                <w:szCs w:val="20"/>
                <w:color w:val="auto"/>
              </w:rPr>
            </w:pPr>
            <w:r>
              <w:rPr>
                <w:rFonts w:ascii="Arial" w:cs="Arial" w:eastAsia="Arial" w:hAnsi="Arial"/>
                <w:sz w:val="18"/>
                <w:szCs w:val="18"/>
                <w:b w:val="1"/>
                <w:bCs w:val="1"/>
                <w:color w:val="auto"/>
              </w:rPr>
              <w:t>Merck &amp; Co., Inc</w:t>
            </w:r>
          </w:p>
        </w:tc>
        <w:tc>
          <w:tcPr>
            <w:tcW w:w="4100" w:type="dxa"/>
            <w:vAlign w:val="bottom"/>
            <w:shd w:val="clear" w:color="auto" w:fill="EAEAEA"/>
          </w:tcPr>
          <w:p>
            <w:pPr>
              <w:ind w:left="560"/>
              <w:spacing w:after="0"/>
              <w:rPr>
                <w:sz w:val="20"/>
                <w:szCs w:val="20"/>
                <w:color w:val="auto"/>
              </w:rPr>
            </w:pPr>
            <w:r>
              <w:rPr>
                <w:rFonts w:ascii="Arial" w:cs="Arial" w:eastAsia="Arial" w:hAnsi="Arial"/>
                <w:sz w:val="18"/>
                <w:szCs w:val="18"/>
                <w:b w:val="1"/>
                <w:bCs w:val="1"/>
                <w:color w:val="auto"/>
              </w:rPr>
              <w:t>Teva Pharmaceutical Limited</w:t>
            </w:r>
          </w:p>
        </w:tc>
      </w:tr>
      <w:tr>
        <w:trPr>
          <w:trHeight w:val="362"/>
        </w:trPr>
        <w:tc>
          <w:tcPr>
            <w:tcW w:w="3640" w:type="dxa"/>
            <w:vAlign w:val="bottom"/>
          </w:tcPr>
          <w:p>
            <w:pPr>
              <w:spacing w:after="0"/>
              <w:rPr>
                <w:sz w:val="24"/>
                <w:szCs w:val="24"/>
                <w:color w:val="auto"/>
              </w:rPr>
            </w:pPr>
          </w:p>
        </w:tc>
        <w:tc>
          <w:tcPr>
            <w:tcW w:w="3280" w:type="dxa"/>
            <w:vAlign w:val="bottom"/>
          </w:tcPr>
          <w:p>
            <w:pPr>
              <w:ind w:left="1760"/>
              <w:spacing w:after="0"/>
              <w:rPr>
                <w:sz w:val="20"/>
                <w:szCs w:val="20"/>
                <w:color w:val="auto"/>
              </w:rPr>
            </w:pPr>
            <w:r>
              <w:rPr>
                <w:rFonts w:ascii="Arial" w:cs="Arial" w:eastAsia="Arial" w:hAnsi="Arial"/>
                <w:sz w:val="18"/>
                <w:szCs w:val="18"/>
                <w:color w:val="auto"/>
              </w:rPr>
              <w:t>28</w:t>
            </w:r>
          </w:p>
        </w:tc>
        <w:tc>
          <w:tcPr>
            <w:tcW w:w="4100" w:type="dxa"/>
            <w:vAlign w:val="bottom"/>
          </w:tcPr>
          <w:p>
            <w:pPr>
              <w:spacing w:after="0"/>
              <w:rPr>
                <w:sz w:val="24"/>
                <w:szCs w:val="24"/>
                <w:color w:val="auto"/>
              </w:rPr>
            </w:pPr>
          </w:p>
        </w:tc>
      </w:tr>
    </w:tbl>
    <w:p>
      <w:pPr>
        <w:sectPr>
          <w:pgSz w:w="11900" w:h="16838" w:orient="portrait"/>
          <w:cols w:equalWidth="0" w:num="1">
            <w:col w:w="11024"/>
          </w:cols>
          <w:pgMar w:left="436" w:top="298" w:right="439" w:bottom="1440" w:gutter="0" w:footer="0" w:header="0"/>
        </w:sectPr>
      </w:pPr>
    </w:p>
    <w:bookmarkStart w:id="33" w:name="page34"/>
    <w:bookmarkEnd w:id="33"/>
    <w:p>
      <w:pPr>
        <w:spacing w:after="0"/>
        <w:rPr>
          <w:sz w:val="20"/>
          <w:szCs w:val="20"/>
          <w:color w:val="auto"/>
        </w:rPr>
      </w:pPr>
      <w:r>
        <w:rPr>
          <w:rFonts w:ascii="Arial" w:cs="Arial" w:eastAsia="Arial" w:hAnsi="Arial"/>
          <w:sz w:val="24"/>
          <w:szCs w:val="24"/>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Because the Combination was not completed until the middle of the fourth quarter of 2020, most of the elements of the compensation programs affecting 2020 NEO compensation were established by the predecessor organizations prior to the Combination. Accordingly, 2020 compensation is based on the consolidated programs of Mylan, Pfizer (for its Upjohn division), and Viatris – and does not reflect the Viatris program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4"/>
          <w:szCs w:val="24"/>
          <w:b w:val="1"/>
          <w:bCs w:val="1"/>
          <w:color w:val="666666"/>
        </w:rPr>
        <w:t>Elements of 2020 Compensation (Mylan, Upjohn, and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9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Prior to the Combination, the base salaries of Messrs. Coury, Malik, and Mauro were established by Mylan’s Compensation Committee, and the base salaries of Messrs. Goettler and Narula were established by Pfizer.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After closing of the Combination, the Viatris Compensation Committee, with the advice of an independent compensation consultant, established base salaries for the NEOs commensurate with their new roles with Viatris. Messrs. Goettler and Narula received base salary increases commensurate with their assumption of significantly more responsibility in their roles as the Chief Executive Officer and Chief Financial Officer, respectively, of an approximately $20 billion market cap public company, as of December 31, 2020, as compared to their prior roles as executives within an operating division of Pfizer. Mr. Malik’s base salary was adjusted in part in recognition of his increased responsibilities with Viatris, which include oversight of the integration and leading efforts to meet synergy targets. Base salaries for Messrs. Coury and Mauro remained flat compared to their salaries prior to the closing of the Combination.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81" w:right="439" w:bottom="1440" w:gutter="0" w:footer="0" w:header="0"/>
        </w:sectPr>
      </w:pPr>
    </w:p>
    <w:bookmarkStart w:id="34" w:name="page35"/>
    <w:bookmarkEnd w:id="34"/>
    <w:p>
      <w:pPr>
        <w:jc w:val="both"/>
        <w:ind w:left="4"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Set forth below are the total annual base salaries that the NEOs were eligible to receive in 2020 while employed by Mylan or Upjohn, respectively, and Viatris post-Combination. See the Summary Compensation Table on pages 42-44 for the combined </w:t>
      </w:r>
      <w:r>
        <w:rPr>
          <w:rFonts w:ascii="Arial" w:cs="Arial" w:eastAsia="Arial" w:hAnsi="Arial"/>
          <w:sz w:val="18"/>
          <w:szCs w:val="18"/>
          <w:i w:val="1"/>
          <w:iCs w:val="1"/>
          <w:color w:val="auto"/>
        </w:rPr>
        <w:t>actual</w:t>
      </w:r>
      <w:r>
        <w:rPr>
          <w:rFonts w:ascii="Arial" w:cs="Arial" w:eastAsia="Arial" w:hAnsi="Arial"/>
          <w:sz w:val="18"/>
          <w:szCs w:val="18"/>
          <w:color w:val="auto"/>
        </w:rPr>
        <w:t xml:space="preserve"> 2020 salary for each NEO.</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486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3480" w:type="dxa"/>
            <w:vAlign w:val="bottom"/>
            <w:tcBorders>
              <w:bottom w:val="single" w:sz="8" w:color="732282"/>
            </w:tcBorders>
          </w:tcPr>
          <w:p>
            <w:pPr>
              <w:spacing w:after="0"/>
              <w:rPr>
                <w:sz w:val="14"/>
                <w:szCs w:val="14"/>
                <w:color w:val="auto"/>
              </w:rPr>
            </w:pPr>
          </w:p>
        </w:tc>
        <w:tc>
          <w:tcPr>
            <w:tcW w:w="1180" w:type="dxa"/>
            <w:vAlign w:val="bottom"/>
            <w:tcBorders>
              <w:bottom w:val="single" w:sz="8" w:color="732282"/>
            </w:tcBorders>
          </w:tcPr>
          <w:p>
            <w:pPr>
              <w:jc w:val="right"/>
              <w:ind w:right="176"/>
              <w:spacing w:after="0"/>
              <w:rPr>
                <w:sz w:val="20"/>
                <w:szCs w:val="20"/>
                <w:color w:val="auto"/>
              </w:rPr>
            </w:pPr>
            <w:r>
              <w:rPr>
                <w:rFonts w:ascii="Arial" w:cs="Arial" w:eastAsia="Arial" w:hAnsi="Arial"/>
                <w:sz w:val="13"/>
                <w:szCs w:val="13"/>
                <w:b w:val="1"/>
                <w:bCs w:val="1"/>
                <w:color w:val="732282"/>
              </w:rPr>
              <w:t>Legacy Salary</w:t>
            </w:r>
          </w:p>
        </w:tc>
        <w:tc>
          <w:tcPr>
            <w:tcW w:w="400" w:type="dxa"/>
            <w:vAlign w:val="bottom"/>
            <w:tcBorders>
              <w:bottom w:val="single" w:sz="8" w:color="732282"/>
            </w:tcBorders>
          </w:tcPr>
          <w:p>
            <w:pPr>
              <w:spacing w:after="0"/>
              <w:rPr>
                <w:sz w:val="14"/>
                <w:szCs w:val="14"/>
                <w:color w:val="auto"/>
              </w:rPr>
            </w:pPr>
          </w:p>
        </w:tc>
        <w:tc>
          <w:tcPr>
            <w:tcW w:w="1100" w:type="dxa"/>
            <w:vAlign w:val="bottom"/>
            <w:tcBorders>
              <w:bottom w:val="single" w:sz="8" w:color="732282"/>
            </w:tcBorders>
          </w:tcPr>
          <w:p>
            <w:pPr>
              <w:jc w:val="right"/>
              <w:ind w:right="136"/>
              <w:spacing w:after="0"/>
              <w:rPr>
                <w:sz w:val="20"/>
                <w:szCs w:val="20"/>
                <w:color w:val="auto"/>
              </w:rPr>
            </w:pPr>
            <w:r>
              <w:rPr>
                <w:rFonts w:ascii="Arial" w:cs="Arial" w:eastAsia="Arial" w:hAnsi="Arial"/>
                <w:sz w:val="13"/>
                <w:szCs w:val="13"/>
                <w:b w:val="1"/>
                <w:bCs w:val="1"/>
                <w:color w:val="732282"/>
              </w:rPr>
              <w:t>Viatris Salary</w:t>
            </w:r>
          </w:p>
        </w:tc>
      </w:tr>
      <w:tr>
        <w:trPr>
          <w:trHeight w:val="196"/>
        </w:trPr>
        <w:tc>
          <w:tcPr>
            <w:tcW w:w="48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Robert J. Coury</w:t>
            </w:r>
          </w:p>
        </w:tc>
        <w:tc>
          <w:tcPr>
            <w:tcW w:w="3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1,800,000</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1,800,000</w:t>
            </w:r>
          </w:p>
        </w:tc>
      </w:tr>
      <w:tr>
        <w:trPr>
          <w:trHeight w:val="203"/>
        </w:trPr>
        <w:tc>
          <w:tcPr>
            <w:tcW w:w="48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Michael Goettler</w:t>
            </w:r>
          </w:p>
        </w:tc>
        <w:tc>
          <w:tcPr>
            <w:tcW w:w="3480" w:type="dxa"/>
            <w:vAlign w:val="bottom"/>
          </w:tcPr>
          <w:p>
            <w:pPr>
              <w:spacing w:after="0"/>
              <w:rPr>
                <w:sz w:val="17"/>
                <w:szCs w:val="17"/>
                <w:color w:val="auto"/>
              </w:rPr>
            </w:pPr>
          </w:p>
        </w:tc>
        <w:tc>
          <w:tcPr>
            <w:tcW w:w="118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$825,000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1,300,000</w:t>
            </w:r>
          </w:p>
        </w:tc>
      </w:tr>
      <w:tr>
        <w:trPr>
          <w:trHeight w:val="203"/>
        </w:trPr>
        <w:tc>
          <w:tcPr>
            <w:tcW w:w="4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Rajiv Malik</w:t>
            </w:r>
          </w:p>
        </w:tc>
        <w:tc>
          <w:tcPr>
            <w:tcW w:w="3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1,150,000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1,200,000</w:t>
            </w:r>
          </w:p>
        </w:tc>
      </w:tr>
      <w:tr>
        <w:trPr>
          <w:trHeight w:val="203"/>
        </w:trPr>
        <w:tc>
          <w:tcPr>
            <w:tcW w:w="48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Sanjeev Narula</w:t>
            </w:r>
          </w:p>
        </w:tc>
        <w:tc>
          <w:tcPr>
            <w:tcW w:w="3480" w:type="dxa"/>
            <w:vAlign w:val="bottom"/>
          </w:tcPr>
          <w:p>
            <w:pPr>
              <w:spacing w:after="0"/>
              <w:rPr>
                <w:sz w:val="17"/>
                <w:szCs w:val="17"/>
                <w:color w:val="auto"/>
              </w:rPr>
            </w:pPr>
          </w:p>
        </w:tc>
        <w:tc>
          <w:tcPr>
            <w:tcW w:w="118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$515,000</w:t>
            </w:r>
          </w:p>
        </w:tc>
        <w:tc>
          <w:tcPr>
            <w:tcW w:w="400" w:type="dxa"/>
            <w:vAlign w:val="bottom"/>
          </w:tcPr>
          <w:p>
            <w:pPr>
              <w:spacing w:after="0"/>
              <w:rPr>
                <w:sz w:val="17"/>
                <w:szCs w:val="17"/>
                <w:color w:val="auto"/>
              </w:rPr>
            </w:pPr>
          </w:p>
        </w:tc>
        <w:tc>
          <w:tcPr>
            <w:tcW w:w="11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4860" w:type="dxa"/>
            <w:vAlign w:val="bottom"/>
            <w:tcBorders>
              <w:bottom w:val="single" w:sz="8" w:color="732282"/>
            </w:tcBorders>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Anthony Mauro</w:t>
            </w:r>
          </w:p>
        </w:tc>
        <w:tc>
          <w:tcPr>
            <w:tcW w:w="3480" w:type="dxa"/>
            <w:vAlign w:val="bottom"/>
            <w:tcBorders>
              <w:bottom w:val="single" w:sz="8" w:color="732282"/>
            </w:tcBorders>
            <w:shd w:val="clear" w:color="auto" w:fill="CCEEFF"/>
          </w:tcPr>
          <w:p>
            <w:pPr>
              <w:spacing w:after="0"/>
              <w:rPr>
                <w:sz w:val="17"/>
                <w:szCs w:val="17"/>
                <w:color w:val="auto"/>
              </w:rPr>
            </w:pPr>
          </w:p>
        </w:tc>
        <w:tc>
          <w:tcPr>
            <w:tcW w:w="1180" w:type="dxa"/>
            <w:vAlign w:val="bottom"/>
            <w:tcBorders>
              <w:bottom w:val="single" w:sz="8" w:color="732282"/>
            </w:tcBorders>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$800,000</w:t>
            </w:r>
          </w:p>
        </w:tc>
        <w:tc>
          <w:tcPr>
            <w:tcW w:w="400" w:type="dxa"/>
            <w:vAlign w:val="bottom"/>
            <w:tcBorders>
              <w:bottom w:val="single" w:sz="8" w:color="732282"/>
            </w:tcBorders>
            <w:shd w:val="clear" w:color="auto" w:fill="CCEEFF"/>
          </w:tcPr>
          <w:p>
            <w:pPr>
              <w:spacing w:after="0"/>
              <w:rPr>
                <w:sz w:val="17"/>
                <w:szCs w:val="17"/>
                <w:color w:val="auto"/>
              </w:rPr>
            </w:pPr>
          </w:p>
        </w:tc>
        <w:tc>
          <w:tcPr>
            <w:tcW w:w="1100" w:type="dxa"/>
            <w:vAlign w:val="bottom"/>
            <w:tcBorders>
              <w:bottom w:val="single" w:sz="8" w:color="732282"/>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$800,000</w:t>
            </w: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2020 Annual Incentive Compensation Programs</w:t>
      </w:r>
    </w:p>
    <w:p>
      <w:pPr>
        <w:spacing w:after="0" w:line="9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After closing of the Combination, the Viatris Compensation Committee and Board decided that annual incentive payouts for 2020 would be based on a combination of Mylan’s, Pfizer’s and Viatris’ bonus programs based on (a) actual performance (in their legacy roles) during the first three fiscal quarters of 2020 and (b) target bonus for the remaining fiscal quarter of 2020. The following discussion provides details regarding 2020 annual incentive compensation determinations relating to the NEOs based on the above-noted timeframes and calculations.</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Pre-Combination Legacy Mylan 2020 Annual Incentive Compensation Targets</w:t>
      </w:r>
    </w:p>
    <w:p>
      <w:pPr>
        <w:spacing w:after="0" w:line="97"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The Mylan Compensation Committee approved performance-based annual cash awards to motivate the Mylan executive officers to achieve certain operational and financial goals identified as important to the successful execution of Mylan’s business strategies and which were aligned with the creation of shareholder value.</w:t>
      </w:r>
    </w:p>
    <w:p>
      <w:pPr>
        <w:spacing w:after="0" w:line="154"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color w:val="auto"/>
        </w:rPr>
        <w:t>Individual annual incentive payout targets were established for each NEO, expressed as a percentage of base salary, as noted in the table below. Actual payouts could range from 0% to 200% of each NEO’s annual incentive target based on achievement of performance goals.</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4760" w:type="dxa"/>
            <w:vAlign w:val="bottom"/>
          </w:tcPr>
          <w:p>
            <w:pPr>
              <w:jc w:val="right"/>
              <w:ind w:right="424"/>
              <w:spacing w:after="0"/>
              <w:rPr>
                <w:sz w:val="20"/>
                <w:szCs w:val="20"/>
                <w:color w:val="auto"/>
              </w:rPr>
            </w:pPr>
            <w:r>
              <w:rPr>
                <w:rFonts w:ascii="Arial" w:cs="Arial" w:eastAsia="Arial" w:hAnsi="Arial"/>
                <w:sz w:val="13"/>
                <w:szCs w:val="13"/>
                <w:b w:val="1"/>
                <w:bCs w:val="1"/>
                <w:color w:val="732282"/>
              </w:rPr>
              <w:t>Target Annual</w:t>
            </w:r>
          </w:p>
        </w:tc>
        <w:tc>
          <w:tcPr>
            <w:tcW w:w="1580" w:type="dxa"/>
            <w:vAlign w:val="bottom"/>
          </w:tcPr>
          <w:p>
            <w:pPr>
              <w:spacing w:after="0"/>
              <w:rPr>
                <w:sz w:val="13"/>
                <w:szCs w:val="13"/>
                <w:color w:val="auto"/>
              </w:rPr>
            </w:pPr>
          </w:p>
        </w:tc>
      </w:tr>
      <w:tr>
        <w:trPr>
          <w:trHeight w:val="148"/>
        </w:trPr>
        <w:tc>
          <w:tcPr>
            <w:tcW w:w="4680" w:type="dxa"/>
            <w:vAlign w:val="bottom"/>
          </w:tcPr>
          <w:p>
            <w:pPr>
              <w:spacing w:after="0"/>
              <w:rPr>
                <w:sz w:val="12"/>
                <w:szCs w:val="12"/>
                <w:color w:val="auto"/>
              </w:rPr>
            </w:pPr>
          </w:p>
        </w:tc>
        <w:tc>
          <w:tcPr>
            <w:tcW w:w="4760" w:type="dxa"/>
            <w:vAlign w:val="bottom"/>
          </w:tcPr>
          <w:p>
            <w:pPr>
              <w:jc w:val="right"/>
              <w:ind w:right="424"/>
              <w:spacing w:after="0"/>
              <w:rPr>
                <w:sz w:val="20"/>
                <w:szCs w:val="20"/>
                <w:color w:val="auto"/>
              </w:rPr>
            </w:pPr>
            <w:r>
              <w:rPr>
                <w:rFonts w:ascii="Arial" w:cs="Arial" w:eastAsia="Arial" w:hAnsi="Arial"/>
                <w:sz w:val="13"/>
                <w:szCs w:val="13"/>
                <w:b w:val="1"/>
                <w:bCs w:val="1"/>
                <w:color w:val="732282"/>
              </w:rPr>
              <w:t>Incentive</w:t>
            </w:r>
          </w:p>
        </w:tc>
        <w:tc>
          <w:tcPr>
            <w:tcW w:w="1580" w:type="dxa"/>
            <w:vAlign w:val="bottom"/>
          </w:tcPr>
          <w:p>
            <w:pPr>
              <w:spacing w:after="0"/>
              <w:rPr>
                <w:sz w:val="12"/>
                <w:szCs w:val="12"/>
                <w:color w:val="auto"/>
              </w:rPr>
            </w:pPr>
          </w:p>
        </w:tc>
      </w:tr>
      <w:tr>
        <w:trPr>
          <w:trHeight w:val="152"/>
        </w:trPr>
        <w:tc>
          <w:tcPr>
            <w:tcW w:w="4680" w:type="dxa"/>
            <w:vAlign w:val="bottom"/>
          </w:tcPr>
          <w:p>
            <w:pPr>
              <w:spacing w:after="0"/>
              <w:rPr>
                <w:sz w:val="13"/>
                <w:szCs w:val="13"/>
                <w:color w:val="auto"/>
              </w:rPr>
            </w:pPr>
          </w:p>
        </w:tc>
        <w:tc>
          <w:tcPr>
            <w:tcW w:w="4760" w:type="dxa"/>
            <w:vAlign w:val="bottom"/>
          </w:tcPr>
          <w:p>
            <w:pPr>
              <w:jc w:val="right"/>
              <w:ind w:right="424"/>
              <w:spacing w:after="0"/>
              <w:rPr>
                <w:sz w:val="20"/>
                <w:szCs w:val="20"/>
                <w:color w:val="auto"/>
              </w:rPr>
            </w:pPr>
            <w:r>
              <w:rPr>
                <w:rFonts w:ascii="Arial" w:cs="Arial" w:eastAsia="Arial" w:hAnsi="Arial"/>
                <w:sz w:val="13"/>
                <w:szCs w:val="13"/>
                <w:b w:val="1"/>
                <w:bCs w:val="1"/>
                <w:color w:val="732282"/>
              </w:rPr>
              <w:t>(as % of</w:t>
            </w:r>
          </w:p>
        </w:tc>
        <w:tc>
          <w:tcPr>
            <w:tcW w:w="1580" w:type="dxa"/>
            <w:vAlign w:val="bottom"/>
          </w:tcPr>
          <w:p>
            <w:pPr>
              <w:jc w:val="right"/>
              <w:ind w:right="240"/>
              <w:spacing w:after="0"/>
              <w:rPr>
                <w:sz w:val="20"/>
                <w:szCs w:val="20"/>
                <w:color w:val="auto"/>
              </w:rPr>
            </w:pPr>
            <w:r>
              <w:rPr>
                <w:rFonts w:ascii="Arial" w:cs="Arial" w:eastAsia="Arial" w:hAnsi="Arial"/>
                <w:sz w:val="13"/>
                <w:szCs w:val="13"/>
                <w:b w:val="1"/>
                <w:bCs w:val="1"/>
                <w:color w:val="732282"/>
              </w:rPr>
              <w:t>Target Annual</w:t>
            </w:r>
          </w:p>
        </w:tc>
      </w:tr>
      <w:tr>
        <w:trPr>
          <w:trHeight w:val="176"/>
        </w:trPr>
        <w:tc>
          <w:tcPr>
            <w:tcW w:w="468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4760" w:type="dxa"/>
            <w:vAlign w:val="bottom"/>
            <w:tcBorders>
              <w:bottom w:val="single" w:sz="8" w:color="732282"/>
            </w:tcBorders>
          </w:tcPr>
          <w:p>
            <w:pPr>
              <w:jc w:val="right"/>
              <w:ind w:right="424"/>
              <w:spacing w:after="0"/>
              <w:rPr>
                <w:sz w:val="20"/>
                <w:szCs w:val="20"/>
                <w:color w:val="auto"/>
              </w:rPr>
            </w:pPr>
            <w:r>
              <w:rPr>
                <w:rFonts w:ascii="Arial" w:cs="Arial" w:eastAsia="Arial" w:hAnsi="Arial"/>
                <w:sz w:val="13"/>
                <w:szCs w:val="13"/>
                <w:b w:val="1"/>
                <w:bCs w:val="1"/>
                <w:color w:val="732282"/>
              </w:rPr>
              <w:t>Base Salary)</w:t>
            </w:r>
          </w:p>
        </w:tc>
        <w:tc>
          <w:tcPr>
            <w:tcW w:w="1580" w:type="dxa"/>
            <w:vAlign w:val="bottom"/>
            <w:tcBorders>
              <w:bottom w:val="single" w:sz="8" w:color="732282"/>
            </w:tcBorders>
          </w:tcPr>
          <w:p>
            <w:pPr>
              <w:jc w:val="right"/>
              <w:ind w:right="240"/>
              <w:spacing w:after="0"/>
              <w:rPr>
                <w:sz w:val="20"/>
                <w:szCs w:val="20"/>
                <w:color w:val="auto"/>
              </w:rPr>
            </w:pPr>
            <w:r>
              <w:rPr>
                <w:rFonts w:ascii="Arial" w:cs="Arial" w:eastAsia="Arial" w:hAnsi="Arial"/>
                <w:sz w:val="13"/>
                <w:szCs w:val="13"/>
                <w:b w:val="1"/>
                <w:bCs w:val="1"/>
                <w:color w:val="732282"/>
              </w:rPr>
              <w:t>Incentive ($)*</w:t>
            </w:r>
          </w:p>
        </w:tc>
      </w:tr>
      <w:tr>
        <w:trPr>
          <w:trHeight w:val="196"/>
        </w:trPr>
        <w:tc>
          <w:tcPr>
            <w:tcW w:w="46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Robert J. Coury</w:t>
            </w:r>
          </w:p>
        </w:tc>
        <w:tc>
          <w:tcPr>
            <w:tcW w:w="4760" w:type="dxa"/>
            <w:vAlign w:val="bottom"/>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150%</w:t>
            </w:r>
          </w:p>
        </w:tc>
        <w:tc>
          <w:tcPr>
            <w:tcW w:w="1580" w:type="dxa"/>
            <w:vAlign w:val="bottom"/>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$ 2,700,000</w:t>
            </w:r>
          </w:p>
        </w:tc>
      </w:tr>
      <w:tr>
        <w:trPr>
          <w:trHeight w:val="206"/>
        </w:trPr>
        <w:tc>
          <w:tcPr>
            <w:tcW w:w="4680" w:type="dxa"/>
            <w:vAlign w:val="bottom"/>
          </w:tcPr>
          <w:p>
            <w:pPr>
              <w:ind w:left="100"/>
              <w:spacing w:after="0" w:line="206" w:lineRule="exact"/>
              <w:rPr>
                <w:sz w:val="20"/>
                <w:szCs w:val="20"/>
                <w:color w:val="auto"/>
              </w:rPr>
            </w:pPr>
            <w:r>
              <w:rPr>
                <w:rFonts w:ascii="Arial" w:cs="Arial" w:eastAsia="Arial" w:hAnsi="Arial"/>
                <w:sz w:val="18"/>
                <w:szCs w:val="18"/>
                <w:color w:val="auto"/>
              </w:rPr>
              <w:t>Rajiv Malik</w:t>
            </w:r>
          </w:p>
        </w:tc>
        <w:tc>
          <w:tcPr>
            <w:tcW w:w="4760" w:type="dxa"/>
            <w:vAlign w:val="bottom"/>
          </w:tcPr>
          <w:p>
            <w:pPr>
              <w:jc w:val="right"/>
              <w:ind w:right="264"/>
              <w:spacing w:after="0" w:line="206" w:lineRule="exact"/>
              <w:rPr>
                <w:sz w:val="20"/>
                <w:szCs w:val="20"/>
                <w:color w:val="auto"/>
              </w:rPr>
            </w:pPr>
            <w:r>
              <w:rPr>
                <w:rFonts w:ascii="Arial" w:cs="Arial" w:eastAsia="Arial" w:hAnsi="Arial"/>
                <w:sz w:val="18"/>
                <w:szCs w:val="18"/>
                <w:color w:val="auto"/>
              </w:rPr>
              <w:t>125%</w:t>
            </w:r>
          </w:p>
        </w:tc>
        <w:tc>
          <w:tcPr>
            <w:tcW w:w="1580" w:type="dxa"/>
            <w:vAlign w:val="bottom"/>
          </w:tcPr>
          <w:p>
            <w:pPr>
              <w:jc w:val="right"/>
              <w:ind w:right="240"/>
              <w:spacing w:after="0" w:line="206" w:lineRule="exact"/>
              <w:rPr>
                <w:sz w:val="20"/>
                <w:szCs w:val="20"/>
                <w:color w:val="auto"/>
              </w:rPr>
            </w:pPr>
            <w:r>
              <w:rPr>
                <w:rFonts w:ascii="Arial" w:cs="Arial" w:eastAsia="Arial" w:hAnsi="Arial"/>
                <w:sz w:val="18"/>
                <w:szCs w:val="18"/>
                <w:color w:val="auto"/>
              </w:rPr>
              <w:t>$ 1,445,355</w:t>
            </w:r>
          </w:p>
        </w:tc>
      </w:tr>
      <w:tr>
        <w:trPr>
          <w:trHeight w:val="211"/>
        </w:trPr>
        <w:tc>
          <w:tcPr>
            <w:tcW w:w="4680" w:type="dxa"/>
            <w:vAlign w:val="bottom"/>
          </w:tcPr>
          <w:p>
            <w:pPr>
              <w:ind w:left="100"/>
              <w:spacing w:after="0"/>
              <w:rPr>
                <w:sz w:val="20"/>
                <w:szCs w:val="20"/>
                <w:color w:val="auto"/>
              </w:rPr>
            </w:pPr>
            <w:r>
              <w:rPr>
                <w:rFonts w:ascii="Arial" w:cs="Arial" w:eastAsia="Arial" w:hAnsi="Arial"/>
                <w:sz w:val="18"/>
                <w:szCs w:val="18"/>
                <w:color w:val="auto"/>
              </w:rPr>
              <w:t>Anthony Mauro</w:t>
            </w:r>
          </w:p>
        </w:tc>
        <w:tc>
          <w:tcPr>
            <w:tcW w:w="4760" w:type="dxa"/>
            <w:vAlign w:val="bottom"/>
          </w:tcPr>
          <w:p>
            <w:pPr>
              <w:jc w:val="right"/>
              <w:ind w:right="264"/>
              <w:spacing w:after="0"/>
              <w:rPr>
                <w:sz w:val="20"/>
                <w:szCs w:val="20"/>
                <w:color w:val="auto"/>
              </w:rPr>
            </w:pPr>
            <w:r>
              <w:rPr>
                <w:rFonts w:ascii="Arial" w:cs="Arial" w:eastAsia="Arial" w:hAnsi="Arial"/>
                <w:sz w:val="18"/>
                <w:szCs w:val="18"/>
                <w:color w:val="auto"/>
              </w:rPr>
              <w:t>115%</w:t>
            </w:r>
          </w:p>
        </w:tc>
        <w:tc>
          <w:tcPr>
            <w:tcW w:w="1580" w:type="dxa"/>
            <w:vAlign w:val="bottom"/>
          </w:tcPr>
          <w:p>
            <w:pPr>
              <w:jc w:val="right"/>
              <w:ind w:right="240"/>
              <w:spacing w:after="0"/>
              <w:rPr>
                <w:sz w:val="20"/>
                <w:szCs w:val="20"/>
                <w:color w:val="auto"/>
              </w:rPr>
            </w:pPr>
            <w:r>
              <w:rPr>
                <w:rFonts w:ascii="Arial" w:cs="Arial" w:eastAsia="Arial" w:hAnsi="Arial"/>
                <w:sz w:val="18"/>
                <w:szCs w:val="18"/>
                <w:color w:val="auto"/>
              </w:rPr>
              <w:t>$920,000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left="424" w:hanging="424"/>
        <w:spacing w:after="0" w:line="248" w:lineRule="auto"/>
        <w:tabs>
          <w:tab w:leader="none" w:pos="424"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 Mr. Coury, the target annual incentive was established in connection with the Executive Chairman Agreement. For Mr. Malik, the target represents a blended target annual incentive based on his salary of $1.15 million through November 15, 2020 and $1.2 million through the remainder of 2020. Mr. Malik’s target bonus percentage of 125% did not change during the year.</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Pre-Combination Mylan 2020 Annual Incentive Metrics and Goals</w:t>
      </w:r>
    </w:p>
    <w:p>
      <w:pPr>
        <w:spacing w:after="0" w:line="97"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In 2020, the Mylan Compensation Committee set adjusted EBITDA and global regulatory submissions as equally-weighted metrics (50% each) in its annual incentive program.</w:t>
      </w:r>
    </w:p>
    <w:p>
      <w:pPr>
        <w:spacing w:after="0" w:line="155"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The Mylan Compensation Committee considered adjusted EBITDA an important measure of the company’s profitability and a way to motivate executives to focus on both top-line growth as well as efficient operations. Adjusted EBITDA replaced the prior year’s adjusted diluted earnings per ordinary share metric</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318" w:right="439" w:bottom="1440" w:gutter="0" w:footer="0" w:header="0"/>
        </w:sectPr>
      </w:pPr>
    </w:p>
    <w:bookmarkStart w:id="35" w:name="page36"/>
    <w:bookmarkEnd w:id="3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was responsive to shareholder feedback suggesting the use of metrics that were not denominated on a per-share basis.</w:t>
      </w:r>
    </w:p>
    <w:p>
      <w:pPr>
        <w:spacing w:after="0" w:line="158"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8"/>
          <w:szCs w:val="18"/>
          <w:color w:val="auto"/>
        </w:rPr>
        <w:t>The Mylan Compensation Committee continued the use of global regulatory submissions as an annual incentive metric due to the clear importance of developing and launching a robust pipeline of molecules that Mylan could manufacture and sell over subsequent years. The Mylan Compensation Committee believed that a robust product pipeline supported the sustainability of the business model and also served Mylan’s mission of providing access to high quality, affordable medications.</w:t>
      </w:r>
    </w:p>
    <w:p>
      <w:pPr>
        <w:spacing w:after="0" w:line="154"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The respective targets related to these metrics and Mylan’s performance are described in the next section entitled “2020 Annual Incentive Performance Relating to Mylan Legacy Executives”.</w:t>
      </w:r>
    </w:p>
    <w:p>
      <w:pPr>
        <w:spacing w:after="0" w:line="155" w:lineRule="exact"/>
        <w:rPr>
          <w:sz w:val="20"/>
          <w:szCs w:val="20"/>
          <w:color w:val="auto"/>
        </w:rPr>
      </w:pPr>
    </w:p>
    <w:p>
      <w:pPr>
        <w:jc w:val="both"/>
        <w:ind w:left="4"/>
        <w:spacing w:after="0" w:line="235" w:lineRule="auto"/>
        <w:rPr>
          <w:sz w:val="20"/>
          <w:szCs w:val="20"/>
          <w:color w:val="auto"/>
        </w:rPr>
      </w:pPr>
      <w:r>
        <w:rPr>
          <w:rFonts w:ascii="Arial" w:cs="Arial" w:eastAsia="Arial" w:hAnsi="Arial"/>
          <w:sz w:val="18"/>
          <w:szCs w:val="18"/>
          <w:color w:val="auto"/>
        </w:rPr>
        <w:t>In setting these goals, the Mylan Compensation Committee considered a broad variety of data, including industry forecasts, internal projections, demographic data, advice from outside advisors, benchmarking data, and the company’s annual operating plan. The Mylan Compensation Committee also considered the variability and cyclicality of the business, noting that targets may increase or decrease from year to year due to factors impacting the business, such as market conditions, the regulatory environment, timing of product approvals, and both immediate and long-term strategic priorities of the business. The targets may vary while still retaining the same level of rigor and motivational impact on the executive team and aligning with the company’s long-term strategy for sustainable business development and its goal of creating value for shareholders. In 2020, as the company focused on its strategic priority of economic profit, it was necessary to make incremental investments in both sales and marketing as well as R&amp;D efforts and to divest certain products. These investments and actions were intended to support long-term value creation for shareholders and other stakeholders by, among other things, furthering Mylan’s efforts to move its portfolio and pipeline up the value chain, investing organically in key brands, and executing on Mylan’s commercial assets around the globe. The Mylan Compensation Committee recognized that these investments would be expected to reduce adjusted EBITDA in 2020 while serving long-term strategic, shareholder, and other interests. In addition, global regulatory submissions were expected to be lower in 2020 as compared to 2019 due to a heavier emphasis on more challenging specialty and complex generic products and Mylan’s focus on submission of products expected to generate greater economic profit.</w:t>
      </w:r>
    </w:p>
    <w:p>
      <w:pPr>
        <w:spacing w:after="0" w:line="160"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 xml:space="preserve">Due to the unknown timing of the closing of the Combination, as well as the expectation that 2020 would be a transition year due to the Combination, the Mylan Compensation Committee set a </w:t>
      </w:r>
      <w:r>
        <w:rPr>
          <w:rFonts w:ascii="Arial" w:cs="Arial" w:eastAsia="Arial" w:hAnsi="Arial"/>
          <w:sz w:val="18"/>
          <w:szCs w:val="18"/>
          <w:i w:val="1"/>
          <w:iCs w:val="1"/>
          <w:color w:val="auto"/>
        </w:rPr>
        <w:t>target range</w:t>
      </w:r>
      <w:r>
        <w:rPr>
          <w:rFonts w:ascii="Arial" w:cs="Arial" w:eastAsia="Arial" w:hAnsi="Arial"/>
          <w:sz w:val="18"/>
          <w:szCs w:val="18"/>
          <w:color w:val="auto"/>
        </w:rPr>
        <w:t>, rather than a point target goal, for the adjusted EBITDA metric in the annual incentive program.</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2020 Annual Incentive Performance Relating to Mylan Legacy Executives</w:t>
      </w:r>
    </w:p>
    <w:p>
      <w:pPr>
        <w:spacing w:after="0" w:line="97"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The table below shows the targets and actual performance results relating to each annual incentive compensation metric during the first three quarters of 2020.</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308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Metric</w:t>
            </w:r>
          </w:p>
        </w:tc>
        <w:tc>
          <w:tcPr>
            <w:tcW w:w="1180" w:type="dxa"/>
            <w:vAlign w:val="bottom"/>
            <w:tcBorders>
              <w:bottom w:val="single" w:sz="8" w:color="732282"/>
            </w:tcBorders>
          </w:tcPr>
          <w:p>
            <w:pPr>
              <w:jc w:val="center"/>
              <w:ind w:left="59"/>
              <w:spacing w:after="0"/>
              <w:rPr>
                <w:sz w:val="20"/>
                <w:szCs w:val="20"/>
                <w:color w:val="auto"/>
              </w:rPr>
            </w:pPr>
            <w:r>
              <w:rPr>
                <w:rFonts w:ascii="Arial" w:cs="Arial" w:eastAsia="Arial" w:hAnsi="Arial"/>
                <w:sz w:val="13"/>
                <w:szCs w:val="13"/>
                <w:b w:val="1"/>
                <w:bCs w:val="1"/>
                <w:color w:val="732282"/>
              </w:rPr>
              <w:t>Weighting</w:t>
            </w:r>
          </w:p>
        </w:tc>
        <w:tc>
          <w:tcPr>
            <w:tcW w:w="142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Threshold</w:t>
            </w:r>
          </w:p>
        </w:tc>
        <w:tc>
          <w:tcPr>
            <w:tcW w:w="252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Target</w:t>
            </w:r>
          </w:p>
        </w:tc>
        <w:tc>
          <w:tcPr>
            <w:tcW w:w="140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Maximum</w:t>
            </w:r>
          </w:p>
        </w:tc>
        <w:tc>
          <w:tcPr>
            <w:tcW w:w="142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Mylan Results*</w:t>
            </w:r>
          </w:p>
        </w:tc>
      </w:tr>
      <w:tr>
        <w:trPr>
          <w:trHeight w:val="196"/>
        </w:trPr>
        <w:tc>
          <w:tcPr>
            <w:tcW w:w="30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Adjusted EBITDA**</w:t>
            </w:r>
          </w:p>
        </w:tc>
        <w:tc>
          <w:tcPr>
            <w:tcW w:w="1180" w:type="dxa"/>
            <w:vAlign w:val="bottom"/>
            <w:shd w:val="clear" w:color="auto" w:fill="CCEEFF"/>
          </w:tcPr>
          <w:p>
            <w:pPr>
              <w:jc w:val="center"/>
              <w:ind w:left="59"/>
              <w:spacing w:after="0" w:line="196" w:lineRule="exact"/>
              <w:rPr>
                <w:sz w:val="20"/>
                <w:szCs w:val="20"/>
                <w:color w:val="auto"/>
              </w:rPr>
            </w:pPr>
            <w:r>
              <w:rPr>
                <w:rFonts w:ascii="Arial" w:cs="Arial" w:eastAsia="Arial" w:hAnsi="Arial"/>
                <w:sz w:val="18"/>
                <w:szCs w:val="18"/>
                <w:color w:val="auto"/>
                <w:w w:val="99"/>
              </w:rPr>
              <w:t>50%</w:t>
            </w:r>
          </w:p>
        </w:tc>
        <w:tc>
          <w:tcPr>
            <w:tcW w:w="14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$2,170 million</w:t>
            </w:r>
          </w:p>
        </w:tc>
        <w:tc>
          <w:tcPr>
            <w:tcW w:w="2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$2,290 million -$2,531 million</w:t>
            </w: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$2,652 million</w:t>
            </w:r>
          </w:p>
        </w:tc>
        <w:tc>
          <w:tcPr>
            <w:tcW w:w="14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$2,614 million</w:t>
            </w:r>
          </w:p>
        </w:tc>
      </w:tr>
      <w:tr>
        <w:trPr>
          <w:trHeight w:val="214"/>
        </w:trPr>
        <w:tc>
          <w:tcPr>
            <w:tcW w:w="3080" w:type="dxa"/>
            <w:vAlign w:val="bottom"/>
          </w:tcPr>
          <w:p>
            <w:pPr>
              <w:ind w:left="100"/>
              <w:spacing w:after="0"/>
              <w:rPr>
                <w:sz w:val="20"/>
                <w:szCs w:val="20"/>
                <w:color w:val="auto"/>
              </w:rPr>
            </w:pPr>
            <w:r>
              <w:rPr>
                <w:rFonts w:ascii="Arial" w:cs="Arial" w:eastAsia="Arial" w:hAnsi="Arial"/>
                <w:sz w:val="18"/>
                <w:szCs w:val="18"/>
                <w:color w:val="auto"/>
              </w:rPr>
              <w:t>Global Regulatory Submissions***</w:t>
            </w:r>
          </w:p>
        </w:tc>
        <w:tc>
          <w:tcPr>
            <w:tcW w:w="1180" w:type="dxa"/>
            <w:vAlign w:val="bottom"/>
          </w:tcPr>
          <w:p>
            <w:pPr>
              <w:jc w:val="center"/>
              <w:ind w:left="59"/>
              <w:spacing w:after="0"/>
              <w:rPr>
                <w:sz w:val="20"/>
                <w:szCs w:val="20"/>
                <w:color w:val="auto"/>
              </w:rPr>
            </w:pPr>
            <w:r>
              <w:rPr>
                <w:rFonts w:ascii="Arial" w:cs="Arial" w:eastAsia="Arial" w:hAnsi="Arial"/>
                <w:sz w:val="18"/>
                <w:szCs w:val="18"/>
                <w:color w:val="auto"/>
                <w:w w:val="99"/>
              </w:rPr>
              <w:t>50%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88</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324" w:hanging="324"/>
        <w:spacing w:after="0"/>
        <w:tabs>
          <w:tab w:leader="none" w:pos="324" w:val="left"/>
        </w:tabs>
        <w:numPr>
          <w:ilvl w:val="0"/>
          <w:numId w:val="32"/>
        </w:numPr>
        <w:rPr>
          <w:rFonts w:ascii="Arial" w:cs="Arial" w:eastAsia="Arial" w:hAnsi="Arial"/>
          <w:sz w:val="13"/>
          <w:szCs w:val="13"/>
          <w:i w:val="1"/>
          <w:iCs w:val="1"/>
          <w:color w:val="auto"/>
        </w:rPr>
      </w:pPr>
      <w:r>
        <w:rPr>
          <w:rFonts w:ascii="Arial" w:cs="Arial" w:eastAsia="Arial" w:hAnsi="Arial"/>
          <w:sz w:val="13"/>
          <w:szCs w:val="13"/>
          <w:color w:val="auto"/>
        </w:rPr>
        <w:t>Mylan results for the first three fiscal quarters of 2020.</w:t>
      </w:r>
    </w:p>
    <w:p>
      <w:pPr>
        <w:jc w:val="both"/>
        <w:ind w:left="324" w:hanging="324"/>
        <w:spacing w:after="0" w:line="238" w:lineRule="auto"/>
        <w:tabs>
          <w:tab w:leader="none" w:pos="324"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is derived from Mylan’s financial statements in the same manner as Mylan’s publicly reported adjusted EBITDA, except that the calculation for the incentive program utilized budgeted foreign exchange rates. Mylan’s adjusted EBITDA for the nine months ended September 30, 2020 is reconciled to the most directly comparable U.S. GAAP measure in Appendix A.</w:t>
      </w:r>
    </w:p>
    <w:p>
      <w:pPr>
        <w:ind w:left="324" w:hanging="324"/>
        <w:spacing w:after="0"/>
        <w:tabs>
          <w:tab w:leader="none" w:pos="3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Science and Technology Committee reviewed the actual results of the global submissions included in the incentive compensation program.</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318" w:right="439" w:bottom="1440" w:gutter="0" w:footer="0" w:header="0"/>
        </w:sectPr>
      </w:pPr>
    </w:p>
    <w:bookmarkStart w:id="36" w:name="page37"/>
    <w:bookmarkEnd w:id="36"/>
    <w:p>
      <w:pPr>
        <w:jc w:val="both"/>
        <w:ind w:left="4"/>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noted, the Viatris Compensation Committee and Board decided in November 2020 that, with respect to the legacy Mylan executives (Messrs. Coury, Malik and Mauro), 2020 annual incentive payouts would be based on (a) actual performance against targets during the first three quarters, and (b) target bonus for the remaining fiscal quarter of 2020. Operational results were prorated three-quarters based on Mylan’s actual results (reflecting the three completed quarters prior to the Combination) and one-quarter based on target performance (reflecting the remaining quarter of 2020). The operational performance through the 9-month period for Mylan equated to 184.23%. Taking into consideration the target measurement for the fourth quarter, the full-year pro-rata results provided a full-year payout of 163.17%.</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Pre-Combination Legacy Upjohn Division 2020 Annual Incentive Compensation Targets</w:t>
      </w:r>
    </w:p>
    <w:p>
      <w:pPr>
        <w:spacing w:after="0" w:line="97" w:lineRule="exact"/>
        <w:rPr>
          <w:sz w:val="20"/>
          <w:szCs w:val="20"/>
          <w:color w:val="auto"/>
        </w:rPr>
      </w:pPr>
    </w:p>
    <w:p>
      <w:pPr>
        <w:jc w:val="both"/>
        <w:ind w:left="4"/>
        <w:spacing w:after="0" w:line="236" w:lineRule="auto"/>
        <w:rPr>
          <w:sz w:val="20"/>
          <w:szCs w:val="20"/>
          <w:color w:val="auto"/>
        </w:rPr>
      </w:pPr>
      <w:r>
        <w:rPr>
          <w:rFonts w:ascii="Arial" w:cs="Arial" w:eastAsia="Arial" w:hAnsi="Arial"/>
          <w:sz w:val="18"/>
          <w:szCs w:val="18"/>
          <w:color w:val="auto"/>
        </w:rPr>
        <w:t>Annual incentive compensation for legacy executives of the Upjohn division, Messrs. Goettler and Narula, was set by Pfizer prior to the closing of the Combination, based on the approved 2020 Upjohn budget. After the closing of the Combination, the Viatris Compensation Committee and Board determined that the 2020 annual incentive payout for Messrs. Goettler and Narula would be based on (a) accrued results (as accrued by Pfizer) for the first three fiscal quarters and (b) a target bonus for the final fiscal quarter of 2020. Operational results were prorated three-quarters based on Upjohn results (reflecting the three completed quarters prior to the Combination) and one-quarter based on target (reflecting the remaining quarter of 2020).</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reflects the target annual incentive compensation award for Messrs. Goettler and Narula during 2020.</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732282"/>
              </w:rPr>
              <w:t>Upjohn Division</w:t>
            </w:r>
          </w:p>
        </w:tc>
        <w:tc>
          <w:tcPr>
            <w:tcW w:w="1680" w:type="dxa"/>
            <w:vAlign w:val="bottom"/>
            <w:vMerge w:val="restart"/>
          </w:tcPr>
          <w:p>
            <w:pPr>
              <w:jc w:val="right"/>
              <w:ind w:right="324"/>
              <w:spacing w:after="0"/>
              <w:rPr>
                <w:sz w:val="20"/>
                <w:szCs w:val="20"/>
                <w:color w:val="auto"/>
              </w:rPr>
            </w:pPr>
            <w:r>
              <w:rPr>
                <w:rFonts w:ascii="Arial" w:cs="Arial" w:eastAsia="Arial" w:hAnsi="Arial"/>
                <w:sz w:val="13"/>
                <w:szCs w:val="13"/>
                <w:b w:val="1"/>
                <w:bCs w:val="1"/>
                <w:color w:val="732282"/>
              </w:rPr>
              <w:t>Viatris Target</w:t>
            </w:r>
          </w:p>
        </w:tc>
        <w:tc>
          <w:tcPr>
            <w:tcW w:w="1480" w:type="dxa"/>
            <w:vAlign w:val="bottom"/>
          </w:tcPr>
          <w:p>
            <w:pPr>
              <w:jc w:val="right"/>
              <w:ind w:right="266"/>
              <w:spacing w:after="0"/>
              <w:rPr>
                <w:sz w:val="20"/>
                <w:szCs w:val="20"/>
                <w:color w:val="auto"/>
              </w:rPr>
            </w:pPr>
            <w:r>
              <w:rPr>
                <w:rFonts w:ascii="Arial" w:cs="Arial" w:eastAsia="Arial" w:hAnsi="Arial"/>
                <w:sz w:val="13"/>
                <w:szCs w:val="13"/>
                <w:b w:val="1"/>
                <w:bCs w:val="1"/>
                <w:color w:val="732282"/>
              </w:rPr>
              <w:t>Blended</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right"/>
              <w:ind w:right="266"/>
              <w:spacing w:after="0" w:line="138" w:lineRule="exact"/>
              <w:rPr>
                <w:sz w:val="20"/>
                <w:szCs w:val="20"/>
                <w:color w:val="auto"/>
              </w:rPr>
            </w:pPr>
            <w:r>
              <w:rPr>
                <w:rFonts w:ascii="Arial" w:cs="Arial" w:eastAsia="Arial" w:hAnsi="Arial"/>
                <w:sz w:val="13"/>
                <w:szCs w:val="13"/>
                <w:b w:val="1"/>
                <w:bCs w:val="1"/>
                <w:color w:val="732282"/>
              </w:rPr>
              <w:t>2020 Target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0" w:type="dxa"/>
            <w:vAlign w:val="bottom"/>
          </w:tcPr>
          <w:p>
            <w:pPr>
              <w:jc w:val="right"/>
              <w:ind w:right="302"/>
              <w:spacing w:after="0"/>
              <w:rPr>
                <w:sz w:val="20"/>
                <w:szCs w:val="20"/>
                <w:color w:val="auto"/>
              </w:rPr>
            </w:pPr>
            <w:r>
              <w:rPr>
                <w:rFonts w:ascii="Arial" w:cs="Arial" w:eastAsia="Arial" w:hAnsi="Arial"/>
                <w:sz w:val="13"/>
                <w:szCs w:val="13"/>
                <w:b w:val="1"/>
                <w:bCs w:val="1"/>
                <w:color w:val="732282"/>
              </w:rPr>
              <w:t>Target</w:t>
            </w:r>
          </w:p>
        </w:tc>
        <w:tc>
          <w:tcPr>
            <w:tcW w:w="1680" w:type="dxa"/>
            <w:vAlign w:val="bottom"/>
          </w:tcPr>
          <w:p>
            <w:pPr>
              <w:jc w:val="right"/>
              <w:ind w:right="324"/>
              <w:spacing w:after="0"/>
              <w:rPr>
                <w:sz w:val="20"/>
                <w:szCs w:val="20"/>
                <w:color w:val="auto"/>
              </w:rPr>
            </w:pPr>
            <w:r>
              <w:rPr>
                <w:rFonts w:ascii="Arial" w:cs="Arial" w:eastAsia="Arial" w:hAnsi="Arial"/>
                <w:sz w:val="13"/>
                <w:szCs w:val="13"/>
                <w:b w:val="1"/>
                <w:bCs w:val="1"/>
                <w:color w:val="732282"/>
              </w:rPr>
              <w:t>Annual</w:t>
            </w:r>
          </w:p>
        </w:tc>
        <w:tc>
          <w:tcPr>
            <w:tcW w:w="1480" w:type="dxa"/>
            <w:vAlign w:val="bottom"/>
          </w:tcPr>
          <w:p>
            <w:pPr>
              <w:jc w:val="right"/>
              <w:ind w:right="266"/>
              <w:spacing w:after="0"/>
              <w:rPr>
                <w:sz w:val="20"/>
                <w:szCs w:val="20"/>
                <w:color w:val="auto"/>
              </w:rPr>
            </w:pPr>
            <w:r>
              <w:rPr>
                <w:rFonts w:ascii="Arial" w:cs="Arial" w:eastAsia="Arial" w:hAnsi="Arial"/>
                <w:sz w:val="13"/>
                <w:szCs w:val="13"/>
                <w:b w:val="1"/>
                <w:bCs w:val="1"/>
                <w:color w:val="732282"/>
              </w:rPr>
              <w:t>Annual</w:t>
            </w:r>
          </w:p>
        </w:tc>
        <w:tc>
          <w:tcPr>
            <w:tcW w:w="0" w:type="dxa"/>
            <w:vAlign w:val="bottom"/>
          </w:tcPr>
          <w:p>
            <w:pPr>
              <w:spacing w:after="0"/>
              <w:rPr>
                <w:sz w:val="1"/>
                <w:szCs w:val="1"/>
                <w:color w:val="auto"/>
              </w:rPr>
            </w:pPr>
          </w:p>
        </w:tc>
      </w:tr>
      <w:tr>
        <w:trPr>
          <w:trHeight w:val="175"/>
        </w:trPr>
        <w:tc>
          <w:tcPr>
            <w:tcW w:w="386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4000" w:type="dxa"/>
            <w:vAlign w:val="bottom"/>
            <w:tcBorders>
              <w:bottom w:val="single" w:sz="8" w:color="732282"/>
            </w:tcBorders>
            <w:gridSpan w:val="2"/>
          </w:tcPr>
          <w:p>
            <w:pPr>
              <w:jc w:val="right"/>
              <w:ind w:right="302"/>
              <w:spacing w:after="0"/>
              <w:rPr>
                <w:sz w:val="20"/>
                <w:szCs w:val="20"/>
                <w:color w:val="auto"/>
              </w:rPr>
            </w:pPr>
            <w:r>
              <w:rPr>
                <w:rFonts w:ascii="Arial" w:cs="Arial" w:eastAsia="Arial" w:hAnsi="Arial"/>
                <w:sz w:val="13"/>
                <w:szCs w:val="13"/>
                <w:b w:val="1"/>
                <w:bCs w:val="1"/>
                <w:color w:val="732282"/>
              </w:rPr>
              <w:t>Annual Incentive*</w:t>
            </w:r>
          </w:p>
        </w:tc>
        <w:tc>
          <w:tcPr>
            <w:tcW w:w="1680" w:type="dxa"/>
            <w:vAlign w:val="bottom"/>
            <w:tcBorders>
              <w:bottom w:val="single" w:sz="8" w:color="732282"/>
            </w:tcBorders>
          </w:tcPr>
          <w:p>
            <w:pPr>
              <w:jc w:val="right"/>
              <w:ind w:right="324"/>
              <w:spacing w:after="0"/>
              <w:rPr>
                <w:sz w:val="20"/>
                <w:szCs w:val="20"/>
                <w:color w:val="auto"/>
              </w:rPr>
            </w:pPr>
            <w:r>
              <w:rPr>
                <w:rFonts w:ascii="Arial" w:cs="Arial" w:eastAsia="Arial" w:hAnsi="Arial"/>
                <w:sz w:val="13"/>
                <w:szCs w:val="13"/>
                <w:b w:val="1"/>
                <w:bCs w:val="1"/>
                <w:color w:val="732282"/>
              </w:rPr>
              <w:t>Incentive **</w:t>
            </w:r>
          </w:p>
        </w:tc>
        <w:tc>
          <w:tcPr>
            <w:tcW w:w="1480" w:type="dxa"/>
            <w:vAlign w:val="bottom"/>
            <w:tcBorders>
              <w:bottom w:val="single" w:sz="8" w:color="732282"/>
            </w:tcBorders>
          </w:tcPr>
          <w:p>
            <w:pPr>
              <w:jc w:val="right"/>
              <w:ind w:right="266"/>
              <w:spacing w:after="0"/>
              <w:rPr>
                <w:sz w:val="20"/>
                <w:szCs w:val="20"/>
                <w:color w:val="auto"/>
              </w:rPr>
            </w:pPr>
            <w:r>
              <w:rPr>
                <w:rFonts w:ascii="Arial" w:cs="Arial" w:eastAsia="Arial" w:hAnsi="Arial"/>
                <w:sz w:val="13"/>
                <w:szCs w:val="13"/>
                <w:b w:val="1"/>
                <w:bCs w:val="1"/>
                <w:color w:val="732282"/>
              </w:rPr>
              <w:t>Incentive***</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Michael Goettler</w:t>
            </w:r>
          </w:p>
        </w:tc>
        <w:tc>
          <w:tcPr>
            <w:tcW w:w="2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2"/>
              <w:spacing w:after="0" w:line="196" w:lineRule="exact"/>
              <w:rPr>
                <w:sz w:val="20"/>
                <w:szCs w:val="20"/>
                <w:color w:val="auto"/>
              </w:rPr>
            </w:pPr>
            <w:r>
              <w:rPr>
                <w:rFonts w:ascii="Arial" w:cs="Arial" w:eastAsia="Arial" w:hAnsi="Arial"/>
                <w:sz w:val="18"/>
                <w:szCs w:val="18"/>
                <w:color w:val="auto"/>
              </w:rPr>
              <w:t>732,225</w:t>
            </w:r>
          </w:p>
        </w:tc>
        <w:tc>
          <w:tcPr>
            <w:tcW w:w="1680" w:type="dxa"/>
            <w:vAlign w:val="bottom"/>
            <w:shd w:val="clear" w:color="auto" w:fill="CCEEFF"/>
          </w:tcPr>
          <w:p>
            <w:pPr>
              <w:jc w:val="right"/>
              <w:ind w:right="324"/>
              <w:spacing w:after="0" w:line="196" w:lineRule="exact"/>
              <w:rPr>
                <w:sz w:val="20"/>
                <w:szCs w:val="20"/>
                <w:color w:val="auto"/>
              </w:rPr>
            </w:pPr>
            <w:r>
              <w:rPr>
                <w:rFonts w:ascii="Arial" w:cs="Arial" w:eastAsia="Arial" w:hAnsi="Arial"/>
                <w:sz w:val="18"/>
                <w:szCs w:val="18"/>
                <w:color w:val="auto"/>
              </w:rPr>
              <w:t>$1,950,000</w:t>
            </w:r>
          </w:p>
        </w:tc>
        <w:tc>
          <w:tcPr>
            <w:tcW w:w="1480" w:type="dxa"/>
            <w:vAlign w:val="bottom"/>
            <w:shd w:val="clear" w:color="auto" w:fill="CCEEFF"/>
          </w:tcPr>
          <w:p>
            <w:pPr>
              <w:jc w:val="right"/>
              <w:ind w:right="266"/>
              <w:spacing w:after="0" w:line="196" w:lineRule="exact"/>
              <w:rPr>
                <w:sz w:val="20"/>
                <w:szCs w:val="20"/>
                <w:color w:val="auto"/>
              </w:rPr>
            </w:pPr>
            <w:r>
              <w:rPr>
                <w:rFonts w:ascii="Arial" w:cs="Arial" w:eastAsia="Arial" w:hAnsi="Arial"/>
                <w:sz w:val="18"/>
                <w:szCs w:val="18"/>
                <w:color w:val="auto"/>
              </w:rPr>
              <w:t>$885,279</w:t>
            </w:r>
          </w:p>
        </w:tc>
        <w:tc>
          <w:tcPr>
            <w:tcW w:w="0" w:type="dxa"/>
            <w:vAlign w:val="bottom"/>
          </w:tcPr>
          <w:p>
            <w:pPr>
              <w:spacing w:after="0"/>
              <w:rPr>
                <w:sz w:val="1"/>
                <w:szCs w:val="1"/>
                <w:color w:val="auto"/>
              </w:rPr>
            </w:pPr>
          </w:p>
        </w:tc>
      </w:tr>
      <w:tr>
        <w:trPr>
          <w:trHeight w:val="214"/>
        </w:trPr>
        <w:tc>
          <w:tcPr>
            <w:tcW w:w="3860" w:type="dxa"/>
            <w:vAlign w:val="bottom"/>
          </w:tcPr>
          <w:p>
            <w:pPr>
              <w:ind w:left="100"/>
              <w:spacing w:after="0"/>
              <w:rPr>
                <w:sz w:val="20"/>
                <w:szCs w:val="20"/>
                <w:color w:val="auto"/>
              </w:rPr>
            </w:pPr>
            <w:r>
              <w:rPr>
                <w:rFonts w:ascii="Arial" w:cs="Arial" w:eastAsia="Arial" w:hAnsi="Arial"/>
                <w:sz w:val="18"/>
                <w:szCs w:val="18"/>
                <w:color w:val="auto"/>
              </w:rPr>
              <w:t>Sanjeev Narula</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2"/>
              <w:spacing w:after="0"/>
              <w:rPr>
                <w:sz w:val="20"/>
                <w:szCs w:val="20"/>
                <w:color w:val="auto"/>
              </w:rPr>
            </w:pPr>
            <w:r>
              <w:rPr>
                <w:rFonts w:ascii="Arial" w:cs="Arial" w:eastAsia="Arial" w:hAnsi="Arial"/>
                <w:sz w:val="18"/>
                <w:szCs w:val="18"/>
                <w:color w:val="auto"/>
              </w:rPr>
              <w:t>207,400</w:t>
            </w:r>
          </w:p>
        </w:tc>
        <w:tc>
          <w:tcPr>
            <w:tcW w:w="1680" w:type="dxa"/>
            <w:vAlign w:val="bottom"/>
          </w:tcPr>
          <w:p>
            <w:pPr>
              <w:jc w:val="right"/>
              <w:ind w:right="324"/>
              <w:spacing w:after="0"/>
              <w:rPr>
                <w:sz w:val="20"/>
                <w:szCs w:val="20"/>
                <w:color w:val="auto"/>
              </w:rPr>
            </w:pPr>
            <w:r>
              <w:rPr>
                <w:rFonts w:ascii="Arial" w:cs="Arial" w:eastAsia="Arial" w:hAnsi="Arial"/>
                <w:sz w:val="18"/>
                <w:szCs w:val="18"/>
                <w:color w:val="auto"/>
              </w:rPr>
              <w:t>$800,000</w:t>
            </w:r>
          </w:p>
        </w:tc>
        <w:tc>
          <w:tcPr>
            <w:tcW w:w="1480" w:type="dxa"/>
            <w:vAlign w:val="bottom"/>
          </w:tcPr>
          <w:p>
            <w:pPr>
              <w:jc w:val="right"/>
              <w:ind w:right="266"/>
              <w:spacing w:after="0"/>
              <w:rPr>
                <w:sz w:val="20"/>
                <w:szCs w:val="20"/>
                <w:color w:val="auto"/>
              </w:rPr>
            </w:pPr>
            <w:r>
              <w:rPr>
                <w:rFonts w:ascii="Arial" w:cs="Arial" w:eastAsia="Arial" w:hAnsi="Arial"/>
                <w:sz w:val="18"/>
                <w:szCs w:val="18"/>
                <w:color w:val="auto"/>
              </w:rPr>
              <w:t>$281,880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324" w:hanging="324"/>
        <w:spacing w:after="0"/>
        <w:tabs>
          <w:tab w:leader="none" w:pos="3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Upjohn target annual incentive represents full-year target opportunity based on Upjohn salary mid-point and target bonus percentage determined by Pfizer.</w:t>
      </w:r>
    </w:p>
    <w:p>
      <w:pPr>
        <w:ind w:left="324" w:right="20" w:hanging="324"/>
        <w:spacing w:after="0" w:line="238" w:lineRule="auto"/>
        <w:tabs>
          <w:tab w:leader="none" w:pos="324" w:val="left"/>
        </w:tabs>
        <w:numPr>
          <w:ilvl w:val="0"/>
          <w:numId w:val="36"/>
        </w:numPr>
        <w:rPr>
          <w:rFonts w:ascii="Arial" w:cs="Arial" w:eastAsia="Arial" w:hAnsi="Arial"/>
          <w:sz w:val="13"/>
          <w:szCs w:val="13"/>
          <w:color w:val="auto"/>
        </w:rPr>
      </w:pPr>
      <w:r>
        <w:rPr>
          <w:rFonts w:ascii="Arial" w:cs="Arial" w:eastAsia="Arial" w:hAnsi="Arial"/>
          <w:sz w:val="13"/>
          <w:szCs w:val="13"/>
          <w:color w:val="auto"/>
        </w:rPr>
        <w:t>Viatris target annual incentive represents full-year target opportunity based on Viatris base salary and target bonus percentage determined by the Viatris Compensation Committee and Board.</w:t>
      </w:r>
    </w:p>
    <w:p>
      <w:pPr>
        <w:ind w:left="324" w:hanging="324"/>
        <w:spacing w:after="0" w:line="258" w:lineRule="auto"/>
        <w:tabs>
          <w:tab w:leader="none" w:pos="3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Blended target annual incentive represents a blended rate based on Pfizer target annual incentive through November 15, 2020 and through the remainder of 2020 based on Viatris target opportunity. For 2020, the pre-Combination target amount was prorated for 320 days and the post-combination target amount was prorated for 46 days.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2020 Annual Incentive Performance Relating to Upjohn Legacy Executives</w:t>
      </w:r>
    </w:p>
    <w:p>
      <w:pPr>
        <w:spacing w:after="0" w:line="97"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At the closing of the Combination, Upjohn had accrued bonuses at 110% of target opportunity. For the period following the closing of the Combination, the Viatris Compensation Committee made the determination to pay bonuses at target achievement; therefore the prorated value of the combined bonus for the full year equates to 107.5%.</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Viatris Annual Incentive Compensation Payouts for 2020</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annual incentive compensation payouts for 2020 are shown in the Summary Compensation Table on page 42.</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318" w:right="439" w:bottom="1440" w:gutter="0" w:footer="0" w:header="0"/>
        </w:sectPr>
      </w:pPr>
    </w:p>
    <w:bookmarkStart w:id="37" w:name="page38"/>
    <w:bookmarkEnd w:id="3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2020 Long-Term Incentive Compensation Programs</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Mylan’s 2020 Long-Term Incentive Grants to Legacy Mylan Executives</w:t>
      </w:r>
    </w:p>
    <w:p>
      <w:pPr>
        <w:spacing w:after="0" w:line="97" w:lineRule="exact"/>
        <w:rPr>
          <w:sz w:val="20"/>
          <w:szCs w:val="20"/>
          <w:color w:val="auto"/>
        </w:rPr>
      </w:pPr>
    </w:p>
    <w:p>
      <w:pPr>
        <w:jc w:val="both"/>
        <w:ind w:left="4"/>
        <w:spacing w:after="0" w:line="236" w:lineRule="auto"/>
        <w:rPr>
          <w:sz w:val="20"/>
          <w:szCs w:val="20"/>
          <w:color w:val="auto"/>
        </w:rPr>
      </w:pPr>
      <w:r>
        <w:rPr>
          <w:rFonts w:ascii="Arial" w:cs="Arial" w:eastAsia="Arial" w:hAnsi="Arial"/>
          <w:sz w:val="18"/>
          <w:szCs w:val="18"/>
          <w:color w:val="auto"/>
        </w:rPr>
        <w:t>In February 2020, the Mylan Compensation Committee approved the grant of PRSUs, RSUs and stock options to Messrs. Malik and Mauro, consistent with other Mylan executives. Treatment of 2020 long-term incentive compensation was in accordance with the terms of the Business Combination Agreement between Mylan and Pfizer and is explained in more detail below in the section titled “Combination-Related Treatment of Mylan Equity Awards”. The mix of the awards consisted of 50% PRSUs, 40% RSUs, and 10% stock options. Mr. Coury was appointed as Executive Chairman of Mylan in April 2020, shortly after long-term incentive grants were approved for other executives, but did not receive a long-term incentive award at that time. Had Mr. Coury been granted an award at that time, the value would have been approximately $10.8 million.</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368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4020" w:type="dxa"/>
            <w:vAlign w:val="bottom"/>
            <w:tcBorders>
              <w:bottom w:val="single" w:sz="8" w:color="732282"/>
            </w:tcBorders>
          </w:tcPr>
          <w:p>
            <w:pPr>
              <w:jc w:val="right"/>
              <w:ind w:right="677"/>
              <w:spacing w:after="0"/>
              <w:rPr>
                <w:sz w:val="20"/>
                <w:szCs w:val="20"/>
                <w:color w:val="auto"/>
              </w:rPr>
            </w:pPr>
            <w:r>
              <w:rPr>
                <w:rFonts w:ascii="Arial" w:cs="Arial" w:eastAsia="Arial" w:hAnsi="Arial"/>
                <w:sz w:val="13"/>
                <w:szCs w:val="13"/>
                <w:b w:val="1"/>
                <w:bCs w:val="1"/>
                <w:color w:val="732282"/>
              </w:rPr>
              <w:t>PRSU</w:t>
            </w:r>
          </w:p>
        </w:tc>
        <w:tc>
          <w:tcPr>
            <w:tcW w:w="1900" w:type="dxa"/>
            <w:vAlign w:val="bottom"/>
            <w:tcBorders>
              <w:bottom w:val="single" w:sz="8" w:color="732282"/>
            </w:tcBorders>
          </w:tcPr>
          <w:p>
            <w:pPr>
              <w:jc w:val="right"/>
              <w:ind w:right="159"/>
              <w:spacing w:after="0"/>
              <w:rPr>
                <w:sz w:val="20"/>
                <w:szCs w:val="20"/>
                <w:color w:val="auto"/>
              </w:rPr>
            </w:pPr>
            <w:r>
              <w:rPr>
                <w:rFonts w:ascii="Arial" w:cs="Arial" w:eastAsia="Arial" w:hAnsi="Arial"/>
                <w:sz w:val="13"/>
                <w:szCs w:val="13"/>
                <w:b w:val="1"/>
                <w:bCs w:val="1"/>
                <w:color w:val="732282"/>
              </w:rPr>
              <w:t>RSU</w:t>
            </w:r>
          </w:p>
        </w:tc>
        <w:tc>
          <w:tcPr>
            <w:tcW w:w="1420" w:type="dxa"/>
            <w:vAlign w:val="bottom"/>
            <w:tcBorders>
              <w:bottom w:val="single" w:sz="8" w:color="732282"/>
            </w:tcBorders>
            <w:gridSpan w:val="2"/>
          </w:tcPr>
          <w:p>
            <w:pPr>
              <w:jc w:val="right"/>
              <w:ind w:right="132"/>
              <w:spacing w:after="0"/>
              <w:rPr>
                <w:sz w:val="20"/>
                <w:szCs w:val="20"/>
                <w:color w:val="auto"/>
              </w:rPr>
            </w:pPr>
            <w:r>
              <w:rPr>
                <w:rFonts w:ascii="Arial" w:cs="Arial" w:eastAsia="Arial" w:hAnsi="Arial"/>
                <w:sz w:val="13"/>
                <w:szCs w:val="13"/>
                <w:b w:val="1"/>
                <w:bCs w:val="1"/>
                <w:color w:val="732282"/>
              </w:rPr>
              <w:t>Stock Options</w:t>
            </w:r>
          </w:p>
        </w:tc>
      </w:tr>
      <w:tr>
        <w:trPr>
          <w:trHeight w:val="196"/>
        </w:trPr>
        <w:tc>
          <w:tcPr>
            <w:tcW w:w="36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Robert J. Coury</w:t>
            </w:r>
          </w:p>
        </w:tc>
        <w:tc>
          <w:tcPr>
            <w:tcW w:w="64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No Annual Equity Grant Provided in 2020</w:t>
            </w:r>
          </w:p>
        </w:tc>
        <w:tc>
          <w:tcPr>
            <w:tcW w:w="900" w:type="dxa"/>
            <w:vAlign w:val="bottom"/>
            <w:shd w:val="clear" w:color="auto" w:fill="CCEEFF"/>
          </w:tcPr>
          <w:p>
            <w:pPr>
              <w:spacing w:after="0"/>
              <w:rPr>
                <w:sz w:val="17"/>
                <w:szCs w:val="17"/>
                <w:color w:val="auto"/>
              </w:rPr>
            </w:pPr>
          </w:p>
        </w:tc>
      </w:tr>
      <w:tr>
        <w:trPr>
          <w:trHeight w:val="203"/>
        </w:trPr>
        <w:tc>
          <w:tcPr>
            <w:tcW w:w="3680" w:type="dxa"/>
            <w:vAlign w:val="bottom"/>
          </w:tcPr>
          <w:p>
            <w:pPr>
              <w:ind w:left="100"/>
              <w:spacing w:after="0" w:line="202" w:lineRule="exact"/>
              <w:rPr>
                <w:sz w:val="20"/>
                <w:szCs w:val="20"/>
                <w:color w:val="auto"/>
              </w:rPr>
            </w:pPr>
            <w:r>
              <w:rPr>
                <w:rFonts w:ascii="Arial" w:cs="Arial" w:eastAsia="Arial" w:hAnsi="Arial"/>
                <w:sz w:val="18"/>
                <w:szCs w:val="18"/>
                <w:color w:val="auto"/>
              </w:rPr>
              <w:t>Rajiv Malik</w:t>
            </w:r>
          </w:p>
        </w:tc>
        <w:tc>
          <w:tcPr>
            <w:tcW w:w="4020" w:type="dxa"/>
            <w:vAlign w:val="bottom"/>
          </w:tcPr>
          <w:p>
            <w:pPr>
              <w:jc w:val="right"/>
              <w:ind w:right="677"/>
              <w:spacing w:after="0" w:line="202" w:lineRule="exact"/>
              <w:rPr>
                <w:sz w:val="20"/>
                <w:szCs w:val="20"/>
                <w:color w:val="auto"/>
              </w:rPr>
            </w:pPr>
            <w:r>
              <w:rPr>
                <w:rFonts w:ascii="Arial" w:cs="Arial" w:eastAsia="Arial" w:hAnsi="Arial"/>
                <w:sz w:val="18"/>
                <w:szCs w:val="18"/>
                <w:color w:val="auto"/>
              </w:rPr>
              <w:t>$3,450,000</w:t>
            </w:r>
          </w:p>
        </w:tc>
        <w:tc>
          <w:tcPr>
            <w:tcW w:w="1900" w:type="dxa"/>
            <w:vAlign w:val="bottom"/>
          </w:tcPr>
          <w:p>
            <w:pPr>
              <w:jc w:val="right"/>
              <w:ind w:right="159"/>
              <w:spacing w:after="0" w:line="202" w:lineRule="exact"/>
              <w:rPr>
                <w:sz w:val="20"/>
                <w:szCs w:val="20"/>
                <w:color w:val="auto"/>
              </w:rPr>
            </w:pPr>
            <w:r>
              <w:rPr>
                <w:rFonts w:ascii="Arial" w:cs="Arial" w:eastAsia="Arial" w:hAnsi="Arial"/>
                <w:sz w:val="18"/>
                <w:szCs w:val="18"/>
                <w:color w:val="auto"/>
              </w:rPr>
              <w:t>$2,760,000</w:t>
            </w:r>
          </w:p>
        </w:tc>
        <w:tc>
          <w:tcPr>
            <w:tcW w:w="520" w:type="dxa"/>
            <w:vAlign w:val="bottom"/>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690,000</w:t>
            </w:r>
          </w:p>
        </w:tc>
      </w:tr>
      <w:tr>
        <w:trPr>
          <w:trHeight w:val="203"/>
        </w:trPr>
        <w:tc>
          <w:tcPr>
            <w:tcW w:w="3680" w:type="dxa"/>
            <w:vAlign w:val="bottom"/>
            <w:tcBorders>
              <w:bottom w:val="single" w:sz="8" w:color="732282"/>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Anthony Mauro</w:t>
            </w:r>
          </w:p>
        </w:tc>
        <w:tc>
          <w:tcPr>
            <w:tcW w:w="4020" w:type="dxa"/>
            <w:vAlign w:val="bottom"/>
            <w:tcBorders>
              <w:bottom w:val="single" w:sz="8" w:color="732282"/>
            </w:tcBorders>
            <w:shd w:val="clear" w:color="auto" w:fill="CCEEFF"/>
          </w:tcPr>
          <w:p>
            <w:pPr>
              <w:jc w:val="right"/>
              <w:ind w:right="677"/>
              <w:spacing w:after="0" w:line="202" w:lineRule="exact"/>
              <w:rPr>
                <w:sz w:val="20"/>
                <w:szCs w:val="20"/>
                <w:color w:val="auto"/>
              </w:rPr>
            </w:pPr>
            <w:r>
              <w:rPr>
                <w:rFonts w:ascii="Arial" w:cs="Arial" w:eastAsia="Arial" w:hAnsi="Arial"/>
                <w:sz w:val="18"/>
                <w:szCs w:val="18"/>
                <w:color w:val="auto"/>
              </w:rPr>
              <w:t>$1,600,000</w:t>
            </w:r>
          </w:p>
        </w:tc>
        <w:tc>
          <w:tcPr>
            <w:tcW w:w="1900" w:type="dxa"/>
            <w:vAlign w:val="bottom"/>
            <w:tcBorders>
              <w:bottom w:val="single" w:sz="8" w:color="732282"/>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$1,280,000</w:t>
            </w:r>
          </w:p>
        </w:tc>
        <w:tc>
          <w:tcPr>
            <w:tcW w:w="520" w:type="dxa"/>
            <w:vAlign w:val="bottom"/>
            <w:tcBorders>
              <w:bottom w:val="single" w:sz="8" w:color="732282"/>
            </w:tcBorders>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732282"/>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320,000</w:t>
            </w:r>
          </w:p>
        </w:tc>
      </w:tr>
    </w:tbl>
    <w:p>
      <w:pPr>
        <w:spacing w:after="0" w:line="165" w:lineRule="exact"/>
        <w:rPr>
          <w:sz w:val="20"/>
          <w:szCs w:val="20"/>
          <w:color w:val="auto"/>
        </w:rPr>
      </w:pPr>
    </w:p>
    <w:p>
      <w:pPr>
        <w:jc w:val="both"/>
        <w:ind w:left="4"/>
        <w:spacing w:after="0" w:line="269" w:lineRule="auto"/>
        <w:rPr>
          <w:sz w:val="20"/>
          <w:szCs w:val="20"/>
          <w:color w:val="auto"/>
        </w:rPr>
      </w:pPr>
      <w:r>
        <w:rPr>
          <w:rFonts w:ascii="Arial" w:cs="Arial" w:eastAsia="Arial" w:hAnsi="Arial"/>
          <w:sz w:val="16"/>
          <w:szCs w:val="16"/>
          <w:color w:val="auto"/>
        </w:rPr>
        <w:t>RSUs and stock options granted in 2020 vest in three annual installments on each anniversary of the grant date. PRSUs cliff-vest on the third anniversary of the grant date, subject to achievement of performance goals. In 2020, the Mylan Compensation Committee approved the grant of PRSUs subject to two equally weighted financial performance metrics (i.e., return on invested capital (“ROIC”) and the ratio of adjusted free cash flow to “indebtedness” (as defined in Mylan’s revolving credit facility dated as of July 27, 2018) (“Adjusted FCF/Credit Agreement Debt”)) and one relative market performance metric (i.e., relative TSR). The ROIC metric incentivizes effective use of the Company’s capital to drive cash flow generation, and the Adjusted FCF/Credit Agreement Debt performance metric incentivizes prudent balance sheet management. Each of these incentivized behaviors was closely aligned with Mylan’s strategies to drive a durable and sustainable business. In addition, the relative TSR modifier impacts executive pay based on Mylan’s performance as compared to industry competitors.</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352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Metric</w:t>
            </w:r>
          </w:p>
        </w:tc>
        <w:tc>
          <w:tcPr>
            <w:tcW w:w="1320" w:type="dxa"/>
            <w:vAlign w:val="bottom"/>
            <w:tcBorders>
              <w:bottom w:val="single" w:sz="8" w:color="732282"/>
            </w:tcBorders>
          </w:tcPr>
          <w:p>
            <w:pPr>
              <w:jc w:val="center"/>
              <w:ind w:left="17"/>
              <w:spacing w:after="0"/>
              <w:rPr>
                <w:sz w:val="20"/>
                <w:szCs w:val="20"/>
                <w:color w:val="auto"/>
              </w:rPr>
            </w:pPr>
            <w:r>
              <w:rPr>
                <w:rFonts w:ascii="Arial" w:cs="Arial" w:eastAsia="Arial" w:hAnsi="Arial"/>
                <w:sz w:val="13"/>
                <w:szCs w:val="13"/>
                <w:b w:val="1"/>
                <w:bCs w:val="1"/>
                <w:color w:val="732282"/>
              </w:rPr>
              <w:t>Weighting</w:t>
            </w:r>
          </w:p>
        </w:tc>
        <w:tc>
          <w:tcPr>
            <w:tcW w:w="232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Threshold</w:t>
            </w:r>
          </w:p>
        </w:tc>
        <w:tc>
          <w:tcPr>
            <w:tcW w:w="202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Target</w:t>
            </w:r>
          </w:p>
        </w:tc>
        <w:tc>
          <w:tcPr>
            <w:tcW w:w="1840" w:type="dxa"/>
            <w:vAlign w:val="bottom"/>
            <w:tcBorders>
              <w:bottom w:val="single" w:sz="8" w:color="732282"/>
            </w:tcBorders>
          </w:tcPr>
          <w:p>
            <w:pPr>
              <w:jc w:val="center"/>
              <w:spacing w:after="0"/>
              <w:rPr>
                <w:sz w:val="20"/>
                <w:szCs w:val="20"/>
                <w:color w:val="auto"/>
              </w:rPr>
            </w:pPr>
            <w:r>
              <w:rPr>
                <w:rFonts w:ascii="Arial" w:cs="Arial" w:eastAsia="Arial" w:hAnsi="Arial"/>
                <w:sz w:val="13"/>
                <w:szCs w:val="13"/>
                <w:b w:val="1"/>
                <w:bCs w:val="1"/>
                <w:color w:val="732282"/>
              </w:rPr>
              <w:t>Maximum</w:t>
            </w:r>
          </w:p>
        </w:tc>
      </w:tr>
      <w:tr>
        <w:trPr>
          <w:trHeight w:val="196"/>
        </w:trPr>
        <w:tc>
          <w:tcPr>
            <w:tcW w:w="35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ROIC*</w:t>
            </w:r>
          </w:p>
        </w:tc>
        <w:tc>
          <w:tcPr>
            <w:tcW w:w="1320" w:type="dxa"/>
            <w:vAlign w:val="bottom"/>
            <w:shd w:val="clear" w:color="auto" w:fill="CCEEFF"/>
          </w:tcPr>
          <w:p>
            <w:pPr>
              <w:jc w:val="center"/>
              <w:ind w:left="17"/>
              <w:spacing w:after="0" w:line="196" w:lineRule="exact"/>
              <w:rPr>
                <w:sz w:val="20"/>
                <w:szCs w:val="20"/>
                <w:color w:val="auto"/>
              </w:rPr>
            </w:pPr>
            <w:r>
              <w:rPr>
                <w:rFonts w:ascii="Arial" w:cs="Arial" w:eastAsia="Arial" w:hAnsi="Arial"/>
                <w:sz w:val="18"/>
                <w:szCs w:val="18"/>
                <w:color w:val="auto"/>
                <w:w w:val="94"/>
              </w:rPr>
              <w:t>50%</w:t>
            </w:r>
          </w:p>
        </w:tc>
        <w:tc>
          <w:tcPr>
            <w:tcW w:w="2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8%</w:t>
            </w:r>
          </w:p>
        </w:tc>
        <w:tc>
          <w:tcPr>
            <w:tcW w:w="2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10%</w:t>
            </w: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12%</w:t>
            </w:r>
          </w:p>
        </w:tc>
      </w:tr>
      <w:tr>
        <w:trPr>
          <w:trHeight w:val="203"/>
        </w:trPr>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Adjusted FCF/Credit Agreement Debt**</w:t>
            </w:r>
          </w:p>
        </w:tc>
        <w:tc>
          <w:tcPr>
            <w:tcW w:w="1320" w:type="dxa"/>
            <w:vAlign w:val="bottom"/>
          </w:tcPr>
          <w:p>
            <w:pPr>
              <w:jc w:val="center"/>
              <w:ind w:left="17"/>
              <w:spacing w:after="0" w:line="202" w:lineRule="exact"/>
              <w:rPr>
                <w:sz w:val="20"/>
                <w:szCs w:val="20"/>
                <w:color w:val="auto"/>
              </w:rPr>
            </w:pPr>
            <w:r>
              <w:rPr>
                <w:rFonts w:ascii="Arial" w:cs="Arial" w:eastAsia="Arial" w:hAnsi="Arial"/>
                <w:sz w:val="18"/>
                <w:szCs w:val="18"/>
                <w:color w:val="auto"/>
                <w:w w:val="94"/>
              </w:rPr>
              <w:t>50%</w:t>
            </w:r>
          </w:p>
        </w:tc>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99"/>
              </w:rPr>
              <w:t>13%</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9"/>
              </w:rPr>
              <w:t>18%</w:t>
            </w:r>
          </w:p>
        </w:tc>
      </w:tr>
      <w:tr>
        <w:trPr>
          <w:trHeight w:val="206"/>
        </w:trPr>
        <w:tc>
          <w:tcPr>
            <w:tcW w:w="35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Relative TSR of Peer Group***</w:t>
            </w:r>
          </w:p>
        </w:tc>
        <w:tc>
          <w:tcPr>
            <w:tcW w:w="1320" w:type="dxa"/>
            <w:vAlign w:val="bottom"/>
            <w:shd w:val="clear" w:color="auto" w:fill="CCEEFF"/>
          </w:tcPr>
          <w:p>
            <w:pPr>
              <w:jc w:val="center"/>
              <w:ind w:left="17"/>
              <w:spacing w:after="0" w:line="206" w:lineRule="exact"/>
              <w:rPr>
                <w:sz w:val="20"/>
                <w:szCs w:val="20"/>
                <w:color w:val="auto"/>
              </w:rPr>
            </w:pPr>
            <w:r>
              <w:rPr>
                <w:rFonts w:ascii="Arial" w:cs="Arial" w:eastAsia="Arial" w:hAnsi="Arial"/>
                <w:sz w:val="18"/>
                <w:szCs w:val="18"/>
                <w:color w:val="auto"/>
                <w:w w:val="97"/>
              </w:rPr>
              <w:t>Multiplier</w:t>
            </w:r>
          </w:p>
        </w:tc>
        <w:tc>
          <w:tcPr>
            <w:tcW w:w="23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At or Below</w:t>
            </w:r>
          </w:p>
        </w:tc>
        <w:tc>
          <w:tcPr>
            <w:tcW w:w="20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Between 25th and</w:t>
            </w:r>
          </w:p>
        </w:tc>
        <w:tc>
          <w:tcPr>
            <w:tcW w:w="18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At or Above</w:t>
            </w:r>
          </w:p>
        </w:tc>
      </w:tr>
      <w:tr>
        <w:trPr>
          <w:trHeight w:val="203"/>
        </w:trPr>
        <w:tc>
          <w:tcPr>
            <w:tcW w:w="3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25th Percentile of Peer</w:t>
            </w: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75th Percentiles of</w:t>
            </w:r>
          </w:p>
        </w:tc>
        <w:tc>
          <w:tcPr>
            <w:tcW w:w="1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75th Percentile of</w:t>
            </w:r>
          </w:p>
        </w:tc>
      </w:tr>
      <w:tr>
        <w:trPr>
          <w:trHeight w:val="213"/>
        </w:trPr>
        <w:tc>
          <w:tcPr>
            <w:tcW w:w="3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Group</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Peer Group</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Peer Group</w:t>
            </w:r>
          </w:p>
        </w:tc>
      </w:tr>
      <w:tr>
        <w:trPr>
          <w:trHeight w:val="214"/>
        </w:trPr>
        <w:tc>
          <w:tcPr>
            <w:tcW w:w="3520" w:type="dxa"/>
            <w:vAlign w:val="bottom"/>
          </w:tcPr>
          <w:p>
            <w:pPr>
              <w:ind w:left="100"/>
              <w:spacing w:after="0"/>
              <w:rPr>
                <w:sz w:val="20"/>
                <w:szCs w:val="20"/>
                <w:color w:val="auto"/>
              </w:rPr>
            </w:pPr>
            <w:r>
              <w:rPr>
                <w:rFonts w:ascii="Arial" w:cs="Arial" w:eastAsia="Arial" w:hAnsi="Arial"/>
                <w:sz w:val="18"/>
                <w:szCs w:val="18"/>
                <w:color w:val="auto"/>
              </w:rPr>
              <w:t>Payout Opportunity (as % of Target)</w:t>
            </w:r>
          </w:p>
        </w:tc>
        <w:tc>
          <w:tcPr>
            <w:tcW w:w="1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24" w:hanging="324"/>
        <w:spacing w:after="0"/>
        <w:tabs>
          <w:tab w:leader="none" w:pos="3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ROIC would have been calculated as described in Appendix A.</w:t>
      </w:r>
    </w:p>
    <w:p>
      <w:pPr>
        <w:jc w:val="both"/>
        <w:ind w:left="324" w:hanging="324"/>
        <w:spacing w:after="0" w:line="238" w:lineRule="auto"/>
        <w:tabs>
          <w:tab w:leader="none" w:pos="324"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FCF/Credit Agreement Debt would have been first calculated for each year in the performance period as the ratio of Mylan’s adjusted free cash flow (calculated as described in Appendix A) to “indebtedness” (as defined in Mylan’s revolving credit facility dated as of July 27, 2018), and the values for each year in the performance period would then be averaged to determine the ratio of Adjusted FCF/Credit Agreement Debt. Credit Agreement Debt would have been calculated as described in Appendix A, subject to adjustment following the end of the performance period on a pro forma basis in the event of a material acquisition of products or assets during the applicable fiscal year that would have a material impact on indebtedness during the fiscal quarter in which such acquisition closes.</w:t>
      </w:r>
    </w:p>
    <w:p>
      <w:pPr>
        <w:spacing w:after="0" w:line="1" w:lineRule="exact"/>
        <w:rPr>
          <w:rFonts w:ascii="Arial" w:cs="Arial" w:eastAsia="Arial" w:hAnsi="Arial"/>
          <w:sz w:val="13"/>
          <w:szCs w:val="13"/>
          <w:color w:val="auto"/>
        </w:rPr>
      </w:pPr>
    </w:p>
    <w:p>
      <w:pPr>
        <w:jc w:val="both"/>
        <w:ind w:left="324" w:right="20" w:hanging="324"/>
        <w:spacing w:after="0" w:line="248" w:lineRule="auto"/>
        <w:tabs>
          <w:tab w:leader="none" w:pos="324"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Relative TSR would have been calculated by comparing the difference between Mylan’s 30-day trailing average closing ordinary share price at the day before the beginning of the performance period and the day before the end of the performance period plus any dividends paid during the performance period against the same metric for each company in Mylan’s historical peer group.</w:t>
      </w:r>
    </w:p>
    <w:p>
      <w:pPr>
        <w:spacing w:after="0" w:line="148" w:lineRule="exact"/>
        <w:rPr>
          <w:sz w:val="20"/>
          <w:szCs w:val="20"/>
          <w:color w:val="auto"/>
        </w:rPr>
      </w:pPr>
    </w:p>
    <w:p>
      <w:pPr>
        <w:ind w:left="4" w:right="20"/>
        <w:spacing w:after="0" w:line="239" w:lineRule="auto"/>
        <w:rPr>
          <w:sz w:val="20"/>
          <w:szCs w:val="20"/>
          <w:color w:val="auto"/>
        </w:rPr>
      </w:pPr>
      <w:r>
        <w:rPr>
          <w:rFonts w:ascii="Arial" w:cs="Arial" w:eastAsia="Arial" w:hAnsi="Arial"/>
          <w:sz w:val="18"/>
          <w:szCs w:val="18"/>
          <w:color w:val="auto"/>
        </w:rPr>
        <w:t>For information on the performance metrics relating to Viatris’ long-term incentive grants going forward, see “Description of Viatris’ 2021 Performance-Based Compensation Program” on page 27.</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9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Combination-Related Treatment of Mylan Equity Awards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Consistent with the terms of the Business Combination Agreement between Pfizer and Mylan, all previously-granted and outstanding Mylan equity-based awards (including the above-described February 2020 grants) were treated as follows:</w:t>
      </w:r>
    </w:p>
    <w:p>
      <w:pPr>
        <w:spacing w:after="0" w:line="52" w:lineRule="exact"/>
        <w:rPr>
          <w:sz w:val="20"/>
          <w:szCs w:val="20"/>
          <w:color w:val="auto"/>
        </w:rPr>
      </w:pPr>
    </w:p>
    <w:p>
      <w:pPr>
        <w:jc w:val="both"/>
        <w:ind w:left="420" w:right="20" w:hanging="316"/>
        <w:spacing w:after="0" w:line="24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732282"/>
        </w:rPr>
        <w:t xml:space="preserve">PRSU Awards. </w:t>
      </w:r>
      <w:r>
        <w:rPr>
          <w:rFonts w:ascii="Arial" w:cs="Arial" w:eastAsia="Arial" w:hAnsi="Arial"/>
          <w:sz w:val="18"/>
          <w:szCs w:val="18"/>
          <w:color w:val="000000"/>
        </w:rPr>
        <w:t>Each outstanding PRSU award in respect of Mylan ordinary shares was converted into an award of Viatris RSUs on a</w:t>
      </w:r>
      <w:r>
        <w:rPr>
          <w:rFonts w:ascii="Arial" w:cs="Arial" w:eastAsia="Arial" w:hAnsi="Arial"/>
          <w:sz w:val="18"/>
          <w:szCs w:val="18"/>
          <w:b w:val="1"/>
          <w:bCs w:val="1"/>
          <w:color w:val="732282"/>
        </w:rPr>
        <w:t xml:space="preserve"> </w:t>
      </w:r>
      <w:r>
        <w:rPr>
          <w:rFonts w:ascii="Arial" w:cs="Arial" w:eastAsia="Arial" w:hAnsi="Arial"/>
          <w:sz w:val="18"/>
          <w:szCs w:val="18"/>
          <w:color w:val="000000"/>
        </w:rPr>
        <w:t>one-for-one basis assuming target level performance. These Viatris RSU awards cliff vest on the third anniversary of the grant date of the original award, subject to accelerated vesting in connection with qualifying terminations of employment.</w:t>
      </w:r>
    </w:p>
    <w:p>
      <w:pPr>
        <w:spacing w:after="0" w:line="44" w:lineRule="exact"/>
        <w:rPr>
          <w:rFonts w:ascii="Arial" w:cs="Arial" w:eastAsia="Arial" w:hAnsi="Arial"/>
          <w:sz w:val="18"/>
          <w:szCs w:val="18"/>
          <w:color w:val="auto"/>
        </w:rPr>
      </w:pPr>
    </w:p>
    <w:p>
      <w:pPr>
        <w:jc w:val="both"/>
        <w:ind w:left="420" w:hanging="316"/>
        <w:spacing w:after="0" w:line="24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732282"/>
        </w:rPr>
        <w:t xml:space="preserve">RSU Awards. </w:t>
      </w:r>
      <w:r>
        <w:rPr>
          <w:rFonts w:ascii="Arial" w:cs="Arial" w:eastAsia="Arial" w:hAnsi="Arial"/>
          <w:sz w:val="18"/>
          <w:szCs w:val="18"/>
          <w:color w:val="000000"/>
        </w:rPr>
        <w:t>Each outstanding RSU award in respect of Mylan ordinary shares was converted into a Viatris RSU award on a one-for-one basis. These Viatris RSU awards vest ratably in three equal installments on each anniversary of the grant date of the original award, subject to accelerated vesting in connection with qualifying terminations of employment.</w:t>
      </w:r>
    </w:p>
    <w:p>
      <w:pPr>
        <w:spacing w:after="0" w:line="44" w:lineRule="exact"/>
        <w:rPr>
          <w:rFonts w:ascii="Arial" w:cs="Arial" w:eastAsia="Arial" w:hAnsi="Arial"/>
          <w:sz w:val="18"/>
          <w:szCs w:val="18"/>
          <w:color w:val="auto"/>
        </w:rPr>
      </w:pPr>
    </w:p>
    <w:p>
      <w:pPr>
        <w:jc w:val="both"/>
        <w:ind w:left="420" w:hanging="316"/>
        <w:spacing w:after="0" w:line="242"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732282"/>
        </w:rPr>
        <w:t xml:space="preserve">Stock Options. </w:t>
      </w:r>
      <w:r>
        <w:rPr>
          <w:rFonts w:ascii="Arial" w:cs="Arial" w:eastAsia="Arial" w:hAnsi="Arial"/>
          <w:sz w:val="18"/>
          <w:szCs w:val="18"/>
          <w:color w:val="000000"/>
        </w:rPr>
        <w:t>Each outstanding stock option to purchase Mylan ordinary shares was converted into the right to receive an option to</w:t>
      </w:r>
      <w:r>
        <w:rPr>
          <w:rFonts w:ascii="Arial" w:cs="Arial" w:eastAsia="Arial" w:hAnsi="Arial"/>
          <w:sz w:val="18"/>
          <w:szCs w:val="18"/>
          <w:b w:val="1"/>
          <w:bCs w:val="1"/>
          <w:color w:val="732282"/>
        </w:rPr>
        <w:t xml:space="preserve"> </w:t>
      </w:r>
      <w:r>
        <w:rPr>
          <w:rFonts w:ascii="Arial" w:cs="Arial" w:eastAsia="Arial" w:hAnsi="Arial"/>
          <w:sz w:val="18"/>
          <w:szCs w:val="18"/>
          <w:color w:val="000000"/>
        </w:rPr>
        <w:t>purchase shares of Viatris common stock on a one-for-one basis and the exchange was value-neutral, as the Black-Scholes-Merton value of the stock options was kept constant in the conversion. These Viatris options vest ratably in three equal installments on each anniversary of the grant date of the original award, subject to accelerated vesting in connection with qualifying terminations of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Combination-Related Treatment of Pfizer’s 2020 Long-Term Incentive Grants to Legacy Upjohn Executives</w:t>
      </w:r>
    </w:p>
    <w:p>
      <w:pPr>
        <w:spacing w:after="0" w:line="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February 2020, in light of the anticipated closing of the Combination, Pfizer granted Messrs. Goettler and Narula cash-based long-term incentive awards in lieu of the equity-based awards typically granted by Pfizer,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5520" w:type="dxa"/>
            <w:vAlign w:val="bottom"/>
          </w:tcPr>
          <w:p>
            <w:pPr>
              <w:jc w:val="right"/>
              <w:ind w:right="262"/>
              <w:spacing w:after="0"/>
              <w:rPr>
                <w:sz w:val="20"/>
                <w:szCs w:val="20"/>
                <w:color w:val="auto"/>
              </w:rPr>
            </w:pPr>
            <w:r>
              <w:rPr>
                <w:rFonts w:ascii="Arial" w:cs="Arial" w:eastAsia="Arial" w:hAnsi="Arial"/>
                <w:sz w:val="13"/>
                <w:szCs w:val="13"/>
                <w:b w:val="1"/>
                <w:bCs w:val="1"/>
                <w:color w:val="732282"/>
              </w:rPr>
              <w:t>Cash Long-Term</w:t>
            </w:r>
          </w:p>
        </w:tc>
      </w:tr>
      <w:tr>
        <w:trPr>
          <w:trHeight w:val="165"/>
        </w:trPr>
        <w:tc>
          <w:tcPr>
            <w:tcW w:w="550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5520" w:type="dxa"/>
            <w:vAlign w:val="bottom"/>
            <w:tcBorders>
              <w:bottom w:val="single" w:sz="8" w:color="732282"/>
            </w:tcBorders>
          </w:tcPr>
          <w:p>
            <w:pPr>
              <w:jc w:val="right"/>
              <w:ind w:right="262"/>
              <w:spacing w:after="0"/>
              <w:rPr>
                <w:sz w:val="20"/>
                <w:szCs w:val="20"/>
                <w:color w:val="auto"/>
              </w:rPr>
            </w:pPr>
            <w:r>
              <w:rPr>
                <w:rFonts w:ascii="Arial" w:cs="Arial" w:eastAsia="Arial" w:hAnsi="Arial"/>
                <w:sz w:val="13"/>
                <w:szCs w:val="13"/>
                <w:b w:val="1"/>
                <w:bCs w:val="1"/>
                <w:color w:val="732282"/>
              </w:rPr>
              <w:t>Incentive Award</w:t>
            </w:r>
          </w:p>
        </w:tc>
      </w:tr>
      <w:tr>
        <w:trPr>
          <w:trHeight w:val="196"/>
        </w:trPr>
        <w:tc>
          <w:tcPr>
            <w:tcW w:w="55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Michael Goettler</w:t>
            </w:r>
          </w:p>
        </w:tc>
        <w:tc>
          <w:tcPr>
            <w:tcW w:w="5520" w:type="dxa"/>
            <w:vAlign w:val="bottom"/>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  2,400,000</w:t>
            </w:r>
          </w:p>
        </w:tc>
      </w:tr>
      <w:tr>
        <w:trPr>
          <w:trHeight w:val="203"/>
        </w:trPr>
        <w:tc>
          <w:tcPr>
            <w:tcW w:w="5500" w:type="dxa"/>
            <w:vAlign w:val="bottom"/>
            <w:tcBorders>
              <w:bottom w:val="single" w:sz="8" w:color="732282"/>
            </w:tcBorders>
          </w:tcPr>
          <w:p>
            <w:pPr>
              <w:ind w:left="100"/>
              <w:spacing w:after="0" w:line="202" w:lineRule="exact"/>
              <w:rPr>
                <w:sz w:val="20"/>
                <w:szCs w:val="20"/>
                <w:color w:val="auto"/>
              </w:rPr>
            </w:pPr>
            <w:r>
              <w:rPr>
                <w:rFonts w:ascii="Arial" w:cs="Arial" w:eastAsia="Arial" w:hAnsi="Arial"/>
                <w:sz w:val="18"/>
                <w:szCs w:val="18"/>
                <w:color w:val="auto"/>
              </w:rPr>
              <w:t>Sanjeev Narula</w:t>
            </w:r>
          </w:p>
        </w:tc>
        <w:tc>
          <w:tcPr>
            <w:tcW w:w="5520" w:type="dxa"/>
            <w:vAlign w:val="bottom"/>
            <w:tcBorders>
              <w:bottom w:val="single" w:sz="8" w:color="732282"/>
            </w:tcBorders>
          </w:tcPr>
          <w:p>
            <w:pPr>
              <w:jc w:val="right"/>
              <w:ind w:right="262"/>
              <w:spacing w:after="0" w:line="202" w:lineRule="exact"/>
              <w:rPr>
                <w:sz w:val="20"/>
                <w:szCs w:val="20"/>
                <w:color w:val="auto"/>
              </w:rPr>
            </w:pPr>
            <w:r>
              <w:rPr>
                <w:rFonts w:ascii="Arial" w:cs="Arial" w:eastAsia="Arial" w:hAnsi="Arial"/>
                <w:sz w:val="18"/>
                <w:szCs w:val="18"/>
                <w:color w:val="auto"/>
              </w:rPr>
              <w:t>$425,000</w:t>
            </w:r>
          </w:p>
        </w:tc>
      </w:tr>
    </w:tbl>
    <w:p>
      <w:pPr>
        <w:spacing w:after="0" w:line="165"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These awards were subject to time-based vesting conditions. Consistent with the terms of an Employee Matters Agreement (entered into between Pfizer and Upjohn prior to the closing of the Combination), long-term incentive grants for the legacy Upjohn executives vested on a pro rata basis reflecting the period of service from the grant date to the date of closing of the Combination, and the remaining portion of the award was forfeited, in accordance with the terms of the award agreements.</w:t>
      </w:r>
    </w:p>
    <w:p>
      <w:pPr>
        <w:spacing w:after="0" w:line="15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As required by the terms of the Employee Matters Agreement, Viatris then granted RSUs to Messrs. Goettler and Narula to replace the value of any forfeited Pfizer awards, including the above-described February 2020 awards (the “Make-Whole Awards”). The Make-Whole Awards vest at the same intervals as the corresponding forfeited Pfizer awards that they replaced, subject to accelerated vesting in connection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98" w:right="439" w:bottom="1440" w:gutter="0" w:footer="0" w:header="0"/>
        </w:sectPr>
      </w:pPr>
    </w:p>
    <w:bookmarkStart w:id="39" w:name="page40"/>
    <w:bookmarkEnd w:id="39"/>
    <w:p>
      <w:pPr>
        <w:ind w:left="4"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qualifying terminations of employment. The table below shows the total value of forfeited Pfizer long-term awards for Messrs. Goettler and Narula and the number of Make-Whole Awards granted to them based on the Employee Matters Agreement.</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4760" w:type="dxa"/>
            <w:vAlign w:val="bottom"/>
          </w:tcPr>
          <w:p>
            <w:pPr>
              <w:jc w:val="right"/>
              <w:ind w:right="164"/>
              <w:spacing w:after="0"/>
              <w:rPr>
                <w:sz w:val="20"/>
                <w:szCs w:val="20"/>
                <w:color w:val="auto"/>
              </w:rPr>
            </w:pPr>
            <w:r>
              <w:rPr>
                <w:rFonts w:ascii="Arial" w:cs="Arial" w:eastAsia="Arial" w:hAnsi="Arial"/>
                <w:sz w:val="13"/>
                <w:szCs w:val="13"/>
                <w:b w:val="1"/>
                <w:bCs w:val="1"/>
                <w:color w:val="732282"/>
              </w:rPr>
              <w:t>Forfeited Pfizer</w:t>
            </w:r>
          </w:p>
        </w:tc>
        <w:tc>
          <w:tcPr>
            <w:tcW w:w="1280" w:type="dxa"/>
            <w:vAlign w:val="bottom"/>
          </w:tcPr>
          <w:p>
            <w:pPr>
              <w:jc w:val="right"/>
              <w:ind w:right="144"/>
              <w:spacing w:after="0"/>
              <w:rPr>
                <w:sz w:val="20"/>
                <w:szCs w:val="20"/>
                <w:color w:val="auto"/>
              </w:rPr>
            </w:pPr>
            <w:r>
              <w:rPr>
                <w:rFonts w:ascii="Arial" w:cs="Arial" w:eastAsia="Arial" w:hAnsi="Arial"/>
                <w:sz w:val="13"/>
                <w:szCs w:val="13"/>
                <w:b w:val="1"/>
                <w:bCs w:val="1"/>
                <w:color w:val="732282"/>
              </w:rPr>
              <w:t>Number of</w:t>
            </w:r>
          </w:p>
        </w:tc>
      </w:tr>
      <w:tr>
        <w:trPr>
          <w:trHeight w:val="148"/>
        </w:trPr>
        <w:tc>
          <w:tcPr>
            <w:tcW w:w="4980" w:type="dxa"/>
            <w:vAlign w:val="bottom"/>
          </w:tcPr>
          <w:p>
            <w:pPr>
              <w:spacing w:after="0"/>
              <w:rPr>
                <w:sz w:val="12"/>
                <w:szCs w:val="12"/>
                <w:color w:val="auto"/>
              </w:rPr>
            </w:pPr>
          </w:p>
        </w:tc>
        <w:tc>
          <w:tcPr>
            <w:tcW w:w="4760" w:type="dxa"/>
            <w:vAlign w:val="bottom"/>
          </w:tcPr>
          <w:p>
            <w:pPr>
              <w:jc w:val="right"/>
              <w:ind w:right="164"/>
              <w:spacing w:after="0"/>
              <w:rPr>
                <w:sz w:val="20"/>
                <w:szCs w:val="20"/>
                <w:color w:val="auto"/>
              </w:rPr>
            </w:pPr>
            <w:r>
              <w:rPr>
                <w:rFonts w:ascii="Arial" w:cs="Arial" w:eastAsia="Arial" w:hAnsi="Arial"/>
                <w:sz w:val="13"/>
                <w:szCs w:val="13"/>
                <w:b w:val="1"/>
                <w:bCs w:val="1"/>
                <w:color w:val="732282"/>
              </w:rPr>
              <w:t>Long-Term</w:t>
            </w:r>
          </w:p>
        </w:tc>
        <w:tc>
          <w:tcPr>
            <w:tcW w:w="1280" w:type="dxa"/>
            <w:vAlign w:val="bottom"/>
          </w:tcPr>
          <w:p>
            <w:pPr>
              <w:jc w:val="right"/>
              <w:ind w:right="144"/>
              <w:spacing w:after="0"/>
              <w:rPr>
                <w:sz w:val="20"/>
                <w:szCs w:val="20"/>
                <w:color w:val="auto"/>
              </w:rPr>
            </w:pPr>
            <w:r>
              <w:rPr>
                <w:rFonts w:ascii="Arial" w:cs="Arial" w:eastAsia="Arial" w:hAnsi="Arial"/>
                <w:sz w:val="13"/>
                <w:szCs w:val="13"/>
                <w:b w:val="1"/>
                <w:bCs w:val="1"/>
                <w:color w:val="732282"/>
              </w:rPr>
              <w:t>Make-Whole</w:t>
            </w:r>
          </w:p>
        </w:tc>
      </w:tr>
      <w:tr>
        <w:trPr>
          <w:trHeight w:val="165"/>
        </w:trPr>
        <w:tc>
          <w:tcPr>
            <w:tcW w:w="498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NEO</w:t>
            </w:r>
          </w:p>
        </w:tc>
        <w:tc>
          <w:tcPr>
            <w:tcW w:w="4760" w:type="dxa"/>
            <w:vAlign w:val="bottom"/>
            <w:tcBorders>
              <w:bottom w:val="single" w:sz="8" w:color="732282"/>
            </w:tcBorders>
          </w:tcPr>
          <w:p>
            <w:pPr>
              <w:jc w:val="right"/>
              <w:ind w:right="164"/>
              <w:spacing w:after="0"/>
              <w:rPr>
                <w:sz w:val="20"/>
                <w:szCs w:val="20"/>
                <w:color w:val="auto"/>
              </w:rPr>
            </w:pPr>
            <w:r>
              <w:rPr>
                <w:rFonts w:ascii="Arial" w:cs="Arial" w:eastAsia="Arial" w:hAnsi="Arial"/>
                <w:sz w:val="13"/>
                <w:szCs w:val="13"/>
                <w:b w:val="1"/>
                <w:bCs w:val="1"/>
                <w:color w:val="732282"/>
              </w:rPr>
              <w:t>Incentive Value</w:t>
            </w:r>
          </w:p>
        </w:tc>
        <w:tc>
          <w:tcPr>
            <w:tcW w:w="1280" w:type="dxa"/>
            <w:vAlign w:val="bottom"/>
            <w:tcBorders>
              <w:bottom w:val="single" w:sz="8" w:color="732282"/>
            </w:tcBorders>
          </w:tcPr>
          <w:p>
            <w:pPr>
              <w:jc w:val="right"/>
              <w:ind w:right="144"/>
              <w:spacing w:after="0"/>
              <w:rPr>
                <w:sz w:val="20"/>
                <w:szCs w:val="20"/>
                <w:color w:val="auto"/>
              </w:rPr>
            </w:pPr>
            <w:r>
              <w:rPr>
                <w:rFonts w:ascii="Arial" w:cs="Arial" w:eastAsia="Arial" w:hAnsi="Arial"/>
                <w:sz w:val="13"/>
                <w:szCs w:val="13"/>
                <w:b w:val="1"/>
                <w:bCs w:val="1"/>
                <w:color w:val="732282"/>
              </w:rPr>
              <w:t>Viatris RSUs</w:t>
            </w:r>
          </w:p>
        </w:tc>
      </w:tr>
      <w:tr>
        <w:trPr>
          <w:trHeight w:val="196"/>
        </w:trPr>
        <w:tc>
          <w:tcPr>
            <w:tcW w:w="49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Michael Goettler*</w:t>
            </w:r>
          </w:p>
        </w:tc>
        <w:tc>
          <w:tcPr>
            <w:tcW w:w="4760" w:type="dxa"/>
            <w:vAlign w:val="bottom"/>
            <w:shd w:val="clear" w:color="auto" w:fill="CCEEFF"/>
          </w:tcPr>
          <w:p>
            <w:pPr>
              <w:jc w:val="right"/>
              <w:ind w:right="164"/>
              <w:spacing w:after="0" w:line="196" w:lineRule="exact"/>
              <w:rPr>
                <w:sz w:val="20"/>
                <w:szCs w:val="20"/>
                <w:color w:val="auto"/>
              </w:rPr>
            </w:pPr>
            <w:r>
              <w:rPr>
                <w:rFonts w:ascii="Arial" w:cs="Arial" w:eastAsia="Arial" w:hAnsi="Arial"/>
                <w:sz w:val="18"/>
                <w:szCs w:val="18"/>
                <w:color w:val="auto"/>
              </w:rPr>
              <w:t>$ 2,759,055</w:t>
            </w:r>
          </w:p>
        </w:tc>
        <w:tc>
          <w:tcPr>
            <w:tcW w:w="1280" w:type="dxa"/>
            <w:vAlign w:val="bottom"/>
            <w:shd w:val="clear" w:color="auto" w:fill="CCEEFF"/>
          </w:tcPr>
          <w:p>
            <w:pPr>
              <w:jc w:val="right"/>
              <w:ind w:right="144"/>
              <w:spacing w:after="0" w:line="196" w:lineRule="exact"/>
              <w:rPr>
                <w:sz w:val="20"/>
                <w:szCs w:val="20"/>
                <w:color w:val="auto"/>
              </w:rPr>
            </w:pPr>
            <w:r>
              <w:rPr>
                <w:rFonts w:ascii="Arial" w:cs="Arial" w:eastAsia="Arial" w:hAnsi="Arial"/>
                <w:sz w:val="18"/>
                <w:szCs w:val="18"/>
                <w:color w:val="auto"/>
              </w:rPr>
              <w:t>177,432</w:t>
            </w:r>
          </w:p>
        </w:tc>
      </w:tr>
      <w:tr>
        <w:trPr>
          <w:trHeight w:val="214"/>
        </w:trPr>
        <w:tc>
          <w:tcPr>
            <w:tcW w:w="4980" w:type="dxa"/>
            <w:vAlign w:val="bottom"/>
          </w:tcPr>
          <w:p>
            <w:pPr>
              <w:ind w:left="100"/>
              <w:spacing w:after="0"/>
              <w:rPr>
                <w:sz w:val="20"/>
                <w:szCs w:val="20"/>
                <w:color w:val="auto"/>
              </w:rPr>
            </w:pPr>
            <w:r>
              <w:rPr>
                <w:rFonts w:ascii="Arial" w:cs="Arial" w:eastAsia="Arial" w:hAnsi="Arial"/>
                <w:sz w:val="18"/>
                <w:szCs w:val="18"/>
                <w:color w:val="auto"/>
              </w:rPr>
              <w:t>Sanjeev Narula**</w:t>
            </w:r>
          </w:p>
        </w:tc>
        <w:tc>
          <w:tcPr>
            <w:tcW w:w="4760" w:type="dxa"/>
            <w:vAlign w:val="bottom"/>
          </w:tcPr>
          <w:p>
            <w:pPr>
              <w:jc w:val="right"/>
              <w:ind w:right="164"/>
              <w:spacing w:after="0"/>
              <w:rPr>
                <w:sz w:val="20"/>
                <w:szCs w:val="20"/>
                <w:color w:val="auto"/>
              </w:rPr>
            </w:pPr>
            <w:r>
              <w:rPr>
                <w:rFonts w:ascii="Arial" w:cs="Arial" w:eastAsia="Arial" w:hAnsi="Arial"/>
                <w:sz w:val="18"/>
                <w:szCs w:val="18"/>
                <w:color w:val="auto"/>
              </w:rPr>
              <w:t>$330,367</w:t>
            </w:r>
          </w:p>
        </w:tc>
        <w:tc>
          <w:tcPr>
            <w:tcW w:w="1280" w:type="dxa"/>
            <w:vAlign w:val="bottom"/>
          </w:tcPr>
          <w:p>
            <w:pPr>
              <w:jc w:val="right"/>
              <w:ind w:right="144"/>
              <w:spacing w:after="0"/>
              <w:rPr>
                <w:sz w:val="20"/>
                <w:szCs w:val="20"/>
                <w:color w:val="auto"/>
              </w:rPr>
            </w:pPr>
            <w:r>
              <w:rPr>
                <w:rFonts w:ascii="Arial" w:cs="Arial" w:eastAsia="Arial" w:hAnsi="Arial"/>
                <w:sz w:val="18"/>
                <w:szCs w:val="18"/>
                <w:color w:val="auto"/>
              </w:rPr>
              <w:t>21,246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both"/>
        <w:ind w:left="324" w:hanging="324"/>
        <w:spacing w:after="0"/>
        <w:tabs>
          <w:tab w:leader="none" w:pos="324"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forfeited value for Mr. Goettler is a total of $54,408, $839,042 and $1,865,605 from Pfizer awards granted in 2018, 2019 and 2020, respectively. The forfeited values were granted as three separate Make-Whole Awards in the amount of 3,499, 53,958 and 119,975 RSUs, respectively, that will vest following the Pfizer vesting schedule in 2021, 2022 and 2023.</w:t>
      </w:r>
    </w:p>
    <w:p>
      <w:pPr>
        <w:spacing w:after="0" w:line="147" w:lineRule="exact"/>
        <w:rPr>
          <w:sz w:val="20"/>
          <w:szCs w:val="20"/>
          <w:color w:val="auto"/>
        </w:rPr>
      </w:pPr>
    </w:p>
    <w:p>
      <w:pPr>
        <w:ind w:left="324" w:hanging="324"/>
        <w:spacing w:after="0"/>
        <w:tabs>
          <w:tab w:leader="none" w:pos="324"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value for Mr. Narula is the amount forfeited from Pfizer awards granted in 2020 that will vest following the Pfizer vesting schedule in 2023.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One-Time Transaction-Related Compensation Matters</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Executive Chairman Employment Agreement</w:t>
      </w:r>
    </w:p>
    <w:p>
      <w:pPr>
        <w:spacing w:after="0" w:line="97"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8"/>
          <w:szCs w:val="18"/>
          <w:color w:val="auto"/>
        </w:rPr>
        <w:t>In connection with the Combination, Mylan and Pfizer determined that Mr. Coury would serve as Executive Chairman of Viatris. The Mylan Board subsequently disclosed, prior to the shareholder vote on the Combination, its intended compensation program for Mr. Coury in that role. Shortly after the closing of the Combination, on November 20, 2020, the Viatris Compensation Committee and Board approved an employment agreement with Mr. Coury in connection with his service as Executive Chairman of the Company (the “Executive Chairman Agreement”).</w:t>
      </w:r>
    </w:p>
    <w:p>
      <w:pPr>
        <w:spacing w:after="0" w:line="157"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The terms of the Executive Chairman Agreement, which has a term through December 31, 2025, are generally consistent with those previously described in Mylan’s definitive proxy statement filed on February 13, 2020 and the information statement included as Exhibit 99.1 to Viatris’ Form 8-K filed with the SEC on August 6, 2020.</w:t>
      </w:r>
    </w:p>
    <w:p>
      <w:pPr>
        <w:spacing w:after="0" w:line="154" w:lineRule="exact"/>
        <w:rPr>
          <w:sz w:val="20"/>
          <w:szCs w:val="20"/>
          <w:color w:val="auto"/>
        </w:rPr>
      </w:pPr>
    </w:p>
    <w:p>
      <w:pPr>
        <w:jc w:val="both"/>
        <w:ind w:left="4"/>
        <w:spacing w:after="0" w:line="235" w:lineRule="auto"/>
        <w:rPr>
          <w:sz w:val="20"/>
          <w:szCs w:val="20"/>
          <w:color w:val="auto"/>
        </w:rPr>
      </w:pPr>
      <w:r>
        <w:rPr>
          <w:rFonts w:ascii="Arial" w:cs="Arial" w:eastAsia="Arial" w:hAnsi="Arial"/>
          <w:sz w:val="18"/>
          <w:szCs w:val="18"/>
          <w:color w:val="auto"/>
        </w:rPr>
        <w:t>Under the Executive Chairman Agreement, Mr. Coury receives (i) an annual base salary of $1.8 million, (ii) an annual performance-based target bonus equal to 150% of base salary, and (iii) an annual grant of long-term incentive compensation with a grant date value equal to 600% of base salary. In addition,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negotiations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 The Executive Chairman Agreement also provides that, upon termination of employment without cause, resignation for good reason, termination upon non-renewal, disability or death, each as defined in the Executive Chairman Agreement, Mr. Coury would receive (i) a severance payment equal to three times the sum of (x) his base salary at the time of termination and (y) the greater of his target bonus or highest bonus paid under the Executive Chairman Agreement through such date, (ii) a prorated annual bonus for the year of termination, (iii) accelerated vesting of equity awards held at the time of termination, and (iv) continued benefits for a three year period.</w:t>
      </w:r>
    </w:p>
    <w:p>
      <w:pPr>
        <w:spacing w:after="0" w:line="160"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Pursuant to the Executive Chairman Agreement, Mr. Coury also received a shareholder-aligned grant of 1.6 million PRSUs, which are divided into five separate vesting tranches requiring significant share price</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318" w:right="439" w:bottom="1440" w:gutter="0" w:footer="0" w:header="0"/>
        </w:sectPr>
      </w:pPr>
    </w:p>
    <w:bookmarkStart w:id="40" w:name="page41"/>
    <w:bookmarkEnd w:id="40"/>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appreciation and outstanding total shareholder returns (including dividends and other distributions) of 25%, 50%, 75%, 100% and 150% from the date of grant through December 30, 2025 (the “Value Creation Award”). In the case of the first three tranches, the awards are subject to a retention requirement through the first anniversary of achieving the shareholder return goal and in the case of the final two tranches, the awards are subject to a retention requirement through the term of the award. The award would vest in full upon termination of employment without cause, resignation for good reason, disability or death, each as defined in the Executive Chairman Agreement. The Viatris Compensation Committee as well as all of the independent members of the Viatris Board believe that the Executive Chairman Agreement and this heavily performance-based award will benefit all Viatris shareholders by further aligning and incentivizing Mr. Coury to achieve Viatris’ total shareholder return and return of capital goals.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Arrangements with Messrs. Goettler and Narula</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Following the closing of the Combination, Viatris entered into an agreement with Mr. Goettler pursuant to which Mr. Goettler would be entitled to receive an amount equal to two times his base salary and target bonus in the event of a termination without cause, which would increase to two and a half (2.5) times his base salary and target bonus in the event such termination occurred following the first anniversary of the Combination.</w:t>
      </w:r>
    </w:p>
    <w:p>
      <w:pPr>
        <w:spacing w:after="0" w:line="15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Pfizer was party to an agreement with Mr. Narula, which was assumed by Viatris, pursuant to which Mr. Narula would be entitled to an amount equal to two (2) times his base salary and his highest annual bonus paid by Pfizer, Upjohn or Viatris in respect of the four calendar years preceding his date of termination (even if paid in a later year) in the event of certain terminations within 24 months of the Combination.</w:t>
      </w:r>
    </w:p>
    <w:p>
      <w:pPr>
        <w:spacing w:after="0" w:line="123" w:lineRule="exact"/>
        <w:rPr>
          <w:sz w:val="20"/>
          <w:szCs w:val="20"/>
          <w:color w:val="auto"/>
        </w:rPr>
      </w:pPr>
    </w:p>
    <w:p>
      <w:pPr>
        <w:ind w:right="1560"/>
        <w:spacing w:after="0" w:line="375" w:lineRule="auto"/>
        <w:rPr>
          <w:sz w:val="20"/>
          <w:szCs w:val="20"/>
          <w:color w:val="auto"/>
        </w:rPr>
      </w:pPr>
      <w:r>
        <w:rPr>
          <w:rFonts w:ascii="Arial" w:cs="Arial" w:eastAsia="Arial" w:hAnsi="Arial"/>
          <w:sz w:val="18"/>
          <w:szCs w:val="18"/>
          <w:color w:val="auto"/>
        </w:rPr>
        <w:t xml:space="preserve">In addition, the Make-Whole Awards issued to Messrs. Goettler or Narula would vest in connection with such terminations. </w:t>
      </w:r>
      <w:r>
        <w:rPr>
          <w:rFonts w:ascii="Arial" w:cs="Arial" w:eastAsia="Arial" w:hAnsi="Arial"/>
          <w:sz w:val="18"/>
          <w:szCs w:val="18"/>
          <w:b w:val="1"/>
          <w:bCs w:val="1"/>
          <w:i w:val="1"/>
          <w:iCs w:val="1"/>
          <w:color w:val="auto"/>
        </w:rPr>
        <w:t>Certain Arrangements with Messrs. Malik and Mauro</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the Combination, Mylan was party to Transition and Succession Agreements with each of Messrs. Malik and Mauro, which were assumed by Viatris upon closing of the Combination. The Transition and Succession Agreements govern the terms and conditions of each of Mr. Malik’s and Mr. Mauro’s employment and eligibility for severance benefits and payments for a two-year period following a change in control of Mylan, which occurred as a result of the Combination. In the event Mr. Malik and/or Mr. Mauro incurs a qualifying termination under the Transition and Succession Agreement through the second anniversary of the Combination, he would be entitled to a severance payment equal to three times the sum of his base salary and highest bonus paid, a pro rata bonus for the year of termination based on actual performance, and three years of continued health and other benefits. In addition, any equity awards held prior to the Combination would vest in connection with such termination.</w:t>
      </w:r>
    </w:p>
    <w:p>
      <w:pPr>
        <w:spacing w:after="0" w:line="15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To incentivize Mr. Malik and Mr. Mauro to remain with Viatris in light of their importance to the launch and integration of Viatris, as well as development and execution of strategies going forward, and their existing Transition and Succession Agreement severance rights, Viatris entered into a retention agreement with each of them pursuant to which each will have the opportunity to earn the value of the separation benefit under his respective Transition and Succession Agreement (approximately $11 million for Mr. Malik and approximately $6.5 million for Mr. Mauro) following a service period of two (2) years following the Combination (the “Retention Agreements”). The Transition and Succession Agreements will remain in effect pursuant to their existing terms, but in no event will Messrs. Malik or Mauro be eligible to earn both the benefits under their Transition and Succession Agreement and the Retention Agreement. The Transition and Succession Agreements will expire if payments are made pursuant to the corresponding Retention Agreements.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318" w:right="4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prior to the Combination, Mylan was party to a Retirement Benefit Agreement (the “Malik RBA”) with Mr. Malik, which was assumed by Viatris upon closing of the Combination. The Malik RBA provides Mr. Malik with a supplemental form of retirement and death benefit. Pursuant to the Malik RBA, Mr. Malik, upon retirement following completion of 10 or more years of service, would be entitled to receive a lump sum retirement benefit equal to the present value of an annual payment of 15% of the sum of his base salary and target annual bonus on the date of retirement for a period of 15 years. Having completed at least 10 years of continuous service as an executive, Mr. Malik is 100% vested in the retirement benefit under the Malik RBA. In addition, when Mr. Malik joined Mylan in January 2007, Mylan established a nonqualified deferred compensation plan on his behalf in light of the fact that he was not eligible for certain retirement plans at the time. Although the Company does not currently contribute to the plan account, it will be distributed to Mr. Malik upon termination of his employment, or upon other qualifying distribution events, such as his retirement, disability or death or the Company’s termination of the plan.</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Malik agreed with the Viatris Compensation Committee that the Malik RBA would be frozen as of the Combination and that, for periods following the Combination, he would cease to accrue additional benefits under the Malik RBA following the Combination. Mr. Malik also agreed that he would no longer be eligible for tax equalization benefits that he has historically received.</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As discussed above, in connection with negotiation of the Retention Agreements, each of Mr. Malik and Mr. Mauro agreed with the Viatris Compensation Committee to voluntarily waive his right to the Section 280G tax gross-up contained in his Transition and Succession Agreement.</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actions noted above are consistent with perspectives shared by shareholders during Mylan’s robust shareholder engagement efforts over the past several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Perquisites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provide certain limited perquisites to our NEOs, including the following:</w:t>
      </w:r>
    </w:p>
    <w:p>
      <w:pPr>
        <w:spacing w:after="0" w:line="77" w:lineRule="exact"/>
        <w:rPr>
          <w:sz w:val="20"/>
          <w:szCs w:val="20"/>
          <w:color w:val="auto"/>
        </w:rPr>
      </w:pPr>
    </w:p>
    <w:p>
      <w:pPr>
        <w:ind w:left="420" w:right="20" w:hanging="3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NEO receives a car allowance or the use of a leased vehicle and payment of certain ancillary expenses. The NEOs are responsible for paying any taxes incurred relating to this perquisite.</w:t>
      </w:r>
    </w:p>
    <w:p>
      <w:pPr>
        <w:spacing w:after="0" w:line="73" w:lineRule="exact"/>
        <w:rPr>
          <w:rFonts w:ascii="Arial" w:cs="Arial" w:eastAsia="Arial" w:hAnsi="Arial"/>
          <w:sz w:val="18"/>
          <w:szCs w:val="18"/>
          <w:color w:val="auto"/>
        </w:rPr>
      </w:pPr>
    </w:p>
    <w:p>
      <w:pPr>
        <w:jc w:val="both"/>
        <w:ind w:left="420" w:hanging="316"/>
        <w:spacing w:after="0" w:line="269"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NEOs take an extraordinarily active approach to overseeing and managing Viatris’ global operations, which will necessitate a significant amount of U.S. domestic and international travel time after the lifting of COVID-based restrictions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time-to-time require certain executives to use corporate aircraft for business and personal purposes.</w:t>
      </w:r>
    </w:p>
    <w:p>
      <w:pPr>
        <w:spacing w:after="0" w:line="51" w:lineRule="exact"/>
        <w:rPr>
          <w:rFonts w:ascii="Arial" w:cs="Arial" w:eastAsia="Arial" w:hAnsi="Arial"/>
          <w:sz w:val="16"/>
          <w:szCs w:val="16"/>
          <w:color w:val="auto"/>
        </w:rPr>
      </w:pPr>
    </w:p>
    <w:p>
      <w:pPr>
        <w:ind w:left="420" w:hanging="3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reasons of continued security-related concerns, we may from time-to-time provide certain NEOs with personal security.</w:t>
      </w:r>
    </w:p>
    <w:p>
      <w:pPr>
        <w:spacing w:after="0" w:line="76"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2020, in connection with the relocation of Messrs. Goettler and Narula to the United States and then to Pittsburgh, Pennsylvania, we provided certain limited repatriation and relocation benefits to each of them.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318"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401(k) Restoration Plan</w:t>
      </w:r>
    </w:p>
    <w:p>
      <w:pPr>
        <w:spacing w:after="0" w:line="9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401(k) Restoration Plan (the “Restoration Plan”) permits employees (including NEOs) who earn compensation in excess of the limits imposed by Section 401(a)(17) of the Code to (i) defer a portion of base salary and bonus compensation, (ii) for employees (other than the NEOs with a Retirement Benefit Agreement) be credited with a Company matching contribution in respect of deferrals under the Restoration Plan, and (iii) be credited with Company non-elective contributions (to the extent so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Viatris 2021 Share Ownership Requirements</w:t>
      </w:r>
    </w:p>
    <w:p>
      <w:pPr>
        <w:spacing w:after="0" w:line="9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Viatris maintains robust share ownership requirements for our NEOs. The requirement is expressed as a multiple of base salary and shown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5200" w:type="dxa"/>
            <w:vAlign w:val="bottom"/>
          </w:tcPr>
          <w:p>
            <w:pPr>
              <w:jc w:val="right"/>
              <w:ind w:right="339"/>
              <w:spacing w:after="0"/>
              <w:rPr>
                <w:sz w:val="20"/>
                <w:szCs w:val="20"/>
                <w:color w:val="auto"/>
              </w:rPr>
            </w:pPr>
            <w:r>
              <w:rPr>
                <w:rFonts w:ascii="Arial" w:cs="Arial" w:eastAsia="Arial" w:hAnsi="Arial"/>
                <w:sz w:val="13"/>
                <w:szCs w:val="13"/>
                <w:b w:val="1"/>
                <w:bCs w:val="1"/>
                <w:color w:val="732282"/>
              </w:rPr>
              <w:t>Ownership</w:t>
            </w:r>
          </w:p>
        </w:tc>
      </w:tr>
      <w:tr>
        <w:trPr>
          <w:trHeight w:val="165"/>
        </w:trPr>
        <w:tc>
          <w:tcPr>
            <w:tcW w:w="582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Position</w:t>
            </w:r>
          </w:p>
        </w:tc>
        <w:tc>
          <w:tcPr>
            <w:tcW w:w="5200" w:type="dxa"/>
            <w:vAlign w:val="bottom"/>
            <w:tcBorders>
              <w:bottom w:val="single" w:sz="8" w:color="732282"/>
            </w:tcBorders>
          </w:tcPr>
          <w:p>
            <w:pPr>
              <w:jc w:val="right"/>
              <w:ind w:right="339"/>
              <w:spacing w:after="0"/>
              <w:rPr>
                <w:sz w:val="20"/>
                <w:szCs w:val="20"/>
                <w:color w:val="auto"/>
              </w:rPr>
            </w:pPr>
            <w:r>
              <w:rPr>
                <w:rFonts w:ascii="Arial" w:cs="Arial" w:eastAsia="Arial" w:hAnsi="Arial"/>
                <w:sz w:val="13"/>
                <w:szCs w:val="13"/>
                <w:b w:val="1"/>
                <w:bCs w:val="1"/>
                <w:color w:val="732282"/>
              </w:rPr>
              <w:t>Requirement</w:t>
            </w:r>
          </w:p>
        </w:tc>
      </w:tr>
      <w:tr>
        <w:trPr>
          <w:trHeight w:val="196"/>
        </w:trPr>
        <w:tc>
          <w:tcPr>
            <w:tcW w:w="58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Executive Chairman</w:t>
            </w:r>
          </w:p>
        </w:tc>
        <w:tc>
          <w:tcPr>
            <w:tcW w:w="5200" w:type="dxa"/>
            <w:vAlign w:val="bottom"/>
            <w:shd w:val="clear" w:color="auto" w:fill="CCEEFF"/>
          </w:tcPr>
          <w:p>
            <w:pPr>
              <w:jc w:val="right"/>
              <w:ind w:right="339"/>
              <w:spacing w:after="0" w:line="196" w:lineRule="exact"/>
              <w:rPr>
                <w:sz w:val="20"/>
                <w:szCs w:val="20"/>
                <w:color w:val="auto"/>
              </w:rPr>
            </w:pPr>
            <w:r>
              <w:rPr>
                <w:rFonts w:ascii="Arial" w:cs="Arial" w:eastAsia="Arial" w:hAnsi="Arial"/>
                <w:sz w:val="18"/>
                <w:szCs w:val="18"/>
                <w:color w:val="auto"/>
              </w:rPr>
              <w:t>6x</w:t>
            </w:r>
          </w:p>
        </w:tc>
      </w:tr>
      <w:tr>
        <w:trPr>
          <w:trHeight w:val="203"/>
        </w:trPr>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Chief Executive Officer</w:t>
            </w:r>
          </w:p>
        </w:tc>
        <w:tc>
          <w:tcPr>
            <w:tcW w:w="5200" w:type="dxa"/>
            <w:vAlign w:val="bottom"/>
          </w:tcPr>
          <w:p>
            <w:pPr>
              <w:jc w:val="right"/>
              <w:ind w:right="339"/>
              <w:spacing w:after="0" w:line="202" w:lineRule="exact"/>
              <w:rPr>
                <w:sz w:val="20"/>
                <w:szCs w:val="20"/>
                <w:color w:val="auto"/>
              </w:rPr>
            </w:pPr>
            <w:r>
              <w:rPr>
                <w:rFonts w:ascii="Arial" w:cs="Arial" w:eastAsia="Arial" w:hAnsi="Arial"/>
                <w:sz w:val="18"/>
                <w:szCs w:val="18"/>
                <w:color w:val="auto"/>
              </w:rPr>
              <w:t>6x</w:t>
            </w:r>
          </w:p>
        </w:tc>
      </w:tr>
      <w:tr>
        <w:trPr>
          <w:trHeight w:val="203"/>
        </w:trPr>
        <w:tc>
          <w:tcPr>
            <w:tcW w:w="5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President</w:t>
            </w:r>
          </w:p>
        </w:tc>
        <w:tc>
          <w:tcPr>
            <w:tcW w:w="5200" w:type="dxa"/>
            <w:vAlign w:val="bottom"/>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4x</w:t>
            </w:r>
          </w:p>
        </w:tc>
      </w:tr>
      <w:tr>
        <w:trPr>
          <w:trHeight w:val="203"/>
        </w:trPr>
        <w:tc>
          <w:tcPr>
            <w:tcW w:w="5820" w:type="dxa"/>
            <w:vAlign w:val="bottom"/>
            <w:tcBorders>
              <w:bottom w:val="single" w:sz="8" w:color="732282"/>
            </w:tcBorders>
          </w:tcPr>
          <w:p>
            <w:pPr>
              <w:ind w:left="100"/>
              <w:spacing w:after="0" w:line="202" w:lineRule="exact"/>
              <w:rPr>
                <w:sz w:val="20"/>
                <w:szCs w:val="20"/>
                <w:color w:val="auto"/>
              </w:rPr>
            </w:pPr>
            <w:r>
              <w:rPr>
                <w:rFonts w:ascii="Arial" w:cs="Arial" w:eastAsia="Arial" w:hAnsi="Arial"/>
                <w:sz w:val="18"/>
                <w:szCs w:val="18"/>
                <w:color w:val="auto"/>
              </w:rPr>
              <w:t>Other NEOs</w:t>
            </w:r>
          </w:p>
        </w:tc>
        <w:tc>
          <w:tcPr>
            <w:tcW w:w="5200" w:type="dxa"/>
            <w:vAlign w:val="bottom"/>
            <w:tcBorders>
              <w:bottom w:val="single" w:sz="8" w:color="732282"/>
            </w:tcBorders>
          </w:tcPr>
          <w:p>
            <w:pPr>
              <w:jc w:val="right"/>
              <w:ind w:right="339"/>
              <w:spacing w:after="0" w:line="202" w:lineRule="exact"/>
              <w:rPr>
                <w:sz w:val="20"/>
                <w:szCs w:val="20"/>
                <w:color w:val="auto"/>
              </w:rPr>
            </w:pPr>
            <w:r>
              <w:rPr>
                <w:rFonts w:ascii="Arial" w:cs="Arial" w:eastAsia="Arial" w:hAnsi="Arial"/>
                <w:sz w:val="18"/>
                <w:szCs w:val="18"/>
                <w:color w:val="auto"/>
              </w:rPr>
              <w:t>3x</w:t>
            </w:r>
          </w:p>
        </w:tc>
      </w:tr>
    </w:tbl>
    <w:p>
      <w:pPr>
        <w:spacing w:after="0" w:line="16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 addition to the NEOs, the Viatris share ownership policy covers the most senior employees at Viatris to promote an ownership culture and align the interests of the leadership team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count toward compliance with these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Viatris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 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96" w:right="439" w:bottom="1440" w:gutter="0" w:footer="0" w:header="0"/>
        </w:sectPr>
      </w:pPr>
    </w:p>
    <w:bookmarkStart w:id="43" w:name="page44"/>
    <w:bookmarkEnd w:id="43"/>
    <w:p>
      <w:pPr>
        <w:jc w:val="both"/>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Viatris Compensation Committee are not otherwise constrained from seeking to clawback from or deny compensation to any member of the executive team in response to any breach of duties or ethics. The Board considers additional updates to the clawback policy from time-to-time. In addition, to the extent that the SEC adopts rules for clawback policies that require changes to our policy, we will respond accordingly.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Viatris has a securities trading policy that prohibits directors and “officers” (as defined in Rule 16a-1(f) of the Exchange Act)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16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Viatris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Risk in Company Compensation Policies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Viatris Compensation Committee has considered risk management in determining compensation policies and believes that our programs are designed appropriately to encourage outstanding, consistent, sustainable business performance over extended periods of time. Management and the Viatris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 that an overly formulaic approach may have on excessive risk-taking by management. At least annually, the Viatris Compensation Committee also receives a report from Meridian Compensation Partners, LLC (“Meridian”), its independent compensation consultant, on risk management in connection with the Company’s compensation program.</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Viatris Compensation Committee believes that our compensation policies and practices do not encourage excessive risk and are not reasonably likely to have a material adverse effect on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318"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Role of the Viatris Compensation Committee</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Viatris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2020, the Mylan Compensation Committee retained Meridian to provide advice and information regarding the design and implementation of Viatris’ executive compensation programs. Meridian also provided information to the Mylan Compensation Committee regarding regulatory and other technical developments that may be relevant to Mylan’s executive compensation programs. In addition, Meridian provided the Mylan Compensation Committee with competitive market information, analyses and trends on executive base salary, annual incentives, long-term incentives, benefits and perquisites.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Meridian has provided similar advice to the Viatris Compensation Committee since the date of the closing of the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Viatris Compensation Committee also receives advice from outside counsel including, but not limited to, Cravath, Swaine &amp; Moore LLP.</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Viatris Compensation Committee performs an annual review of the independence of its outside advisors, consistent with NASDAQ requirements and the Viatris Compensation Committee charter.</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Later in 2021, Viatris intends to file a definitive proxy statement containing both an advisory say-on-pay proposal as well as an advisory say-on-pay vote frequency proposal.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Deduction Cap on Executive Compensation</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Viatris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96"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Report</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reviewed and discussed the CD&amp;A with management. Based on such review and discussions, we recommended to the Board that the CD&amp;A be included in this Amendment.</w:t>
      </w:r>
    </w:p>
    <w:p>
      <w:pPr>
        <w:spacing w:after="0" w:line="15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Respectfully submitted,</w:t>
      </w:r>
    </w:p>
    <w:p>
      <w:pPr>
        <w:spacing w:after="0" w:line="15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Melina Higgins</w:t>
      </w:r>
    </w:p>
    <w:p>
      <w:pPr>
        <w:ind w:left="5960"/>
        <w:spacing w:after="0" w:line="234" w:lineRule="auto"/>
        <w:rPr>
          <w:sz w:val="20"/>
          <w:szCs w:val="20"/>
          <w:color w:val="auto"/>
        </w:rPr>
      </w:pPr>
      <w:r>
        <w:rPr>
          <w:rFonts w:ascii="Arial" w:cs="Arial" w:eastAsia="Arial" w:hAnsi="Arial"/>
          <w:sz w:val="18"/>
          <w:szCs w:val="18"/>
          <w:color w:val="auto"/>
        </w:rPr>
        <w:t>Neil Dimick</w:t>
      </w:r>
    </w:p>
    <w:p>
      <w:pPr>
        <w:ind w:left="5960"/>
        <w:spacing w:after="0" w:line="235" w:lineRule="auto"/>
        <w:rPr>
          <w:sz w:val="20"/>
          <w:szCs w:val="20"/>
          <w:color w:val="auto"/>
        </w:rPr>
      </w:pPr>
      <w:r>
        <w:rPr>
          <w:rFonts w:ascii="Arial" w:cs="Arial" w:eastAsia="Arial" w:hAnsi="Arial"/>
          <w:sz w:val="18"/>
          <w:szCs w:val="18"/>
          <w:color w:val="auto"/>
        </w:rPr>
        <w:t>James Kilts</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Pauline van der Meer Mohr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None of the members of the Viatris Compensation Committee during 2020 (Ms. Dillon, Ms. Higgins and Ms. van der Meer Mohr) was an officer or employee of Viatris, was formerly an officer of Viatris, or had any relationship requiring disclosure by Viatris under Item 404 of Regulation S-K. During 2020, no executive officer of Viatris served on the compensation committee or board of another entity, one of whose executive officers served on the Compensation Committee or the Board of Viatris.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96" w:right="439" w:bottom="1440" w:gutter="0" w:footer="0" w:header="0"/>
        </w:sectPr>
      </w:pPr>
    </w:p>
    <w:bookmarkStart w:id="46" w:name="page47"/>
    <w:bookmarkEnd w:id="46"/>
    <w:p>
      <w:pPr>
        <w:ind w:left="4"/>
        <w:spacing w:after="0"/>
        <w:rPr>
          <w:sz w:val="20"/>
          <w:szCs w:val="20"/>
          <w:color w:val="auto"/>
        </w:rPr>
      </w:pPr>
      <w:r>
        <w:rPr>
          <w:rFonts w:ascii="Arial" w:cs="Arial" w:eastAsia="Arial" w:hAnsi="Arial"/>
          <w:sz w:val="24"/>
          <w:szCs w:val="24"/>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Tables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732282"/>
        </w:rPr>
        <w:t>2020 Summary Compensation Table</w:t>
      </w:r>
    </w:p>
    <w:p>
      <w:pPr>
        <w:spacing w:after="0" w:line="99" w:lineRule="exact"/>
        <w:rPr>
          <w:sz w:val="20"/>
          <w:szCs w:val="20"/>
          <w:color w:val="auto"/>
        </w:rPr>
      </w:pPr>
    </w:p>
    <w:p>
      <w:pPr>
        <w:ind w:left="4" w:right="20"/>
        <w:spacing w:after="0" w:line="239" w:lineRule="auto"/>
        <w:rPr>
          <w:sz w:val="20"/>
          <w:szCs w:val="20"/>
          <w:color w:val="auto"/>
        </w:rPr>
      </w:pPr>
      <w:r>
        <w:rPr>
          <w:rFonts w:ascii="Arial" w:cs="Arial" w:eastAsia="Arial" w:hAnsi="Arial"/>
          <w:sz w:val="18"/>
          <w:szCs w:val="18"/>
          <w:color w:val="auto"/>
        </w:rPr>
        <w:t>The following summary compensation table sets forth the cash and non-cash compensation paid or granted to or earned by the NEOs for 2020 under the combined Mylan, Upjohn, and Viatris compensation programs.</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080" w:type="dxa"/>
            <w:vAlign w:val="bottom"/>
            <w:shd w:val="clear" w:color="auto" w:fill="444444"/>
          </w:tcPr>
          <w:p>
            <w:pPr>
              <w:spacing w:after="0"/>
              <w:rPr>
                <w:sz w:val="13"/>
                <w:szCs w:val="13"/>
                <w:color w:val="auto"/>
              </w:rPr>
            </w:pPr>
          </w:p>
        </w:tc>
        <w:tc>
          <w:tcPr>
            <w:tcW w:w="600" w:type="dxa"/>
            <w:vAlign w:val="bottom"/>
            <w:shd w:val="clear" w:color="auto" w:fill="444444"/>
          </w:tcPr>
          <w:p>
            <w:pPr>
              <w:spacing w:after="0"/>
              <w:rPr>
                <w:sz w:val="13"/>
                <w:szCs w:val="13"/>
                <w:color w:val="auto"/>
              </w:rPr>
            </w:pPr>
          </w:p>
        </w:tc>
        <w:tc>
          <w:tcPr>
            <w:tcW w:w="800" w:type="dxa"/>
            <w:vAlign w:val="bottom"/>
            <w:shd w:val="clear" w:color="auto" w:fill="444444"/>
          </w:tcPr>
          <w:p>
            <w:pPr>
              <w:spacing w:after="0"/>
              <w:rPr>
                <w:sz w:val="13"/>
                <w:szCs w:val="13"/>
                <w:color w:val="auto"/>
              </w:rPr>
            </w:pPr>
          </w:p>
        </w:tc>
        <w:tc>
          <w:tcPr>
            <w:tcW w:w="860" w:type="dxa"/>
            <w:vAlign w:val="bottom"/>
            <w:shd w:val="clear" w:color="auto" w:fill="444444"/>
          </w:tcPr>
          <w:p>
            <w:pPr>
              <w:spacing w:after="0"/>
              <w:rPr>
                <w:sz w:val="13"/>
                <w:szCs w:val="13"/>
                <w:color w:val="auto"/>
              </w:rPr>
            </w:pPr>
          </w:p>
        </w:tc>
        <w:tc>
          <w:tcPr>
            <w:tcW w:w="880" w:type="dxa"/>
            <w:vAlign w:val="bottom"/>
            <w:shd w:val="clear" w:color="auto" w:fill="444444"/>
          </w:tcPr>
          <w:p>
            <w:pPr>
              <w:spacing w:after="0"/>
              <w:rPr>
                <w:sz w:val="13"/>
                <w:szCs w:val="13"/>
                <w:color w:val="auto"/>
              </w:rPr>
            </w:pPr>
          </w:p>
        </w:tc>
        <w:tc>
          <w:tcPr>
            <w:tcW w:w="680" w:type="dxa"/>
            <w:vAlign w:val="bottom"/>
            <w:shd w:val="clear" w:color="auto" w:fill="444444"/>
          </w:tcPr>
          <w:p>
            <w:pPr>
              <w:spacing w:after="0"/>
              <w:rPr>
                <w:sz w:val="13"/>
                <w:szCs w:val="13"/>
                <w:color w:val="auto"/>
              </w:rPr>
            </w:pPr>
          </w:p>
        </w:tc>
        <w:tc>
          <w:tcPr>
            <w:tcW w:w="1080" w:type="dxa"/>
            <w:vAlign w:val="bottom"/>
            <w:shd w:val="clear" w:color="auto" w:fill="444444"/>
          </w:tcPr>
          <w:p>
            <w:pPr>
              <w:spacing w:after="0"/>
              <w:rPr>
                <w:sz w:val="13"/>
                <w:szCs w:val="13"/>
                <w:color w:val="auto"/>
              </w:rPr>
            </w:pP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Changes in</w:t>
            </w:r>
          </w:p>
        </w:tc>
        <w:tc>
          <w:tcPr>
            <w:tcW w:w="1080" w:type="dxa"/>
            <w:vAlign w:val="bottom"/>
            <w:shd w:val="clear" w:color="auto" w:fill="444444"/>
          </w:tcPr>
          <w:p>
            <w:pPr>
              <w:spacing w:after="0"/>
              <w:rPr>
                <w:sz w:val="13"/>
                <w:szCs w:val="13"/>
                <w:color w:val="auto"/>
              </w:rPr>
            </w:pPr>
          </w:p>
        </w:tc>
        <w:tc>
          <w:tcPr>
            <w:tcW w:w="860" w:type="dxa"/>
            <w:vAlign w:val="bottom"/>
            <w:shd w:val="clear" w:color="auto" w:fill="444444"/>
          </w:tcPr>
          <w:p>
            <w:pPr>
              <w:spacing w:after="0"/>
              <w:rPr>
                <w:sz w:val="13"/>
                <w:szCs w:val="13"/>
                <w:color w:val="auto"/>
              </w:rPr>
            </w:pPr>
          </w:p>
        </w:tc>
      </w:tr>
      <w:tr>
        <w:trPr>
          <w:trHeight w:val="149"/>
        </w:trPr>
        <w:tc>
          <w:tcPr>
            <w:tcW w:w="3080" w:type="dxa"/>
            <w:vAlign w:val="bottom"/>
            <w:shd w:val="clear" w:color="auto" w:fill="444444"/>
          </w:tcPr>
          <w:p>
            <w:pPr>
              <w:spacing w:after="0"/>
              <w:rPr>
                <w:sz w:val="12"/>
                <w:szCs w:val="12"/>
                <w:color w:val="auto"/>
              </w:rPr>
            </w:pPr>
          </w:p>
        </w:tc>
        <w:tc>
          <w:tcPr>
            <w:tcW w:w="6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880" w:type="dxa"/>
            <w:vAlign w:val="bottom"/>
            <w:shd w:val="clear" w:color="auto" w:fill="444444"/>
          </w:tcPr>
          <w:p>
            <w:pPr>
              <w:spacing w:after="0"/>
              <w:rPr>
                <w:sz w:val="12"/>
                <w:szCs w:val="12"/>
                <w:color w:val="auto"/>
              </w:rPr>
            </w:pPr>
          </w:p>
        </w:tc>
        <w:tc>
          <w:tcPr>
            <w:tcW w:w="680" w:type="dxa"/>
            <w:vAlign w:val="bottom"/>
            <w:shd w:val="clear" w:color="auto" w:fill="444444"/>
          </w:tcPr>
          <w:p>
            <w:pPr>
              <w:spacing w:after="0"/>
              <w:rPr>
                <w:sz w:val="12"/>
                <w:szCs w:val="12"/>
                <w:color w:val="auto"/>
              </w:rPr>
            </w:pPr>
          </w:p>
        </w:tc>
        <w:tc>
          <w:tcPr>
            <w:tcW w:w="1080" w:type="dxa"/>
            <w:vAlign w:val="bottom"/>
            <w:shd w:val="clear" w:color="auto" w:fill="444444"/>
          </w:tcPr>
          <w:p>
            <w:pPr>
              <w:spacing w:after="0"/>
              <w:rPr>
                <w:sz w:val="12"/>
                <w:szCs w:val="12"/>
                <w:color w:val="auto"/>
              </w:rPr>
            </w:pP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Pension Value</w:t>
            </w:r>
          </w:p>
        </w:tc>
        <w:tc>
          <w:tcPr>
            <w:tcW w:w="108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080" w:type="dxa"/>
            <w:vAlign w:val="bottom"/>
            <w:shd w:val="clear" w:color="auto" w:fill="444444"/>
          </w:tcPr>
          <w:p>
            <w:pPr>
              <w:spacing w:after="0"/>
              <w:rPr>
                <w:sz w:val="12"/>
                <w:szCs w:val="12"/>
                <w:color w:val="auto"/>
              </w:rPr>
            </w:pPr>
          </w:p>
        </w:tc>
        <w:tc>
          <w:tcPr>
            <w:tcW w:w="6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880" w:type="dxa"/>
            <w:vAlign w:val="bottom"/>
            <w:shd w:val="clear" w:color="auto" w:fill="444444"/>
          </w:tcPr>
          <w:p>
            <w:pPr>
              <w:spacing w:after="0"/>
              <w:rPr>
                <w:sz w:val="12"/>
                <w:szCs w:val="12"/>
                <w:color w:val="auto"/>
              </w:rPr>
            </w:pPr>
          </w:p>
        </w:tc>
        <w:tc>
          <w:tcPr>
            <w:tcW w:w="680" w:type="dxa"/>
            <w:vAlign w:val="bottom"/>
            <w:shd w:val="clear" w:color="auto" w:fill="444444"/>
          </w:tcPr>
          <w:p>
            <w:pPr>
              <w:spacing w:after="0"/>
              <w:rPr>
                <w:sz w:val="12"/>
                <w:szCs w:val="12"/>
                <w:color w:val="auto"/>
              </w:rPr>
            </w:pPr>
          </w:p>
        </w:tc>
        <w:tc>
          <w:tcPr>
            <w:tcW w:w="1080" w:type="dxa"/>
            <w:vAlign w:val="bottom"/>
            <w:shd w:val="clear" w:color="auto" w:fill="444444"/>
          </w:tcPr>
          <w:p>
            <w:pPr>
              <w:spacing w:after="0"/>
              <w:rPr>
                <w:sz w:val="12"/>
                <w:szCs w:val="12"/>
                <w:color w:val="auto"/>
              </w:rPr>
            </w:pP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and Non-</w:t>
            </w:r>
          </w:p>
        </w:tc>
        <w:tc>
          <w:tcPr>
            <w:tcW w:w="108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080" w:type="dxa"/>
            <w:vAlign w:val="bottom"/>
            <w:shd w:val="clear" w:color="auto" w:fill="444444"/>
          </w:tcPr>
          <w:p>
            <w:pPr>
              <w:spacing w:after="0"/>
              <w:rPr>
                <w:sz w:val="12"/>
                <w:szCs w:val="12"/>
                <w:color w:val="auto"/>
              </w:rPr>
            </w:pPr>
          </w:p>
        </w:tc>
        <w:tc>
          <w:tcPr>
            <w:tcW w:w="6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880" w:type="dxa"/>
            <w:vAlign w:val="bottom"/>
            <w:shd w:val="clear" w:color="auto" w:fill="444444"/>
          </w:tcPr>
          <w:p>
            <w:pPr>
              <w:spacing w:after="0"/>
              <w:rPr>
                <w:sz w:val="12"/>
                <w:szCs w:val="12"/>
                <w:color w:val="auto"/>
              </w:rPr>
            </w:pPr>
          </w:p>
        </w:tc>
        <w:tc>
          <w:tcPr>
            <w:tcW w:w="680" w:type="dxa"/>
            <w:vAlign w:val="bottom"/>
            <w:shd w:val="clear" w:color="auto" w:fill="444444"/>
          </w:tcPr>
          <w:p>
            <w:pPr>
              <w:spacing w:after="0"/>
              <w:rPr>
                <w:sz w:val="12"/>
                <w:szCs w:val="12"/>
                <w:color w:val="auto"/>
              </w:rPr>
            </w:pPr>
          </w:p>
        </w:tc>
        <w:tc>
          <w:tcPr>
            <w:tcW w:w="1080" w:type="dxa"/>
            <w:vAlign w:val="bottom"/>
            <w:shd w:val="clear" w:color="auto" w:fill="444444"/>
          </w:tcPr>
          <w:p>
            <w:pPr>
              <w:spacing w:after="0"/>
              <w:rPr>
                <w:sz w:val="12"/>
                <w:szCs w:val="12"/>
                <w:color w:val="auto"/>
              </w:rPr>
            </w:pP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qualified</w:t>
            </w:r>
          </w:p>
        </w:tc>
        <w:tc>
          <w:tcPr>
            <w:tcW w:w="108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080" w:type="dxa"/>
            <w:vAlign w:val="bottom"/>
            <w:shd w:val="clear" w:color="auto" w:fill="444444"/>
          </w:tcPr>
          <w:p>
            <w:pPr>
              <w:spacing w:after="0"/>
              <w:rPr>
                <w:sz w:val="12"/>
                <w:szCs w:val="12"/>
                <w:color w:val="auto"/>
              </w:rPr>
            </w:pPr>
          </w:p>
        </w:tc>
        <w:tc>
          <w:tcPr>
            <w:tcW w:w="6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880" w:type="dxa"/>
            <w:vAlign w:val="bottom"/>
            <w:shd w:val="clear" w:color="auto" w:fill="444444"/>
          </w:tcPr>
          <w:p>
            <w:pPr>
              <w:spacing w:after="0"/>
              <w:rPr>
                <w:sz w:val="12"/>
                <w:szCs w:val="12"/>
                <w:color w:val="auto"/>
              </w:rPr>
            </w:pPr>
          </w:p>
        </w:tc>
        <w:tc>
          <w:tcPr>
            <w:tcW w:w="68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16"/>
              <w:spacing w:after="0"/>
              <w:rPr>
                <w:sz w:val="20"/>
                <w:szCs w:val="20"/>
                <w:color w:val="auto"/>
              </w:rPr>
            </w:pPr>
            <w:r>
              <w:rPr>
                <w:rFonts w:ascii="Arial" w:cs="Arial" w:eastAsia="Arial" w:hAnsi="Arial"/>
                <w:sz w:val="13"/>
                <w:szCs w:val="13"/>
                <w:b w:val="1"/>
                <w:bCs w:val="1"/>
                <w:color w:val="FFFFFF"/>
              </w:rPr>
              <w:t>Non-Equity</w:t>
            </w: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Deferred</w:t>
            </w:r>
          </w:p>
        </w:tc>
        <w:tc>
          <w:tcPr>
            <w:tcW w:w="108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080" w:type="dxa"/>
            <w:vAlign w:val="bottom"/>
            <w:shd w:val="clear" w:color="auto" w:fill="444444"/>
          </w:tcPr>
          <w:p>
            <w:pPr>
              <w:spacing w:after="0"/>
              <w:rPr>
                <w:sz w:val="12"/>
                <w:szCs w:val="12"/>
                <w:color w:val="auto"/>
              </w:rPr>
            </w:pPr>
          </w:p>
        </w:tc>
        <w:tc>
          <w:tcPr>
            <w:tcW w:w="6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880" w:type="dxa"/>
            <w:vAlign w:val="bottom"/>
            <w:shd w:val="clear" w:color="auto" w:fill="444444"/>
          </w:tcPr>
          <w:p>
            <w:pPr>
              <w:jc w:val="right"/>
              <w:ind w:right="36"/>
              <w:spacing w:after="0"/>
              <w:rPr>
                <w:sz w:val="20"/>
                <w:szCs w:val="20"/>
                <w:color w:val="auto"/>
              </w:rPr>
            </w:pPr>
            <w:r>
              <w:rPr>
                <w:rFonts w:ascii="Arial" w:cs="Arial" w:eastAsia="Arial" w:hAnsi="Arial"/>
                <w:sz w:val="13"/>
                <w:szCs w:val="13"/>
                <w:b w:val="1"/>
                <w:bCs w:val="1"/>
                <w:color w:val="FFFFFF"/>
              </w:rPr>
              <w:t>Stock</w:t>
            </w:r>
          </w:p>
        </w:tc>
        <w:tc>
          <w:tcPr>
            <w:tcW w:w="680" w:type="dxa"/>
            <w:vAlign w:val="bottom"/>
            <w:shd w:val="clear" w:color="auto" w:fill="444444"/>
          </w:tcPr>
          <w:p>
            <w:pPr>
              <w:jc w:val="right"/>
              <w:ind w:right="16"/>
              <w:spacing w:after="0"/>
              <w:rPr>
                <w:sz w:val="20"/>
                <w:szCs w:val="20"/>
                <w:color w:val="auto"/>
              </w:rPr>
            </w:pPr>
            <w:r>
              <w:rPr>
                <w:rFonts w:ascii="Arial" w:cs="Arial" w:eastAsia="Arial" w:hAnsi="Arial"/>
                <w:sz w:val="13"/>
                <w:szCs w:val="13"/>
                <w:b w:val="1"/>
                <w:bCs w:val="1"/>
                <w:color w:val="FFFFFF"/>
              </w:rPr>
              <w:t>Option</w:t>
            </w:r>
          </w:p>
        </w:tc>
        <w:tc>
          <w:tcPr>
            <w:tcW w:w="1080" w:type="dxa"/>
            <w:vAlign w:val="bottom"/>
            <w:shd w:val="clear" w:color="auto" w:fill="444444"/>
          </w:tcPr>
          <w:p>
            <w:pPr>
              <w:jc w:val="right"/>
              <w:ind w:right="16"/>
              <w:spacing w:after="0"/>
              <w:rPr>
                <w:sz w:val="20"/>
                <w:szCs w:val="20"/>
                <w:color w:val="auto"/>
              </w:rPr>
            </w:pPr>
            <w:r>
              <w:rPr>
                <w:rFonts w:ascii="Arial" w:cs="Arial" w:eastAsia="Arial" w:hAnsi="Arial"/>
                <w:sz w:val="13"/>
                <w:szCs w:val="13"/>
                <w:b w:val="1"/>
                <w:bCs w:val="1"/>
                <w:color w:val="FFFFFF"/>
              </w:rPr>
              <w:t>Incentive Plan</w:t>
            </w: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Compensation</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444444"/>
          </w:tcPr>
          <w:p>
            <w:pPr>
              <w:spacing w:after="0"/>
              <w:rPr>
                <w:sz w:val="12"/>
                <w:szCs w:val="12"/>
                <w:color w:val="auto"/>
              </w:rPr>
            </w:pPr>
          </w:p>
        </w:tc>
      </w:tr>
      <w:tr>
        <w:trPr>
          <w:trHeight w:val="149"/>
        </w:trPr>
        <w:tc>
          <w:tcPr>
            <w:tcW w:w="308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Name and</w:t>
            </w:r>
          </w:p>
        </w:tc>
        <w:tc>
          <w:tcPr>
            <w:tcW w:w="60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Fiscal</w:t>
            </w:r>
          </w:p>
        </w:tc>
        <w:tc>
          <w:tcPr>
            <w:tcW w:w="800" w:type="dxa"/>
            <w:vAlign w:val="bottom"/>
            <w:shd w:val="clear" w:color="auto" w:fill="444444"/>
          </w:tcPr>
          <w:p>
            <w:pPr>
              <w:jc w:val="right"/>
              <w:ind w:right="37"/>
              <w:spacing w:after="0"/>
              <w:rPr>
                <w:sz w:val="20"/>
                <w:szCs w:val="20"/>
                <w:color w:val="auto"/>
              </w:rPr>
            </w:pPr>
            <w:r>
              <w:rPr>
                <w:rFonts w:ascii="Arial" w:cs="Arial" w:eastAsia="Arial" w:hAnsi="Arial"/>
                <w:sz w:val="13"/>
                <w:szCs w:val="13"/>
                <w:b w:val="1"/>
                <w:bCs w:val="1"/>
                <w:color w:val="FFFFFF"/>
              </w:rPr>
              <w:t>Salary</w:t>
            </w:r>
          </w:p>
        </w:tc>
        <w:tc>
          <w:tcPr>
            <w:tcW w:w="860" w:type="dxa"/>
            <w:vAlign w:val="bottom"/>
            <w:shd w:val="clear" w:color="auto" w:fill="444444"/>
          </w:tcPr>
          <w:p>
            <w:pPr>
              <w:jc w:val="right"/>
              <w:ind w:right="37"/>
              <w:spacing w:after="0"/>
              <w:rPr>
                <w:sz w:val="20"/>
                <w:szCs w:val="20"/>
                <w:color w:val="auto"/>
              </w:rPr>
            </w:pPr>
            <w:r>
              <w:rPr>
                <w:rFonts w:ascii="Arial" w:cs="Arial" w:eastAsia="Arial" w:hAnsi="Arial"/>
                <w:sz w:val="13"/>
                <w:szCs w:val="13"/>
                <w:b w:val="1"/>
                <w:bCs w:val="1"/>
                <w:color w:val="FFFFFF"/>
              </w:rPr>
              <w:t>Bonus</w:t>
            </w:r>
          </w:p>
        </w:tc>
        <w:tc>
          <w:tcPr>
            <w:tcW w:w="880" w:type="dxa"/>
            <w:vAlign w:val="bottom"/>
            <w:shd w:val="clear" w:color="auto" w:fill="444444"/>
          </w:tcPr>
          <w:p>
            <w:pPr>
              <w:jc w:val="right"/>
              <w:ind w:right="36"/>
              <w:spacing w:after="0"/>
              <w:rPr>
                <w:sz w:val="20"/>
                <w:szCs w:val="20"/>
                <w:color w:val="auto"/>
              </w:rPr>
            </w:pPr>
            <w:r>
              <w:rPr>
                <w:rFonts w:ascii="Arial" w:cs="Arial" w:eastAsia="Arial" w:hAnsi="Arial"/>
                <w:sz w:val="13"/>
                <w:szCs w:val="13"/>
                <w:b w:val="1"/>
                <w:bCs w:val="1"/>
                <w:color w:val="FFFFFF"/>
              </w:rPr>
              <w:t>Awards</w:t>
            </w:r>
          </w:p>
        </w:tc>
        <w:tc>
          <w:tcPr>
            <w:tcW w:w="680" w:type="dxa"/>
            <w:vAlign w:val="bottom"/>
            <w:shd w:val="clear" w:color="auto" w:fill="444444"/>
          </w:tcPr>
          <w:p>
            <w:pPr>
              <w:jc w:val="right"/>
              <w:ind w:right="16"/>
              <w:spacing w:after="0"/>
              <w:rPr>
                <w:sz w:val="20"/>
                <w:szCs w:val="20"/>
                <w:color w:val="auto"/>
              </w:rPr>
            </w:pPr>
            <w:r>
              <w:rPr>
                <w:rFonts w:ascii="Arial" w:cs="Arial" w:eastAsia="Arial" w:hAnsi="Arial"/>
                <w:sz w:val="13"/>
                <w:szCs w:val="13"/>
                <w:b w:val="1"/>
                <w:bCs w:val="1"/>
                <w:color w:val="FFFFFF"/>
              </w:rPr>
              <w:t>Awards</w:t>
            </w:r>
          </w:p>
        </w:tc>
        <w:tc>
          <w:tcPr>
            <w:tcW w:w="1080" w:type="dxa"/>
            <w:vAlign w:val="bottom"/>
            <w:shd w:val="clear" w:color="auto" w:fill="444444"/>
          </w:tcPr>
          <w:p>
            <w:pPr>
              <w:jc w:val="right"/>
              <w:ind w:right="16"/>
              <w:spacing w:after="0"/>
              <w:rPr>
                <w:sz w:val="20"/>
                <w:szCs w:val="20"/>
                <w:color w:val="auto"/>
              </w:rPr>
            </w:pPr>
            <w:r>
              <w:rPr>
                <w:rFonts w:ascii="Arial" w:cs="Arial" w:eastAsia="Arial" w:hAnsi="Arial"/>
                <w:sz w:val="13"/>
                <w:szCs w:val="13"/>
                <w:b w:val="1"/>
                <w:bCs w:val="1"/>
                <w:color w:val="FFFFFF"/>
              </w:rPr>
              <w:t>Compensation</w:t>
            </w:r>
          </w:p>
        </w:tc>
        <w:tc>
          <w:tcPr>
            <w:tcW w:w="110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Earnings</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Compensation</w:t>
            </w:r>
          </w:p>
        </w:tc>
        <w:tc>
          <w:tcPr>
            <w:tcW w:w="86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Total</w:t>
            </w:r>
          </w:p>
        </w:tc>
      </w:tr>
      <w:tr>
        <w:trPr>
          <w:trHeight w:val="165"/>
        </w:trPr>
        <w:tc>
          <w:tcPr>
            <w:tcW w:w="308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Principal Position</w:t>
            </w:r>
          </w:p>
        </w:tc>
        <w:tc>
          <w:tcPr>
            <w:tcW w:w="60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Year</w:t>
            </w:r>
          </w:p>
        </w:tc>
        <w:tc>
          <w:tcPr>
            <w:tcW w:w="800" w:type="dxa"/>
            <w:vAlign w:val="bottom"/>
            <w:shd w:val="clear" w:color="auto" w:fill="444444"/>
          </w:tcPr>
          <w:p>
            <w:pPr>
              <w:jc w:val="right"/>
              <w:ind w:right="37"/>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(1)</w:t>
            </w:r>
          </w:p>
        </w:tc>
        <w:tc>
          <w:tcPr>
            <w:tcW w:w="860" w:type="dxa"/>
            <w:vAlign w:val="bottom"/>
            <w:shd w:val="clear" w:color="auto" w:fill="444444"/>
          </w:tcPr>
          <w:p>
            <w:pPr>
              <w:jc w:val="right"/>
              <w:ind w:right="37"/>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(2)</w:t>
            </w:r>
          </w:p>
        </w:tc>
        <w:tc>
          <w:tcPr>
            <w:tcW w:w="880" w:type="dxa"/>
            <w:vAlign w:val="bottom"/>
            <w:shd w:val="clear" w:color="auto" w:fill="444444"/>
          </w:tcPr>
          <w:p>
            <w:pPr>
              <w:jc w:val="right"/>
              <w:ind w:right="36"/>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(3)</w:t>
            </w:r>
          </w:p>
        </w:tc>
        <w:tc>
          <w:tcPr>
            <w:tcW w:w="680" w:type="dxa"/>
            <w:vAlign w:val="bottom"/>
            <w:shd w:val="clear" w:color="auto" w:fill="444444"/>
          </w:tcPr>
          <w:p>
            <w:pPr>
              <w:jc w:val="right"/>
              <w:ind w:right="16"/>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(4)</w:t>
            </w:r>
          </w:p>
        </w:tc>
        <w:tc>
          <w:tcPr>
            <w:tcW w:w="1080" w:type="dxa"/>
            <w:vAlign w:val="bottom"/>
            <w:shd w:val="clear" w:color="auto" w:fill="444444"/>
          </w:tcPr>
          <w:p>
            <w:pPr>
              <w:jc w:val="right"/>
              <w:ind w:right="16"/>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(5)</w:t>
            </w:r>
          </w:p>
        </w:tc>
        <w:tc>
          <w:tcPr>
            <w:tcW w:w="1100" w:type="dxa"/>
            <w:vAlign w:val="bottom"/>
            <w:shd w:val="clear" w:color="auto" w:fill="444444"/>
          </w:tcPr>
          <w:p>
            <w:pPr>
              <w:jc w:val="right"/>
              <w:ind w:right="15"/>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(6)</w:t>
            </w:r>
          </w:p>
        </w:tc>
        <w:tc>
          <w:tcPr>
            <w:tcW w:w="1080" w:type="dxa"/>
            <w:vAlign w:val="bottom"/>
            <w:shd w:val="clear" w:color="auto" w:fill="444444"/>
          </w:tcPr>
          <w:p>
            <w:pPr>
              <w:jc w:val="right"/>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(7)</w:t>
            </w:r>
          </w:p>
        </w:tc>
        <w:tc>
          <w:tcPr>
            <w:tcW w:w="86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p>
        </w:tc>
      </w:tr>
      <w:tr>
        <w:trPr>
          <w:trHeight w:val="134"/>
        </w:trPr>
        <w:tc>
          <w:tcPr>
            <w:tcW w:w="3080" w:type="dxa"/>
            <w:vAlign w:val="bottom"/>
            <w:shd w:val="clear" w:color="auto" w:fill="E5E5E5"/>
          </w:tcPr>
          <w:p>
            <w:pPr>
              <w:ind w:left="120"/>
              <w:spacing w:after="0" w:line="134" w:lineRule="exact"/>
              <w:rPr>
                <w:sz w:val="20"/>
                <w:szCs w:val="20"/>
                <w:color w:val="auto"/>
              </w:rPr>
            </w:pPr>
            <w:r>
              <w:rPr>
                <w:rFonts w:ascii="Arial" w:cs="Arial" w:eastAsia="Arial" w:hAnsi="Arial"/>
                <w:sz w:val="13"/>
                <w:szCs w:val="13"/>
                <w:b w:val="1"/>
                <w:bCs w:val="1"/>
                <w:color w:val="auto"/>
              </w:rPr>
              <w:t>Robert J. Coury</w:t>
            </w:r>
          </w:p>
        </w:tc>
        <w:tc>
          <w:tcPr>
            <w:tcW w:w="60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r>
      <w:tr>
        <w:trPr>
          <w:trHeight w:val="177"/>
        </w:trPr>
        <w:tc>
          <w:tcPr>
            <w:tcW w:w="3080" w:type="dxa"/>
            <w:vAlign w:val="bottom"/>
            <w:shd w:val="clear" w:color="auto" w:fill="E5E5E5"/>
          </w:tcPr>
          <w:p>
            <w:pPr>
              <w:ind w:left="120"/>
              <w:spacing w:after="0"/>
              <w:rPr>
                <w:sz w:val="20"/>
                <w:szCs w:val="20"/>
                <w:color w:val="auto"/>
              </w:rPr>
            </w:pPr>
            <w:r>
              <w:rPr>
                <w:rFonts w:ascii="Arial" w:cs="Arial" w:eastAsia="Arial" w:hAnsi="Arial"/>
                <w:sz w:val="13"/>
                <w:szCs w:val="13"/>
                <w:i w:val="1"/>
                <w:iCs w:val="1"/>
                <w:color w:val="auto"/>
              </w:rPr>
              <w:t>Executive Chairman</w:t>
            </w: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1,800,000</w:t>
            </w:r>
          </w:p>
        </w:tc>
        <w:tc>
          <w:tcPr>
            <w:tcW w:w="8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10,000,000</w:t>
            </w:r>
          </w:p>
        </w:tc>
        <w:tc>
          <w:tcPr>
            <w:tcW w:w="880" w:type="dxa"/>
            <w:vAlign w:val="bottom"/>
            <w:shd w:val="clear" w:color="auto" w:fill="E5E5E5"/>
          </w:tcPr>
          <w:p>
            <w:pPr>
              <w:jc w:val="right"/>
              <w:ind w:right="36"/>
              <w:spacing w:after="0"/>
              <w:rPr>
                <w:sz w:val="20"/>
                <w:szCs w:val="20"/>
                <w:color w:val="auto"/>
              </w:rPr>
            </w:pPr>
            <w:r>
              <w:rPr>
                <w:rFonts w:ascii="Arial" w:cs="Arial" w:eastAsia="Arial" w:hAnsi="Arial"/>
                <w:sz w:val="13"/>
                <w:szCs w:val="13"/>
                <w:color w:val="auto"/>
              </w:rPr>
              <w:t>12,451,936</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4,405,590</w:t>
            </w:r>
          </w:p>
        </w:tc>
        <w:tc>
          <w:tcPr>
            <w:tcW w:w="110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399,850</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29,057,376</w:t>
            </w:r>
          </w:p>
        </w:tc>
      </w:tr>
      <w:tr>
        <w:trPr>
          <w:trHeight w:val="134"/>
        </w:trPr>
        <w:tc>
          <w:tcPr>
            <w:tcW w:w="3080" w:type="dxa"/>
            <w:vAlign w:val="bottom"/>
          </w:tcPr>
          <w:p>
            <w:pPr>
              <w:ind w:left="120"/>
              <w:spacing w:after="0" w:line="134" w:lineRule="exact"/>
              <w:rPr>
                <w:sz w:val="20"/>
                <w:szCs w:val="20"/>
                <w:color w:val="auto"/>
              </w:rPr>
            </w:pPr>
            <w:r>
              <w:rPr>
                <w:rFonts w:ascii="Arial" w:cs="Arial" w:eastAsia="Arial" w:hAnsi="Arial"/>
                <w:sz w:val="13"/>
                <w:szCs w:val="13"/>
                <w:b w:val="1"/>
                <w:bCs w:val="1"/>
                <w:color w:val="auto"/>
              </w:rPr>
              <w:t>Michael Goettler</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7"/>
        </w:trPr>
        <w:tc>
          <w:tcPr>
            <w:tcW w:w="3080" w:type="dxa"/>
            <w:vAlign w:val="bottom"/>
          </w:tcPr>
          <w:p>
            <w:pPr>
              <w:ind w:left="120"/>
              <w:spacing w:after="0"/>
              <w:rPr>
                <w:sz w:val="20"/>
                <w:szCs w:val="20"/>
                <w:color w:val="auto"/>
              </w:rPr>
            </w:pPr>
            <w:r>
              <w:rPr>
                <w:rFonts w:ascii="Arial" w:cs="Arial" w:eastAsia="Arial" w:hAnsi="Arial"/>
                <w:sz w:val="13"/>
                <w:szCs w:val="13"/>
                <w:i w:val="1"/>
                <w:iCs w:val="1"/>
                <w:color w:val="auto"/>
              </w:rPr>
              <w:t>Chief Executive Officer</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871,875</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2,400,000</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951,675</w:t>
            </w: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249,355</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5,472,905</w:t>
            </w:r>
          </w:p>
        </w:tc>
      </w:tr>
      <w:tr>
        <w:trPr>
          <w:trHeight w:val="134"/>
        </w:trPr>
        <w:tc>
          <w:tcPr>
            <w:tcW w:w="3080" w:type="dxa"/>
            <w:vAlign w:val="bottom"/>
            <w:shd w:val="clear" w:color="auto" w:fill="E5E5E5"/>
          </w:tcPr>
          <w:p>
            <w:pPr>
              <w:ind w:left="120"/>
              <w:spacing w:after="0" w:line="134" w:lineRule="exact"/>
              <w:rPr>
                <w:sz w:val="20"/>
                <w:szCs w:val="20"/>
                <w:color w:val="auto"/>
              </w:rPr>
            </w:pPr>
            <w:r>
              <w:rPr>
                <w:rFonts w:ascii="Arial" w:cs="Arial" w:eastAsia="Arial" w:hAnsi="Arial"/>
                <w:sz w:val="13"/>
                <w:szCs w:val="13"/>
                <w:b w:val="1"/>
                <w:bCs w:val="1"/>
                <w:color w:val="auto"/>
              </w:rPr>
              <w:t>Sanjeev Narula</w:t>
            </w:r>
          </w:p>
        </w:tc>
        <w:tc>
          <w:tcPr>
            <w:tcW w:w="60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r>
      <w:tr>
        <w:trPr>
          <w:trHeight w:val="177"/>
        </w:trPr>
        <w:tc>
          <w:tcPr>
            <w:tcW w:w="3080" w:type="dxa"/>
            <w:vAlign w:val="bottom"/>
            <w:shd w:val="clear" w:color="auto" w:fill="E5E5E5"/>
          </w:tcPr>
          <w:p>
            <w:pPr>
              <w:ind w:left="120"/>
              <w:spacing w:after="0"/>
              <w:rPr>
                <w:sz w:val="20"/>
                <w:szCs w:val="20"/>
                <w:color w:val="auto"/>
              </w:rPr>
            </w:pPr>
            <w:r>
              <w:rPr>
                <w:rFonts w:ascii="Arial" w:cs="Arial" w:eastAsia="Arial" w:hAnsi="Arial"/>
                <w:sz w:val="13"/>
                <w:szCs w:val="13"/>
                <w:i w:val="1"/>
                <w:iCs w:val="1"/>
                <w:color w:val="auto"/>
              </w:rPr>
              <w:t>Chief Financial Officer</w:t>
            </w: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539,183</w:t>
            </w:r>
          </w:p>
        </w:tc>
        <w:tc>
          <w:tcPr>
            <w:tcW w:w="8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1,000,000</w:t>
            </w:r>
          </w:p>
        </w:tc>
        <w:tc>
          <w:tcPr>
            <w:tcW w:w="880" w:type="dxa"/>
            <w:vAlign w:val="bottom"/>
            <w:shd w:val="clear" w:color="auto" w:fill="E5E5E5"/>
          </w:tcPr>
          <w:p>
            <w:pPr>
              <w:jc w:val="right"/>
              <w:ind w:right="36"/>
              <w:spacing w:after="0"/>
              <w:rPr>
                <w:sz w:val="20"/>
                <w:szCs w:val="20"/>
                <w:color w:val="auto"/>
              </w:rPr>
            </w:pPr>
            <w:r>
              <w:rPr>
                <w:rFonts w:ascii="Arial" w:cs="Arial" w:eastAsia="Arial" w:hAnsi="Arial"/>
                <w:sz w:val="13"/>
                <w:szCs w:val="13"/>
                <w:color w:val="auto"/>
              </w:rPr>
              <w:t>425,000</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303,021</w:t>
            </w:r>
          </w:p>
        </w:tc>
        <w:tc>
          <w:tcPr>
            <w:tcW w:w="110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661,719</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2,928,923</w:t>
            </w:r>
          </w:p>
        </w:tc>
      </w:tr>
      <w:tr>
        <w:trPr>
          <w:trHeight w:val="134"/>
        </w:trPr>
        <w:tc>
          <w:tcPr>
            <w:tcW w:w="3080" w:type="dxa"/>
            <w:vAlign w:val="bottom"/>
          </w:tcPr>
          <w:p>
            <w:pPr>
              <w:ind w:left="120"/>
              <w:spacing w:after="0" w:line="134" w:lineRule="exact"/>
              <w:rPr>
                <w:sz w:val="20"/>
                <w:szCs w:val="20"/>
                <w:color w:val="auto"/>
              </w:rPr>
            </w:pPr>
            <w:r>
              <w:rPr>
                <w:rFonts w:ascii="Arial" w:cs="Arial" w:eastAsia="Arial" w:hAnsi="Arial"/>
                <w:sz w:val="13"/>
                <w:szCs w:val="13"/>
                <w:b w:val="1"/>
                <w:bCs w:val="1"/>
                <w:color w:val="auto"/>
              </w:rPr>
              <w:t>Rajiv Malik</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7"/>
        </w:trPr>
        <w:tc>
          <w:tcPr>
            <w:tcW w:w="3080" w:type="dxa"/>
            <w:vAlign w:val="bottom"/>
          </w:tcPr>
          <w:p>
            <w:pPr>
              <w:ind w:left="120"/>
              <w:spacing w:after="0"/>
              <w:rPr>
                <w:sz w:val="20"/>
                <w:szCs w:val="20"/>
                <w:color w:val="auto"/>
              </w:rPr>
            </w:pPr>
            <w:r>
              <w:rPr>
                <w:rFonts w:ascii="Arial" w:cs="Arial" w:eastAsia="Arial" w:hAnsi="Arial"/>
                <w:sz w:val="13"/>
                <w:szCs w:val="13"/>
                <w:i w:val="1"/>
                <w:iCs w:val="1"/>
                <w:color w:val="auto"/>
              </w:rPr>
              <w:t>President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1,155,769</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2,500,000</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6,210,015</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690,001</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2,358,386</w:t>
            </w: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336,290</w:t>
            </w:r>
          </w:p>
        </w:tc>
        <w:tc>
          <w:tcPr>
            <w:tcW w:w="1080" w:type="dxa"/>
            <w:vAlign w:val="bottom"/>
          </w:tcPr>
          <w:p>
            <w:pPr>
              <w:jc w:val="right"/>
              <w:spacing w:after="0"/>
              <w:rPr>
                <w:sz w:val="20"/>
                <w:szCs w:val="20"/>
                <w:color w:val="auto"/>
              </w:rPr>
            </w:pPr>
            <w:r>
              <w:rPr>
                <w:rFonts w:ascii="Arial" w:cs="Arial" w:eastAsia="Arial" w:hAnsi="Arial"/>
                <w:sz w:val="13"/>
                <w:szCs w:val="13"/>
                <w:color w:val="auto"/>
              </w:rPr>
              <w:t>851,522</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14,101,983</w:t>
            </w:r>
          </w:p>
        </w:tc>
      </w:tr>
      <w:tr>
        <w:trPr>
          <w:trHeight w:val="134"/>
        </w:trPr>
        <w:tc>
          <w:tcPr>
            <w:tcW w:w="3080" w:type="dxa"/>
            <w:vAlign w:val="bottom"/>
            <w:shd w:val="clear" w:color="auto" w:fill="E5E5E5"/>
          </w:tcPr>
          <w:p>
            <w:pPr>
              <w:ind w:left="120"/>
              <w:spacing w:after="0" w:line="134" w:lineRule="exact"/>
              <w:rPr>
                <w:sz w:val="20"/>
                <w:szCs w:val="20"/>
                <w:color w:val="auto"/>
              </w:rPr>
            </w:pPr>
            <w:r>
              <w:rPr>
                <w:rFonts w:ascii="Arial" w:cs="Arial" w:eastAsia="Arial" w:hAnsi="Arial"/>
                <w:sz w:val="13"/>
                <w:szCs w:val="13"/>
                <w:b w:val="1"/>
                <w:bCs w:val="1"/>
                <w:color w:val="auto"/>
              </w:rPr>
              <w:t>Anthony Mauro</w:t>
            </w:r>
          </w:p>
        </w:tc>
        <w:tc>
          <w:tcPr>
            <w:tcW w:w="60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r>
      <w:tr>
        <w:trPr>
          <w:trHeight w:val="177"/>
        </w:trPr>
        <w:tc>
          <w:tcPr>
            <w:tcW w:w="3080" w:type="dxa"/>
            <w:vAlign w:val="bottom"/>
            <w:shd w:val="clear" w:color="auto" w:fill="E5E5E5"/>
          </w:tcPr>
          <w:p>
            <w:pPr>
              <w:ind w:left="120"/>
              <w:spacing w:after="0"/>
              <w:rPr>
                <w:sz w:val="20"/>
                <w:szCs w:val="20"/>
                <w:color w:val="auto"/>
              </w:rPr>
            </w:pPr>
            <w:r>
              <w:rPr>
                <w:rFonts w:ascii="Arial" w:cs="Arial" w:eastAsia="Arial" w:hAnsi="Arial"/>
                <w:sz w:val="13"/>
                <w:szCs w:val="13"/>
                <w:i w:val="1"/>
                <w:iCs w:val="1"/>
                <w:color w:val="auto"/>
              </w:rPr>
              <w:t>President, Developed Markets</w:t>
            </w: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800,000</w:t>
            </w:r>
          </w:p>
        </w:tc>
        <w:tc>
          <w:tcPr>
            <w:tcW w:w="8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1,000,000</w:t>
            </w:r>
          </w:p>
        </w:tc>
        <w:tc>
          <w:tcPr>
            <w:tcW w:w="880" w:type="dxa"/>
            <w:vAlign w:val="bottom"/>
            <w:shd w:val="clear" w:color="auto" w:fill="E5E5E5"/>
          </w:tcPr>
          <w:p>
            <w:pPr>
              <w:jc w:val="right"/>
              <w:ind w:right="36"/>
              <w:spacing w:after="0"/>
              <w:rPr>
                <w:sz w:val="20"/>
                <w:szCs w:val="20"/>
                <w:color w:val="auto"/>
              </w:rPr>
            </w:pPr>
            <w:r>
              <w:rPr>
                <w:rFonts w:ascii="Arial" w:cs="Arial" w:eastAsia="Arial" w:hAnsi="Arial"/>
                <w:sz w:val="13"/>
                <w:szCs w:val="13"/>
                <w:color w:val="auto"/>
              </w:rPr>
              <w:t>2,880,022</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320,005</w:t>
            </w:r>
          </w:p>
        </w:tc>
        <w:tc>
          <w:tcPr>
            <w:tcW w:w="1080" w:type="dxa"/>
            <w:vAlign w:val="bottom"/>
            <w:shd w:val="clear" w:color="auto" w:fill="E5E5E5"/>
          </w:tcPr>
          <w:p>
            <w:pPr>
              <w:jc w:val="right"/>
              <w:ind w:right="16"/>
              <w:spacing w:after="0"/>
              <w:rPr>
                <w:sz w:val="20"/>
                <w:szCs w:val="20"/>
                <w:color w:val="auto"/>
              </w:rPr>
            </w:pPr>
            <w:r>
              <w:rPr>
                <w:rFonts w:ascii="Arial" w:cs="Arial" w:eastAsia="Arial" w:hAnsi="Arial"/>
                <w:sz w:val="13"/>
                <w:szCs w:val="13"/>
                <w:color w:val="auto"/>
              </w:rPr>
              <w:t>1,501,164</w:t>
            </w:r>
          </w:p>
        </w:tc>
        <w:tc>
          <w:tcPr>
            <w:tcW w:w="110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243,446</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6,744,637</w:t>
            </w:r>
          </w:p>
        </w:tc>
      </w:tr>
    </w:tbl>
    <w:p>
      <w:pPr>
        <w:jc w:val="both"/>
        <w:ind w:left="424" w:hanging="424"/>
        <w:spacing w:after="0" w:line="235" w:lineRule="auto"/>
        <w:tabs>
          <w:tab w:leader="none" w:pos="424"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base salary actually paid to the NEO for the full calendar year 2020, including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spacing w:after="0" w:line="2"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In connection with the Combination,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 In connection with the Combination, Messrs. Goettler and Narula each became entitled to receive a $1 million transaction-related payment previously granted to them by Pfizer. In connection with the Combination, Mr. Malik and Mr. Mauro received cash awards equal to $2.5 million and $1 million, respectively, in recognition of their significant efforts in connection with integration planning matters related to the Combination in addition to their customary responsibilities.</w:t>
      </w:r>
    </w:p>
    <w:p>
      <w:pPr>
        <w:spacing w:after="0" w:line="7" w:lineRule="exact"/>
        <w:rPr>
          <w:rFonts w:ascii="Arial" w:cs="Arial" w:eastAsia="Arial" w:hAnsi="Arial"/>
          <w:sz w:val="18"/>
          <w:szCs w:val="18"/>
          <w:i w:val="1"/>
          <w:iCs w:val="1"/>
          <w:color w:val="auto"/>
        </w:rPr>
      </w:pPr>
    </w:p>
    <w:p>
      <w:pPr>
        <w:jc w:val="both"/>
        <w:ind w:left="424" w:hanging="424"/>
        <w:spacing w:after="0" w:line="235" w:lineRule="auto"/>
        <w:tabs>
          <w:tab w:leader="none" w:pos="424"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grant date fair value of the long-term incentive awards granted to the NEO in 2020, as applicable. With respect to Mr. Coury, the grant date fair value represents the 1.6 million PRSUs granted by Viatris in connection with the Combination pursuant to his Value Creation Award, based on the Monte Carlo value equal to $12,451,936. For details regarding this performance-based program see “Executive Chairman Employment Agreement” on page 35 of this Form 10-K/A. With respect to Messrs. Goettler and Narula,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For more information on the conversion of Pfizer awards into Viatris RSUs upon the closing of the Combination, see “Combination-Related Treatment of Pfizer’s 2020 Long-Term Incentive Grants to Legacy Upjohn Executives” on page 34 of this Form 10-K/A.</w:t>
      </w:r>
    </w:p>
    <w:p>
      <w:pPr>
        <w:spacing w:after="0" w:line="14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311" w:right="439" w:bottom="1440" w:gutter="0" w:footer="0" w:header="0"/>
        </w:sectPr>
      </w:pPr>
    </w:p>
    <w:bookmarkStart w:id="47" w:name="page48"/>
    <w:bookmarkEnd w:id="47"/>
    <w:p>
      <w:pPr>
        <w:jc w:val="both"/>
        <w:ind w:left="424" w:right="20"/>
        <w:spacing w:after="0" w:line="23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With respect to Messrs. Malik and Mauro, the grant date fair value represents RSUs and PRSUs granted by Mylan in 2020 prior to the Combination. In the case of PRSUs, value is based on the target value as follows: Mr. Malik ($3,450,010) and Mr. Mauro ($1,600,014). If the maximum achievement of performance goals had been assumed, the grant date fair value of such PRSUs would have been as follows: Mr. Malik ($6,210,032) and Mr. Mauro ($2,880,040). For information regarding assumptions used in determining the expense of such awards, please refer to Note 13 to the Company’s Consolidated Financial Statements contained in the Original Filing. In connection with the Combination, PRSUs were converted into an award of Viatris RSUs on a one-for-one basis assuming target level performance and RSUs were also converted into Viatris RSUs on a one-for-one basis. For more information on the conversion of Mylan PRSUs and RSUs into Viatris equity awards upon the closing of the Combination, see “Mylan’s 2020 Long-Term Incentive Grants to Legacy Mylan Executives” on page 33 of this Form 10-K/A.</w:t>
      </w:r>
    </w:p>
    <w:p>
      <w:pPr>
        <w:spacing w:after="0" w:line="1" w:lineRule="exact"/>
        <w:rPr>
          <w:sz w:val="20"/>
          <w:szCs w:val="20"/>
          <w:color w:val="auto"/>
        </w:rPr>
      </w:pPr>
    </w:p>
    <w:p>
      <w:pPr>
        <w:jc w:val="both"/>
        <w:ind w:left="424" w:hanging="424"/>
        <w:spacing w:after="0" w:line="234" w:lineRule="auto"/>
        <w:tabs>
          <w:tab w:leader="none" w:pos="424"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grant date fair value of the option awards granted by Mylan in 2020 prior to the Combination. For information regarding assumptions used in determining the expense of such awards, please refer to Note 13 to the Company’s Consolidated Financial Statements contained in the Original Filing. In connection with the Combination, these option awards were converted into options to purchase shares of Viatris common stock on a one-for-one basis. For more information on the conversion of Mylan options into Viatris options upon the closing of the Combination, see “Mylan’s 2020 Long-Term Incentive Grants to Legacy Mylan Executives” on page 33 of this Form 10-K/A.</w:t>
      </w:r>
    </w:p>
    <w:p>
      <w:pPr>
        <w:spacing w:after="0" w:line="4" w:lineRule="exact"/>
        <w:rPr>
          <w:rFonts w:ascii="Arial" w:cs="Arial" w:eastAsia="Arial" w:hAnsi="Arial"/>
          <w:sz w:val="18"/>
          <w:szCs w:val="18"/>
          <w:i w:val="1"/>
          <w:iCs w:val="1"/>
          <w:color w:val="auto"/>
        </w:rPr>
      </w:pPr>
    </w:p>
    <w:p>
      <w:pPr>
        <w:jc w:val="both"/>
        <w:ind w:left="424" w:right="20" w:hanging="424"/>
        <w:spacing w:after="0" w:line="234" w:lineRule="auto"/>
        <w:tabs>
          <w:tab w:leader="none" w:pos="424"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amounts paid under the Company’s non-equity incentive compensation plan. Since the Combination did not close until November 16, 2020, annual incentive awards for 2020 represented a combination of payments in respect of Mylan and Upjohn’s bonus programs for three-quarters of 2020 and assumed target level performance for the remainder of 2020. For a discussion of this plan, see “2020 Annual Incentive Compensation Programs” on page 30 of this Form 10-K/A.</w:t>
      </w:r>
    </w:p>
    <w:p>
      <w:pPr>
        <w:spacing w:after="0" w:line="2" w:lineRule="exact"/>
        <w:rPr>
          <w:rFonts w:ascii="Arial" w:cs="Arial" w:eastAsia="Arial" w:hAnsi="Arial"/>
          <w:sz w:val="18"/>
          <w:szCs w:val="18"/>
          <w:i w:val="1"/>
          <w:iCs w:val="1"/>
          <w:color w:val="auto"/>
        </w:rPr>
      </w:pPr>
    </w:p>
    <w:p>
      <w:pPr>
        <w:jc w:val="both"/>
        <w:ind w:left="424" w:right="20" w:hanging="424"/>
        <w:spacing w:after="0" w:line="234" w:lineRule="auto"/>
        <w:tabs>
          <w:tab w:leader="none" w:pos="424"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aggregate change in present value of Mr. Malik’s accumulated benefit under the Malik RBA. As described herein, the Malik RBA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the Malik RBA, see the Pension Benefits for 2020 Table set forth below “Certain Arrangements with Messrs. Malik and Mauro,” beginning on page 36 of this Form 10-K/A. Messrs. Goettler and Narula participated in pension plans of Pfizer prior to the Combination, and Pfizer retained all liabilities with respect to such plans.</w:t>
      </w:r>
    </w:p>
    <w:p>
      <w:pPr>
        <w:spacing w:after="0" w:line="4" w:lineRule="exact"/>
        <w:rPr>
          <w:rFonts w:ascii="Arial" w:cs="Arial" w:eastAsia="Arial" w:hAnsi="Arial"/>
          <w:sz w:val="18"/>
          <w:szCs w:val="18"/>
          <w:i w:val="1"/>
          <w:iCs w:val="1"/>
          <w:color w:val="auto"/>
        </w:rPr>
      </w:pPr>
    </w:p>
    <w:p>
      <w:pPr>
        <w:ind w:left="424" w:hanging="424"/>
        <w:spacing w:after="0"/>
        <w:tabs>
          <w:tab w:leader="none" w:pos="424"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Amounts shown in this column are detailed in the following chart.</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500" w:type="dxa"/>
            <w:vAlign w:val="bottom"/>
            <w:shd w:val="clear" w:color="auto" w:fill="444444"/>
          </w:tcPr>
          <w:p>
            <w:pPr>
              <w:spacing w:after="0"/>
              <w:rPr>
                <w:sz w:val="13"/>
                <w:szCs w:val="13"/>
                <w:color w:val="auto"/>
              </w:rPr>
            </w:pPr>
          </w:p>
        </w:tc>
        <w:tc>
          <w:tcPr>
            <w:tcW w:w="800" w:type="dxa"/>
            <w:vAlign w:val="bottom"/>
            <w:shd w:val="clear" w:color="auto" w:fill="444444"/>
          </w:tcPr>
          <w:p>
            <w:pPr>
              <w:spacing w:after="0"/>
              <w:rPr>
                <w:sz w:val="13"/>
                <w:szCs w:val="13"/>
                <w:color w:val="auto"/>
              </w:rPr>
            </w:pPr>
          </w:p>
        </w:tc>
        <w:tc>
          <w:tcPr>
            <w:tcW w:w="1020" w:type="dxa"/>
            <w:vAlign w:val="bottom"/>
            <w:shd w:val="clear" w:color="auto" w:fill="444444"/>
          </w:tcPr>
          <w:p>
            <w:pPr>
              <w:spacing w:after="0"/>
              <w:rPr>
                <w:sz w:val="13"/>
                <w:szCs w:val="13"/>
                <w:color w:val="auto"/>
              </w:rPr>
            </w:pPr>
          </w:p>
        </w:tc>
        <w:tc>
          <w:tcPr>
            <w:tcW w:w="900" w:type="dxa"/>
            <w:vAlign w:val="bottom"/>
            <w:shd w:val="clear" w:color="auto" w:fill="444444"/>
          </w:tcPr>
          <w:p>
            <w:pPr>
              <w:spacing w:after="0"/>
              <w:rPr>
                <w:sz w:val="13"/>
                <w:szCs w:val="13"/>
                <w:color w:val="auto"/>
              </w:rPr>
            </w:pPr>
          </w:p>
        </w:tc>
        <w:tc>
          <w:tcPr>
            <w:tcW w:w="940" w:type="dxa"/>
            <w:vAlign w:val="bottom"/>
            <w:shd w:val="clear" w:color="auto" w:fill="444444"/>
          </w:tcPr>
          <w:p>
            <w:pPr>
              <w:spacing w:after="0"/>
              <w:rPr>
                <w:sz w:val="13"/>
                <w:szCs w:val="13"/>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401(k) and</w:t>
            </w:r>
          </w:p>
        </w:tc>
        <w:tc>
          <w:tcPr>
            <w:tcW w:w="1120" w:type="dxa"/>
            <w:vAlign w:val="bottom"/>
            <w:shd w:val="clear" w:color="auto" w:fill="444444"/>
          </w:tcPr>
          <w:p>
            <w:pPr>
              <w:spacing w:after="0"/>
              <w:rPr>
                <w:sz w:val="13"/>
                <w:szCs w:val="13"/>
                <w:color w:val="auto"/>
              </w:rPr>
            </w:pPr>
          </w:p>
        </w:tc>
        <w:tc>
          <w:tcPr>
            <w:tcW w:w="800" w:type="dxa"/>
            <w:vAlign w:val="bottom"/>
            <w:shd w:val="clear" w:color="auto" w:fill="444444"/>
          </w:tcPr>
          <w:p>
            <w:pPr>
              <w:spacing w:after="0"/>
              <w:rPr>
                <w:sz w:val="13"/>
                <w:szCs w:val="13"/>
                <w:color w:val="auto"/>
              </w:rPr>
            </w:pPr>
          </w:p>
        </w:tc>
        <w:tc>
          <w:tcPr>
            <w:tcW w:w="860" w:type="dxa"/>
            <w:vAlign w:val="bottom"/>
            <w:shd w:val="clear" w:color="auto" w:fill="444444"/>
          </w:tcPr>
          <w:p>
            <w:pPr>
              <w:spacing w:after="0"/>
              <w:rPr>
                <w:sz w:val="13"/>
                <w:szCs w:val="13"/>
                <w:color w:val="auto"/>
              </w:rPr>
            </w:pPr>
          </w:p>
        </w:tc>
      </w:tr>
      <w:tr>
        <w:trPr>
          <w:trHeight w:val="148"/>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spacing w:after="0"/>
              <w:rPr>
                <w:sz w:val="12"/>
                <w:szCs w:val="12"/>
                <w:color w:val="auto"/>
              </w:rPr>
            </w:pPr>
          </w:p>
        </w:tc>
        <w:tc>
          <w:tcPr>
            <w:tcW w:w="900" w:type="dxa"/>
            <w:vAlign w:val="bottom"/>
            <w:shd w:val="clear" w:color="auto" w:fill="444444"/>
          </w:tcPr>
          <w:p>
            <w:pPr>
              <w:spacing w:after="0"/>
              <w:rPr>
                <w:sz w:val="12"/>
                <w:szCs w:val="12"/>
                <w:color w:val="auto"/>
              </w:rPr>
            </w:pPr>
          </w:p>
        </w:tc>
        <w:tc>
          <w:tcPr>
            <w:tcW w:w="94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Profit</w:t>
            </w:r>
          </w:p>
        </w:tc>
        <w:tc>
          <w:tcPr>
            <w:tcW w:w="11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9"/>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spacing w:after="0"/>
              <w:rPr>
                <w:sz w:val="12"/>
                <w:szCs w:val="12"/>
                <w:color w:val="auto"/>
              </w:rPr>
            </w:pPr>
          </w:p>
        </w:tc>
        <w:tc>
          <w:tcPr>
            <w:tcW w:w="900" w:type="dxa"/>
            <w:vAlign w:val="bottom"/>
            <w:shd w:val="clear" w:color="auto" w:fill="444444"/>
          </w:tcPr>
          <w:p>
            <w:pPr>
              <w:spacing w:after="0"/>
              <w:rPr>
                <w:sz w:val="12"/>
                <w:szCs w:val="12"/>
                <w:color w:val="auto"/>
              </w:rPr>
            </w:pPr>
          </w:p>
        </w:tc>
        <w:tc>
          <w:tcPr>
            <w:tcW w:w="94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Sharing</w:t>
            </w:r>
          </w:p>
        </w:tc>
        <w:tc>
          <w:tcPr>
            <w:tcW w:w="11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spacing w:after="0"/>
              <w:rPr>
                <w:sz w:val="12"/>
                <w:szCs w:val="12"/>
                <w:color w:val="auto"/>
              </w:rPr>
            </w:pPr>
          </w:p>
        </w:tc>
        <w:tc>
          <w:tcPr>
            <w:tcW w:w="900" w:type="dxa"/>
            <w:vAlign w:val="bottom"/>
            <w:shd w:val="clear" w:color="auto" w:fill="444444"/>
          </w:tcPr>
          <w:p>
            <w:pPr>
              <w:spacing w:after="0"/>
              <w:rPr>
                <w:sz w:val="12"/>
                <w:szCs w:val="12"/>
                <w:color w:val="auto"/>
              </w:rPr>
            </w:pPr>
          </w:p>
        </w:tc>
        <w:tc>
          <w:tcPr>
            <w:tcW w:w="94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Plan</w:t>
            </w:r>
          </w:p>
        </w:tc>
        <w:tc>
          <w:tcPr>
            <w:tcW w:w="11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Use of</w:t>
            </w:r>
          </w:p>
        </w:tc>
        <w:tc>
          <w:tcPr>
            <w:tcW w:w="90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Personal</w:t>
            </w:r>
          </w:p>
        </w:tc>
        <w:tc>
          <w:tcPr>
            <w:tcW w:w="94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Matching</w:t>
            </w:r>
          </w:p>
        </w:tc>
        <w:tc>
          <w:tcPr>
            <w:tcW w:w="11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Company</w:t>
            </w:r>
          </w:p>
        </w:tc>
        <w:tc>
          <w:tcPr>
            <w:tcW w:w="90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Use of</w:t>
            </w:r>
          </w:p>
        </w:tc>
        <w:tc>
          <w:tcPr>
            <w:tcW w:w="940" w:type="dxa"/>
            <w:vAlign w:val="bottom"/>
            <w:shd w:val="clear" w:color="auto" w:fill="444444"/>
          </w:tcPr>
          <w:p>
            <w:pPr>
              <w:spacing w:after="0"/>
              <w:rPr>
                <w:sz w:val="12"/>
                <w:szCs w:val="12"/>
                <w:color w:val="auto"/>
              </w:rPr>
            </w:pP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and Profit</w:t>
            </w:r>
          </w:p>
        </w:tc>
        <w:tc>
          <w:tcPr>
            <w:tcW w:w="112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Restoration</w:t>
            </w: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9"/>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102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Provided</w:t>
            </w:r>
          </w:p>
        </w:tc>
        <w:tc>
          <w:tcPr>
            <w:tcW w:w="90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Company</w:t>
            </w:r>
          </w:p>
        </w:tc>
        <w:tc>
          <w:tcPr>
            <w:tcW w:w="940" w:type="dxa"/>
            <w:vAlign w:val="bottom"/>
            <w:shd w:val="clear" w:color="auto" w:fill="444444"/>
          </w:tcPr>
          <w:p>
            <w:pPr>
              <w:jc w:val="right"/>
              <w:ind w:right="60"/>
              <w:spacing w:after="0"/>
              <w:rPr>
                <w:sz w:val="20"/>
                <w:szCs w:val="20"/>
                <w:color w:val="auto"/>
              </w:rPr>
            </w:pPr>
            <w:r>
              <w:rPr>
                <w:rFonts w:ascii="Arial" w:cs="Arial" w:eastAsia="Arial" w:hAnsi="Arial"/>
                <w:sz w:val="13"/>
                <w:szCs w:val="13"/>
                <w:b w:val="1"/>
                <w:bCs w:val="1"/>
                <w:color w:val="FFFFFF"/>
              </w:rPr>
              <w:t>Expatriate</w:t>
            </w: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Sharing</w:t>
            </w:r>
          </w:p>
        </w:tc>
        <w:tc>
          <w:tcPr>
            <w:tcW w:w="112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Plan</w:t>
            </w:r>
          </w:p>
        </w:tc>
        <w:tc>
          <w:tcPr>
            <w:tcW w:w="800" w:type="dxa"/>
            <w:vAlign w:val="bottom"/>
            <w:shd w:val="clear" w:color="auto" w:fill="444444"/>
          </w:tcPr>
          <w:p>
            <w:pPr>
              <w:spacing w:after="0"/>
              <w:rPr>
                <w:sz w:val="12"/>
                <w:szCs w:val="12"/>
                <w:color w:val="auto"/>
              </w:rPr>
            </w:pPr>
          </w:p>
        </w:tc>
        <w:tc>
          <w:tcPr>
            <w:tcW w:w="860" w:type="dxa"/>
            <w:vAlign w:val="bottom"/>
            <w:shd w:val="clear" w:color="auto" w:fill="444444"/>
          </w:tcPr>
          <w:p>
            <w:pPr>
              <w:spacing w:after="0"/>
              <w:rPr>
                <w:sz w:val="12"/>
                <w:szCs w:val="12"/>
                <w:color w:val="auto"/>
              </w:rPr>
            </w:pPr>
          </w:p>
        </w:tc>
      </w:tr>
      <w:tr>
        <w:trPr>
          <w:trHeight w:val="148"/>
        </w:trPr>
        <w:tc>
          <w:tcPr>
            <w:tcW w:w="3500" w:type="dxa"/>
            <w:vAlign w:val="bottom"/>
            <w:shd w:val="clear" w:color="auto" w:fill="444444"/>
          </w:tcPr>
          <w:p>
            <w:pPr>
              <w:spacing w:after="0"/>
              <w:rPr>
                <w:sz w:val="12"/>
                <w:szCs w:val="12"/>
                <w:color w:val="auto"/>
              </w:rPr>
            </w:pPr>
          </w:p>
        </w:tc>
        <w:tc>
          <w:tcPr>
            <w:tcW w:w="800" w:type="dxa"/>
            <w:vAlign w:val="bottom"/>
            <w:shd w:val="clear" w:color="auto" w:fill="444444"/>
          </w:tcPr>
          <w:p>
            <w:pPr>
              <w:jc w:val="right"/>
              <w:ind w:right="118"/>
              <w:spacing w:after="0"/>
              <w:rPr>
                <w:sz w:val="20"/>
                <w:szCs w:val="20"/>
                <w:color w:val="auto"/>
              </w:rPr>
            </w:pPr>
            <w:r>
              <w:rPr>
                <w:rFonts w:ascii="Arial" w:cs="Arial" w:eastAsia="Arial" w:hAnsi="Arial"/>
                <w:sz w:val="13"/>
                <w:szCs w:val="13"/>
                <w:b w:val="1"/>
                <w:bCs w:val="1"/>
                <w:color w:val="FFFFFF"/>
              </w:rPr>
              <w:t>Fiscal</w:t>
            </w:r>
          </w:p>
        </w:tc>
        <w:tc>
          <w:tcPr>
            <w:tcW w:w="102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Automobile</w:t>
            </w:r>
          </w:p>
        </w:tc>
        <w:tc>
          <w:tcPr>
            <w:tcW w:w="900" w:type="dxa"/>
            <w:vAlign w:val="bottom"/>
            <w:shd w:val="clear" w:color="auto" w:fill="444444"/>
          </w:tcPr>
          <w:p>
            <w:pPr>
              <w:jc w:val="right"/>
              <w:ind w:right="62"/>
              <w:spacing w:after="0"/>
              <w:rPr>
                <w:sz w:val="20"/>
                <w:szCs w:val="20"/>
                <w:color w:val="auto"/>
              </w:rPr>
            </w:pPr>
            <w:r>
              <w:rPr>
                <w:rFonts w:ascii="Arial" w:cs="Arial" w:eastAsia="Arial" w:hAnsi="Arial"/>
                <w:sz w:val="13"/>
                <w:szCs w:val="13"/>
                <w:b w:val="1"/>
                <w:bCs w:val="1"/>
                <w:color w:val="FFFFFF"/>
              </w:rPr>
              <w:t>Aircraft</w:t>
            </w:r>
          </w:p>
        </w:tc>
        <w:tc>
          <w:tcPr>
            <w:tcW w:w="940" w:type="dxa"/>
            <w:vAlign w:val="bottom"/>
            <w:shd w:val="clear" w:color="auto" w:fill="444444"/>
          </w:tcPr>
          <w:p>
            <w:pPr>
              <w:jc w:val="right"/>
              <w:ind w:right="60"/>
              <w:spacing w:after="0"/>
              <w:rPr>
                <w:sz w:val="20"/>
                <w:szCs w:val="20"/>
                <w:color w:val="auto"/>
              </w:rPr>
            </w:pPr>
            <w:r>
              <w:rPr>
                <w:rFonts w:ascii="Arial" w:cs="Arial" w:eastAsia="Arial" w:hAnsi="Arial"/>
                <w:sz w:val="13"/>
                <w:szCs w:val="13"/>
                <w:b w:val="1"/>
                <w:bCs w:val="1"/>
                <w:color w:val="FFFFFF"/>
              </w:rPr>
              <w:t>Benefits</w:t>
            </w:r>
          </w:p>
        </w:tc>
        <w:tc>
          <w:tcPr>
            <w:tcW w:w="1080" w:type="dxa"/>
            <w:vAlign w:val="bottom"/>
            <w:shd w:val="clear" w:color="auto" w:fill="444444"/>
          </w:tcPr>
          <w:p>
            <w:pPr>
              <w:jc w:val="right"/>
              <w:ind w:right="65"/>
              <w:spacing w:after="0"/>
              <w:rPr>
                <w:sz w:val="20"/>
                <w:szCs w:val="20"/>
                <w:color w:val="auto"/>
              </w:rPr>
            </w:pPr>
            <w:r>
              <w:rPr>
                <w:rFonts w:ascii="Arial" w:cs="Arial" w:eastAsia="Arial" w:hAnsi="Arial"/>
                <w:sz w:val="13"/>
                <w:szCs w:val="13"/>
                <w:b w:val="1"/>
                <w:bCs w:val="1"/>
                <w:color w:val="FFFFFF"/>
              </w:rPr>
              <w:t>Contribution</w:t>
            </w:r>
          </w:p>
        </w:tc>
        <w:tc>
          <w:tcPr>
            <w:tcW w:w="112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Contribution</w:t>
            </w:r>
          </w:p>
        </w:tc>
        <w:tc>
          <w:tcPr>
            <w:tcW w:w="800" w:type="dxa"/>
            <w:vAlign w:val="bottom"/>
            <w:shd w:val="clear" w:color="auto" w:fill="444444"/>
          </w:tcPr>
          <w:p>
            <w:pPr>
              <w:jc w:val="right"/>
              <w:ind w:right="18"/>
              <w:spacing w:after="0"/>
              <w:rPr>
                <w:sz w:val="20"/>
                <w:szCs w:val="20"/>
                <w:color w:val="auto"/>
              </w:rPr>
            </w:pPr>
            <w:r>
              <w:rPr>
                <w:rFonts w:ascii="Arial" w:cs="Arial" w:eastAsia="Arial" w:hAnsi="Arial"/>
                <w:sz w:val="13"/>
                <w:szCs w:val="13"/>
                <w:b w:val="1"/>
                <w:bCs w:val="1"/>
                <w:color w:val="FFFFFF"/>
              </w:rPr>
              <w:t>Other</w:t>
            </w:r>
          </w:p>
        </w:tc>
        <w:tc>
          <w:tcPr>
            <w:tcW w:w="860" w:type="dxa"/>
            <w:vAlign w:val="bottom"/>
            <w:shd w:val="clear" w:color="auto" w:fill="444444"/>
          </w:tcPr>
          <w:p>
            <w:pPr>
              <w:spacing w:after="0"/>
              <w:rPr>
                <w:sz w:val="12"/>
                <w:szCs w:val="12"/>
                <w:color w:val="auto"/>
              </w:rPr>
            </w:pPr>
          </w:p>
        </w:tc>
      </w:tr>
      <w:tr>
        <w:trPr>
          <w:trHeight w:val="165"/>
        </w:trPr>
        <w:tc>
          <w:tcPr>
            <w:tcW w:w="350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Name</w:t>
            </w:r>
          </w:p>
        </w:tc>
        <w:tc>
          <w:tcPr>
            <w:tcW w:w="800" w:type="dxa"/>
            <w:vAlign w:val="bottom"/>
            <w:shd w:val="clear" w:color="auto" w:fill="444444"/>
          </w:tcPr>
          <w:p>
            <w:pPr>
              <w:jc w:val="right"/>
              <w:ind w:right="218"/>
              <w:spacing w:after="0"/>
              <w:rPr>
                <w:sz w:val="20"/>
                <w:szCs w:val="20"/>
                <w:color w:val="auto"/>
              </w:rPr>
            </w:pPr>
            <w:r>
              <w:rPr>
                <w:rFonts w:ascii="Arial" w:cs="Arial" w:eastAsia="Arial" w:hAnsi="Arial"/>
                <w:sz w:val="13"/>
                <w:szCs w:val="13"/>
                <w:b w:val="1"/>
                <w:bCs w:val="1"/>
                <w:color w:val="FFFFFF"/>
              </w:rPr>
              <w:t>Year</w:t>
            </w:r>
          </w:p>
        </w:tc>
        <w:tc>
          <w:tcPr>
            <w:tcW w:w="1020" w:type="dxa"/>
            <w:vAlign w:val="bottom"/>
            <w:shd w:val="clear" w:color="auto" w:fill="444444"/>
          </w:tcPr>
          <w:p>
            <w:pPr>
              <w:jc w:val="right"/>
              <w:ind w:right="62"/>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(a)</w:t>
            </w:r>
          </w:p>
        </w:tc>
        <w:tc>
          <w:tcPr>
            <w:tcW w:w="900" w:type="dxa"/>
            <w:vAlign w:val="bottom"/>
            <w:shd w:val="clear" w:color="auto" w:fill="444444"/>
          </w:tcPr>
          <w:p>
            <w:pPr>
              <w:jc w:val="right"/>
              <w:ind w:right="62"/>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(b)</w:t>
            </w:r>
          </w:p>
        </w:tc>
        <w:tc>
          <w:tcPr>
            <w:tcW w:w="940" w:type="dxa"/>
            <w:vAlign w:val="bottom"/>
            <w:shd w:val="clear" w:color="auto" w:fill="444444"/>
          </w:tcPr>
          <w:p>
            <w:pPr>
              <w:jc w:val="right"/>
              <w:ind w:right="60"/>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(c)</w:t>
            </w:r>
          </w:p>
        </w:tc>
        <w:tc>
          <w:tcPr>
            <w:tcW w:w="1080" w:type="dxa"/>
            <w:vAlign w:val="bottom"/>
            <w:shd w:val="clear" w:color="auto" w:fill="444444"/>
          </w:tcPr>
          <w:p>
            <w:pPr>
              <w:jc w:val="right"/>
              <w:ind w:right="65"/>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(d)</w:t>
            </w:r>
          </w:p>
        </w:tc>
        <w:tc>
          <w:tcPr>
            <w:tcW w:w="1120" w:type="dxa"/>
            <w:vAlign w:val="bottom"/>
            <w:shd w:val="clear" w:color="auto" w:fill="444444"/>
          </w:tcPr>
          <w:p>
            <w:pPr>
              <w:jc w:val="right"/>
              <w:ind w:right="101"/>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(e)</w:t>
            </w:r>
          </w:p>
        </w:tc>
        <w:tc>
          <w:tcPr>
            <w:tcW w:w="800" w:type="dxa"/>
            <w:vAlign w:val="bottom"/>
            <w:shd w:val="clear" w:color="auto" w:fill="444444"/>
          </w:tcPr>
          <w:p>
            <w:pPr>
              <w:jc w:val="right"/>
              <w:ind w:right="18"/>
              <w:spacing w:after="0" w:line="16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(f)</w:t>
            </w:r>
          </w:p>
        </w:tc>
        <w:tc>
          <w:tcPr>
            <w:tcW w:w="860" w:type="dxa"/>
            <w:vAlign w:val="bottom"/>
            <w:shd w:val="clear" w:color="auto" w:fill="444444"/>
          </w:tcPr>
          <w:p>
            <w:pPr>
              <w:jc w:val="right"/>
              <w:ind w:right="36"/>
              <w:spacing w:after="0"/>
              <w:rPr>
                <w:sz w:val="20"/>
                <w:szCs w:val="20"/>
                <w:color w:val="auto"/>
              </w:rPr>
            </w:pPr>
            <w:r>
              <w:rPr>
                <w:rFonts w:ascii="Arial" w:cs="Arial" w:eastAsia="Arial" w:hAnsi="Arial"/>
                <w:sz w:val="13"/>
                <w:szCs w:val="13"/>
                <w:b w:val="1"/>
                <w:bCs w:val="1"/>
                <w:color w:val="FFFFFF"/>
              </w:rPr>
              <w:t>Total ($)</w:t>
            </w:r>
          </w:p>
        </w:tc>
      </w:tr>
      <w:tr>
        <w:trPr>
          <w:trHeight w:val="203"/>
        </w:trPr>
        <w:tc>
          <w:tcPr>
            <w:tcW w:w="35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Robert J. Coury</w:t>
            </w:r>
          </w:p>
        </w:tc>
        <w:tc>
          <w:tcPr>
            <w:tcW w:w="800" w:type="dxa"/>
            <w:vAlign w:val="bottom"/>
            <w:shd w:val="clear" w:color="auto" w:fill="E5E5E5"/>
          </w:tcPr>
          <w:p>
            <w:pPr>
              <w:jc w:val="right"/>
              <w:ind w:right="58"/>
              <w:spacing w:after="0" w:line="202" w:lineRule="exact"/>
              <w:rPr>
                <w:sz w:val="20"/>
                <w:szCs w:val="20"/>
                <w:color w:val="auto"/>
              </w:rPr>
            </w:pPr>
            <w:r>
              <w:rPr>
                <w:rFonts w:ascii="Arial" w:cs="Arial" w:eastAsia="Arial" w:hAnsi="Arial"/>
                <w:sz w:val="18"/>
                <w:szCs w:val="18"/>
                <w:color w:val="auto"/>
              </w:rPr>
              <w:t>2020</w:t>
            </w:r>
          </w:p>
        </w:tc>
        <w:tc>
          <w:tcPr>
            <w:tcW w:w="102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25,111</w:t>
            </w:r>
          </w:p>
        </w:tc>
        <w:tc>
          <w:tcPr>
            <w:tcW w:w="90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30,363</w:t>
            </w:r>
          </w:p>
        </w:tc>
        <w:tc>
          <w:tcPr>
            <w:tcW w:w="940" w:type="dxa"/>
            <w:vAlign w:val="bottom"/>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65"/>
              <w:spacing w:after="0" w:line="202" w:lineRule="exact"/>
              <w:rPr>
                <w:sz w:val="20"/>
                <w:szCs w:val="20"/>
                <w:color w:val="auto"/>
              </w:rPr>
            </w:pPr>
            <w:r>
              <w:rPr>
                <w:rFonts w:ascii="Arial" w:cs="Arial" w:eastAsia="Arial" w:hAnsi="Arial"/>
                <w:sz w:val="18"/>
                <w:szCs w:val="18"/>
                <w:color w:val="auto"/>
              </w:rPr>
              <w:t>28,300</w:t>
            </w:r>
          </w:p>
        </w:tc>
        <w:tc>
          <w:tcPr>
            <w:tcW w:w="112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275,306</w:t>
            </w:r>
          </w:p>
        </w:tc>
        <w:tc>
          <w:tcPr>
            <w:tcW w:w="80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color w:val="auto"/>
              </w:rPr>
              <w:t>40,770</w:t>
            </w:r>
          </w:p>
        </w:tc>
        <w:tc>
          <w:tcPr>
            <w:tcW w:w="86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399,850</w:t>
            </w: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Michael Goettler</w:t>
            </w:r>
          </w:p>
        </w:tc>
        <w:tc>
          <w:tcPr>
            <w:tcW w:w="8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2020</w:t>
            </w:r>
          </w:p>
        </w:tc>
        <w:tc>
          <w:tcPr>
            <w:tcW w:w="1020" w:type="dxa"/>
            <w:vAlign w:val="bottom"/>
          </w:tcPr>
          <w:p>
            <w:pPr>
              <w:jc w:val="right"/>
              <w:ind w:right="62"/>
              <w:spacing w:after="0" w:line="202" w:lineRule="exact"/>
              <w:rPr>
                <w:sz w:val="20"/>
                <w:szCs w:val="20"/>
                <w:color w:val="auto"/>
              </w:rPr>
            </w:pPr>
            <w:r>
              <w:rPr>
                <w:rFonts w:ascii="Arial" w:cs="Arial" w:eastAsia="Arial" w:hAnsi="Arial"/>
                <w:sz w:val="18"/>
                <w:szCs w:val="18"/>
                <w:color w:val="auto"/>
              </w:rPr>
              <w:t>2,400</w:t>
            </w:r>
          </w:p>
        </w:tc>
        <w:tc>
          <w:tcPr>
            <w:tcW w:w="900" w:type="dxa"/>
            <w:vAlign w:val="bottom"/>
          </w:tcPr>
          <w:p>
            <w:pPr>
              <w:jc w:val="right"/>
              <w:ind w:right="6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60"/>
              <w:spacing w:after="0" w:line="202" w:lineRule="exact"/>
              <w:rPr>
                <w:sz w:val="20"/>
                <w:szCs w:val="20"/>
                <w:color w:val="auto"/>
              </w:rPr>
            </w:pPr>
            <w:r>
              <w:rPr>
                <w:rFonts w:ascii="Arial" w:cs="Arial" w:eastAsia="Arial" w:hAnsi="Arial"/>
                <w:sz w:val="18"/>
                <w:szCs w:val="18"/>
                <w:color w:val="auto"/>
              </w:rPr>
              <w:t>43,863</w:t>
            </w:r>
          </w:p>
        </w:tc>
        <w:tc>
          <w:tcPr>
            <w:tcW w:w="1080" w:type="dxa"/>
            <w:vAlign w:val="bottom"/>
          </w:tcPr>
          <w:p>
            <w:pPr>
              <w:jc w:val="right"/>
              <w:ind w:right="65"/>
              <w:spacing w:after="0" w:line="202" w:lineRule="exact"/>
              <w:rPr>
                <w:sz w:val="20"/>
                <w:szCs w:val="20"/>
                <w:color w:val="auto"/>
              </w:rPr>
            </w:pPr>
            <w:r>
              <w:rPr>
                <w:rFonts w:ascii="Arial" w:cs="Arial" w:eastAsia="Arial" w:hAnsi="Arial"/>
                <w:sz w:val="18"/>
                <w:szCs w:val="18"/>
                <w:color w:val="auto"/>
              </w:rPr>
              <w:t>9,750</w:t>
            </w:r>
          </w:p>
        </w:tc>
        <w:tc>
          <w:tcPr>
            <w:tcW w:w="112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193,199</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143</w:t>
            </w: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249,355</w:t>
            </w:r>
          </w:p>
        </w:tc>
      </w:tr>
      <w:tr>
        <w:trPr>
          <w:trHeight w:val="203"/>
        </w:trPr>
        <w:tc>
          <w:tcPr>
            <w:tcW w:w="35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Sanjeev Narula</w:t>
            </w:r>
          </w:p>
        </w:tc>
        <w:tc>
          <w:tcPr>
            <w:tcW w:w="800" w:type="dxa"/>
            <w:vAlign w:val="bottom"/>
            <w:shd w:val="clear" w:color="auto" w:fill="E5E5E5"/>
          </w:tcPr>
          <w:p>
            <w:pPr>
              <w:jc w:val="right"/>
              <w:ind w:right="58"/>
              <w:spacing w:after="0" w:line="202" w:lineRule="exact"/>
              <w:rPr>
                <w:sz w:val="20"/>
                <w:szCs w:val="20"/>
                <w:color w:val="auto"/>
              </w:rPr>
            </w:pPr>
            <w:r>
              <w:rPr>
                <w:rFonts w:ascii="Arial" w:cs="Arial" w:eastAsia="Arial" w:hAnsi="Arial"/>
                <w:sz w:val="18"/>
                <w:szCs w:val="18"/>
                <w:color w:val="auto"/>
              </w:rPr>
              <w:t>2020</w:t>
            </w:r>
          </w:p>
        </w:tc>
        <w:tc>
          <w:tcPr>
            <w:tcW w:w="102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2,400</w:t>
            </w:r>
          </w:p>
        </w:tc>
        <w:tc>
          <w:tcPr>
            <w:tcW w:w="90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631,856</w:t>
            </w:r>
          </w:p>
        </w:tc>
        <w:tc>
          <w:tcPr>
            <w:tcW w:w="1080" w:type="dxa"/>
            <w:vAlign w:val="bottom"/>
            <w:shd w:val="clear" w:color="auto" w:fill="E5E5E5"/>
          </w:tcPr>
          <w:p>
            <w:pPr>
              <w:jc w:val="right"/>
              <w:ind w:right="65"/>
              <w:spacing w:after="0" w:line="202" w:lineRule="exact"/>
              <w:rPr>
                <w:sz w:val="20"/>
                <w:szCs w:val="20"/>
                <w:color w:val="auto"/>
              </w:rPr>
            </w:pPr>
            <w:r>
              <w:rPr>
                <w:rFonts w:ascii="Arial" w:cs="Arial" w:eastAsia="Arial" w:hAnsi="Arial"/>
                <w:sz w:val="18"/>
                <w:szCs w:val="18"/>
                <w:color w:val="auto"/>
              </w:rPr>
              <w:t>7,231</w:t>
            </w:r>
          </w:p>
        </w:tc>
        <w:tc>
          <w:tcPr>
            <w:tcW w:w="112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20,089</w:t>
            </w:r>
          </w:p>
        </w:tc>
        <w:tc>
          <w:tcPr>
            <w:tcW w:w="80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color w:val="auto"/>
              </w:rPr>
              <w:t>143</w:t>
            </w:r>
          </w:p>
        </w:tc>
        <w:tc>
          <w:tcPr>
            <w:tcW w:w="86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661,719</w:t>
            </w: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Rajiv Malik</w:t>
            </w:r>
          </w:p>
        </w:tc>
        <w:tc>
          <w:tcPr>
            <w:tcW w:w="8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2020</w:t>
            </w:r>
          </w:p>
        </w:tc>
        <w:tc>
          <w:tcPr>
            <w:tcW w:w="1020" w:type="dxa"/>
            <w:vAlign w:val="bottom"/>
          </w:tcPr>
          <w:p>
            <w:pPr>
              <w:jc w:val="right"/>
              <w:ind w:right="62"/>
              <w:spacing w:after="0" w:line="202" w:lineRule="exact"/>
              <w:rPr>
                <w:sz w:val="20"/>
                <w:szCs w:val="20"/>
                <w:color w:val="auto"/>
              </w:rPr>
            </w:pPr>
            <w:r>
              <w:rPr>
                <w:rFonts w:ascii="Arial" w:cs="Arial" w:eastAsia="Arial" w:hAnsi="Arial"/>
                <w:sz w:val="18"/>
                <w:szCs w:val="18"/>
                <w:color w:val="auto"/>
              </w:rPr>
              <w:t>2,204</w:t>
            </w:r>
          </w:p>
        </w:tc>
        <w:tc>
          <w:tcPr>
            <w:tcW w:w="900" w:type="dxa"/>
            <w:vAlign w:val="bottom"/>
          </w:tcPr>
          <w:p>
            <w:pPr>
              <w:jc w:val="right"/>
              <w:ind w:right="62"/>
              <w:spacing w:after="0" w:line="202" w:lineRule="exact"/>
              <w:rPr>
                <w:sz w:val="20"/>
                <w:szCs w:val="20"/>
                <w:color w:val="auto"/>
              </w:rPr>
            </w:pPr>
            <w:r>
              <w:rPr>
                <w:rFonts w:ascii="Arial" w:cs="Arial" w:eastAsia="Arial" w:hAnsi="Arial"/>
                <w:sz w:val="18"/>
                <w:szCs w:val="18"/>
                <w:color w:val="auto"/>
              </w:rPr>
              <w:t>9,482</w:t>
            </w:r>
          </w:p>
        </w:tc>
        <w:tc>
          <w:tcPr>
            <w:tcW w:w="940" w:type="dxa"/>
            <w:vAlign w:val="bottom"/>
          </w:tcPr>
          <w:p>
            <w:pPr>
              <w:jc w:val="right"/>
              <w:ind w:right="60"/>
              <w:spacing w:after="0" w:line="202" w:lineRule="exact"/>
              <w:rPr>
                <w:sz w:val="20"/>
                <w:szCs w:val="20"/>
                <w:color w:val="auto"/>
              </w:rPr>
            </w:pPr>
            <w:r>
              <w:rPr>
                <w:rFonts w:ascii="Arial" w:cs="Arial" w:eastAsia="Arial" w:hAnsi="Arial"/>
                <w:sz w:val="18"/>
                <w:szCs w:val="18"/>
                <w:color w:val="auto"/>
              </w:rPr>
              <w:t>606,221</w:t>
            </w:r>
          </w:p>
        </w:tc>
        <w:tc>
          <w:tcPr>
            <w:tcW w:w="1080" w:type="dxa"/>
            <w:vAlign w:val="bottom"/>
          </w:tcPr>
          <w:p>
            <w:pPr>
              <w:jc w:val="right"/>
              <w:ind w:right="65"/>
              <w:spacing w:after="0" w:line="202" w:lineRule="exact"/>
              <w:rPr>
                <w:sz w:val="20"/>
                <w:szCs w:val="20"/>
                <w:color w:val="auto"/>
              </w:rPr>
            </w:pPr>
            <w:r>
              <w:rPr>
                <w:rFonts w:ascii="Arial" w:cs="Arial" w:eastAsia="Arial" w:hAnsi="Arial"/>
                <w:sz w:val="18"/>
                <w:szCs w:val="18"/>
                <w:color w:val="auto"/>
              </w:rPr>
              <w:t>31,222</w:t>
            </w:r>
          </w:p>
        </w:tc>
        <w:tc>
          <w:tcPr>
            <w:tcW w:w="112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182,052</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20,341</w:t>
            </w: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851,522</w:t>
            </w:r>
          </w:p>
        </w:tc>
      </w:tr>
      <w:tr>
        <w:trPr>
          <w:trHeight w:val="203"/>
        </w:trPr>
        <w:tc>
          <w:tcPr>
            <w:tcW w:w="35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Anthony Mauro</w:t>
            </w:r>
          </w:p>
        </w:tc>
        <w:tc>
          <w:tcPr>
            <w:tcW w:w="800" w:type="dxa"/>
            <w:vAlign w:val="bottom"/>
            <w:shd w:val="clear" w:color="auto" w:fill="E5E5E5"/>
          </w:tcPr>
          <w:p>
            <w:pPr>
              <w:jc w:val="right"/>
              <w:ind w:right="58"/>
              <w:spacing w:after="0" w:line="202" w:lineRule="exact"/>
              <w:rPr>
                <w:sz w:val="20"/>
                <w:szCs w:val="20"/>
                <w:color w:val="auto"/>
              </w:rPr>
            </w:pPr>
            <w:r>
              <w:rPr>
                <w:rFonts w:ascii="Arial" w:cs="Arial" w:eastAsia="Arial" w:hAnsi="Arial"/>
                <w:sz w:val="18"/>
                <w:szCs w:val="18"/>
                <w:color w:val="auto"/>
              </w:rPr>
              <w:t>2020</w:t>
            </w:r>
          </w:p>
        </w:tc>
        <w:tc>
          <w:tcPr>
            <w:tcW w:w="102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19,200</w:t>
            </w:r>
          </w:p>
        </w:tc>
        <w:tc>
          <w:tcPr>
            <w:tcW w:w="900" w:type="dxa"/>
            <w:vAlign w:val="bottom"/>
            <w:shd w:val="clear" w:color="auto" w:fill="E5E5E5"/>
          </w:tcPr>
          <w:p>
            <w:pPr>
              <w:jc w:val="right"/>
              <w:ind w:right="6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65"/>
              <w:spacing w:after="0" w:line="202" w:lineRule="exact"/>
              <w:rPr>
                <w:sz w:val="20"/>
                <w:szCs w:val="20"/>
                <w:color w:val="auto"/>
              </w:rPr>
            </w:pPr>
            <w:r>
              <w:rPr>
                <w:rFonts w:ascii="Arial" w:cs="Arial" w:eastAsia="Arial" w:hAnsi="Arial"/>
                <w:sz w:val="18"/>
                <w:szCs w:val="18"/>
                <w:color w:val="auto"/>
              </w:rPr>
              <w:t>31,484</w:t>
            </w:r>
          </w:p>
        </w:tc>
        <w:tc>
          <w:tcPr>
            <w:tcW w:w="112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189,360</w:t>
            </w:r>
          </w:p>
        </w:tc>
        <w:tc>
          <w:tcPr>
            <w:tcW w:w="80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color w:val="auto"/>
              </w:rPr>
              <w:t>3,402</w:t>
            </w:r>
          </w:p>
        </w:tc>
        <w:tc>
          <w:tcPr>
            <w:tcW w:w="86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243,446</w:t>
            </w:r>
          </w:p>
        </w:tc>
      </w:tr>
    </w:tbl>
    <w:p>
      <w:pPr>
        <w:jc w:val="both"/>
        <w:ind w:left="424" w:right="20" w:hanging="424"/>
        <w:spacing w:after="0" w:line="239" w:lineRule="auto"/>
        <w:tabs>
          <w:tab w:leader="none" w:pos="424"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 the case of Messrs. Coury, Goettler, Narula and Mauro, these numbers represent a vehicle allowance and ancillary expenses associated with such vehicle. In the case of Mr. Malik, this number represents the cost of a vehicle (based on lease value), insurance and ancillary expenses associated with such vehicle.</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300" w:right="439" w:bottom="1440" w:gutter="0" w:footer="0" w:header="0"/>
        </w:sectPr>
      </w:pPr>
    </w:p>
    <w:bookmarkStart w:id="48" w:name="page49"/>
    <w:bookmarkEnd w:id="48"/>
    <w:p>
      <w:pPr>
        <w:jc w:val="both"/>
        <w:ind w:left="424" w:hanging="424"/>
        <w:spacing w:after="0" w:line="267" w:lineRule="auto"/>
        <w:tabs>
          <w:tab w:leader="none" w:pos="424"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Amounts disclosed represent the actual aggregate incremental costs associated with the personal use of corporate aircraft (Mr. Coury, $30,363 and Mr. Malik, $9,482).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6"/>
          <w:szCs w:val="16"/>
          <w:i w:val="1"/>
          <w:iCs w:val="1"/>
          <w:color w:val="auto"/>
        </w:rPr>
      </w:pPr>
    </w:p>
    <w:p>
      <w:pPr>
        <w:jc w:val="both"/>
        <w:ind w:left="424" w:right="20" w:hanging="424"/>
        <w:spacing w:after="0" w:line="264" w:lineRule="auto"/>
        <w:tabs>
          <w:tab w:leader="none" w:pos="424"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 the case of Messrs. Goettler and Narula, amounts disclosed include the value of certain expatriate, repatriation and relocation benefits of $43,863 and $631,856, respectively, paid by Pfizer and/or Viatris in 2020. Repatriation for Messrs. Goettler and Narula occurred on September 30, 2020. Expatriate benefits for Mr. Malik represent income taxes paid by Mylan in connection with Mr. Malik’s expatriate assignment to the United States from India effective January 1, 2012. Specifically, Mr. Malik is responsible for, and has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Amount shown for 2020 for Mr. Malik is net of Mylan’s estimated tax refunds for each year. The estimated refund was $274,822 for 2020. As of the Combination, Mr. Malik will no longer be eligible for legacy tax equalization benefits that he had historically received from Mylan.</w:t>
      </w:r>
    </w:p>
    <w:p>
      <w:pPr>
        <w:spacing w:after="0" w:line="1" w:lineRule="exact"/>
        <w:rPr>
          <w:rFonts w:ascii="Arial" w:cs="Arial" w:eastAsia="Arial" w:hAnsi="Arial"/>
          <w:sz w:val="16"/>
          <w:szCs w:val="16"/>
          <w:i w:val="1"/>
          <w:iCs w:val="1"/>
          <w:color w:val="auto"/>
        </w:rPr>
      </w:pPr>
    </w:p>
    <w:p>
      <w:pPr>
        <w:jc w:val="both"/>
        <w:ind w:left="424" w:right="20" w:hanging="424"/>
        <w:spacing w:after="0" w:line="234" w:lineRule="auto"/>
        <w:tabs>
          <w:tab w:leader="none" w:pos="424"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Amounts disclosed for each NEO include a matching contribution for Messrs. Coury ($11,200), Narula ($1,231), Malik ($14,122), and Mauro ($14,384), and a profit sharing contribution received in March 2021 in respect of fiscal year 2020 for Messrs. Coury ($17,100), Goettler ($9,750), Narula ($6,000) and to each of Messrs. Malik and Mauro ($17,100).</w:t>
      </w:r>
    </w:p>
    <w:p>
      <w:pPr>
        <w:spacing w:after="0" w:line="2" w:lineRule="exact"/>
        <w:rPr>
          <w:rFonts w:ascii="Arial" w:cs="Arial" w:eastAsia="Arial" w:hAnsi="Arial"/>
          <w:sz w:val="18"/>
          <w:szCs w:val="18"/>
          <w:i w:val="1"/>
          <w:iCs w:val="1"/>
          <w:color w:val="auto"/>
        </w:rPr>
      </w:pPr>
    </w:p>
    <w:p>
      <w:pPr>
        <w:jc w:val="both"/>
        <w:ind w:left="424" w:right="20" w:hanging="424"/>
        <w:spacing w:after="0" w:line="234" w:lineRule="auto"/>
        <w:tabs>
          <w:tab w:leader="none" w:pos="424"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Amounts disclosed include, for Messrs. Coury, Goettler and Mauro, a matching contribution under the Restoration Plan of $215,857, $36,467 and $130,584, respectively, and a profit sharing contribution under the Restoration Plan received in March 2021 in respect of fiscal year 2020 for each of Messrs. Coury, Malik and Mauro equal to $59,449, $182,052, and $58,776, respectively. Amounts disclosed for Messrs. Goettler and Narula include Retirement Savings Contributions under Pfizer’s plans in the amount of $156,732 and $20,089, respectively.</w:t>
      </w:r>
    </w:p>
    <w:p>
      <w:pPr>
        <w:spacing w:after="0" w:line="3" w:lineRule="exact"/>
        <w:rPr>
          <w:rFonts w:ascii="Arial" w:cs="Arial" w:eastAsia="Arial" w:hAnsi="Arial"/>
          <w:sz w:val="18"/>
          <w:szCs w:val="18"/>
          <w:i w:val="1"/>
          <w:iCs w:val="1"/>
          <w:color w:val="auto"/>
        </w:rPr>
      </w:pPr>
    </w:p>
    <w:p>
      <w:pPr>
        <w:jc w:val="both"/>
        <w:ind w:left="424" w:hanging="424"/>
        <w:spacing w:after="0" w:line="281" w:lineRule="auto"/>
        <w:tabs>
          <w:tab w:leader="none" w:pos="424"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health insurance for Messrs. Coury ($29,102) and Malik; certain personal security services for Messrs. Coury and Malik; events for Mr. Malik; tax preparation services related to U.K. tax returns for Messrs. Coury and Mauro; long-term disability premiums for Messrs. Coury, Goettler, Narula, Malik and Mauro; and international travel assistance premiums for Messrs. Coury, Malik and Mauro.</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300" w:right="439" w:bottom="1440" w:gutter="0" w:footer="0" w:header="0"/>
        </w:sectPr>
      </w:pPr>
    </w:p>
    <w:bookmarkStart w:id="49" w:name="page50"/>
    <w:bookmarkEnd w:id="49"/>
    <w:p>
      <w:pPr>
        <w:ind w:left="4"/>
        <w:spacing w:after="0"/>
        <w:rPr>
          <w:sz w:val="20"/>
          <w:szCs w:val="20"/>
          <w:color w:val="auto"/>
        </w:rPr>
      </w:pPr>
      <w:r>
        <w:rPr>
          <w:rFonts w:ascii="Arial" w:cs="Arial" w:eastAsia="Arial" w:hAnsi="Arial"/>
          <w:sz w:val="18"/>
          <w:szCs w:val="18"/>
          <w:b w:val="1"/>
          <w:bCs w:val="1"/>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Grants of Plan-Based Awards for 2020</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grants of plan-based awards made to each NEO during 2020.</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gridSpan w:val="3"/>
            <w:shd w:val="clear" w:color="auto" w:fill="231161"/>
          </w:tcPr>
          <w:p>
            <w:pPr>
              <w:jc w:val="center"/>
              <w:spacing w:after="0"/>
              <w:rPr>
                <w:sz w:val="20"/>
                <w:szCs w:val="20"/>
                <w:color w:val="auto"/>
              </w:rPr>
            </w:pPr>
            <w:r>
              <w:rPr>
                <w:rFonts w:ascii="Arial" w:cs="Arial" w:eastAsia="Arial" w:hAnsi="Arial"/>
                <w:sz w:val="13"/>
                <w:szCs w:val="13"/>
                <w:b w:val="1"/>
                <w:bCs w:val="1"/>
                <w:color w:val="FFFFFF"/>
              </w:rPr>
              <w:t>Estimated Future Payments</w:t>
            </w:r>
          </w:p>
        </w:tc>
        <w:tc>
          <w:tcPr>
            <w:tcW w:w="400" w:type="dxa"/>
            <w:vAlign w:val="bottom"/>
          </w:tcPr>
          <w:p>
            <w:pPr>
              <w:spacing w:after="0"/>
              <w:rPr>
                <w:sz w:val="13"/>
                <w:szCs w:val="13"/>
                <w:color w:val="auto"/>
              </w:rPr>
            </w:pPr>
          </w:p>
        </w:tc>
        <w:tc>
          <w:tcPr>
            <w:tcW w:w="80" w:type="dxa"/>
            <w:vAlign w:val="bottom"/>
            <w:shd w:val="clear" w:color="auto" w:fill="231161"/>
          </w:tcPr>
          <w:p>
            <w:pPr>
              <w:spacing w:after="0"/>
              <w:rPr>
                <w:sz w:val="13"/>
                <w:szCs w:val="13"/>
                <w:color w:val="auto"/>
              </w:rPr>
            </w:pPr>
          </w:p>
        </w:tc>
        <w:tc>
          <w:tcPr>
            <w:tcW w:w="700" w:type="dxa"/>
            <w:vAlign w:val="bottom"/>
            <w:shd w:val="clear" w:color="auto" w:fill="231161"/>
          </w:tcPr>
          <w:p>
            <w:pPr>
              <w:spacing w:after="0"/>
              <w:rPr>
                <w:sz w:val="13"/>
                <w:szCs w:val="13"/>
                <w:color w:val="auto"/>
              </w:rPr>
            </w:pPr>
          </w:p>
        </w:tc>
        <w:tc>
          <w:tcPr>
            <w:tcW w:w="700" w:type="dxa"/>
            <w:vAlign w:val="bottom"/>
            <w:shd w:val="clear" w:color="auto" w:fill="231161"/>
          </w:tcPr>
          <w:p>
            <w:pPr>
              <w:spacing w:after="0"/>
              <w:rPr>
                <w:sz w:val="13"/>
                <w:szCs w:val="13"/>
                <w:color w:val="auto"/>
              </w:rPr>
            </w:pPr>
          </w:p>
        </w:tc>
        <w:tc>
          <w:tcPr>
            <w:tcW w:w="740" w:type="dxa"/>
            <w:vAlign w:val="bottom"/>
            <w:shd w:val="clear" w:color="auto" w:fill="231161"/>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shd w:val="clear" w:color="auto" w:fill="231161"/>
          </w:tcPr>
          <w:p>
            <w:pPr>
              <w:spacing w:after="0"/>
              <w:rPr>
                <w:sz w:val="12"/>
                <w:szCs w:val="12"/>
                <w:color w:val="auto"/>
              </w:rPr>
            </w:pPr>
          </w:p>
        </w:tc>
        <w:tc>
          <w:tcPr>
            <w:tcW w:w="780" w:type="dxa"/>
            <w:vAlign w:val="bottom"/>
            <w:shd w:val="clear" w:color="auto" w:fill="231161"/>
          </w:tcPr>
          <w:p>
            <w:pPr>
              <w:jc w:val="center"/>
              <w:spacing w:after="0"/>
              <w:rPr>
                <w:sz w:val="20"/>
                <w:szCs w:val="20"/>
                <w:color w:val="auto"/>
              </w:rPr>
            </w:pPr>
            <w:r>
              <w:rPr>
                <w:rFonts w:ascii="Arial" w:cs="Arial" w:eastAsia="Arial" w:hAnsi="Arial"/>
                <w:sz w:val="13"/>
                <w:szCs w:val="13"/>
                <w:b w:val="1"/>
                <w:bCs w:val="1"/>
                <w:color w:val="FFFFFF"/>
              </w:rPr>
              <w:t>Under</w:t>
            </w:r>
          </w:p>
        </w:tc>
        <w:tc>
          <w:tcPr>
            <w:tcW w:w="740" w:type="dxa"/>
            <w:vAlign w:val="bottom"/>
            <w:shd w:val="clear" w:color="auto" w:fill="231161"/>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shd w:val="clear" w:color="auto" w:fill="231161"/>
          </w:tcPr>
          <w:p>
            <w:pPr>
              <w:spacing w:after="0"/>
              <w:rPr>
                <w:sz w:val="12"/>
                <w:szCs w:val="12"/>
                <w:color w:val="auto"/>
              </w:rPr>
            </w:pPr>
          </w:p>
        </w:tc>
        <w:tc>
          <w:tcPr>
            <w:tcW w:w="2140" w:type="dxa"/>
            <w:vAlign w:val="bottom"/>
            <w:gridSpan w:val="3"/>
            <w:shd w:val="clear" w:color="auto" w:fill="231161"/>
          </w:tcPr>
          <w:p>
            <w:pPr>
              <w:jc w:val="center"/>
              <w:spacing w:after="0"/>
              <w:rPr>
                <w:sz w:val="20"/>
                <w:szCs w:val="20"/>
                <w:color w:val="auto"/>
              </w:rPr>
            </w:pPr>
            <w:r>
              <w:rPr>
                <w:rFonts w:ascii="Arial" w:cs="Arial" w:eastAsia="Arial" w:hAnsi="Arial"/>
                <w:sz w:val="13"/>
                <w:szCs w:val="13"/>
                <w:b w:val="1"/>
                <w:bCs w:val="1"/>
                <w:color w:val="FFFFFF"/>
              </w:rPr>
              <w:t>Estimated Future Payments</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gridSpan w:val="3"/>
            <w:shd w:val="clear" w:color="auto" w:fill="231161"/>
          </w:tcPr>
          <w:p>
            <w:pPr>
              <w:jc w:val="center"/>
              <w:spacing w:after="0"/>
              <w:rPr>
                <w:sz w:val="20"/>
                <w:szCs w:val="20"/>
                <w:color w:val="auto"/>
              </w:rPr>
            </w:pPr>
            <w:r>
              <w:rPr>
                <w:rFonts w:ascii="Arial" w:cs="Arial" w:eastAsia="Arial" w:hAnsi="Arial"/>
                <w:sz w:val="13"/>
                <w:szCs w:val="13"/>
                <w:b w:val="1"/>
                <w:bCs w:val="1"/>
                <w:color w:val="FFFFFF"/>
              </w:rPr>
              <w:t>Non-Equity Incentive Plan</w:t>
            </w:r>
          </w:p>
        </w:tc>
        <w:tc>
          <w:tcPr>
            <w:tcW w:w="400" w:type="dxa"/>
            <w:vAlign w:val="bottom"/>
          </w:tcPr>
          <w:p>
            <w:pPr>
              <w:spacing w:after="0"/>
              <w:rPr>
                <w:sz w:val="12"/>
                <w:szCs w:val="12"/>
                <w:color w:val="auto"/>
              </w:rPr>
            </w:pPr>
          </w:p>
        </w:tc>
        <w:tc>
          <w:tcPr>
            <w:tcW w:w="80" w:type="dxa"/>
            <w:vAlign w:val="bottom"/>
            <w:shd w:val="clear" w:color="auto" w:fill="231161"/>
          </w:tcPr>
          <w:p>
            <w:pPr>
              <w:spacing w:after="0"/>
              <w:rPr>
                <w:sz w:val="12"/>
                <w:szCs w:val="12"/>
                <w:color w:val="auto"/>
              </w:rPr>
            </w:pPr>
          </w:p>
        </w:tc>
        <w:tc>
          <w:tcPr>
            <w:tcW w:w="2140" w:type="dxa"/>
            <w:vAlign w:val="bottom"/>
            <w:gridSpan w:val="3"/>
            <w:shd w:val="clear" w:color="auto" w:fill="231161"/>
          </w:tcPr>
          <w:p>
            <w:pPr>
              <w:jc w:val="center"/>
              <w:spacing w:after="0"/>
              <w:rPr>
                <w:sz w:val="20"/>
                <w:szCs w:val="20"/>
                <w:color w:val="auto"/>
              </w:rPr>
            </w:pPr>
            <w:r>
              <w:rPr>
                <w:rFonts w:ascii="Arial" w:cs="Arial" w:eastAsia="Arial" w:hAnsi="Arial"/>
                <w:sz w:val="13"/>
                <w:szCs w:val="13"/>
                <w:b w:val="1"/>
                <w:bCs w:val="1"/>
                <w:color w:val="FFFFFF"/>
              </w:rPr>
              <w:t>Under Equity Incentive Plan</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shd w:val="clear" w:color="auto" w:fill="231161"/>
          </w:tcPr>
          <w:p>
            <w:pPr>
              <w:spacing w:after="0"/>
              <w:rPr>
                <w:sz w:val="14"/>
                <w:szCs w:val="14"/>
                <w:color w:val="auto"/>
              </w:rPr>
            </w:pPr>
          </w:p>
        </w:tc>
        <w:tc>
          <w:tcPr>
            <w:tcW w:w="780" w:type="dxa"/>
            <w:vAlign w:val="bottom"/>
            <w:shd w:val="clear" w:color="auto" w:fill="231161"/>
          </w:tcPr>
          <w:p>
            <w:pPr>
              <w:jc w:val="center"/>
              <w:spacing w:after="0" w:line="165"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8"/>
                <w:szCs w:val="18"/>
                <w:b w:val="1"/>
                <w:bCs w:val="1"/>
                <w:color w:val="FFFFFF"/>
                <w:w w:val="97"/>
                <w:vertAlign w:val="superscript"/>
              </w:rPr>
              <w:t>(1)</w:t>
            </w:r>
          </w:p>
        </w:tc>
        <w:tc>
          <w:tcPr>
            <w:tcW w:w="740" w:type="dxa"/>
            <w:vAlign w:val="bottom"/>
            <w:shd w:val="clear" w:color="auto" w:fill="231161"/>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shd w:val="clear" w:color="auto" w:fill="231161"/>
          </w:tcPr>
          <w:p>
            <w:pPr>
              <w:spacing w:after="0"/>
              <w:rPr>
                <w:sz w:val="14"/>
                <w:szCs w:val="14"/>
                <w:color w:val="auto"/>
              </w:rPr>
            </w:pPr>
          </w:p>
        </w:tc>
        <w:tc>
          <w:tcPr>
            <w:tcW w:w="700" w:type="dxa"/>
            <w:vAlign w:val="bottom"/>
            <w:shd w:val="clear" w:color="auto" w:fill="231161"/>
          </w:tcPr>
          <w:p>
            <w:pPr>
              <w:spacing w:after="0"/>
              <w:rPr>
                <w:sz w:val="14"/>
                <w:szCs w:val="14"/>
                <w:color w:val="auto"/>
              </w:rPr>
            </w:pPr>
          </w:p>
        </w:tc>
        <w:tc>
          <w:tcPr>
            <w:tcW w:w="700" w:type="dxa"/>
            <w:vAlign w:val="bottom"/>
            <w:shd w:val="clear" w:color="auto" w:fill="231161"/>
          </w:tcPr>
          <w:p>
            <w:pPr>
              <w:jc w:val="center"/>
              <w:spacing w:after="0" w:line="165"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8"/>
                <w:szCs w:val="18"/>
                <w:b w:val="1"/>
                <w:bCs w:val="1"/>
                <w:color w:val="FFFFFF"/>
                <w:w w:val="97"/>
                <w:vertAlign w:val="superscript"/>
              </w:rPr>
              <w:t>(2)</w:t>
            </w:r>
          </w:p>
        </w:tc>
        <w:tc>
          <w:tcPr>
            <w:tcW w:w="740" w:type="dxa"/>
            <w:vAlign w:val="bottom"/>
            <w:shd w:val="clear" w:color="auto" w:fill="231161"/>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444444"/>
          </w:tcPr>
          <w:p>
            <w:pPr>
              <w:spacing w:after="0"/>
              <w:rPr>
                <w:sz w:val="11"/>
                <w:szCs w:val="11"/>
                <w:color w:val="auto"/>
              </w:rPr>
            </w:pPr>
          </w:p>
        </w:tc>
        <w:tc>
          <w:tcPr>
            <w:tcW w:w="14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20" w:type="dxa"/>
            <w:vAlign w:val="bottom"/>
            <w:shd w:val="clear" w:color="auto" w:fill="444444"/>
          </w:tcPr>
          <w:p>
            <w:pPr>
              <w:jc w:val="right"/>
              <w:ind w:right="13"/>
              <w:spacing w:after="0" w:line="135" w:lineRule="exact"/>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444444"/>
          </w:tcPr>
          <w:p>
            <w:pPr>
              <w:jc w:val="right"/>
              <w:ind w:right="13"/>
              <w:spacing w:after="0" w:line="135" w:lineRule="exact"/>
              <w:rPr>
                <w:sz w:val="20"/>
                <w:szCs w:val="20"/>
                <w:color w:val="auto"/>
              </w:rPr>
            </w:pPr>
            <w:r>
              <w:rPr>
                <w:rFonts w:ascii="Arial" w:cs="Arial" w:eastAsia="Arial" w:hAnsi="Arial"/>
                <w:sz w:val="13"/>
                <w:szCs w:val="13"/>
                <w:b w:val="1"/>
                <w:bCs w:val="1"/>
                <w:color w:val="FFFFFF"/>
              </w:rPr>
              <w:t>All Other</w:t>
            </w:r>
          </w:p>
        </w:tc>
        <w:tc>
          <w:tcPr>
            <w:tcW w:w="700" w:type="dxa"/>
            <w:vAlign w:val="bottom"/>
            <w:shd w:val="clear" w:color="auto" w:fill="444444"/>
          </w:tcPr>
          <w:p>
            <w:pPr>
              <w:spacing w:after="0"/>
              <w:rPr>
                <w:sz w:val="11"/>
                <w:szCs w:val="11"/>
                <w:color w:val="auto"/>
              </w:rPr>
            </w:pPr>
          </w:p>
        </w:tc>
        <w:tc>
          <w:tcPr>
            <w:tcW w:w="92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444444"/>
          </w:tcPr>
          <w:p>
            <w:pPr>
              <w:spacing w:after="0"/>
              <w:rPr>
                <w:sz w:val="12"/>
                <w:szCs w:val="12"/>
                <w:color w:val="auto"/>
              </w:rPr>
            </w:pPr>
          </w:p>
        </w:tc>
        <w:tc>
          <w:tcPr>
            <w:tcW w:w="140" w:type="dxa"/>
            <w:vAlign w:val="bottom"/>
            <w:shd w:val="clear" w:color="auto" w:fill="444444"/>
          </w:tcPr>
          <w:p>
            <w:pPr>
              <w:spacing w:after="0"/>
              <w:rPr>
                <w:sz w:val="12"/>
                <w:szCs w:val="12"/>
                <w:color w:val="auto"/>
              </w:rPr>
            </w:pPr>
          </w:p>
        </w:tc>
        <w:tc>
          <w:tcPr>
            <w:tcW w:w="760" w:type="dxa"/>
            <w:vAlign w:val="bottom"/>
            <w:shd w:val="clear" w:color="auto" w:fill="444444"/>
          </w:tcPr>
          <w:p>
            <w:pPr>
              <w:spacing w:after="0"/>
              <w:rPr>
                <w:sz w:val="12"/>
                <w:szCs w:val="12"/>
                <w:color w:val="auto"/>
              </w:rPr>
            </w:pPr>
          </w:p>
        </w:tc>
        <w:tc>
          <w:tcPr>
            <w:tcW w:w="8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780" w:type="dxa"/>
            <w:vAlign w:val="bottom"/>
            <w:shd w:val="clear" w:color="auto" w:fill="444444"/>
          </w:tcPr>
          <w:p>
            <w:pPr>
              <w:spacing w:after="0"/>
              <w:rPr>
                <w:sz w:val="12"/>
                <w:szCs w:val="12"/>
                <w:color w:val="auto"/>
              </w:rPr>
            </w:pPr>
          </w:p>
        </w:tc>
        <w:tc>
          <w:tcPr>
            <w:tcW w:w="740" w:type="dxa"/>
            <w:vAlign w:val="bottom"/>
            <w:shd w:val="clear" w:color="auto" w:fill="444444"/>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shd w:val="clear" w:color="auto" w:fill="444444"/>
          </w:tcPr>
          <w:p>
            <w:pPr>
              <w:spacing w:after="0"/>
              <w:rPr>
                <w:sz w:val="12"/>
                <w:szCs w:val="12"/>
                <w:color w:val="auto"/>
              </w:rPr>
            </w:pPr>
          </w:p>
        </w:tc>
        <w:tc>
          <w:tcPr>
            <w:tcW w:w="700" w:type="dxa"/>
            <w:vAlign w:val="bottom"/>
            <w:shd w:val="clear" w:color="auto" w:fill="444444"/>
          </w:tcPr>
          <w:p>
            <w:pPr>
              <w:spacing w:after="0"/>
              <w:rPr>
                <w:sz w:val="12"/>
                <w:szCs w:val="12"/>
                <w:color w:val="auto"/>
              </w:rPr>
            </w:pPr>
          </w:p>
        </w:tc>
        <w:tc>
          <w:tcPr>
            <w:tcW w:w="700" w:type="dxa"/>
            <w:vAlign w:val="bottom"/>
            <w:shd w:val="clear" w:color="auto" w:fill="444444"/>
          </w:tcPr>
          <w:p>
            <w:pPr>
              <w:spacing w:after="0"/>
              <w:rPr>
                <w:sz w:val="12"/>
                <w:szCs w:val="12"/>
                <w:color w:val="auto"/>
              </w:rPr>
            </w:pPr>
          </w:p>
        </w:tc>
        <w:tc>
          <w:tcPr>
            <w:tcW w:w="740" w:type="dxa"/>
            <w:vAlign w:val="bottom"/>
            <w:shd w:val="clear" w:color="auto" w:fill="444444"/>
          </w:tcPr>
          <w:p>
            <w:pPr>
              <w:spacing w:after="0"/>
              <w:rPr>
                <w:sz w:val="12"/>
                <w:szCs w:val="12"/>
                <w:color w:val="auto"/>
              </w:rPr>
            </w:pPr>
          </w:p>
        </w:tc>
        <w:tc>
          <w:tcPr>
            <w:tcW w:w="820" w:type="dxa"/>
            <w:vAlign w:val="bottom"/>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Stock</w:t>
            </w:r>
          </w:p>
        </w:tc>
        <w:tc>
          <w:tcPr>
            <w:tcW w:w="840" w:type="dxa"/>
            <w:vAlign w:val="bottom"/>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Option</w:t>
            </w:r>
          </w:p>
        </w:tc>
        <w:tc>
          <w:tcPr>
            <w:tcW w:w="700" w:type="dxa"/>
            <w:vAlign w:val="bottom"/>
            <w:shd w:val="clear" w:color="auto" w:fill="444444"/>
          </w:tcPr>
          <w:p>
            <w:pPr>
              <w:spacing w:after="0"/>
              <w:rPr>
                <w:sz w:val="12"/>
                <w:szCs w:val="12"/>
                <w:color w:val="auto"/>
              </w:rPr>
            </w:pPr>
          </w:p>
        </w:tc>
        <w:tc>
          <w:tcPr>
            <w:tcW w:w="920" w:type="dxa"/>
            <w:vAlign w:val="bottom"/>
            <w:vMerge w:val="restart"/>
            <w:shd w:val="clear" w:color="auto" w:fill="444444"/>
          </w:tcPr>
          <w:p>
            <w:pPr>
              <w:jc w:val="right"/>
              <w:ind w:right="96"/>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48"/>
        </w:trPr>
        <w:tc>
          <w:tcPr>
            <w:tcW w:w="1080" w:type="dxa"/>
            <w:vAlign w:val="bottom"/>
            <w:shd w:val="clear" w:color="auto" w:fill="444444"/>
          </w:tcPr>
          <w:p>
            <w:pPr>
              <w:spacing w:after="0"/>
              <w:rPr>
                <w:sz w:val="12"/>
                <w:szCs w:val="12"/>
                <w:color w:val="auto"/>
              </w:rPr>
            </w:pPr>
          </w:p>
        </w:tc>
        <w:tc>
          <w:tcPr>
            <w:tcW w:w="140" w:type="dxa"/>
            <w:vAlign w:val="bottom"/>
            <w:shd w:val="clear" w:color="auto" w:fill="444444"/>
          </w:tcPr>
          <w:p>
            <w:pPr>
              <w:spacing w:after="0"/>
              <w:rPr>
                <w:sz w:val="12"/>
                <w:szCs w:val="12"/>
                <w:color w:val="auto"/>
              </w:rPr>
            </w:pPr>
          </w:p>
        </w:tc>
        <w:tc>
          <w:tcPr>
            <w:tcW w:w="760" w:type="dxa"/>
            <w:vAlign w:val="bottom"/>
            <w:shd w:val="clear" w:color="auto" w:fill="444444"/>
          </w:tcPr>
          <w:p>
            <w:pPr>
              <w:spacing w:after="0"/>
              <w:rPr>
                <w:sz w:val="12"/>
                <w:szCs w:val="12"/>
                <w:color w:val="auto"/>
              </w:rPr>
            </w:pPr>
          </w:p>
        </w:tc>
        <w:tc>
          <w:tcPr>
            <w:tcW w:w="820" w:type="dxa"/>
            <w:vAlign w:val="bottom"/>
            <w:shd w:val="clear" w:color="auto" w:fill="444444"/>
          </w:tcPr>
          <w:p>
            <w:pPr>
              <w:spacing w:after="0"/>
              <w:rPr>
                <w:sz w:val="12"/>
                <w:szCs w:val="12"/>
                <w:color w:val="auto"/>
              </w:rPr>
            </w:pPr>
          </w:p>
        </w:tc>
        <w:tc>
          <w:tcPr>
            <w:tcW w:w="800" w:type="dxa"/>
            <w:vAlign w:val="bottom"/>
            <w:shd w:val="clear" w:color="auto" w:fill="444444"/>
          </w:tcPr>
          <w:p>
            <w:pPr>
              <w:spacing w:after="0"/>
              <w:rPr>
                <w:sz w:val="12"/>
                <w:szCs w:val="12"/>
                <w:color w:val="auto"/>
              </w:rPr>
            </w:pPr>
          </w:p>
        </w:tc>
        <w:tc>
          <w:tcPr>
            <w:tcW w:w="780" w:type="dxa"/>
            <w:vAlign w:val="bottom"/>
            <w:shd w:val="clear" w:color="auto" w:fill="444444"/>
          </w:tcPr>
          <w:p>
            <w:pPr>
              <w:spacing w:after="0"/>
              <w:rPr>
                <w:sz w:val="12"/>
                <w:szCs w:val="12"/>
                <w:color w:val="auto"/>
              </w:rPr>
            </w:pPr>
          </w:p>
        </w:tc>
        <w:tc>
          <w:tcPr>
            <w:tcW w:w="740" w:type="dxa"/>
            <w:vAlign w:val="bottom"/>
            <w:shd w:val="clear" w:color="auto" w:fill="444444"/>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shd w:val="clear" w:color="auto" w:fill="444444"/>
          </w:tcPr>
          <w:p>
            <w:pPr>
              <w:spacing w:after="0"/>
              <w:rPr>
                <w:sz w:val="12"/>
                <w:szCs w:val="12"/>
                <w:color w:val="auto"/>
              </w:rPr>
            </w:pPr>
          </w:p>
        </w:tc>
        <w:tc>
          <w:tcPr>
            <w:tcW w:w="700" w:type="dxa"/>
            <w:vAlign w:val="bottom"/>
            <w:shd w:val="clear" w:color="auto" w:fill="444444"/>
          </w:tcPr>
          <w:p>
            <w:pPr>
              <w:spacing w:after="0"/>
              <w:rPr>
                <w:sz w:val="12"/>
                <w:szCs w:val="12"/>
                <w:color w:val="auto"/>
              </w:rPr>
            </w:pPr>
          </w:p>
        </w:tc>
        <w:tc>
          <w:tcPr>
            <w:tcW w:w="700" w:type="dxa"/>
            <w:vAlign w:val="bottom"/>
            <w:shd w:val="clear" w:color="auto" w:fill="444444"/>
          </w:tcPr>
          <w:p>
            <w:pPr>
              <w:spacing w:after="0"/>
              <w:rPr>
                <w:sz w:val="12"/>
                <w:szCs w:val="12"/>
                <w:color w:val="auto"/>
              </w:rPr>
            </w:pPr>
          </w:p>
        </w:tc>
        <w:tc>
          <w:tcPr>
            <w:tcW w:w="740" w:type="dxa"/>
            <w:vAlign w:val="bottom"/>
            <w:shd w:val="clear" w:color="auto" w:fill="444444"/>
          </w:tcPr>
          <w:p>
            <w:pPr>
              <w:spacing w:after="0"/>
              <w:rPr>
                <w:sz w:val="12"/>
                <w:szCs w:val="12"/>
                <w:color w:val="auto"/>
              </w:rPr>
            </w:pPr>
          </w:p>
        </w:tc>
        <w:tc>
          <w:tcPr>
            <w:tcW w:w="820" w:type="dxa"/>
            <w:vAlign w:val="bottom"/>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Awards:</w:t>
            </w:r>
          </w:p>
        </w:tc>
        <w:tc>
          <w:tcPr>
            <w:tcW w:w="7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E</w:t>
            </w:r>
            <w:r>
              <w:rPr>
                <w:rFonts w:ascii="Arial" w:cs="Arial" w:eastAsia="Arial" w:hAnsi="Arial"/>
                <w:sz w:val="11"/>
                <w:szCs w:val="11"/>
                <w:b w:val="1"/>
                <w:bCs w:val="1"/>
                <w:color w:val="FFFFFF"/>
              </w:rPr>
              <w:t>XERCISE</w:t>
            </w:r>
          </w:p>
        </w:tc>
        <w:tc>
          <w:tcPr>
            <w:tcW w:w="920" w:type="dxa"/>
            <w:vAlign w:val="bottom"/>
            <w:vMerge w:val="continue"/>
            <w:shd w:val="clear" w:color="auto" w:fill="444444"/>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80" w:type="dxa"/>
            <w:vAlign w:val="bottom"/>
            <w:shd w:val="clear" w:color="auto" w:fill="444444"/>
          </w:tcPr>
          <w:p>
            <w:pPr>
              <w:spacing w:after="0"/>
              <w:rPr>
                <w:sz w:val="5"/>
                <w:szCs w:val="5"/>
                <w:color w:val="auto"/>
              </w:rPr>
            </w:pPr>
          </w:p>
        </w:tc>
        <w:tc>
          <w:tcPr>
            <w:tcW w:w="140" w:type="dxa"/>
            <w:vAlign w:val="bottom"/>
            <w:shd w:val="clear" w:color="auto" w:fill="444444"/>
          </w:tcPr>
          <w:p>
            <w:pPr>
              <w:spacing w:after="0"/>
              <w:rPr>
                <w:sz w:val="5"/>
                <w:szCs w:val="5"/>
                <w:color w:val="auto"/>
              </w:rPr>
            </w:pPr>
          </w:p>
        </w:tc>
        <w:tc>
          <w:tcPr>
            <w:tcW w:w="760" w:type="dxa"/>
            <w:vAlign w:val="bottom"/>
            <w:shd w:val="clear" w:color="auto" w:fill="444444"/>
          </w:tcPr>
          <w:p>
            <w:pPr>
              <w:spacing w:after="0"/>
              <w:rPr>
                <w:sz w:val="5"/>
                <w:szCs w:val="5"/>
                <w:color w:val="auto"/>
              </w:rPr>
            </w:pPr>
          </w:p>
        </w:tc>
        <w:tc>
          <w:tcPr>
            <w:tcW w:w="820" w:type="dxa"/>
            <w:vAlign w:val="bottom"/>
            <w:shd w:val="clear" w:color="auto" w:fill="444444"/>
          </w:tcPr>
          <w:p>
            <w:pPr>
              <w:spacing w:after="0"/>
              <w:rPr>
                <w:sz w:val="5"/>
                <w:szCs w:val="5"/>
                <w:color w:val="auto"/>
              </w:rPr>
            </w:pPr>
          </w:p>
        </w:tc>
        <w:tc>
          <w:tcPr>
            <w:tcW w:w="800" w:type="dxa"/>
            <w:vAlign w:val="bottom"/>
            <w:shd w:val="clear" w:color="auto" w:fill="444444"/>
          </w:tcPr>
          <w:p>
            <w:pPr>
              <w:spacing w:after="0"/>
              <w:rPr>
                <w:sz w:val="5"/>
                <w:szCs w:val="5"/>
                <w:color w:val="auto"/>
              </w:rPr>
            </w:pPr>
          </w:p>
        </w:tc>
        <w:tc>
          <w:tcPr>
            <w:tcW w:w="78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82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Number of</w:t>
            </w:r>
          </w:p>
        </w:tc>
        <w:tc>
          <w:tcPr>
            <w:tcW w:w="84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Number of</w:t>
            </w:r>
          </w:p>
        </w:tc>
        <w:tc>
          <w:tcPr>
            <w:tcW w:w="700" w:type="dxa"/>
            <w:vAlign w:val="bottom"/>
            <w:vMerge w:val="restart"/>
            <w:shd w:val="clear" w:color="auto" w:fill="444444"/>
          </w:tcPr>
          <w:p>
            <w:pPr>
              <w:jc w:val="right"/>
              <w:spacing w:after="0"/>
              <w:rPr>
                <w:sz w:val="20"/>
                <w:szCs w:val="20"/>
                <w:color w:val="auto"/>
              </w:rPr>
            </w:pPr>
            <w:r>
              <w:rPr>
                <w:rFonts w:ascii="Arial" w:cs="Arial" w:eastAsia="Arial" w:hAnsi="Arial"/>
                <w:sz w:val="11"/>
                <w:szCs w:val="11"/>
                <w:b w:val="1"/>
                <w:bCs w:val="1"/>
                <w:color w:val="FFFFFF"/>
              </w:rPr>
              <w:t xml:space="preserve">OR </w:t>
            </w:r>
            <w:r>
              <w:rPr>
                <w:rFonts w:ascii="Arial" w:cs="Arial" w:eastAsia="Arial" w:hAnsi="Arial"/>
                <w:sz w:val="13"/>
                <w:szCs w:val="13"/>
                <w:b w:val="1"/>
                <w:bCs w:val="1"/>
                <w:color w:val="FFFFFF"/>
              </w:rPr>
              <w:t>B</w:t>
            </w:r>
            <w:r>
              <w:rPr>
                <w:rFonts w:ascii="Arial" w:cs="Arial" w:eastAsia="Arial" w:hAnsi="Arial"/>
                <w:sz w:val="11"/>
                <w:szCs w:val="11"/>
                <w:b w:val="1"/>
                <w:bCs w:val="1"/>
                <w:color w:val="FFFFFF"/>
              </w:rPr>
              <w:t>ASE</w:t>
            </w:r>
          </w:p>
        </w:tc>
        <w:tc>
          <w:tcPr>
            <w:tcW w:w="920" w:type="dxa"/>
            <w:vAlign w:val="bottom"/>
            <w:shd w:val="clear" w:color="auto" w:fill="444444"/>
          </w:tcPr>
          <w:p>
            <w:pPr>
              <w:jc w:val="right"/>
              <w:ind w:right="96"/>
              <w:spacing w:after="0" w:line="65" w:lineRule="exact"/>
              <w:rPr>
                <w:sz w:val="20"/>
                <w:szCs w:val="20"/>
                <w:color w:val="auto"/>
              </w:rPr>
            </w:pPr>
            <w:r>
              <w:rPr>
                <w:rFonts w:ascii="Arial" w:cs="Arial" w:eastAsia="Arial" w:hAnsi="Arial"/>
                <w:sz w:val="7"/>
                <w:szCs w:val="7"/>
                <w:b w:val="1"/>
                <w:bCs w:val="1"/>
                <w:color w:val="FFFFFF"/>
              </w:rPr>
              <w:t>Fair Value</w:t>
            </w:r>
          </w:p>
        </w:tc>
        <w:tc>
          <w:tcPr>
            <w:tcW w:w="0" w:type="dxa"/>
            <w:vAlign w:val="bottom"/>
          </w:tcPr>
          <w:p>
            <w:pPr>
              <w:spacing w:after="0"/>
              <w:rPr>
                <w:sz w:val="1"/>
                <w:szCs w:val="1"/>
                <w:color w:val="auto"/>
              </w:rPr>
            </w:pPr>
          </w:p>
        </w:tc>
      </w:tr>
      <w:tr>
        <w:trPr>
          <w:trHeight w:val="84"/>
        </w:trPr>
        <w:tc>
          <w:tcPr>
            <w:tcW w:w="1080" w:type="dxa"/>
            <w:vAlign w:val="bottom"/>
            <w:shd w:val="clear" w:color="auto" w:fill="444444"/>
          </w:tcPr>
          <w:p>
            <w:pPr>
              <w:spacing w:after="0"/>
              <w:rPr>
                <w:sz w:val="7"/>
                <w:szCs w:val="7"/>
                <w:color w:val="auto"/>
              </w:rPr>
            </w:pPr>
          </w:p>
        </w:tc>
        <w:tc>
          <w:tcPr>
            <w:tcW w:w="140" w:type="dxa"/>
            <w:vAlign w:val="bottom"/>
            <w:shd w:val="clear" w:color="auto" w:fill="444444"/>
          </w:tcPr>
          <w:p>
            <w:pPr>
              <w:spacing w:after="0"/>
              <w:rPr>
                <w:sz w:val="7"/>
                <w:szCs w:val="7"/>
                <w:color w:val="auto"/>
              </w:rPr>
            </w:pPr>
          </w:p>
        </w:tc>
        <w:tc>
          <w:tcPr>
            <w:tcW w:w="760" w:type="dxa"/>
            <w:vAlign w:val="bottom"/>
            <w:shd w:val="clear" w:color="auto" w:fill="444444"/>
          </w:tcPr>
          <w:p>
            <w:pPr>
              <w:spacing w:after="0"/>
              <w:rPr>
                <w:sz w:val="7"/>
                <w:szCs w:val="7"/>
                <w:color w:val="auto"/>
              </w:rPr>
            </w:pPr>
          </w:p>
        </w:tc>
        <w:tc>
          <w:tcPr>
            <w:tcW w:w="820" w:type="dxa"/>
            <w:vAlign w:val="bottom"/>
            <w:shd w:val="clear" w:color="auto" w:fill="444444"/>
          </w:tcPr>
          <w:p>
            <w:pPr>
              <w:spacing w:after="0"/>
              <w:rPr>
                <w:sz w:val="7"/>
                <w:szCs w:val="7"/>
                <w:color w:val="auto"/>
              </w:rPr>
            </w:pPr>
          </w:p>
        </w:tc>
        <w:tc>
          <w:tcPr>
            <w:tcW w:w="800" w:type="dxa"/>
            <w:vAlign w:val="bottom"/>
            <w:shd w:val="clear" w:color="auto" w:fill="444444"/>
          </w:tcPr>
          <w:p>
            <w:pPr>
              <w:spacing w:after="0"/>
              <w:rPr>
                <w:sz w:val="7"/>
                <w:szCs w:val="7"/>
                <w:color w:val="auto"/>
              </w:rPr>
            </w:pPr>
          </w:p>
        </w:tc>
        <w:tc>
          <w:tcPr>
            <w:tcW w:w="78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820" w:type="dxa"/>
            <w:vAlign w:val="bottom"/>
            <w:vMerge w:val="continue"/>
            <w:shd w:val="clear" w:color="auto" w:fill="444444"/>
          </w:tcPr>
          <w:p>
            <w:pPr>
              <w:spacing w:after="0"/>
              <w:rPr>
                <w:sz w:val="7"/>
                <w:szCs w:val="7"/>
                <w:color w:val="auto"/>
              </w:rPr>
            </w:pPr>
          </w:p>
        </w:tc>
        <w:tc>
          <w:tcPr>
            <w:tcW w:w="840" w:type="dxa"/>
            <w:vAlign w:val="bottom"/>
            <w:vMerge w:val="continue"/>
            <w:shd w:val="clear" w:color="auto" w:fill="444444"/>
          </w:tcPr>
          <w:p>
            <w:pPr>
              <w:spacing w:after="0"/>
              <w:rPr>
                <w:sz w:val="7"/>
                <w:szCs w:val="7"/>
                <w:color w:val="auto"/>
              </w:rPr>
            </w:pPr>
          </w:p>
        </w:tc>
        <w:tc>
          <w:tcPr>
            <w:tcW w:w="700" w:type="dxa"/>
            <w:vAlign w:val="bottom"/>
            <w:vMerge w:val="continue"/>
            <w:shd w:val="clear" w:color="auto" w:fill="444444"/>
          </w:tcPr>
          <w:p>
            <w:pPr>
              <w:spacing w:after="0"/>
              <w:rPr>
                <w:sz w:val="7"/>
                <w:szCs w:val="7"/>
                <w:color w:val="auto"/>
              </w:rPr>
            </w:pPr>
          </w:p>
        </w:tc>
        <w:tc>
          <w:tcPr>
            <w:tcW w:w="920" w:type="dxa"/>
            <w:vAlign w:val="bottom"/>
            <w:vMerge w:val="restart"/>
            <w:shd w:val="clear" w:color="auto" w:fill="444444"/>
          </w:tcPr>
          <w:p>
            <w:pPr>
              <w:jc w:val="right"/>
              <w:ind w:right="96"/>
              <w:spacing w:after="0"/>
              <w:rPr>
                <w:sz w:val="20"/>
                <w:szCs w:val="20"/>
                <w:color w:val="auto"/>
              </w:rPr>
            </w:pPr>
            <w:r>
              <w:rPr>
                <w:rFonts w:ascii="Arial" w:cs="Arial" w:eastAsia="Arial" w:hAnsi="Arial"/>
                <w:sz w:val="13"/>
                <w:szCs w:val="13"/>
                <w:b w:val="1"/>
                <w:bCs w:val="1"/>
                <w:color w:val="FFFFFF"/>
              </w:rPr>
              <w:t>of</w:t>
            </w:r>
          </w:p>
        </w:tc>
        <w:tc>
          <w:tcPr>
            <w:tcW w:w="0" w:type="dxa"/>
            <w:vAlign w:val="bottom"/>
          </w:tcPr>
          <w:p>
            <w:pPr>
              <w:spacing w:after="0"/>
              <w:rPr>
                <w:sz w:val="1"/>
                <w:szCs w:val="1"/>
                <w:color w:val="auto"/>
              </w:rPr>
            </w:pPr>
          </w:p>
        </w:tc>
      </w:tr>
      <w:tr>
        <w:trPr>
          <w:trHeight w:val="64"/>
        </w:trPr>
        <w:tc>
          <w:tcPr>
            <w:tcW w:w="1080" w:type="dxa"/>
            <w:vAlign w:val="bottom"/>
            <w:shd w:val="clear" w:color="auto" w:fill="444444"/>
          </w:tcPr>
          <w:p>
            <w:pPr>
              <w:spacing w:after="0"/>
              <w:rPr>
                <w:sz w:val="5"/>
                <w:szCs w:val="5"/>
                <w:color w:val="auto"/>
              </w:rPr>
            </w:pPr>
          </w:p>
        </w:tc>
        <w:tc>
          <w:tcPr>
            <w:tcW w:w="140" w:type="dxa"/>
            <w:vAlign w:val="bottom"/>
            <w:shd w:val="clear" w:color="auto" w:fill="444444"/>
          </w:tcPr>
          <w:p>
            <w:pPr>
              <w:spacing w:after="0"/>
              <w:rPr>
                <w:sz w:val="5"/>
                <w:szCs w:val="5"/>
                <w:color w:val="auto"/>
              </w:rPr>
            </w:pPr>
          </w:p>
        </w:tc>
        <w:tc>
          <w:tcPr>
            <w:tcW w:w="760" w:type="dxa"/>
            <w:vAlign w:val="bottom"/>
            <w:shd w:val="clear" w:color="auto" w:fill="444444"/>
          </w:tcPr>
          <w:p>
            <w:pPr>
              <w:spacing w:after="0"/>
              <w:rPr>
                <w:sz w:val="5"/>
                <w:szCs w:val="5"/>
                <w:color w:val="auto"/>
              </w:rPr>
            </w:pPr>
          </w:p>
        </w:tc>
        <w:tc>
          <w:tcPr>
            <w:tcW w:w="820" w:type="dxa"/>
            <w:vAlign w:val="bottom"/>
            <w:shd w:val="clear" w:color="auto" w:fill="444444"/>
          </w:tcPr>
          <w:p>
            <w:pPr>
              <w:spacing w:after="0"/>
              <w:rPr>
                <w:sz w:val="5"/>
                <w:szCs w:val="5"/>
                <w:color w:val="auto"/>
              </w:rPr>
            </w:pPr>
          </w:p>
        </w:tc>
        <w:tc>
          <w:tcPr>
            <w:tcW w:w="800" w:type="dxa"/>
            <w:vAlign w:val="bottom"/>
            <w:shd w:val="clear" w:color="auto" w:fill="444444"/>
          </w:tcPr>
          <w:p>
            <w:pPr>
              <w:spacing w:after="0"/>
              <w:rPr>
                <w:sz w:val="5"/>
                <w:szCs w:val="5"/>
                <w:color w:val="auto"/>
              </w:rPr>
            </w:pPr>
          </w:p>
        </w:tc>
        <w:tc>
          <w:tcPr>
            <w:tcW w:w="78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82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Shares of</w:t>
            </w:r>
          </w:p>
        </w:tc>
        <w:tc>
          <w:tcPr>
            <w:tcW w:w="84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Securities</w:t>
            </w:r>
          </w:p>
        </w:tc>
        <w:tc>
          <w:tcPr>
            <w:tcW w:w="70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P</w:t>
            </w:r>
            <w:r>
              <w:rPr>
                <w:rFonts w:ascii="Arial" w:cs="Arial" w:eastAsia="Arial" w:hAnsi="Arial"/>
                <w:sz w:val="11"/>
                <w:szCs w:val="11"/>
                <w:b w:val="1"/>
                <w:bCs w:val="1"/>
                <w:color w:val="FFFFFF"/>
              </w:rPr>
              <w:t>RICE OF</w:t>
            </w:r>
          </w:p>
        </w:tc>
        <w:tc>
          <w:tcPr>
            <w:tcW w:w="920" w:type="dxa"/>
            <w:vAlign w:val="bottom"/>
            <w:vMerge w:val="continue"/>
            <w:shd w:val="clear" w:color="auto" w:fill="444444"/>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080" w:type="dxa"/>
            <w:vAlign w:val="bottom"/>
            <w:shd w:val="clear" w:color="auto" w:fill="444444"/>
          </w:tcPr>
          <w:p>
            <w:pPr>
              <w:spacing w:after="0"/>
              <w:rPr>
                <w:sz w:val="7"/>
                <w:szCs w:val="7"/>
                <w:color w:val="auto"/>
              </w:rPr>
            </w:pPr>
          </w:p>
        </w:tc>
        <w:tc>
          <w:tcPr>
            <w:tcW w:w="140" w:type="dxa"/>
            <w:vAlign w:val="bottom"/>
            <w:shd w:val="clear" w:color="auto" w:fill="444444"/>
          </w:tcPr>
          <w:p>
            <w:pPr>
              <w:spacing w:after="0"/>
              <w:rPr>
                <w:sz w:val="7"/>
                <w:szCs w:val="7"/>
                <w:color w:val="auto"/>
              </w:rPr>
            </w:pPr>
          </w:p>
        </w:tc>
        <w:tc>
          <w:tcPr>
            <w:tcW w:w="760" w:type="dxa"/>
            <w:vAlign w:val="bottom"/>
            <w:shd w:val="clear" w:color="auto" w:fill="444444"/>
          </w:tcPr>
          <w:p>
            <w:pPr>
              <w:spacing w:after="0"/>
              <w:rPr>
                <w:sz w:val="7"/>
                <w:szCs w:val="7"/>
                <w:color w:val="auto"/>
              </w:rPr>
            </w:pPr>
          </w:p>
        </w:tc>
        <w:tc>
          <w:tcPr>
            <w:tcW w:w="820" w:type="dxa"/>
            <w:vAlign w:val="bottom"/>
            <w:shd w:val="clear" w:color="auto" w:fill="444444"/>
          </w:tcPr>
          <w:p>
            <w:pPr>
              <w:spacing w:after="0"/>
              <w:rPr>
                <w:sz w:val="7"/>
                <w:szCs w:val="7"/>
                <w:color w:val="auto"/>
              </w:rPr>
            </w:pPr>
          </w:p>
        </w:tc>
        <w:tc>
          <w:tcPr>
            <w:tcW w:w="800" w:type="dxa"/>
            <w:vAlign w:val="bottom"/>
            <w:shd w:val="clear" w:color="auto" w:fill="444444"/>
          </w:tcPr>
          <w:p>
            <w:pPr>
              <w:spacing w:after="0"/>
              <w:rPr>
                <w:sz w:val="7"/>
                <w:szCs w:val="7"/>
                <w:color w:val="auto"/>
              </w:rPr>
            </w:pPr>
          </w:p>
        </w:tc>
        <w:tc>
          <w:tcPr>
            <w:tcW w:w="78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820" w:type="dxa"/>
            <w:vAlign w:val="bottom"/>
            <w:vMerge w:val="continue"/>
            <w:shd w:val="clear" w:color="auto" w:fill="444444"/>
          </w:tcPr>
          <w:p>
            <w:pPr>
              <w:spacing w:after="0"/>
              <w:rPr>
                <w:sz w:val="7"/>
                <w:szCs w:val="7"/>
                <w:color w:val="auto"/>
              </w:rPr>
            </w:pPr>
          </w:p>
        </w:tc>
        <w:tc>
          <w:tcPr>
            <w:tcW w:w="840" w:type="dxa"/>
            <w:vAlign w:val="bottom"/>
            <w:vMerge w:val="continue"/>
            <w:shd w:val="clear" w:color="auto" w:fill="444444"/>
          </w:tcPr>
          <w:p>
            <w:pPr>
              <w:spacing w:after="0"/>
              <w:rPr>
                <w:sz w:val="7"/>
                <w:szCs w:val="7"/>
                <w:color w:val="auto"/>
              </w:rPr>
            </w:pPr>
          </w:p>
        </w:tc>
        <w:tc>
          <w:tcPr>
            <w:tcW w:w="700" w:type="dxa"/>
            <w:vAlign w:val="bottom"/>
            <w:vMerge w:val="continue"/>
            <w:shd w:val="clear" w:color="auto" w:fill="444444"/>
          </w:tcPr>
          <w:p>
            <w:pPr>
              <w:spacing w:after="0"/>
              <w:rPr>
                <w:sz w:val="7"/>
                <w:szCs w:val="7"/>
                <w:color w:val="auto"/>
              </w:rPr>
            </w:pPr>
          </w:p>
        </w:tc>
        <w:tc>
          <w:tcPr>
            <w:tcW w:w="920" w:type="dxa"/>
            <w:vAlign w:val="bottom"/>
            <w:vMerge w:val="restart"/>
            <w:shd w:val="clear" w:color="auto" w:fill="444444"/>
          </w:tcPr>
          <w:p>
            <w:pPr>
              <w:jc w:val="right"/>
              <w:ind w:right="96"/>
              <w:spacing w:after="0"/>
              <w:rPr>
                <w:sz w:val="20"/>
                <w:szCs w:val="20"/>
                <w:color w:val="auto"/>
              </w:rPr>
            </w:pPr>
            <w:r>
              <w:rPr>
                <w:rFonts w:ascii="Arial" w:cs="Arial" w:eastAsia="Arial" w:hAnsi="Arial"/>
                <w:sz w:val="13"/>
                <w:szCs w:val="13"/>
                <w:b w:val="1"/>
                <w:bCs w:val="1"/>
                <w:color w:val="FFFFFF"/>
              </w:rPr>
              <w:t>Stock and</w:t>
            </w:r>
          </w:p>
        </w:tc>
        <w:tc>
          <w:tcPr>
            <w:tcW w:w="0" w:type="dxa"/>
            <w:vAlign w:val="bottom"/>
          </w:tcPr>
          <w:p>
            <w:pPr>
              <w:spacing w:after="0"/>
              <w:rPr>
                <w:sz w:val="1"/>
                <w:szCs w:val="1"/>
                <w:color w:val="auto"/>
              </w:rPr>
            </w:pPr>
          </w:p>
        </w:tc>
      </w:tr>
      <w:tr>
        <w:trPr>
          <w:trHeight w:val="64"/>
        </w:trPr>
        <w:tc>
          <w:tcPr>
            <w:tcW w:w="1080" w:type="dxa"/>
            <w:vAlign w:val="bottom"/>
            <w:shd w:val="clear" w:color="auto" w:fill="444444"/>
          </w:tcPr>
          <w:p>
            <w:pPr>
              <w:spacing w:after="0"/>
              <w:rPr>
                <w:sz w:val="5"/>
                <w:szCs w:val="5"/>
                <w:color w:val="auto"/>
              </w:rPr>
            </w:pPr>
          </w:p>
        </w:tc>
        <w:tc>
          <w:tcPr>
            <w:tcW w:w="140" w:type="dxa"/>
            <w:vAlign w:val="bottom"/>
            <w:shd w:val="clear" w:color="auto" w:fill="444444"/>
          </w:tcPr>
          <w:p>
            <w:pPr>
              <w:spacing w:after="0"/>
              <w:rPr>
                <w:sz w:val="5"/>
                <w:szCs w:val="5"/>
                <w:color w:val="auto"/>
              </w:rPr>
            </w:pPr>
          </w:p>
        </w:tc>
        <w:tc>
          <w:tcPr>
            <w:tcW w:w="760" w:type="dxa"/>
            <w:vAlign w:val="bottom"/>
            <w:shd w:val="clear" w:color="auto" w:fill="444444"/>
          </w:tcPr>
          <w:p>
            <w:pPr>
              <w:spacing w:after="0"/>
              <w:rPr>
                <w:sz w:val="5"/>
                <w:szCs w:val="5"/>
                <w:color w:val="auto"/>
              </w:rPr>
            </w:pPr>
          </w:p>
        </w:tc>
        <w:tc>
          <w:tcPr>
            <w:tcW w:w="820" w:type="dxa"/>
            <w:vAlign w:val="bottom"/>
            <w:shd w:val="clear" w:color="auto" w:fill="444444"/>
          </w:tcPr>
          <w:p>
            <w:pPr>
              <w:spacing w:after="0"/>
              <w:rPr>
                <w:sz w:val="5"/>
                <w:szCs w:val="5"/>
                <w:color w:val="auto"/>
              </w:rPr>
            </w:pPr>
          </w:p>
        </w:tc>
        <w:tc>
          <w:tcPr>
            <w:tcW w:w="800" w:type="dxa"/>
            <w:vAlign w:val="bottom"/>
            <w:shd w:val="clear" w:color="auto" w:fill="444444"/>
          </w:tcPr>
          <w:p>
            <w:pPr>
              <w:spacing w:after="0"/>
              <w:rPr>
                <w:sz w:val="5"/>
                <w:szCs w:val="5"/>
                <w:color w:val="auto"/>
              </w:rPr>
            </w:pPr>
          </w:p>
        </w:tc>
        <w:tc>
          <w:tcPr>
            <w:tcW w:w="78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00" w:type="dxa"/>
            <w:vAlign w:val="bottom"/>
            <w:shd w:val="clear" w:color="auto" w:fill="444444"/>
          </w:tcPr>
          <w:p>
            <w:pPr>
              <w:spacing w:after="0"/>
              <w:rPr>
                <w:sz w:val="5"/>
                <w:szCs w:val="5"/>
                <w:color w:val="auto"/>
              </w:rPr>
            </w:pPr>
          </w:p>
        </w:tc>
        <w:tc>
          <w:tcPr>
            <w:tcW w:w="740" w:type="dxa"/>
            <w:vAlign w:val="bottom"/>
            <w:shd w:val="clear" w:color="auto" w:fill="444444"/>
          </w:tcPr>
          <w:p>
            <w:pPr>
              <w:spacing w:after="0"/>
              <w:rPr>
                <w:sz w:val="5"/>
                <w:szCs w:val="5"/>
                <w:color w:val="auto"/>
              </w:rPr>
            </w:pPr>
          </w:p>
        </w:tc>
        <w:tc>
          <w:tcPr>
            <w:tcW w:w="82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Stock or</w:t>
            </w:r>
          </w:p>
        </w:tc>
        <w:tc>
          <w:tcPr>
            <w:tcW w:w="84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Underlying</w:t>
            </w:r>
          </w:p>
        </w:tc>
        <w:tc>
          <w:tcPr>
            <w:tcW w:w="70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O</w:t>
            </w:r>
            <w:r>
              <w:rPr>
                <w:rFonts w:ascii="Arial" w:cs="Arial" w:eastAsia="Arial" w:hAnsi="Arial"/>
                <w:sz w:val="11"/>
                <w:szCs w:val="11"/>
                <w:b w:val="1"/>
                <w:bCs w:val="1"/>
                <w:color w:val="FFFFFF"/>
              </w:rPr>
              <w:t>PTION</w:t>
            </w:r>
          </w:p>
        </w:tc>
        <w:tc>
          <w:tcPr>
            <w:tcW w:w="920" w:type="dxa"/>
            <w:vAlign w:val="bottom"/>
            <w:vMerge w:val="continue"/>
            <w:shd w:val="clear" w:color="auto" w:fill="444444"/>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080" w:type="dxa"/>
            <w:vAlign w:val="bottom"/>
            <w:shd w:val="clear" w:color="auto" w:fill="444444"/>
          </w:tcPr>
          <w:p>
            <w:pPr>
              <w:spacing w:after="0"/>
              <w:rPr>
                <w:sz w:val="7"/>
                <w:szCs w:val="7"/>
                <w:color w:val="auto"/>
              </w:rPr>
            </w:pPr>
          </w:p>
        </w:tc>
        <w:tc>
          <w:tcPr>
            <w:tcW w:w="140" w:type="dxa"/>
            <w:vAlign w:val="bottom"/>
            <w:shd w:val="clear" w:color="auto" w:fill="444444"/>
          </w:tcPr>
          <w:p>
            <w:pPr>
              <w:spacing w:after="0"/>
              <w:rPr>
                <w:sz w:val="7"/>
                <w:szCs w:val="7"/>
                <w:color w:val="auto"/>
              </w:rPr>
            </w:pPr>
          </w:p>
        </w:tc>
        <w:tc>
          <w:tcPr>
            <w:tcW w:w="760" w:type="dxa"/>
            <w:vAlign w:val="bottom"/>
            <w:shd w:val="clear" w:color="auto" w:fill="444444"/>
          </w:tcPr>
          <w:p>
            <w:pPr>
              <w:spacing w:after="0"/>
              <w:rPr>
                <w:sz w:val="7"/>
                <w:szCs w:val="7"/>
                <w:color w:val="auto"/>
              </w:rPr>
            </w:pPr>
          </w:p>
        </w:tc>
        <w:tc>
          <w:tcPr>
            <w:tcW w:w="820" w:type="dxa"/>
            <w:vAlign w:val="bottom"/>
            <w:shd w:val="clear" w:color="auto" w:fill="444444"/>
          </w:tcPr>
          <w:p>
            <w:pPr>
              <w:spacing w:after="0"/>
              <w:rPr>
                <w:sz w:val="7"/>
                <w:szCs w:val="7"/>
                <w:color w:val="auto"/>
              </w:rPr>
            </w:pPr>
          </w:p>
        </w:tc>
        <w:tc>
          <w:tcPr>
            <w:tcW w:w="800" w:type="dxa"/>
            <w:vAlign w:val="bottom"/>
            <w:shd w:val="clear" w:color="auto" w:fill="444444"/>
          </w:tcPr>
          <w:p>
            <w:pPr>
              <w:spacing w:after="0"/>
              <w:rPr>
                <w:sz w:val="7"/>
                <w:szCs w:val="7"/>
                <w:color w:val="auto"/>
              </w:rPr>
            </w:pPr>
          </w:p>
        </w:tc>
        <w:tc>
          <w:tcPr>
            <w:tcW w:w="78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00" w:type="dxa"/>
            <w:vAlign w:val="bottom"/>
            <w:shd w:val="clear" w:color="auto" w:fill="444444"/>
          </w:tcPr>
          <w:p>
            <w:pPr>
              <w:spacing w:after="0"/>
              <w:rPr>
                <w:sz w:val="7"/>
                <w:szCs w:val="7"/>
                <w:color w:val="auto"/>
              </w:rPr>
            </w:pPr>
          </w:p>
        </w:tc>
        <w:tc>
          <w:tcPr>
            <w:tcW w:w="740" w:type="dxa"/>
            <w:vAlign w:val="bottom"/>
            <w:shd w:val="clear" w:color="auto" w:fill="444444"/>
          </w:tcPr>
          <w:p>
            <w:pPr>
              <w:spacing w:after="0"/>
              <w:rPr>
                <w:sz w:val="7"/>
                <w:szCs w:val="7"/>
                <w:color w:val="auto"/>
              </w:rPr>
            </w:pPr>
          </w:p>
        </w:tc>
        <w:tc>
          <w:tcPr>
            <w:tcW w:w="820" w:type="dxa"/>
            <w:vAlign w:val="bottom"/>
            <w:vMerge w:val="continue"/>
            <w:shd w:val="clear" w:color="auto" w:fill="444444"/>
          </w:tcPr>
          <w:p>
            <w:pPr>
              <w:spacing w:after="0"/>
              <w:rPr>
                <w:sz w:val="7"/>
                <w:szCs w:val="7"/>
                <w:color w:val="auto"/>
              </w:rPr>
            </w:pPr>
          </w:p>
        </w:tc>
        <w:tc>
          <w:tcPr>
            <w:tcW w:w="840" w:type="dxa"/>
            <w:vAlign w:val="bottom"/>
            <w:vMerge w:val="continue"/>
            <w:shd w:val="clear" w:color="auto" w:fill="444444"/>
          </w:tcPr>
          <w:p>
            <w:pPr>
              <w:spacing w:after="0"/>
              <w:rPr>
                <w:sz w:val="7"/>
                <w:szCs w:val="7"/>
                <w:color w:val="auto"/>
              </w:rPr>
            </w:pPr>
          </w:p>
        </w:tc>
        <w:tc>
          <w:tcPr>
            <w:tcW w:w="700" w:type="dxa"/>
            <w:vAlign w:val="bottom"/>
            <w:vMerge w:val="continue"/>
            <w:shd w:val="clear" w:color="auto" w:fill="444444"/>
          </w:tcPr>
          <w:p>
            <w:pPr>
              <w:spacing w:after="0"/>
              <w:rPr>
                <w:sz w:val="7"/>
                <w:szCs w:val="7"/>
                <w:color w:val="auto"/>
              </w:rPr>
            </w:pPr>
          </w:p>
        </w:tc>
        <w:tc>
          <w:tcPr>
            <w:tcW w:w="920" w:type="dxa"/>
            <w:vAlign w:val="bottom"/>
            <w:vMerge w:val="restart"/>
            <w:shd w:val="clear" w:color="auto" w:fill="444444"/>
          </w:tcPr>
          <w:p>
            <w:pPr>
              <w:jc w:val="right"/>
              <w:ind w:right="96"/>
              <w:spacing w:after="0"/>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64"/>
        </w:trPr>
        <w:tc>
          <w:tcPr>
            <w:tcW w:w="1080" w:type="dxa"/>
            <w:vAlign w:val="bottom"/>
            <w:shd w:val="clear" w:color="auto" w:fill="444444"/>
          </w:tcPr>
          <w:p>
            <w:pPr>
              <w:spacing w:after="0"/>
              <w:rPr>
                <w:sz w:val="5"/>
                <w:szCs w:val="5"/>
                <w:color w:val="auto"/>
              </w:rPr>
            </w:pPr>
          </w:p>
        </w:tc>
        <w:tc>
          <w:tcPr>
            <w:tcW w:w="140" w:type="dxa"/>
            <w:vAlign w:val="bottom"/>
            <w:shd w:val="clear" w:color="auto" w:fill="444444"/>
          </w:tcPr>
          <w:p>
            <w:pPr>
              <w:spacing w:after="0"/>
              <w:rPr>
                <w:sz w:val="5"/>
                <w:szCs w:val="5"/>
                <w:color w:val="auto"/>
              </w:rPr>
            </w:pPr>
          </w:p>
        </w:tc>
        <w:tc>
          <w:tcPr>
            <w:tcW w:w="76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Grant</w:t>
            </w:r>
          </w:p>
        </w:tc>
        <w:tc>
          <w:tcPr>
            <w:tcW w:w="82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Approval</w:t>
            </w:r>
          </w:p>
        </w:tc>
        <w:tc>
          <w:tcPr>
            <w:tcW w:w="80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Threshold</w:t>
            </w:r>
          </w:p>
        </w:tc>
        <w:tc>
          <w:tcPr>
            <w:tcW w:w="78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Maximum</w:t>
            </w:r>
          </w:p>
        </w:tc>
        <w:tc>
          <w:tcPr>
            <w:tcW w:w="400" w:type="dxa"/>
            <w:vAlign w:val="bottom"/>
          </w:tcPr>
          <w:p>
            <w:pPr>
              <w:spacing w:after="0"/>
              <w:rPr>
                <w:sz w:val="5"/>
                <w:szCs w:val="5"/>
                <w:color w:val="auto"/>
              </w:rPr>
            </w:pPr>
          </w:p>
        </w:tc>
        <w:tc>
          <w:tcPr>
            <w:tcW w:w="80" w:type="dxa"/>
            <w:vAlign w:val="bottom"/>
            <w:shd w:val="clear" w:color="auto" w:fill="444444"/>
          </w:tcPr>
          <w:p>
            <w:pPr>
              <w:spacing w:after="0"/>
              <w:rPr>
                <w:sz w:val="5"/>
                <w:szCs w:val="5"/>
                <w:color w:val="auto"/>
              </w:rPr>
            </w:pPr>
          </w:p>
        </w:tc>
        <w:tc>
          <w:tcPr>
            <w:tcW w:w="70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Threshold</w:t>
            </w:r>
          </w:p>
        </w:tc>
        <w:tc>
          <w:tcPr>
            <w:tcW w:w="70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Maximum</w:t>
            </w:r>
          </w:p>
        </w:tc>
        <w:tc>
          <w:tcPr>
            <w:tcW w:w="82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Units</w:t>
            </w:r>
          </w:p>
        </w:tc>
        <w:tc>
          <w:tcPr>
            <w:tcW w:w="840" w:type="dxa"/>
            <w:vAlign w:val="bottom"/>
            <w:vMerge w:val="restart"/>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Options</w:t>
            </w:r>
          </w:p>
        </w:tc>
        <w:tc>
          <w:tcPr>
            <w:tcW w:w="700" w:type="dxa"/>
            <w:vAlign w:val="bottom"/>
            <w:vMerge w:val="restart"/>
            <w:shd w:val="clear" w:color="auto" w:fill="444444"/>
          </w:tcPr>
          <w:p>
            <w:pPr>
              <w:jc w:val="right"/>
              <w:spacing w:after="0"/>
              <w:rPr>
                <w:sz w:val="20"/>
                <w:szCs w:val="20"/>
                <w:color w:val="auto"/>
              </w:rPr>
            </w:pPr>
            <w:r>
              <w:rPr>
                <w:rFonts w:ascii="Arial" w:cs="Arial" w:eastAsia="Arial" w:hAnsi="Arial"/>
                <w:sz w:val="13"/>
                <w:szCs w:val="13"/>
                <w:b w:val="1"/>
                <w:bCs w:val="1"/>
                <w:color w:val="FFFFFF"/>
              </w:rPr>
              <w:t>A</w:t>
            </w:r>
            <w:r>
              <w:rPr>
                <w:rFonts w:ascii="Arial" w:cs="Arial" w:eastAsia="Arial" w:hAnsi="Arial"/>
                <w:sz w:val="11"/>
                <w:szCs w:val="11"/>
                <w:b w:val="1"/>
                <w:bCs w:val="1"/>
                <w:color w:val="FFFFFF"/>
              </w:rPr>
              <w:t>WARDS</w:t>
            </w:r>
          </w:p>
        </w:tc>
        <w:tc>
          <w:tcPr>
            <w:tcW w:w="920" w:type="dxa"/>
            <w:vAlign w:val="bottom"/>
            <w:vMerge w:val="continue"/>
            <w:shd w:val="clear" w:color="auto" w:fill="444444"/>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080" w:type="dxa"/>
            <w:vAlign w:val="bottom"/>
            <w:vMerge w:val="restart"/>
            <w:shd w:val="clear" w:color="auto" w:fill="444444"/>
          </w:tcPr>
          <w:p>
            <w:pPr>
              <w:spacing w:after="0"/>
              <w:rPr>
                <w:sz w:val="20"/>
                <w:szCs w:val="20"/>
                <w:color w:val="auto"/>
              </w:rPr>
            </w:pPr>
            <w:r>
              <w:rPr>
                <w:rFonts w:ascii="Arial" w:cs="Arial" w:eastAsia="Arial" w:hAnsi="Arial"/>
                <w:sz w:val="13"/>
                <w:szCs w:val="13"/>
                <w:b w:val="1"/>
                <w:bCs w:val="1"/>
                <w:color w:val="FFFFFF"/>
              </w:rPr>
              <w:t>N</w:t>
            </w:r>
            <w:r>
              <w:rPr>
                <w:rFonts w:ascii="Arial" w:cs="Arial" w:eastAsia="Arial" w:hAnsi="Arial"/>
                <w:sz w:val="11"/>
                <w:szCs w:val="11"/>
                <w:b w:val="1"/>
                <w:bCs w:val="1"/>
                <w:color w:val="FFFFFF"/>
              </w:rPr>
              <w:t>AME</w:t>
            </w:r>
          </w:p>
        </w:tc>
        <w:tc>
          <w:tcPr>
            <w:tcW w:w="140" w:type="dxa"/>
            <w:vAlign w:val="bottom"/>
            <w:shd w:val="clear" w:color="auto" w:fill="444444"/>
          </w:tcPr>
          <w:p>
            <w:pPr>
              <w:spacing w:after="0"/>
              <w:rPr>
                <w:sz w:val="12"/>
                <w:szCs w:val="12"/>
                <w:color w:val="auto"/>
              </w:rPr>
            </w:pPr>
          </w:p>
        </w:tc>
        <w:tc>
          <w:tcPr>
            <w:tcW w:w="760" w:type="dxa"/>
            <w:vAlign w:val="bottom"/>
            <w:vMerge w:val="continue"/>
            <w:shd w:val="clear" w:color="auto" w:fill="444444"/>
          </w:tcPr>
          <w:p>
            <w:pPr>
              <w:spacing w:after="0"/>
              <w:rPr>
                <w:sz w:val="12"/>
                <w:szCs w:val="12"/>
                <w:color w:val="auto"/>
              </w:rPr>
            </w:pPr>
          </w:p>
        </w:tc>
        <w:tc>
          <w:tcPr>
            <w:tcW w:w="820" w:type="dxa"/>
            <w:vAlign w:val="bottom"/>
            <w:vMerge w:val="continue"/>
            <w:shd w:val="clear" w:color="auto" w:fill="444444"/>
          </w:tcPr>
          <w:p>
            <w:pPr>
              <w:spacing w:after="0"/>
              <w:rPr>
                <w:sz w:val="12"/>
                <w:szCs w:val="12"/>
                <w:color w:val="auto"/>
              </w:rPr>
            </w:pPr>
          </w:p>
        </w:tc>
        <w:tc>
          <w:tcPr>
            <w:tcW w:w="800" w:type="dxa"/>
            <w:vAlign w:val="bottom"/>
            <w:vMerge w:val="continue"/>
            <w:shd w:val="clear" w:color="auto" w:fill="444444"/>
          </w:tcPr>
          <w:p>
            <w:pPr>
              <w:spacing w:after="0"/>
              <w:rPr>
                <w:sz w:val="12"/>
                <w:szCs w:val="12"/>
                <w:color w:val="auto"/>
              </w:rPr>
            </w:pPr>
          </w:p>
        </w:tc>
        <w:tc>
          <w:tcPr>
            <w:tcW w:w="780" w:type="dxa"/>
            <w:vAlign w:val="bottom"/>
            <w:vMerge w:val="continue"/>
            <w:shd w:val="clear" w:color="auto" w:fill="444444"/>
          </w:tcPr>
          <w:p>
            <w:pPr>
              <w:spacing w:after="0"/>
              <w:rPr>
                <w:sz w:val="12"/>
                <w:szCs w:val="12"/>
                <w:color w:val="auto"/>
              </w:rPr>
            </w:pPr>
          </w:p>
        </w:tc>
        <w:tc>
          <w:tcPr>
            <w:tcW w:w="740" w:type="dxa"/>
            <w:vAlign w:val="bottom"/>
            <w:vMerge w:val="continue"/>
            <w:shd w:val="clear" w:color="auto" w:fill="444444"/>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shd w:val="clear" w:color="auto" w:fill="444444"/>
          </w:tcPr>
          <w:p>
            <w:pPr>
              <w:spacing w:after="0"/>
              <w:rPr>
                <w:sz w:val="12"/>
                <w:szCs w:val="12"/>
                <w:color w:val="auto"/>
              </w:rPr>
            </w:pPr>
          </w:p>
        </w:tc>
        <w:tc>
          <w:tcPr>
            <w:tcW w:w="700" w:type="dxa"/>
            <w:vAlign w:val="bottom"/>
            <w:vMerge w:val="continue"/>
            <w:shd w:val="clear" w:color="auto" w:fill="444444"/>
          </w:tcPr>
          <w:p>
            <w:pPr>
              <w:spacing w:after="0"/>
              <w:rPr>
                <w:sz w:val="12"/>
                <w:szCs w:val="12"/>
                <w:color w:val="auto"/>
              </w:rPr>
            </w:pPr>
          </w:p>
        </w:tc>
        <w:tc>
          <w:tcPr>
            <w:tcW w:w="700" w:type="dxa"/>
            <w:vAlign w:val="bottom"/>
            <w:vMerge w:val="continue"/>
            <w:shd w:val="clear" w:color="auto" w:fill="444444"/>
          </w:tcPr>
          <w:p>
            <w:pPr>
              <w:spacing w:after="0"/>
              <w:rPr>
                <w:sz w:val="12"/>
                <w:szCs w:val="12"/>
                <w:color w:val="auto"/>
              </w:rPr>
            </w:pPr>
          </w:p>
        </w:tc>
        <w:tc>
          <w:tcPr>
            <w:tcW w:w="740" w:type="dxa"/>
            <w:vAlign w:val="bottom"/>
            <w:vMerge w:val="continue"/>
            <w:shd w:val="clear" w:color="auto" w:fill="444444"/>
          </w:tcPr>
          <w:p>
            <w:pPr>
              <w:spacing w:after="0"/>
              <w:rPr>
                <w:sz w:val="12"/>
                <w:szCs w:val="12"/>
                <w:color w:val="auto"/>
              </w:rPr>
            </w:pPr>
          </w:p>
        </w:tc>
        <w:tc>
          <w:tcPr>
            <w:tcW w:w="820" w:type="dxa"/>
            <w:vAlign w:val="bottom"/>
            <w:vMerge w:val="continue"/>
            <w:shd w:val="clear" w:color="auto" w:fill="444444"/>
          </w:tcPr>
          <w:p>
            <w:pPr>
              <w:spacing w:after="0"/>
              <w:rPr>
                <w:sz w:val="12"/>
                <w:szCs w:val="12"/>
                <w:color w:val="auto"/>
              </w:rPr>
            </w:pPr>
          </w:p>
        </w:tc>
        <w:tc>
          <w:tcPr>
            <w:tcW w:w="840" w:type="dxa"/>
            <w:vAlign w:val="bottom"/>
            <w:vMerge w:val="continue"/>
            <w:shd w:val="clear" w:color="auto" w:fill="444444"/>
          </w:tcPr>
          <w:p>
            <w:pPr>
              <w:spacing w:after="0"/>
              <w:rPr>
                <w:sz w:val="12"/>
                <w:szCs w:val="12"/>
                <w:color w:val="auto"/>
              </w:rPr>
            </w:pPr>
          </w:p>
        </w:tc>
        <w:tc>
          <w:tcPr>
            <w:tcW w:w="700" w:type="dxa"/>
            <w:vAlign w:val="bottom"/>
            <w:vMerge w:val="continue"/>
            <w:shd w:val="clear" w:color="auto" w:fill="444444"/>
          </w:tcPr>
          <w:p>
            <w:pPr>
              <w:spacing w:after="0"/>
              <w:rPr>
                <w:sz w:val="12"/>
                <w:szCs w:val="12"/>
                <w:color w:val="auto"/>
              </w:rPr>
            </w:pPr>
          </w:p>
        </w:tc>
        <w:tc>
          <w:tcPr>
            <w:tcW w:w="920" w:type="dxa"/>
            <w:vAlign w:val="bottom"/>
            <w:shd w:val="clear" w:color="auto" w:fill="444444"/>
          </w:tcPr>
          <w:p>
            <w:pPr>
              <w:jc w:val="right"/>
              <w:ind w:right="96"/>
              <w:spacing w:after="0" w:line="138" w:lineRule="exact"/>
              <w:rPr>
                <w:sz w:val="20"/>
                <w:szCs w:val="20"/>
                <w:color w:val="auto"/>
              </w:rPr>
            </w:pPr>
            <w:r>
              <w:rPr>
                <w:rFonts w:ascii="Arial" w:cs="Arial" w:eastAsia="Arial" w:hAnsi="Arial"/>
                <w:sz w:val="13"/>
                <w:szCs w:val="13"/>
                <w:b w:val="1"/>
                <w:bCs w:val="1"/>
                <w:color w:val="FFFFFF"/>
              </w:rPr>
              <w:t>Awards ($)</w:t>
            </w:r>
          </w:p>
        </w:tc>
        <w:tc>
          <w:tcPr>
            <w:tcW w:w="0" w:type="dxa"/>
            <w:vAlign w:val="bottom"/>
          </w:tcPr>
          <w:p>
            <w:pPr>
              <w:spacing w:after="0"/>
              <w:rPr>
                <w:sz w:val="1"/>
                <w:szCs w:val="1"/>
                <w:color w:val="auto"/>
              </w:rPr>
            </w:pPr>
          </w:p>
        </w:tc>
      </w:tr>
      <w:tr>
        <w:trPr>
          <w:trHeight w:val="122"/>
        </w:trPr>
        <w:tc>
          <w:tcPr>
            <w:tcW w:w="1080" w:type="dxa"/>
            <w:vAlign w:val="bottom"/>
            <w:vMerge w:val="continue"/>
            <w:shd w:val="clear" w:color="auto" w:fill="444444"/>
          </w:tcPr>
          <w:p>
            <w:pPr>
              <w:spacing w:after="0"/>
              <w:rPr>
                <w:sz w:val="10"/>
                <w:szCs w:val="10"/>
                <w:color w:val="auto"/>
              </w:rPr>
            </w:pPr>
          </w:p>
        </w:tc>
        <w:tc>
          <w:tcPr>
            <w:tcW w:w="140" w:type="dxa"/>
            <w:vAlign w:val="bottom"/>
            <w:shd w:val="clear" w:color="auto" w:fill="444444"/>
          </w:tcPr>
          <w:p>
            <w:pPr>
              <w:spacing w:after="0"/>
              <w:rPr>
                <w:sz w:val="10"/>
                <w:szCs w:val="10"/>
                <w:color w:val="auto"/>
              </w:rPr>
            </w:pPr>
          </w:p>
        </w:tc>
        <w:tc>
          <w:tcPr>
            <w:tcW w:w="760" w:type="dxa"/>
            <w:vAlign w:val="bottom"/>
            <w:shd w:val="clear" w:color="auto" w:fill="444444"/>
          </w:tcPr>
          <w:p>
            <w:pPr>
              <w:jc w:val="right"/>
              <w:ind w:right="13"/>
              <w:spacing w:after="0" w:line="122" w:lineRule="exact"/>
              <w:rPr>
                <w:sz w:val="20"/>
                <w:szCs w:val="20"/>
                <w:color w:val="auto"/>
              </w:rPr>
            </w:pPr>
            <w:r>
              <w:rPr>
                <w:rFonts w:ascii="Arial" w:cs="Arial" w:eastAsia="Arial" w:hAnsi="Arial"/>
                <w:sz w:val="13"/>
                <w:szCs w:val="13"/>
                <w:b w:val="1"/>
                <w:bCs w:val="1"/>
                <w:color w:val="FFFFFF"/>
              </w:rPr>
              <w:t>Date</w:t>
            </w:r>
          </w:p>
        </w:tc>
        <w:tc>
          <w:tcPr>
            <w:tcW w:w="820" w:type="dxa"/>
            <w:vAlign w:val="bottom"/>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Date</w:t>
            </w:r>
          </w:p>
        </w:tc>
        <w:tc>
          <w:tcPr>
            <w:tcW w:w="800" w:type="dxa"/>
            <w:vAlign w:val="bottom"/>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444444"/>
          </w:tcPr>
          <w:p>
            <w:pPr>
              <w:jc w:val="right"/>
              <w:ind w:right="13"/>
              <w:spacing w:after="0" w:line="122" w:lineRule="exact"/>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w:t>
            </w:r>
          </w:p>
        </w:tc>
        <w:tc>
          <w:tcPr>
            <w:tcW w:w="400" w:type="dxa"/>
            <w:vAlign w:val="bottom"/>
          </w:tcPr>
          <w:p>
            <w:pPr>
              <w:spacing w:after="0"/>
              <w:rPr>
                <w:sz w:val="10"/>
                <w:szCs w:val="10"/>
                <w:color w:val="auto"/>
              </w:rPr>
            </w:pPr>
          </w:p>
        </w:tc>
        <w:tc>
          <w:tcPr>
            <w:tcW w:w="780" w:type="dxa"/>
            <w:vAlign w:val="bottom"/>
            <w:gridSpan w:val="2"/>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444444"/>
          </w:tcPr>
          <w:p>
            <w:pPr>
              <w:jc w:val="right"/>
              <w:ind w:right="13"/>
              <w:spacing w:after="0" w:line="122" w:lineRule="exact"/>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444444"/>
          </w:tcPr>
          <w:p>
            <w:pPr>
              <w:jc w:val="right"/>
              <w:ind w:right="13"/>
              <w:spacing w:after="0" w:line="12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(3)</w:t>
            </w:r>
          </w:p>
        </w:tc>
        <w:tc>
          <w:tcPr>
            <w:tcW w:w="840" w:type="dxa"/>
            <w:vAlign w:val="bottom"/>
            <w:shd w:val="clear" w:color="auto" w:fill="444444"/>
          </w:tcPr>
          <w:p>
            <w:pPr>
              <w:jc w:val="right"/>
              <w:ind w:right="13"/>
              <w:spacing w:after="0" w:line="12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(4)</w:t>
            </w:r>
          </w:p>
        </w:tc>
        <w:tc>
          <w:tcPr>
            <w:tcW w:w="700" w:type="dxa"/>
            <w:vAlign w:val="bottom"/>
            <w:shd w:val="clear" w:color="auto" w:fill="444444"/>
          </w:tcPr>
          <w:p>
            <w:pPr>
              <w:jc w:val="right"/>
              <w:spacing w:after="0" w:line="122" w:lineRule="exact"/>
              <w:rPr>
                <w:sz w:val="20"/>
                <w:szCs w:val="20"/>
                <w:color w:val="auto"/>
              </w:rPr>
            </w:pPr>
            <w:r>
              <w:rPr>
                <w:rFonts w:ascii="Arial" w:cs="Arial" w:eastAsia="Arial" w:hAnsi="Arial"/>
                <w:sz w:val="13"/>
                <w:szCs w:val="13"/>
                <w:b w:val="1"/>
                <w:bCs w:val="1"/>
                <w:color w:val="FFFFFF"/>
              </w:rPr>
              <w:t>($/S</w:t>
            </w:r>
            <w:r>
              <w:rPr>
                <w:rFonts w:ascii="Arial" w:cs="Arial" w:eastAsia="Arial" w:hAnsi="Arial"/>
                <w:sz w:val="11"/>
                <w:szCs w:val="11"/>
                <w:b w:val="1"/>
                <w:bCs w:val="1"/>
                <w:color w:val="FFFFFF"/>
              </w:rPr>
              <w:t>H</w:t>
            </w:r>
            <w:r>
              <w:rPr>
                <w:rFonts w:ascii="Arial" w:cs="Arial" w:eastAsia="Arial" w:hAnsi="Arial"/>
                <w:sz w:val="13"/>
                <w:szCs w:val="13"/>
                <w:b w:val="1"/>
                <w:bCs w:val="1"/>
                <w:color w:val="FFFFFF"/>
              </w:rPr>
              <w:t>)</w:t>
            </w:r>
          </w:p>
        </w:tc>
        <w:tc>
          <w:tcPr>
            <w:tcW w:w="920" w:type="dxa"/>
            <w:vAlign w:val="bottom"/>
            <w:shd w:val="clear" w:color="auto" w:fill="444444"/>
          </w:tcPr>
          <w:p>
            <w:pPr>
              <w:jc w:val="right"/>
              <w:ind w:right="96"/>
              <w:spacing w:after="0"/>
              <w:rPr>
                <w:sz w:val="20"/>
                <w:szCs w:val="20"/>
                <w:color w:val="auto"/>
              </w:rPr>
            </w:pPr>
            <w:r>
              <w:rPr>
                <w:rFonts w:ascii="Arial" w:cs="Arial" w:eastAsia="Arial" w:hAnsi="Arial"/>
                <w:sz w:val="9"/>
                <w:szCs w:val="9"/>
                <w:b w:val="1"/>
                <w:bCs w:val="1"/>
                <w:color w:val="FFFFFF"/>
              </w:rPr>
              <w:t>(5)</w:t>
            </w:r>
          </w:p>
        </w:tc>
        <w:tc>
          <w:tcPr>
            <w:tcW w:w="0" w:type="dxa"/>
            <w:vAlign w:val="bottom"/>
          </w:tcPr>
          <w:p>
            <w:pPr>
              <w:spacing w:after="0"/>
              <w:rPr>
                <w:sz w:val="1"/>
                <w:szCs w:val="1"/>
                <w:color w:val="auto"/>
              </w:rPr>
            </w:pPr>
          </w:p>
        </w:tc>
      </w:tr>
      <w:tr>
        <w:trPr>
          <w:trHeight w:val="132"/>
        </w:trPr>
        <w:tc>
          <w:tcPr>
            <w:tcW w:w="1080" w:type="dxa"/>
            <w:vAlign w:val="bottom"/>
          </w:tcPr>
          <w:p>
            <w:pPr>
              <w:ind w:left="120"/>
              <w:spacing w:after="0" w:line="132" w:lineRule="exact"/>
              <w:rPr>
                <w:sz w:val="20"/>
                <w:szCs w:val="20"/>
                <w:color w:val="auto"/>
              </w:rPr>
            </w:pPr>
            <w:r>
              <w:rPr>
                <w:rFonts w:ascii="Arial" w:cs="Arial" w:eastAsia="Arial" w:hAnsi="Arial"/>
                <w:sz w:val="13"/>
                <w:szCs w:val="13"/>
                <w:b w:val="1"/>
                <w:bCs w:val="1"/>
                <w:color w:val="auto"/>
              </w:rPr>
              <w:t>Robert J.</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3"/>
                <w:szCs w:val="13"/>
                <w:color w:val="auto"/>
              </w:rPr>
              <w:t>1,350,000</w:t>
            </w:r>
          </w:p>
        </w:tc>
        <w:tc>
          <w:tcPr>
            <w:tcW w:w="780" w:type="dxa"/>
            <w:vAlign w:val="bottom"/>
          </w:tcPr>
          <w:p>
            <w:pPr>
              <w:jc w:val="right"/>
              <w:ind w:right="13"/>
              <w:spacing w:after="0" w:line="132" w:lineRule="exact"/>
              <w:rPr>
                <w:sz w:val="20"/>
                <w:szCs w:val="20"/>
                <w:color w:val="auto"/>
              </w:rPr>
            </w:pPr>
            <w:r>
              <w:rPr>
                <w:rFonts w:ascii="Arial" w:cs="Arial" w:eastAsia="Arial" w:hAnsi="Arial"/>
                <w:sz w:val="13"/>
                <w:szCs w:val="13"/>
                <w:color w:val="auto"/>
              </w:rPr>
              <w:t>2,700,000</w:t>
            </w:r>
          </w:p>
        </w:tc>
        <w:tc>
          <w:tcPr>
            <w:tcW w:w="740" w:type="dxa"/>
            <w:vAlign w:val="bottom"/>
          </w:tcPr>
          <w:p>
            <w:pPr>
              <w:jc w:val="right"/>
              <w:spacing w:after="0" w:line="132" w:lineRule="exact"/>
              <w:rPr>
                <w:sz w:val="20"/>
                <w:szCs w:val="20"/>
                <w:color w:val="auto"/>
              </w:rPr>
            </w:pPr>
            <w:r>
              <w:rPr>
                <w:rFonts w:ascii="Arial" w:cs="Arial" w:eastAsia="Arial" w:hAnsi="Arial"/>
                <w:sz w:val="13"/>
                <w:szCs w:val="13"/>
                <w:color w:val="auto"/>
              </w:rPr>
              <w:t>5,400,000</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080" w:type="dxa"/>
            <w:vAlign w:val="bottom"/>
          </w:tcPr>
          <w:p>
            <w:pPr>
              <w:ind w:left="120"/>
              <w:spacing w:after="0"/>
              <w:rPr>
                <w:sz w:val="20"/>
                <w:szCs w:val="20"/>
                <w:color w:val="auto"/>
              </w:rPr>
            </w:pPr>
            <w:r>
              <w:rPr>
                <w:rFonts w:ascii="Arial" w:cs="Arial" w:eastAsia="Arial" w:hAnsi="Arial"/>
                <w:sz w:val="13"/>
                <w:szCs w:val="13"/>
                <w:b w:val="1"/>
                <w:bCs w:val="1"/>
                <w:color w:val="auto"/>
              </w:rPr>
              <w:t>Coury</w:t>
            </w:r>
          </w:p>
        </w:tc>
        <w:tc>
          <w:tcPr>
            <w:tcW w:w="900" w:type="dxa"/>
            <w:vAlign w:val="bottom"/>
            <w:gridSpan w:val="2"/>
          </w:tcPr>
          <w:p>
            <w:pPr>
              <w:jc w:val="right"/>
              <w:ind w:right="13"/>
              <w:spacing w:after="0"/>
              <w:rPr>
                <w:sz w:val="20"/>
                <w:szCs w:val="20"/>
                <w:color w:val="auto"/>
              </w:rPr>
            </w:pPr>
            <w:r>
              <w:rPr>
                <w:rFonts w:ascii="Arial" w:cs="Arial" w:eastAsia="Arial" w:hAnsi="Arial"/>
                <w:sz w:val="13"/>
                <w:szCs w:val="13"/>
                <w:color w:val="auto"/>
              </w:rPr>
              <w:t>11/23/2020</w:t>
            </w:r>
          </w:p>
        </w:tc>
        <w:tc>
          <w:tcPr>
            <w:tcW w:w="820" w:type="dxa"/>
            <w:vAlign w:val="bottom"/>
          </w:tcPr>
          <w:p>
            <w:pPr>
              <w:jc w:val="right"/>
              <w:spacing w:after="0"/>
              <w:rPr>
                <w:sz w:val="20"/>
                <w:szCs w:val="20"/>
                <w:color w:val="auto"/>
              </w:rPr>
            </w:pPr>
            <w:r>
              <w:rPr>
                <w:rFonts w:ascii="Arial" w:cs="Arial" w:eastAsia="Arial" w:hAnsi="Arial"/>
                <w:sz w:val="13"/>
                <w:szCs w:val="13"/>
                <w:color w:val="auto"/>
              </w:rPr>
              <w:t>11/20/2020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320,000</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960,000</w:t>
            </w:r>
          </w:p>
        </w:tc>
        <w:tc>
          <w:tcPr>
            <w:tcW w:w="740" w:type="dxa"/>
            <w:vAlign w:val="bottom"/>
          </w:tcPr>
          <w:p>
            <w:pPr>
              <w:jc w:val="right"/>
              <w:spacing w:after="0"/>
              <w:rPr>
                <w:sz w:val="20"/>
                <w:szCs w:val="20"/>
                <w:color w:val="auto"/>
              </w:rPr>
            </w:pPr>
            <w:r>
              <w:rPr>
                <w:rFonts w:ascii="Arial" w:cs="Arial" w:eastAsia="Arial" w:hAnsi="Arial"/>
                <w:sz w:val="13"/>
                <w:szCs w:val="13"/>
                <w:color w:val="auto"/>
              </w:rPr>
              <w:t>1,600,000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12,451,936</w:t>
            </w:r>
          </w:p>
        </w:tc>
        <w:tc>
          <w:tcPr>
            <w:tcW w:w="0" w:type="dxa"/>
            <w:vAlign w:val="bottom"/>
          </w:tcPr>
          <w:p>
            <w:pPr>
              <w:spacing w:after="0"/>
              <w:rPr>
                <w:sz w:val="1"/>
                <w:szCs w:val="1"/>
                <w:color w:val="auto"/>
              </w:rPr>
            </w:pPr>
          </w:p>
        </w:tc>
      </w:tr>
      <w:tr>
        <w:trPr>
          <w:trHeight w:val="132"/>
        </w:trPr>
        <w:tc>
          <w:tcPr>
            <w:tcW w:w="1080" w:type="dxa"/>
            <w:vAlign w:val="bottom"/>
            <w:shd w:val="clear" w:color="auto" w:fill="EAEAEA"/>
          </w:tcPr>
          <w:p>
            <w:pPr>
              <w:ind w:left="120"/>
              <w:spacing w:after="0" w:line="132" w:lineRule="exact"/>
              <w:rPr>
                <w:sz w:val="20"/>
                <w:szCs w:val="20"/>
                <w:color w:val="auto"/>
              </w:rPr>
            </w:pPr>
            <w:r>
              <w:rPr>
                <w:rFonts w:ascii="Arial" w:cs="Arial" w:eastAsia="Arial" w:hAnsi="Arial"/>
                <w:sz w:val="13"/>
                <w:szCs w:val="13"/>
                <w:b w:val="1"/>
                <w:bCs w:val="1"/>
                <w:color w:val="auto"/>
              </w:rPr>
              <w:t>Michael</w:t>
            </w:r>
          </w:p>
        </w:tc>
        <w:tc>
          <w:tcPr>
            <w:tcW w:w="140" w:type="dxa"/>
            <w:vAlign w:val="bottom"/>
            <w:shd w:val="clear" w:color="auto" w:fill="EAEAEA"/>
          </w:tcPr>
          <w:p>
            <w:pPr>
              <w:spacing w:after="0"/>
              <w:rPr>
                <w:sz w:val="11"/>
                <w:szCs w:val="11"/>
                <w:color w:val="auto"/>
              </w:rPr>
            </w:pPr>
          </w:p>
        </w:tc>
        <w:tc>
          <w:tcPr>
            <w:tcW w:w="760" w:type="dxa"/>
            <w:vAlign w:val="bottom"/>
            <w:shd w:val="clear" w:color="auto" w:fill="EAEAEA"/>
          </w:tcPr>
          <w:p>
            <w:pPr>
              <w:spacing w:after="0"/>
              <w:rPr>
                <w:sz w:val="11"/>
                <w:szCs w:val="11"/>
                <w:color w:val="auto"/>
              </w:rPr>
            </w:pPr>
          </w:p>
        </w:tc>
        <w:tc>
          <w:tcPr>
            <w:tcW w:w="820" w:type="dxa"/>
            <w:vAlign w:val="bottom"/>
            <w:shd w:val="clear" w:color="auto" w:fill="EAEAEA"/>
          </w:tcPr>
          <w:p>
            <w:pPr>
              <w:spacing w:after="0"/>
              <w:rPr>
                <w:sz w:val="11"/>
                <w:szCs w:val="11"/>
                <w:color w:val="auto"/>
              </w:rPr>
            </w:pPr>
          </w:p>
        </w:tc>
        <w:tc>
          <w:tcPr>
            <w:tcW w:w="800" w:type="dxa"/>
            <w:vAlign w:val="bottom"/>
            <w:shd w:val="clear" w:color="auto" w:fill="EAEAEA"/>
          </w:tcPr>
          <w:p>
            <w:pPr>
              <w:jc w:val="right"/>
              <w:spacing w:after="0" w:line="132" w:lineRule="exact"/>
              <w:rPr>
                <w:sz w:val="20"/>
                <w:szCs w:val="20"/>
                <w:color w:val="auto"/>
              </w:rPr>
            </w:pPr>
            <w:r>
              <w:rPr>
                <w:rFonts w:ascii="Arial" w:cs="Arial" w:eastAsia="Arial" w:hAnsi="Arial"/>
                <w:sz w:val="13"/>
                <w:szCs w:val="13"/>
                <w:color w:val="auto"/>
              </w:rPr>
              <w:t>442,640</w:t>
            </w:r>
          </w:p>
        </w:tc>
        <w:tc>
          <w:tcPr>
            <w:tcW w:w="780" w:type="dxa"/>
            <w:vAlign w:val="bottom"/>
            <w:shd w:val="clear" w:color="auto" w:fill="EAEAEA"/>
          </w:tcPr>
          <w:p>
            <w:pPr>
              <w:jc w:val="right"/>
              <w:ind w:right="13"/>
              <w:spacing w:after="0" w:line="132" w:lineRule="exact"/>
              <w:rPr>
                <w:sz w:val="20"/>
                <w:szCs w:val="20"/>
                <w:color w:val="auto"/>
              </w:rPr>
            </w:pPr>
            <w:r>
              <w:rPr>
                <w:rFonts w:ascii="Arial" w:cs="Arial" w:eastAsia="Arial" w:hAnsi="Arial"/>
                <w:sz w:val="13"/>
                <w:szCs w:val="13"/>
                <w:color w:val="auto"/>
              </w:rPr>
              <w:t>885,279</w:t>
            </w:r>
          </w:p>
        </w:tc>
        <w:tc>
          <w:tcPr>
            <w:tcW w:w="740" w:type="dxa"/>
            <w:vAlign w:val="bottom"/>
            <w:shd w:val="clear" w:color="auto" w:fill="EAEAEA"/>
          </w:tcPr>
          <w:p>
            <w:pPr>
              <w:jc w:val="right"/>
              <w:spacing w:after="0" w:line="132" w:lineRule="exact"/>
              <w:rPr>
                <w:sz w:val="20"/>
                <w:szCs w:val="20"/>
                <w:color w:val="auto"/>
              </w:rPr>
            </w:pPr>
            <w:r>
              <w:rPr>
                <w:rFonts w:ascii="Arial" w:cs="Arial" w:eastAsia="Arial" w:hAnsi="Arial"/>
                <w:sz w:val="13"/>
                <w:szCs w:val="13"/>
                <w:color w:val="auto"/>
              </w:rPr>
              <w:t>1,770,558</w:t>
            </w:r>
          </w:p>
        </w:tc>
        <w:tc>
          <w:tcPr>
            <w:tcW w:w="400" w:type="dxa"/>
            <w:vAlign w:val="bottom"/>
          </w:tcPr>
          <w:p>
            <w:pPr>
              <w:spacing w:after="0"/>
              <w:rPr>
                <w:sz w:val="11"/>
                <w:szCs w:val="11"/>
                <w:color w:val="auto"/>
              </w:rPr>
            </w:pPr>
          </w:p>
        </w:tc>
        <w:tc>
          <w:tcPr>
            <w:tcW w:w="80" w:type="dxa"/>
            <w:vAlign w:val="bottom"/>
            <w:shd w:val="clear" w:color="auto" w:fill="EAEAEA"/>
          </w:tcPr>
          <w:p>
            <w:pPr>
              <w:spacing w:after="0"/>
              <w:rPr>
                <w:sz w:val="11"/>
                <w:szCs w:val="11"/>
                <w:color w:val="auto"/>
              </w:rPr>
            </w:pPr>
          </w:p>
        </w:tc>
        <w:tc>
          <w:tcPr>
            <w:tcW w:w="700" w:type="dxa"/>
            <w:vAlign w:val="bottom"/>
            <w:shd w:val="clear" w:color="auto" w:fill="EAEAEA"/>
          </w:tcPr>
          <w:p>
            <w:pPr>
              <w:jc w:val="right"/>
              <w:spacing w:after="0" w:line="132"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line="132" w:lineRule="exact"/>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96"/>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080" w:type="dxa"/>
            <w:vAlign w:val="bottom"/>
            <w:shd w:val="clear" w:color="auto" w:fill="EAEAEA"/>
          </w:tcPr>
          <w:p>
            <w:pPr>
              <w:ind w:left="120"/>
              <w:spacing w:after="0"/>
              <w:rPr>
                <w:sz w:val="20"/>
                <w:szCs w:val="20"/>
                <w:color w:val="auto"/>
              </w:rPr>
            </w:pPr>
            <w:r>
              <w:rPr>
                <w:rFonts w:ascii="Arial" w:cs="Arial" w:eastAsia="Arial" w:hAnsi="Arial"/>
                <w:sz w:val="13"/>
                <w:szCs w:val="13"/>
                <w:b w:val="1"/>
                <w:bCs w:val="1"/>
                <w:color w:val="auto"/>
              </w:rPr>
              <w:t>Goettler</w:t>
            </w:r>
          </w:p>
        </w:tc>
        <w:tc>
          <w:tcPr>
            <w:tcW w:w="900" w:type="dxa"/>
            <w:vAlign w:val="bottom"/>
            <w:gridSpan w:val="2"/>
            <w:shd w:val="clear" w:color="auto" w:fill="EAEAEA"/>
          </w:tcPr>
          <w:p>
            <w:pPr>
              <w:jc w:val="right"/>
              <w:ind w:right="13"/>
              <w:spacing w:after="0"/>
              <w:rPr>
                <w:sz w:val="20"/>
                <w:szCs w:val="20"/>
                <w:color w:val="auto"/>
              </w:rPr>
            </w:pPr>
            <w:r>
              <w:rPr>
                <w:rFonts w:ascii="Arial" w:cs="Arial" w:eastAsia="Arial" w:hAnsi="Arial"/>
                <w:sz w:val="13"/>
                <w:szCs w:val="13"/>
                <w:color w:val="auto"/>
              </w:rPr>
              <w:t>2/27/2020</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line="165" w:lineRule="exact"/>
              <w:rPr>
                <w:sz w:val="20"/>
                <w:szCs w:val="20"/>
                <w:color w:val="auto"/>
              </w:rPr>
            </w:pPr>
            <w:r>
              <w:rPr>
                <w:rFonts w:ascii="Arial" w:cs="Arial" w:eastAsia="Arial" w:hAnsi="Arial"/>
                <w:sz w:val="13"/>
                <w:szCs w:val="13"/>
                <w:color w:val="auto"/>
              </w:rPr>
              <w:t>2,400,000</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line="146" w:lineRule="exact"/>
              <w:rPr>
                <w:sz w:val="20"/>
                <w:szCs w:val="20"/>
                <w:color w:val="auto"/>
              </w:rPr>
            </w:pPr>
            <w:r>
              <w:rPr>
                <w:rFonts w:ascii="Arial" w:cs="Arial" w:eastAsia="Arial" w:hAnsi="Arial"/>
                <w:sz w:val="13"/>
                <w:szCs w:val="13"/>
                <w:b w:val="1"/>
                <w:bCs w:val="1"/>
                <w:color w:val="auto"/>
              </w:rPr>
              <w:t>Sanjeev Narula</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140,940</w:t>
            </w:r>
          </w:p>
        </w:tc>
        <w:tc>
          <w:tcPr>
            <w:tcW w:w="780" w:type="dxa"/>
            <w:vAlign w:val="bottom"/>
          </w:tcPr>
          <w:p>
            <w:pPr>
              <w:jc w:val="right"/>
              <w:ind w:right="13"/>
              <w:spacing w:after="0" w:line="146" w:lineRule="exact"/>
              <w:rPr>
                <w:sz w:val="20"/>
                <w:szCs w:val="20"/>
                <w:color w:val="auto"/>
              </w:rPr>
            </w:pPr>
            <w:r>
              <w:rPr>
                <w:rFonts w:ascii="Arial" w:cs="Arial" w:eastAsia="Arial" w:hAnsi="Arial"/>
                <w:sz w:val="13"/>
                <w:szCs w:val="13"/>
                <w:color w:val="auto"/>
              </w:rPr>
              <w:t>281,880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563,760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00" w:type="dxa"/>
            <w:vAlign w:val="bottom"/>
            <w:gridSpan w:val="2"/>
          </w:tcPr>
          <w:p>
            <w:pPr>
              <w:jc w:val="right"/>
              <w:ind w:right="13"/>
              <w:spacing w:after="0"/>
              <w:rPr>
                <w:sz w:val="20"/>
                <w:szCs w:val="20"/>
                <w:color w:val="auto"/>
              </w:rPr>
            </w:pPr>
            <w:r>
              <w:rPr>
                <w:rFonts w:ascii="Arial" w:cs="Arial" w:eastAsia="Arial" w:hAnsi="Arial"/>
                <w:sz w:val="13"/>
                <w:szCs w:val="13"/>
                <w:color w:val="auto"/>
              </w:rPr>
              <w:t>2/27/2020</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52" w:lineRule="exact"/>
              <w:rPr>
                <w:sz w:val="20"/>
                <w:szCs w:val="20"/>
                <w:color w:val="auto"/>
              </w:rPr>
            </w:pPr>
            <w:r>
              <w:rPr>
                <w:rFonts w:ascii="Arial" w:cs="Arial" w:eastAsia="Arial" w:hAnsi="Arial"/>
                <w:sz w:val="13"/>
                <w:szCs w:val="13"/>
                <w:color w:val="auto"/>
              </w:rPr>
              <w:t>425,000</w:t>
            </w:r>
            <w:r>
              <w:rPr>
                <w:rFonts w:ascii="Arial" w:cs="Arial" w:eastAsia="Arial" w:hAnsi="Arial"/>
                <w:sz w:val="17"/>
                <w:szCs w:val="17"/>
                <w:color w:val="auto"/>
                <w:vertAlign w:val="superscript"/>
              </w:rPr>
              <w:t>(6)</w:t>
            </w:r>
          </w:p>
        </w:tc>
        <w:tc>
          <w:tcPr>
            <w:tcW w:w="0" w:type="dxa"/>
            <w:vAlign w:val="bottom"/>
          </w:tcPr>
          <w:p>
            <w:pPr>
              <w:spacing w:after="0"/>
              <w:rPr>
                <w:sz w:val="1"/>
                <w:szCs w:val="1"/>
                <w:color w:val="auto"/>
              </w:rPr>
            </w:pPr>
          </w:p>
        </w:tc>
      </w:tr>
      <w:tr>
        <w:trPr>
          <w:trHeight w:val="148"/>
        </w:trPr>
        <w:tc>
          <w:tcPr>
            <w:tcW w:w="1080" w:type="dxa"/>
            <w:vAlign w:val="bottom"/>
            <w:shd w:val="clear" w:color="auto" w:fill="EAEAEA"/>
          </w:tcPr>
          <w:p>
            <w:pPr>
              <w:ind w:left="120"/>
              <w:spacing w:after="0" w:line="148" w:lineRule="exact"/>
              <w:rPr>
                <w:sz w:val="20"/>
                <w:szCs w:val="20"/>
                <w:color w:val="auto"/>
              </w:rPr>
            </w:pPr>
            <w:r>
              <w:rPr>
                <w:rFonts w:ascii="Arial" w:cs="Arial" w:eastAsia="Arial" w:hAnsi="Arial"/>
                <w:sz w:val="13"/>
                <w:szCs w:val="13"/>
                <w:b w:val="1"/>
                <w:bCs w:val="1"/>
                <w:color w:val="auto"/>
              </w:rPr>
              <w:t>Rajiv Malik</w:t>
            </w:r>
          </w:p>
        </w:tc>
        <w:tc>
          <w:tcPr>
            <w:tcW w:w="140" w:type="dxa"/>
            <w:vAlign w:val="bottom"/>
            <w:shd w:val="clear" w:color="auto" w:fill="EAEAEA"/>
          </w:tcPr>
          <w:p>
            <w:pPr>
              <w:spacing w:after="0"/>
              <w:rPr>
                <w:sz w:val="12"/>
                <w:szCs w:val="12"/>
                <w:color w:val="auto"/>
              </w:rPr>
            </w:pPr>
          </w:p>
        </w:tc>
        <w:tc>
          <w:tcPr>
            <w:tcW w:w="760" w:type="dxa"/>
            <w:vAlign w:val="bottom"/>
            <w:shd w:val="clear" w:color="auto" w:fill="EAEAEA"/>
          </w:tcPr>
          <w:p>
            <w:pPr>
              <w:spacing w:after="0"/>
              <w:rPr>
                <w:sz w:val="12"/>
                <w:szCs w:val="12"/>
                <w:color w:val="auto"/>
              </w:rPr>
            </w:pPr>
          </w:p>
        </w:tc>
        <w:tc>
          <w:tcPr>
            <w:tcW w:w="820" w:type="dxa"/>
            <w:vAlign w:val="bottom"/>
            <w:shd w:val="clear" w:color="auto" w:fill="EAEAEA"/>
          </w:tcPr>
          <w:p>
            <w:pPr>
              <w:spacing w:after="0"/>
              <w:rPr>
                <w:sz w:val="12"/>
                <w:szCs w:val="12"/>
                <w:color w:val="auto"/>
              </w:rPr>
            </w:pPr>
          </w:p>
        </w:tc>
        <w:tc>
          <w:tcPr>
            <w:tcW w:w="80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722,678</w:t>
            </w:r>
          </w:p>
        </w:tc>
        <w:tc>
          <w:tcPr>
            <w:tcW w:w="780" w:type="dxa"/>
            <w:vAlign w:val="bottom"/>
            <w:shd w:val="clear" w:color="auto" w:fill="EAEAEA"/>
          </w:tcPr>
          <w:p>
            <w:pPr>
              <w:jc w:val="right"/>
              <w:ind w:right="13"/>
              <w:spacing w:after="0" w:line="148" w:lineRule="exact"/>
              <w:rPr>
                <w:sz w:val="20"/>
                <w:szCs w:val="20"/>
                <w:color w:val="auto"/>
              </w:rPr>
            </w:pPr>
            <w:r>
              <w:rPr>
                <w:rFonts w:ascii="Arial" w:cs="Arial" w:eastAsia="Arial" w:hAnsi="Arial"/>
                <w:sz w:val="13"/>
                <w:szCs w:val="13"/>
                <w:color w:val="auto"/>
              </w:rPr>
              <w:t>1,445,355</w:t>
            </w:r>
          </w:p>
        </w:tc>
        <w:tc>
          <w:tcPr>
            <w:tcW w:w="7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2,890,710</w:t>
            </w:r>
          </w:p>
        </w:tc>
        <w:tc>
          <w:tcPr>
            <w:tcW w:w="400" w:type="dxa"/>
            <w:vAlign w:val="bottom"/>
          </w:tcPr>
          <w:p>
            <w:pPr>
              <w:spacing w:after="0"/>
              <w:rPr>
                <w:sz w:val="12"/>
                <w:szCs w:val="12"/>
                <w:color w:val="auto"/>
              </w:rPr>
            </w:pPr>
          </w:p>
        </w:tc>
        <w:tc>
          <w:tcPr>
            <w:tcW w:w="8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spacing w:after="0"/>
              <w:rPr>
                <w:sz w:val="12"/>
                <w:szCs w:val="12"/>
                <w:color w:val="auto"/>
              </w:rPr>
            </w:pPr>
          </w:p>
        </w:tc>
        <w:tc>
          <w:tcPr>
            <w:tcW w:w="9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EAEAEA"/>
          </w:tcPr>
          <w:p>
            <w:pPr>
              <w:spacing w:after="0"/>
              <w:rPr>
                <w:sz w:val="12"/>
                <w:szCs w:val="12"/>
                <w:color w:val="auto"/>
              </w:rPr>
            </w:pPr>
          </w:p>
        </w:tc>
        <w:tc>
          <w:tcPr>
            <w:tcW w:w="14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8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78,948</w:t>
            </w:r>
          </w:p>
        </w:tc>
        <w:tc>
          <w:tcPr>
            <w:tcW w:w="70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197,369</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355,265</w:t>
            </w:r>
          </w:p>
        </w:tc>
        <w:tc>
          <w:tcPr>
            <w:tcW w:w="82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96"/>
              <w:spacing w:after="0"/>
              <w:rPr>
                <w:sz w:val="20"/>
                <w:szCs w:val="20"/>
                <w:color w:val="auto"/>
              </w:rPr>
            </w:pPr>
            <w:r>
              <w:rPr>
                <w:rFonts w:ascii="Arial" w:cs="Arial" w:eastAsia="Arial" w:hAnsi="Arial"/>
                <w:sz w:val="13"/>
                <w:szCs w:val="13"/>
                <w:color w:val="auto"/>
              </w:rPr>
              <w:t>3,450,010</w:t>
            </w:r>
          </w:p>
        </w:tc>
        <w:tc>
          <w:tcPr>
            <w:tcW w:w="0" w:type="dxa"/>
            <w:vAlign w:val="bottom"/>
          </w:tcPr>
          <w:p>
            <w:pPr>
              <w:spacing w:after="0"/>
              <w:rPr>
                <w:sz w:val="1"/>
                <w:szCs w:val="1"/>
                <w:color w:val="auto"/>
              </w:rPr>
            </w:pPr>
          </w:p>
        </w:tc>
      </w:tr>
      <w:tr>
        <w:trPr>
          <w:trHeight w:val="148"/>
        </w:trPr>
        <w:tc>
          <w:tcPr>
            <w:tcW w:w="1080" w:type="dxa"/>
            <w:vAlign w:val="bottom"/>
            <w:shd w:val="clear" w:color="auto" w:fill="EAEAEA"/>
          </w:tcPr>
          <w:p>
            <w:pPr>
              <w:spacing w:after="0"/>
              <w:rPr>
                <w:sz w:val="12"/>
                <w:szCs w:val="12"/>
                <w:color w:val="auto"/>
              </w:rPr>
            </w:pPr>
          </w:p>
        </w:tc>
        <w:tc>
          <w:tcPr>
            <w:tcW w:w="14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8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157,895</w:t>
            </w:r>
          </w:p>
        </w:tc>
        <w:tc>
          <w:tcPr>
            <w:tcW w:w="84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96"/>
              <w:spacing w:after="0"/>
              <w:rPr>
                <w:sz w:val="20"/>
                <w:szCs w:val="20"/>
                <w:color w:val="auto"/>
              </w:rPr>
            </w:pPr>
            <w:r>
              <w:rPr>
                <w:rFonts w:ascii="Arial" w:cs="Arial" w:eastAsia="Arial" w:hAnsi="Arial"/>
                <w:sz w:val="13"/>
                <w:szCs w:val="13"/>
                <w:color w:val="auto"/>
              </w:rPr>
              <w:t>2,760,005</w:t>
            </w:r>
          </w:p>
        </w:tc>
        <w:tc>
          <w:tcPr>
            <w:tcW w:w="0" w:type="dxa"/>
            <w:vAlign w:val="bottom"/>
          </w:tcPr>
          <w:p>
            <w:pPr>
              <w:spacing w:after="0"/>
              <w:rPr>
                <w:sz w:val="1"/>
                <w:szCs w:val="1"/>
                <w:color w:val="auto"/>
              </w:rPr>
            </w:pPr>
          </w:p>
        </w:tc>
      </w:tr>
      <w:tr>
        <w:trPr>
          <w:trHeight w:val="149"/>
        </w:trPr>
        <w:tc>
          <w:tcPr>
            <w:tcW w:w="1080" w:type="dxa"/>
            <w:vAlign w:val="bottom"/>
            <w:shd w:val="clear" w:color="auto" w:fill="EAEAEA"/>
          </w:tcPr>
          <w:p>
            <w:pPr>
              <w:spacing w:after="0"/>
              <w:rPr>
                <w:sz w:val="12"/>
                <w:szCs w:val="12"/>
                <w:color w:val="auto"/>
              </w:rPr>
            </w:pPr>
          </w:p>
        </w:tc>
        <w:tc>
          <w:tcPr>
            <w:tcW w:w="14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8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13"/>
              <w:spacing w:after="0"/>
              <w:rPr>
                <w:sz w:val="20"/>
                <w:szCs w:val="20"/>
                <w:color w:val="auto"/>
              </w:rPr>
            </w:pPr>
            <w:r>
              <w:rPr>
                <w:rFonts w:ascii="Arial" w:cs="Arial" w:eastAsia="Arial" w:hAnsi="Arial"/>
                <w:sz w:val="13"/>
                <w:szCs w:val="13"/>
                <w:color w:val="auto"/>
              </w:rPr>
              <w:t>84,871</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17.48</w:t>
            </w:r>
          </w:p>
        </w:tc>
        <w:tc>
          <w:tcPr>
            <w:tcW w:w="920" w:type="dxa"/>
            <w:vAlign w:val="bottom"/>
            <w:shd w:val="clear" w:color="auto" w:fill="EAEAEA"/>
          </w:tcPr>
          <w:p>
            <w:pPr>
              <w:jc w:val="right"/>
              <w:ind w:right="96"/>
              <w:spacing w:after="0"/>
              <w:rPr>
                <w:sz w:val="20"/>
                <w:szCs w:val="20"/>
                <w:color w:val="auto"/>
              </w:rPr>
            </w:pPr>
            <w:r>
              <w:rPr>
                <w:rFonts w:ascii="Arial" w:cs="Arial" w:eastAsia="Arial" w:hAnsi="Arial"/>
                <w:sz w:val="13"/>
                <w:szCs w:val="13"/>
                <w:color w:val="auto"/>
              </w:rPr>
              <w:t>690,001</w:t>
            </w:r>
          </w:p>
        </w:tc>
        <w:tc>
          <w:tcPr>
            <w:tcW w:w="0" w:type="dxa"/>
            <w:vAlign w:val="bottom"/>
          </w:tcPr>
          <w:p>
            <w:pPr>
              <w:spacing w:after="0"/>
              <w:rPr>
                <w:sz w:val="1"/>
                <w:szCs w:val="1"/>
                <w:color w:val="auto"/>
              </w:rPr>
            </w:pPr>
          </w:p>
        </w:tc>
      </w:tr>
      <w:tr>
        <w:trPr>
          <w:trHeight w:val="132"/>
        </w:trPr>
        <w:tc>
          <w:tcPr>
            <w:tcW w:w="1080" w:type="dxa"/>
            <w:vAlign w:val="bottom"/>
          </w:tcPr>
          <w:p>
            <w:pPr>
              <w:ind w:left="120"/>
              <w:spacing w:after="0" w:line="132" w:lineRule="exact"/>
              <w:rPr>
                <w:sz w:val="20"/>
                <w:szCs w:val="20"/>
                <w:color w:val="auto"/>
              </w:rPr>
            </w:pPr>
            <w:r>
              <w:rPr>
                <w:rFonts w:ascii="Arial" w:cs="Arial" w:eastAsia="Arial" w:hAnsi="Arial"/>
                <w:sz w:val="13"/>
                <w:szCs w:val="13"/>
                <w:b w:val="1"/>
                <w:bCs w:val="1"/>
                <w:color w:val="auto"/>
              </w:rPr>
              <w:t>Anthony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3"/>
                <w:szCs w:val="13"/>
                <w:color w:val="auto"/>
              </w:rPr>
              <w:t>460,000</w:t>
            </w:r>
          </w:p>
        </w:tc>
        <w:tc>
          <w:tcPr>
            <w:tcW w:w="780" w:type="dxa"/>
            <w:vAlign w:val="bottom"/>
          </w:tcPr>
          <w:p>
            <w:pPr>
              <w:jc w:val="right"/>
              <w:ind w:right="13"/>
              <w:spacing w:after="0" w:line="132" w:lineRule="exact"/>
              <w:rPr>
                <w:sz w:val="20"/>
                <w:szCs w:val="20"/>
                <w:color w:val="auto"/>
              </w:rPr>
            </w:pPr>
            <w:r>
              <w:rPr>
                <w:rFonts w:ascii="Arial" w:cs="Arial" w:eastAsia="Arial" w:hAnsi="Arial"/>
                <w:sz w:val="13"/>
                <w:szCs w:val="13"/>
                <w:color w:val="auto"/>
              </w:rPr>
              <w:t>920,000</w:t>
            </w:r>
          </w:p>
        </w:tc>
        <w:tc>
          <w:tcPr>
            <w:tcW w:w="740" w:type="dxa"/>
            <w:vAlign w:val="bottom"/>
          </w:tcPr>
          <w:p>
            <w:pPr>
              <w:jc w:val="right"/>
              <w:spacing w:after="0" w:line="132" w:lineRule="exact"/>
              <w:rPr>
                <w:sz w:val="20"/>
                <w:szCs w:val="20"/>
                <w:color w:val="auto"/>
              </w:rPr>
            </w:pPr>
            <w:r>
              <w:rPr>
                <w:rFonts w:ascii="Arial" w:cs="Arial" w:eastAsia="Arial" w:hAnsi="Arial"/>
                <w:sz w:val="13"/>
                <w:szCs w:val="13"/>
                <w:color w:val="auto"/>
              </w:rPr>
              <w:t>1,840,000</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line="132"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80" w:type="dxa"/>
            <w:vAlign w:val="bottom"/>
          </w:tcPr>
          <w:p>
            <w:pPr>
              <w:ind w:left="120"/>
              <w:spacing w:after="0"/>
              <w:rPr>
                <w:sz w:val="20"/>
                <w:szCs w:val="20"/>
                <w:color w:val="auto"/>
              </w:rPr>
            </w:pPr>
            <w:r>
              <w:rPr>
                <w:rFonts w:ascii="Arial" w:cs="Arial" w:eastAsia="Arial" w:hAnsi="Arial"/>
                <w:sz w:val="13"/>
                <w:szCs w:val="13"/>
                <w:b w:val="1"/>
                <w:bCs w:val="1"/>
                <w:color w:val="auto"/>
              </w:rPr>
              <w:t>Mauro</w:t>
            </w:r>
          </w:p>
        </w:tc>
        <w:tc>
          <w:tcPr>
            <w:tcW w:w="900" w:type="dxa"/>
            <w:vAlign w:val="bottom"/>
            <w:gridSpan w:val="2"/>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36,614</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91,534</w:t>
            </w:r>
          </w:p>
        </w:tc>
        <w:tc>
          <w:tcPr>
            <w:tcW w:w="740" w:type="dxa"/>
            <w:vAlign w:val="bottom"/>
          </w:tcPr>
          <w:p>
            <w:pPr>
              <w:jc w:val="right"/>
              <w:spacing w:after="0"/>
              <w:rPr>
                <w:sz w:val="20"/>
                <w:szCs w:val="20"/>
                <w:color w:val="auto"/>
              </w:rPr>
            </w:pPr>
            <w:r>
              <w:rPr>
                <w:rFonts w:ascii="Arial" w:cs="Arial" w:eastAsia="Arial" w:hAnsi="Arial"/>
                <w:sz w:val="13"/>
                <w:szCs w:val="13"/>
                <w:color w:val="auto"/>
              </w:rPr>
              <w:t>164,762</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1,600,014</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900" w:type="dxa"/>
            <w:vAlign w:val="bottom"/>
            <w:gridSpan w:val="2"/>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73,227</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1,280,008</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900" w:type="dxa"/>
            <w:vAlign w:val="bottom"/>
            <w:gridSpan w:val="2"/>
          </w:tcPr>
          <w:p>
            <w:pPr>
              <w:jc w:val="right"/>
              <w:ind w:right="13"/>
              <w:spacing w:after="0"/>
              <w:rPr>
                <w:sz w:val="20"/>
                <w:szCs w:val="20"/>
                <w:color w:val="auto"/>
              </w:rPr>
            </w:pPr>
            <w:r>
              <w:rPr>
                <w:rFonts w:ascii="Arial" w:cs="Arial" w:eastAsia="Arial" w:hAnsi="Arial"/>
                <w:sz w:val="13"/>
                <w:szCs w:val="13"/>
                <w:color w:val="auto"/>
              </w:rPr>
              <w:t>3/2/2020</w:t>
            </w:r>
          </w:p>
        </w:tc>
        <w:tc>
          <w:tcPr>
            <w:tcW w:w="820" w:type="dxa"/>
            <w:vAlign w:val="bottom"/>
          </w:tcPr>
          <w:p>
            <w:pPr>
              <w:jc w:val="right"/>
              <w:spacing w:after="0"/>
              <w:rPr>
                <w:sz w:val="20"/>
                <w:szCs w:val="20"/>
                <w:color w:val="auto"/>
              </w:rPr>
            </w:pPr>
            <w:r>
              <w:rPr>
                <w:rFonts w:ascii="Arial" w:cs="Arial" w:eastAsia="Arial" w:hAnsi="Arial"/>
                <w:sz w:val="13"/>
                <w:szCs w:val="13"/>
                <w:color w:val="auto"/>
              </w:rPr>
              <w:t>2/19/2020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39,361</w:t>
            </w:r>
          </w:p>
        </w:tc>
        <w:tc>
          <w:tcPr>
            <w:tcW w:w="700" w:type="dxa"/>
            <w:vAlign w:val="bottom"/>
          </w:tcPr>
          <w:p>
            <w:pPr>
              <w:jc w:val="right"/>
              <w:spacing w:after="0"/>
              <w:rPr>
                <w:sz w:val="20"/>
                <w:szCs w:val="20"/>
                <w:color w:val="auto"/>
              </w:rPr>
            </w:pPr>
            <w:r>
              <w:rPr>
                <w:rFonts w:ascii="Arial" w:cs="Arial" w:eastAsia="Arial" w:hAnsi="Arial"/>
                <w:sz w:val="13"/>
                <w:szCs w:val="13"/>
                <w:color w:val="auto"/>
              </w:rPr>
              <w:t>17.48</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320,005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both"/>
        <w:ind w:left="424" w:hanging="424"/>
        <w:spacing w:after="0" w:line="235" w:lineRule="auto"/>
        <w:tabs>
          <w:tab w:leader="none" w:pos="424"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The performance goals under the annual incentive compensation program applicable to the NEOs during 2020 are described above in the CD&amp;A. Since the Combination did not close until November 16, 2020, annual incentive awards for 2020 represented a combination of payments in respect of Mylan’s and Upjohn’s annual incentive programs for three-quarters of 2020 and assumed target level performance for the remainder of 2020. For a discussion of these awards, see “2020 Annual Incentive Compensation Programs” on page 30 of this Form 10-K/A.</w:t>
      </w:r>
    </w:p>
    <w:p>
      <w:pPr>
        <w:spacing w:after="0" w:line="2"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For Messrs. Malik and Mauro, consists of PRSUs awarded under Mylan’s Amended and Restated 2003 Long-Term Incentive Plan (the “Amended 2003 Plan”). The vesting terms applicable to these awards are described above in the CD&amp;A and below following the Outstanding Equity Awards at the End of 2020 table. In connection with the Combination, these PRSUs were converted into an award of Viatris RSUs on a one-for-one basis assuming target level performance. For more information on the conversion of Mylan PRSUs into Viatris RSUs upon the closing of the Combination, see “Mylan’s 2020 Long-Term Incentive Grants to Legacy Mylan Executives” on page 33 of this Form 10-K/A. For Mr. Coury, represents the 1.6 million PRSUs Mr. Coury received in connection with the Combination pursuant to his Value Creation Award. For details regarding this performance-based program see “Executive Chairman Employment Agreement” on page 35 of this Form 10-K/A.</w:t>
      </w:r>
    </w:p>
    <w:p>
      <w:pPr>
        <w:spacing w:after="0" w:line="5"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RSUs awarded under Mylan’s Amended 2003 Plan. The vesting terms applicable to these awards are described above in the CD&amp;A and below following the Outstanding Equity Awards at the End of 2020 table. In connection with the Combination, these RSUs were converted into an award of Viatris RSUs on a one-for-one basis. For more information on the conversion of Mylan RSUs into Viatris RSUs upon the closing of the Combination, see “Mylan’s 2020 Long-Term Incentive Grants to Legacy Mylan Executives” on page 33 of this Form 10-K/A.</w:t>
      </w:r>
    </w:p>
    <w:p>
      <w:pPr>
        <w:spacing w:after="0" w:line="3" w:lineRule="exact"/>
        <w:rPr>
          <w:rFonts w:ascii="Arial" w:cs="Arial" w:eastAsia="Arial" w:hAnsi="Arial"/>
          <w:sz w:val="18"/>
          <w:szCs w:val="18"/>
          <w:i w:val="1"/>
          <w:iCs w:val="1"/>
          <w:color w:val="auto"/>
        </w:rPr>
      </w:pPr>
    </w:p>
    <w:p>
      <w:pPr>
        <w:jc w:val="both"/>
        <w:ind w:left="424" w:right="20" w:hanging="424"/>
        <w:spacing w:after="0" w:line="237" w:lineRule="auto"/>
        <w:tabs>
          <w:tab w:leader="none" w:pos="424"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grant of stock options awarded under the Amended 2003 Plan. Stock options were granted with an exercise price equal to the closing price of Mylan’s shares on the date of grant. The vesting terms applicable to these awards are described below following the Outstanding Equity Awards at the End of 2020 table. In connection with the Combination, these option awards were converted into options to purchase shares of</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96" w:right="439" w:bottom="1440" w:gutter="0" w:footer="0" w:header="0"/>
        </w:sectPr>
      </w:pPr>
    </w:p>
    <w:bookmarkStart w:id="50" w:name="page51"/>
    <w:bookmarkEnd w:id="50"/>
    <w:p>
      <w:pPr>
        <w:jc w:val="both"/>
        <w:ind w:left="424"/>
        <w:spacing w:after="0" w:line="24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Viatris common stock on a one-for-one basis. For more information on the conversion of Mylan options into Viatris options upon the closing of the Combination, see “Mylan’s 2020 Long-Term Incentive Grants to Legacy Mylan Executives” on page 33 of this Form 10-K/A.</w:t>
      </w:r>
    </w:p>
    <w:p>
      <w:pPr>
        <w:spacing w:after="0" w:line="2" w:lineRule="exact"/>
        <w:rPr>
          <w:sz w:val="20"/>
          <w:szCs w:val="20"/>
          <w:color w:val="auto"/>
        </w:rPr>
      </w:pPr>
    </w:p>
    <w:p>
      <w:pPr>
        <w:ind w:left="424" w:right="20" w:hanging="424"/>
        <w:spacing w:after="0" w:line="264" w:lineRule="auto"/>
        <w:tabs>
          <w:tab w:leader="none" w:pos="424"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grant date fair value of the specific award granted to the NEO. For information regarding assumptions used in determining such value, please refer to Note 13 to the Company’s Consolidated Financial Statements contained in the Original Filing.</w:t>
      </w:r>
    </w:p>
    <w:p>
      <w:pPr>
        <w:jc w:val="both"/>
        <w:ind w:left="424" w:right="20" w:hanging="424"/>
        <w:spacing w:after="0" w:line="236" w:lineRule="auto"/>
        <w:tabs>
          <w:tab w:leader="none" w:pos="424"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cash-based awards granted by Pfizer to Messrs. Goettler and Narula in 2020. In connection with the Combination, Viatris granted Make-Whole RSU awards to Messrs. Goettler and Narula to replace the Pfizer equity awards forfeited by such NEOs. The vesting terms applicable to these awards are described above in the CD&amp;A and below following the Outstanding Equity Awards at the End of 2020 table. For more information on the conversion of Pfizer awards into Viatris RSUs upon the closing of the Combination, see “Combination-Related Treatment of Pfizer’s 2020 Long-Term Incentive Grants to Legacy Upjohn Executives” on page 34 of this Form 10-K/A.</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300"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the End of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all of the outstanding LTI awards held by each NEO as of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00" w:type="dxa"/>
            <w:vAlign w:val="bottom"/>
            <w:shd w:val="clear" w:color="auto" w:fill="231161"/>
          </w:tcPr>
          <w:p>
            <w:pPr>
              <w:spacing w:after="0"/>
              <w:rPr>
                <w:sz w:val="13"/>
                <w:szCs w:val="13"/>
                <w:color w:val="auto"/>
              </w:rPr>
            </w:pPr>
          </w:p>
        </w:tc>
        <w:tc>
          <w:tcPr>
            <w:tcW w:w="2060" w:type="dxa"/>
            <w:vAlign w:val="bottom"/>
            <w:gridSpan w:val="2"/>
            <w:shd w:val="clear" w:color="auto" w:fill="231161"/>
          </w:tcPr>
          <w:p>
            <w:pPr>
              <w:jc w:val="right"/>
              <w:ind w:right="513"/>
              <w:spacing w:after="0"/>
              <w:rPr>
                <w:sz w:val="20"/>
                <w:szCs w:val="20"/>
                <w:color w:val="auto"/>
              </w:rPr>
            </w:pPr>
            <w:r>
              <w:rPr>
                <w:rFonts w:ascii="Arial" w:cs="Arial" w:eastAsia="Arial" w:hAnsi="Arial"/>
                <w:sz w:val="13"/>
                <w:szCs w:val="13"/>
                <w:b w:val="1"/>
                <w:bCs w:val="1"/>
                <w:color w:val="FFFFFF"/>
              </w:rPr>
              <w:t>Option Awards</w:t>
            </w:r>
          </w:p>
        </w:tc>
        <w:tc>
          <w:tcPr>
            <w:tcW w:w="840" w:type="dxa"/>
            <w:vAlign w:val="bottom"/>
            <w:shd w:val="clear" w:color="auto" w:fill="231161"/>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shd w:val="clear" w:color="auto" w:fill="231161"/>
          </w:tcPr>
          <w:p>
            <w:pPr>
              <w:spacing w:after="0"/>
              <w:rPr>
                <w:sz w:val="13"/>
                <w:szCs w:val="13"/>
                <w:color w:val="auto"/>
              </w:rPr>
            </w:pPr>
          </w:p>
        </w:tc>
        <w:tc>
          <w:tcPr>
            <w:tcW w:w="160" w:type="dxa"/>
            <w:vAlign w:val="bottom"/>
            <w:shd w:val="clear" w:color="auto" w:fill="231161"/>
          </w:tcPr>
          <w:p>
            <w:pPr>
              <w:spacing w:after="0"/>
              <w:rPr>
                <w:sz w:val="13"/>
                <w:szCs w:val="13"/>
                <w:color w:val="auto"/>
              </w:rPr>
            </w:pPr>
          </w:p>
        </w:tc>
        <w:tc>
          <w:tcPr>
            <w:tcW w:w="2060" w:type="dxa"/>
            <w:vAlign w:val="bottom"/>
            <w:gridSpan w:val="2"/>
            <w:shd w:val="clear" w:color="auto" w:fill="231161"/>
          </w:tcPr>
          <w:p>
            <w:pPr>
              <w:jc w:val="right"/>
              <w:ind w:right="313"/>
              <w:spacing w:after="0"/>
              <w:rPr>
                <w:sz w:val="20"/>
                <w:szCs w:val="20"/>
                <w:color w:val="auto"/>
              </w:rPr>
            </w:pPr>
            <w:r>
              <w:rPr>
                <w:rFonts w:ascii="Arial" w:cs="Arial" w:eastAsia="Arial" w:hAnsi="Arial"/>
                <w:sz w:val="13"/>
                <w:szCs w:val="13"/>
                <w:b w:val="1"/>
                <w:bCs w:val="1"/>
                <w:color w:val="FFFFFF"/>
              </w:rPr>
              <w:t>Stock Awards</w:t>
            </w:r>
          </w:p>
        </w:tc>
        <w:tc>
          <w:tcPr>
            <w:tcW w:w="1400" w:type="dxa"/>
            <w:vAlign w:val="bottom"/>
            <w:shd w:val="clear" w:color="auto" w:fill="231161"/>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shd w:val="clear" w:color="auto" w:fill="444444"/>
          </w:tcPr>
          <w:p>
            <w:pPr>
              <w:spacing w:after="0"/>
              <w:rPr>
                <w:sz w:val="11"/>
                <w:szCs w:val="11"/>
                <w:color w:val="auto"/>
              </w:rPr>
            </w:pPr>
          </w:p>
        </w:tc>
        <w:tc>
          <w:tcPr>
            <w:tcW w:w="1000" w:type="dxa"/>
            <w:vAlign w:val="bottom"/>
            <w:shd w:val="clear" w:color="auto" w:fill="444444"/>
          </w:tcPr>
          <w:p>
            <w:pPr>
              <w:spacing w:after="0"/>
              <w:rPr>
                <w:sz w:val="11"/>
                <w:szCs w:val="11"/>
                <w:color w:val="auto"/>
              </w:rPr>
            </w:pPr>
          </w:p>
        </w:tc>
        <w:tc>
          <w:tcPr>
            <w:tcW w:w="122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160" w:type="dxa"/>
            <w:vAlign w:val="bottom"/>
            <w:shd w:val="clear" w:color="auto" w:fill="444444"/>
          </w:tcPr>
          <w:p>
            <w:pPr>
              <w:spacing w:after="0"/>
              <w:rPr>
                <w:sz w:val="11"/>
                <w:szCs w:val="11"/>
                <w:color w:val="auto"/>
              </w:rPr>
            </w:pPr>
          </w:p>
        </w:tc>
        <w:tc>
          <w:tcPr>
            <w:tcW w:w="840" w:type="dxa"/>
            <w:vAlign w:val="bottom"/>
            <w:shd w:val="clear" w:color="auto" w:fill="444444"/>
          </w:tcPr>
          <w:p>
            <w:pPr>
              <w:jc w:val="right"/>
              <w:spacing w:after="0" w:line="132" w:lineRule="exact"/>
              <w:rPr>
                <w:sz w:val="20"/>
                <w:szCs w:val="20"/>
                <w:color w:val="auto"/>
              </w:rPr>
            </w:pPr>
            <w:r>
              <w:rPr>
                <w:rFonts w:ascii="Arial" w:cs="Arial" w:eastAsia="Arial" w:hAnsi="Arial"/>
                <w:sz w:val="13"/>
                <w:szCs w:val="13"/>
                <w:b w:val="1"/>
                <w:bCs w:val="1"/>
                <w:color w:val="FFFFFF"/>
              </w:rPr>
              <w:t>Market</w:t>
            </w:r>
          </w:p>
        </w:tc>
        <w:tc>
          <w:tcPr>
            <w:tcW w:w="1220" w:type="dxa"/>
            <w:vAlign w:val="bottom"/>
            <w:shd w:val="clear" w:color="auto" w:fill="444444"/>
          </w:tcPr>
          <w:p>
            <w:pPr>
              <w:spacing w:after="0"/>
              <w:rPr>
                <w:sz w:val="11"/>
                <w:szCs w:val="11"/>
                <w:color w:val="auto"/>
              </w:rPr>
            </w:pPr>
          </w:p>
        </w:tc>
        <w:tc>
          <w:tcPr>
            <w:tcW w:w="140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shd w:val="clear" w:color="auto" w:fill="444444"/>
          </w:tcPr>
          <w:p>
            <w:pPr>
              <w:spacing w:after="0"/>
              <w:rPr>
                <w:sz w:val="12"/>
                <w:szCs w:val="12"/>
                <w:color w:val="auto"/>
              </w:rPr>
            </w:pPr>
          </w:p>
        </w:tc>
        <w:tc>
          <w:tcPr>
            <w:tcW w:w="160" w:type="dxa"/>
            <w:vAlign w:val="bottom"/>
            <w:shd w:val="clear" w:color="auto" w:fill="444444"/>
          </w:tcPr>
          <w:p>
            <w:pPr>
              <w:spacing w:after="0"/>
              <w:rPr>
                <w:sz w:val="12"/>
                <w:szCs w:val="12"/>
                <w:color w:val="auto"/>
              </w:rPr>
            </w:pP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Value of</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Equity</w:t>
            </w:r>
          </w:p>
        </w:tc>
        <w:tc>
          <w:tcPr>
            <w:tcW w:w="1400" w:type="dxa"/>
            <w:vAlign w:val="bottom"/>
            <w:shd w:val="clear" w:color="auto" w:fill="44444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Shares</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Incentive Plan</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Shares or</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or Units</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Awards:</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Number of</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Units of</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of Stock</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Number of</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49"/>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Securities</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Securities</w:t>
            </w:r>
          </w:p>
        </w:tc>
        <w:tc>
          <w:tcPr>
            <w:tcW w:w="840" w:type="dxa"/>
            <w:vAlign w:val="bottom"/>
            <w:shd w:val="clear" w:color="auto" w:fill="444444"/>
          </w:tcPr>
          <w:p>
            <w:pPr>
              <w:spacing w:after="0"/>
              <w:rPr>
                <w:sz w:val="12"/>
                <w:szCs w:val="12"/>
                <w:color w:val="auto"/>
              </w:rPr>
            </w:pP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Stock</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That</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Unearned</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Value of Unearned</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Underlying</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Underlying</w:t>
            </w:r>
          </w:p>
        </w:tc>
        <w:tc>
          <w:tcPr>
            <w:tcW w:w="8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Option</w:t>
            </w:r>
          </w:p>
        </w:tc>
        <w:tc>
          <w:tcPr>
            <w:tcW w:w="840" w:type="dxa"/>
            <w:vAlign w:val="bottom"/>
            <w:shd w:val="clear" w:color="auto" w:fill="444444"/>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That</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Have</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Shares, Units</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Unexercised</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Unexercised</w:t>
            </w:r>
          </w:p>
        </w:tc>
        <w:tc>
          <w:tcPr>
            <w:tcW w:w="8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Exercise</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Option</w:t>
            </w: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Have Not</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Not</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or Other Rights</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Options (#)</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Options (#)</w:t>
            </w:r>
          </w:p>
        </w:tc>
        <w:tc>
          <w:tcPr>
            <w:tcW w:w="8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Price</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Expiration</w:t>
            </w:r>
          </w:p>
        </w:tc>
        <w:tc>
          <w:tcPr>
            <w:tcW w:w="580" w:type="dxa"/>
            <w:vAlign w:val="bottom"/>
          </w:tcPr>
          <w:p>
            <w:pPr>
              <w:spacing w:after="0"/>
              <w:rPr>
                <w:sz w:val="12"/>
                <w:szCs w:val="12"/>
                <w:color w:val="auto"/>
              </w:rPr>
            </w:pPr>
          </w:p>
        </w:tc>
        <w:tc>
          <w:tcPr>
            <w:tcW w:w="980" w:type="dxa"/>
            <w:vAlign w:val="bottom"/>
            <w:gridSpan w:val="2"/>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Vested</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Vested</w:t>
            </w:r>
          </w:p>
        </w:tc>
        <w:tc>
          <w:tcPr>
            <w:tcW w:w="1220" w:type="dxa"/>
            <w:vAlign w:val="bottom"/>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That Have Not</w:t>
            </w:r>
          </w:p>
        </w:tc>
        <w:tc>
          <w:tcPr>
            <w:tcW w:w="140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165"/>
        </w:trPr>
        <w:tc>
          <w:tcPr>
            <w:tcW w:w="2100" w:type="dxa"/>
            <w:vAlign w:val="bottom"/>
            <w:tcBorders>
              <w:bottom w:val="single" w:sz="8" w:color="732282"/>
            </w:tcBorders>
            <w:shd w:val="clear" w:color="auto" w:fill="444444"/>
          </w:tcPr>
          <w:p>
            <w:pPr>
              <w:spacing w:after="0"/>
              <w:rPr>
                <w:sz w:val="20"/>
                <w:szCs w:val="20"/>
                <w:color w:val="auto"/>
              </w:rPr>
            </w:pPr>
            <w:r>
              <w:rPr>
                <w:rFonts w:ascii="Arial" w:cs="Arial" w:eastAsia="Arial" w:hAnsi="Arial"/>
                <w:sz w:val="13"/>
                <w:szCs w:val="13"/>
                <w:b w:val="1"/>
                <w:bCs w:val="1"/>
                <w:color w:val="FFFFFF"/>
              </w:rPr>
              <w:t>N</w:t>
            </w:r>
            <w:r>
              <w:rPr>
                <w:rFonts w:ascii="Arial" w:cs="Arial" w:eastAsia="Arial" w:hAnsi="Arial"/>
                <w:sz w:val="11"/>
                <w:szCs w:val="11"/>
                <w:b w:val="1"/>
                <w:bCs w:val="1"/>
                <w:color w:val="FFFFFF"/>
              </w:rPr>
              <w:t>AME</w:t>
            </w:r>
          </w:p>
        </w:tc>
        <w:tc>
          <w:tcPr>
            <w:tcW w:w="1000" w:type="dxa"/>
            <w:vAlign w:val="bottom"/>
            <w:tcBorders>
              <w:bottom w:val="single" w:sz="8" w:color="732282"/>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Exercisable</w:t>
            </w:r>
          </w:p>
        </w:tc>
        <w:tc>
          <w:tcPr>
            <w:tcW w:w="1220" w:type="dxa"/>
            <w:vAlign w:val="bottom"/>
            <w:tcBorders>
              <w:bottom w:val="single" w:sz="8" w:color="732282"/>
            </w:tcBorders>
            <w:shd w:val="clear" w:color="auto" w:fill="444444"/>
          </w:tcPr>
          <w:p>
            <w:pPr>
              <w:jc w:val="right"/>
              <w:spacing w:after="0" w:line="165" w:lineRule="exact"/>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18"/>
                <w:szCs w:val="18"/>
                <w:b w:val="1"/>
                <w:bCs w:val="1"/>
                <w:color w:val="FFFFFF"/>
                <w:vertAlign w:val="superscript"/>
              </w:rPr>
              <w:t>(1)</w:t>
            </w:r>
          </w:p>
        </w:tc>
        <w:tc>
          <w:tcPr>
            <w:tcW w:w="840" w:type="dxa"/>
            <w:vAlign w:val="bottom"/>
            <w:tcBorders>
              <w:bottom w:val="single" w:sz="8" w:color="732282"/>
            </w:tcBorders>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($a)</w:t>
            </w:r>
          </w:p>
        </w:tc>
        <w:tc>
          <w:tcPr>
            <w:tcW w:w="840" w:type="dxa"/>
            <w:vAlign w:val="bottom"/>
            <w:tcBorders>
              <w:bottom w:val="single" w:sz="8" w:color="732282"/>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Date</w:t>
            </w:r>
          </w:p>
        </w:tc>
        <w:tc>
          <w:tcPr>
            <w:tcW w:w="580" w:type="dxa"/>
            <w:vAlign w:val="bottom"/>
            <w:tcBorders>
              <w:bottom w:val="single" w:sz="8" w:color="732282"/>
            </w:tcBorders>
          </w:tcPr>
          <w:p>
            <w:pPr>
              <w:spacing w:after="0"/>
              <w:rPr>
                <w:sz w:val="14"/>
                <w:szCs w:val="14"/>
                <w:color w:val="auto"/>
              </w:rPr>
            </w:pPr>
          </w:p>
        </w:tc>
        <w:tc>
          <w:tcPr>
            <w:tcW w:w="980" w:type="dxa"/>
            <w:vAlign w:val="bottom"/>
            <w:tcBorders>
              <w:bottom w:val="single" w:sz="8" w:color="732282"/>
            </w:tcBorders>
            <w:gridSpan w:val="2"/>
            <w:shd w:val="clear" w:color="auto" w:fill="444444"/>
          </w:tcPr>
          <w:p>
            <w:pPr>
              <w:jc w:val="right"/>
              <w:ind w:right="113"/>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(2)</w:t>
            </w:r>
          </w:p>
        </w:tc>
        <w:tc>
          <w:tcPr>
            <w:tcW w:w="840" w:type="dxa"/>
            <w:vAlign w:val="bottom"/>
            <w:tcBorders>
              <w:bottom w:val="single" w:sz="8" w:color="732282"/>
            </w:tcBorders>
            <w:shd w:val="clear" w:color="auto" w:fill="444444"/>
          </w:tcPr>
          <w:p>
            <w:pPr>
              <w:jc w:val="right"/>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(3)</w:t>
            </w:r>
          </w:p>
        </w:tc>
        <w:tc>
          <w:tcPr>
            <w:tcW w:w="1220" w:type="dxa"/>
            <w:vAlign w:val="bottom"/>
            <w:tcBorders>
              <w:bottom w:val="single" w:sz="8" w:color="732282"/>
            </w:tcBorders>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Vested (#)</w:t>
            </w:r>
          </w:p>
        </w:tc>
        <w:tc>
          <w:tcPr>
            <w:tcW w:w="1400" w:type="dxa"/>
            <w:vAlign w:val="bottom"/>
            <w:tcBorders>
              <w:bottom w:val="single" w:sz="8" w:color="732282"/>
            </w:tcBorders>
            <w:shd w:val="clear" w:color="auto" w:fill="444444"/>
          </w:tcPr>
          <w:p>
            <w:pPr>
              <w:jc w:val="right"/>
              <w:ind w:right="93"/>
              <w:spacing w:after="0" w:line="165"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(3)</w:t>
            </w:r>
          </w:p>
        </w:tc>
        <w:tc>
          <w:tcPr>
            <w:tcW w:w="0" w:type="dxa"/>
            <w:vAlign w:val="bottom"/>
          </w:tcPr>
          <w:p>
            <w:pPr>
              <w:spacing w:after="0"/>
              <w:rPr>
                <w:sz w:val="1"/>
                <w:szCs w:val="1"/>
                <w:color w:val="auto"/>
              </w:rPr>
            </w:pPr>
          </w:p>
        </w:tc>
      </w:tr>
      <w:tr>
        <w:trPr>
          <w:trHeight w:val="141"/>
        </w:trPr>
        <w:tc>
          <w:tcPr>
            <w:tcW w:w="2100" w:type="dxa"/>
            <w:vAlign w:val="bottom"/>
          </w:tcPr>
          <w:p>
            <w:pPr>
              <w:ind w:left="120"/>
              <w:spacing w:after="0" w:line="141" w:lineRule="exact"/>
              <w:rPr>
                <w:sz w:val="20"/>
                <w:szCs w:val="20"/>
                <w:color w:val="auto"/>
              </w:rPr>
            </w:pPr>
            <w:r>
              <w:rPr>
                <w:rFonts w:ascii="Arial" w:cs="Arial" w:eastAsia="Arial" w:hAnsi="Arial"/>
                <w:sz w:val="13"/>
                <w:szCs w:val="13"/>
                <w:b w:val="1"/>
                <w:bCs w:val="1"/>
                <w:color w:val="auto"/>
              </w:rPr>
              <w:t>Robert J. Coury</w:t>
            </w:r>
          </w:p>
        </w:tc>
        <w:tc>
          <w:tcPr>
            <w:tcW w:w="1000" w:type="dxa"/>
            <w:vAlign w:val="bottom"/>
          </w:tcPr>
          <w:p>
            <w:pPr>
              <w:jc w:val="right"/>
              <w:spacing w:after="0" w:line="141" w:lineRule="exact"/>
              <w:rPr>
                <w:sz w:val="20"/>
                <w:szCs w:val="20"/>
                <w:color w:val="auto"/>
              </w:rPr>
            </w:pPr>
            <w:r>
              <w:rPr>
                <w:rFonts w:ascii="Arial" w:cs="Arial" w:eastAsia="Arial" w:hAnsi="Arial"/>
                <w:sz w:val="13"/>
                <w:szCs w:val="13"/>
                <w:color w:val="auto"/>
              </w:rPr>
              <w:t>4,413</w:t>
            </w:r>
          </w:p>
        </w:tc>
        <w:tc>
          <w:tcPr>
            <w:tcW w:w="1220" w:type="dxa"/>
            <w:vAlign w:val="bottom"/>
          </w:tcPr>
          <w:p>
            <w:pPr>
              <w:ind w:left="1060"/>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1" w:lineRule="exact"/>
              <w:rPr>
                <w:sz w:val="20"/>
                <w:szCs w:val="20"/>
                <w:color w:val="auto"/>
              </w:rPr>
            </w:pPr>
            <w:r>
              <w:rPr>
                <w:rFonts w:ascii="Arial" w:cs="Arial" w:eastAsia="Arial" w:hAnsi="Arial"/>
                <w:sz w:val="13"/>
                <w:szCs w:val="13"/>
                <w:color w:val="auto"/>
              </w:rPr>
              <w:t>22.66</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3/2/2021</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line="141"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4,266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23.44</w:t>
            </w:r>
          </w:p>
        </w:tc>
        <w:tc>
          <w:tcPr>
            <w:tcW w:w="840" w:type="dxa"/>
            <w:vAlign w:val="bottom"/>
          </w:tcPr>
          <w:p>
            <w:pPr>
              <w:jc w:val="right"/>
              <w:spacing w:after="0"/>
              <w:rPr>
                <w:sz w:val="20"/>
                <w:szCs w:val="20"/>
                <w:color w:val="auto"/>
              </w:rPr>
            </w:pPr>
            <w:r>
              <w:rPr>
                <w:rFonts w:ascii="Arial" w:cs="Arial" w:eastAsia="Arial" w:hAnsi="Arial"/>
                <w:sz w:val="13"/>
                <w:szCs w:val="13"/>
                <w:color w:val="auto"/>
              </w:rPr>
              <w:t>2/22/2022</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3,236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30.90</w:t>
            </w:r>
          </w:p>
        </w:tc>
        <w:tc>
          <w:tcPr>
            <w:tcW w:w="840" w:type="dxa"/>
            <w:vAlign w:val="bottom"/>
          </w:tcPr>
          <w:p>
            <w:pPr>
              <w:jc w:val="right"/>
              <w:spacing w:after="0"/>
              <w:rPr>
                <w:sz w:val="20"/>
                <w:szCs w:val="20"/>
                <w:color w:val="auto"/>
              </w:rPr>
            </w:pPr>
            <w:r>
              <w:rPr>
                <w:rFonts w:ascii="Arial" w:cs="Arial" w:eastAsia="Arial" w:hAnsi="Arial"/>
                <w:sz w:val="13"/>
                <w:szCs w:val="13"/>
                <w:color w:val="auto"/>
              </w:rPr>
              <w:t>3/6/2023</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58,952</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55.84</w:t>
            </w:r>
          </w:p>
        </w:tc>
        <w:tc>
          <w:tcPr>
            <w:tcW w:w="840" w:type="dxa"/>
            <w:vAlign w:val="bottom"/>
          </w:tcPr>
          <w:p>
            <w:pPr>
              <w:jc w:val="right"/>
              <w:spacing w:after="0"/>
              <w:rPr>
                <w:sz w:val="20"/>
                <w:szCs w:val="20"/>
                <w:color w:val="auto"/>
              </w:rPr>
            </w:pPr>
            <w:r>
              <w:rPr>
                <w:rFonts w:ascii="Arial" w:cs="Arial" w:eastAsia="Arial" w:hAnsi="Arial"/>
                <w:sz w:val="13"/>
                <w:szCs w:val="13"/>
                <w:color w:val="auto"/>
              </w:rPr>
              <w:t>3/5/2024</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63,235</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50.66</w:t>
            </w:r>
          </w:p>
        </w:tc>
        <w:tc>
          <w:tcPr>
            <w:tcW w:w="840" w:type="dxa"/>
            <w:vAlign w:val="bottom"/>
          </w:tcPr>
          <w:p>
            <w:pPr>
              <w:jc w:val="right"/>
              <w:spacing w:after="0"/>
              <w:rPr>
                <w:sz w:val="20"/>
                <w:szCs w:val="20"/>
                <w:color w:val="auto"/>
              </w:rPr>
            </w:pPr>
            <w:r>
              <w:rPr>
                <w:rFonts w:ascii="Arial" w:cs="Arial" w:eastAsia="Arial" w:hAnsi="Arial"/>
                <w:sz w:val="13"/>
                <w:szCs w:val="13"/>
                <w:color w:val="auto"/>
              </w:rPr>
              <w:t>11/17/2025</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82,776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46.27</w:t>
            </w:r>
          </w:p>
        </w:tc>
        <w:tc>
          <w:tcPr>
            <w:tcW w:w="840" w:type="dxa"/>
            <w:vAlign w:val="bottom"/>
          </w:tcPr>
          <w:p>
            <w:pPr>
              <w:jc w:val="right"/>
              <w:spacing w:after="0"/>
              <w:rPr>
                <w:sz w:val="20"/>
                <w:szCs w:val="20"/>
                <w:color w:val="auto"/>
              </w:rPr>
            </w:pPr>
            <w:r>
              <w:rPr>
                <w:rFonts w:ascii="Arial" w:cs="Arial" w:eastAsia="Arial" w:hAnsi="Arial"/>
                <w:sz w:val="13"/>
                <w:szCs w:val="13"/>
                <w:color w:val="auto"/>
              </w:rPr>
              <w:t>2/17/2026</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13"/>
              <w:spacing w:after="0" w:line="146" w:lineRule="exact"/>
              <w:rPr>
                <w:sz w:val="20"/>
                <w:szCs w:val="20"/>
                <w:color w:val="auto"/>
              </w:rPr>
            </w:pPr>
            <w:r>
              <w:rPr>
                <w:rFonts w:ascii="Arial" w:cs="Arial" w:eastAsia="Arial" w:hAnsi="Arial"/>
                <w:sz w:val="13"/>
                <w:szCs w:val="13"/>
                <w:color w:val="auto"/>
              </w:rPr>
              <w:t>250,000</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4,685,000</w:t>
            </w:r>
          </w:p>
        </w:tc>
        <w:tc>
          <w:tcPr>
            <w:tcW w:w="1220" w:type="dxa"/>
            <w:vAlign w:val="bottom"/>
          </w:tcPr>
          <w:p>
            <w:pPr>
              <w:jc w:val="right"/>
              <w:ind w:right="113"/>
              <w:spacing w:after="0" w:line="146"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
              <w:spacing w:after="0" w:line="152" w:lineRule="exact"/>
              <w:rPr>
                <w:sz w:val="20"/>
                <w:szCs w:val="20"/>
                <w:color w:val="auto"/>
              </w:rPr>
            </w:pPr>
            <w:r>
              <w:rPr>
                <w:rFonts w:ascii="Arial" w:cs="Arial" w:eastAsia="Arial" w:hAnsi="Arial"/>
                <w:sz w:val="13"/>
                <w:szCs w:val="13"/>
                <w:color w:val="auto"/>
              </w:rPr>
              <w:t>1,600,000</w:t>
            </w:r>
            <w:r>
              <w:rPr>
                <w:rFonts w:ascii="Arial" w:cs="Arial" w:eastAsia="Arial" w:hAnsi="Arial"/>
                <w:sz w:val="17"/>
                <w:szCs w:val="17"/>
                <w:color w:val="auto"/>
                <w:vertAlign w:val="superscript"/>
              </w:rPr>
              <w:t>(4)</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29,984,000</w:t>
            </w:r>
          </w:p>
        </w:tc>
        <w:tc>
          <w:tcPr>
            <w:tcW w:w="0" w:type="dxa"/>
            <w:vAlign w:val="bottom"/>
          </w:tcPr>
          <w:p>
            <w:pPr>
              <w:spacing w:after="0"/>
              <w:rPr>
                <w:sz w:val="1"/>
                <w:szCs w:val="1"/>
                <w:color w:val="auto"/>
              </w:rPr>
            </w:pPr>
          </w:p>
        </w:tc>
      </w:tr>
      <w:tr>
        <w:trPr>
          <w:trHeight w:val="145"/>
        </w:trPr>
        <w:tc>
          <w:tcPr>
            <w:tcW w:w="2100" w:type="dxa"/>
            <w:vAlign w:val="bottom"/>
            <w:shd w:val="clear" w:color="auto" w:fill="EAEAEA"/>
          </w:tcPr>
          <w:p>
            <w:pPr>
              <w:ind w:left="120"/>
              <w:spacing w:after="0" w:line="146" w:lineRule="exact"/>
              <w:rPr>
                <w:sz w:val="20"/>
                <w:szCs w:val="20"/>
                <w:color w:val="auto"/>
              </w:rPr>
            </w:pPr>
            <w:r>
              <w:rPr>
                <w:rFonts w:ascii="Arial" w:cs="Arial" w:eastAsia="Arial" w:hAnsi="Arial"/>
                <w:sz w:val="13"/>
                <w:szCs w:val="13"/>
                <w:b w:val="1"/>
                <w:bCs w:val="1"/>
                <w:color w:val="auto"/>
              </w:rPr>
              <w:t>Michael Goettler</w:t>
            </w:r>
          </w:p>
        </w:tc>
        <w:tc>
          <w:tcPr>
            <w:tcW w:w="1000" w:type="dxa"/>
            <w:vAlign w:val="bottom"/>
            <w:shd w:val="clear" w:color="auto" w:fill="EAEAEA"/>
          </w:tcPr>
          <w:p>
            <w:pPr>
              <w:jc w:val="right"/>
              <w:spacing w:after="0" w:line="146" w:lineRule="exact"/>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980" w:type="dxa"/>
            <w:vAlign w:val="bottom"/>
            <w:gridSpan w:val="2"/>
            <w:shd w:val="clear" w:color="auto" w:fill="EAEAEA"/>
          </w:tcPr>
          <w:p>
            <w:pPr>
              <w:jc w:val="right"/>
              <w:ind w:right="13"/>
              <w:spacing w:after="0" w:line="145" w:lineRule="exact"/>
              <w:rPr>
                <w:sz w:val="20"/>
                <w:szCs w:val="20"/>
                <w:color w:val="auto"/>
              </w:rPr>
            </w:pPr>
            <w:r>
              <w:rPr>
                <w:rFonts w:ascii="Arial" w:cs="Arial" w:eastAsia="Arial" w:hAnsi="Arial"/>
                <w:sz w:val="12"/>
                <w:szCs w:val="12"/>
                <w:color w:val="auto"/>
              </w:rPr>
              <w:t>3,499</w:t>
            </w:r>
            <w:r>
              <w:rPr>
                <w:rFonts w:ascii="Arial" w:cs="Arial" w:eastAsia="Arial" w:hAnsi="Arial"/>
                <w:sz w:val="16"/>
                <w:szCs w:val="16"/>
                <w:color w:val="auto"/>
                <w:vertAlign w:val="superscript"/>
              </w:rPr>
              <w:t>(5)</w:t>
            </w:r>
          </w:p>
        </w:tc>
        <w:tc>
          <w:tcPr>
            <w:tcW w:w="840" w:type="dxa"/>
            <w:vAlign w:val="bottom"/>
            <w:shd w:val="clear" w:color="auto" w:fill="EAEAEA"/>
          </w:tcPr>
          <w:p>
            <w:pPr>
              <w:jc w:val="right"/>
              <w:spacing w:after="0" w:line="146" w:lineRule="exact"/>
              <w:rPr>
                <w:sz w:val="20"/>
                <w:szCs w:val="20"/>
                <w:color w:val="auto"/>
              </w:rPr>
            </w:pPr>
            <w:r>
              <w:rPr>
                <w:rFonts w:ascii="Arial" w:cs="Arial" w:eastAsia="Arial" w:hAnsi="Arial"/>
                <w:sz w:val="13"/>
                <w:szCs w:val="13"/>
                <w:color w:val="auto"/>
              </w:rPr>
              <w:t>65,571</w:t>
            </w:r>
          </w:p>
        </w:tc>
        <w:tc>
          <w:tcPr>
            <w:tcW w:w="1220" w:type="dxa"/>
            <w:vAlign w:val="bottom"/>
            <w:shd w:val="clear" w:color="auto" w:fill="EAEAEA"/>
          </w:tcPr>
          <w:p>
            <w:pPr>
              <w:jc w:val="right"/>
              <w:ind w:right="113"/>
              <w:spacing w:after="0" w:line="146" w:lineRule="exact"/>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980" w:type="dxa"/>
            <w:vAlign w:val="bottom"/>
            <w:gridSpan w:val="2"/>
            <w:shd w:val="clear" w:color="auto" w:fill="EAEAEA"/>
          </w:tcPr>
          <w:p>
            <w:pPr>
              <w:jc w:val="right"/>
              <w:ind w:right="13"/>
              <w:spacing w:after="0" w:line="149" w:lineRule="exact"/>
              <w:rPr>
                <w:sz w:val="20"/>
                <w:szCs w:val="20"/>
                <w:color w:val="auto"/>
              </w:rPr>
            </w:pPr>
            <w:r>
              <w:rPr>
                <w:rFonts w:ascii="Arial" w:cs="Arial" w:eastAsia="Arial" w:hAnsi="Arial"/>
                <w:sz w:val="13"/>
                <w:szCs w:val="13"/>
                <w:color w:val="auto"/>
              </w:rPr>
              <w:t>53,958</w:t>
            </w:r>
            <w:r>
              <w:rPr>
                <w:rFonts w:ascii="Arial" w:cs="Arial" w:eastAsia="Arial" w:hAnsi="Arial"/>
                <w:sz w:val="17"/>
                <w:szCs w:val="17"/>
                <w:color w:val="auto"/>
                <w:vertAlign w:val="superscript"/>
              </w:rPr>
              <w:t>(5)</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1,011,173</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100" w:type="dxa"/>
            <w:vAlign w:val="bottom"/>
            <w:shd w:val="clear" w:color="auto" w:fill="EAEAEA"/>
          </w:tcPr>
          <w:p>
            <w:pPr>
              <w:spacing w:after="0"/>
              <w:rPr>
                <w:sz w:val="13"/>
                <w:szCs w:val="13"/>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980" w:type="dxa"/>
            <w:vAlign w:val="bottom"/>
            <w:gridSpan w:val="2"/>
            <w:shd w:val="clear" w:color="auto" w:fill="EAEAEA"/>
          </w:tcPr>
          <w:p>
            <w:pPr>
              <w:jc w:val="right"/>
              <w:ind w:right="13"/>
              <w:spacing w:after="0" w:line="152" w:lineRule="exact"/>
              <w:rPr>
                <w:sz w:val="20"/>
                <w:szCs w:val="20"/>
                <w:color w:val="auto"/>
              </w:rPr>
            </w:pPr>
            <w:r>
              <w:rPr>
                <w:rFonts w:ascii="Arial" w:cs="Arial" w:eastAsia="Arial" w:hAnsi="Arial"/>
                <w:sz w:val="13"/>
                <w:szCs w:val="13"/>
                <w:color w:val="auto"/>
              </w:rPr>
              <w:t>119,975</w:t>
            </w:r>
            <w:r>
              <w:rPr>
                <w:rFonts w:ascii="Arial" w:cs="Arial" w:eastAsia="Arial" w:hAnsi="Arial"/>
                <w:sz w:val="17"/>
                <w:szCs w:val="17"/>
                <w:color w:val="auto"/>
                <w:vertAlign w:val="superscript"/>
              </w:rPr>
              <w:t>(5)</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2,248,332</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20"/>
              <w:spacing w:after="0"/>
              <w:rPr>
                <w:sz w:val="20"/>
                <w:szCs w:val="20"/>
                <w:color w:val="auto"/>
              </w:rPr>
            </w:pPr>
            <w:r>
              <w:rPr>
                <w:rFonts w:ascii="Arial" w:cs="Arial" w:eastAsia="Arial" w:hAnsi="Arial"/>
                <w:sz w:val="13"/>
                <w:szCs w:val="13"/>
                <w:b w:val="1"/>
                <w:bCs w:val="1"/>
                <w:color w:val="auto"/>
              </w:rPr>
              <w:t>Sanjeev Narula</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980" w:type="dxa"/>
            <w:vAlign w:val="bottom"/>
            <w:gridSpan w:val="2"/>
          </w:tcPr>
          <w:p>
            <w:pPr>
              <w:jc w:val="right"/>
              <w:ind w:right="13"/>
              <w:spacing w:after="0" w:line="149" w:lineRule="exact"/>
              <w:rPr>
                <w:sz w:val="20"/>
                <w:szCs w:val="20"/>
                <w:color w:val="auto"/>
              </w:rPr>
            </w:pPr>
            <w:r>
              <w:rPr>
                <w:rFonts w:ascii="Arial" w:cs="Arial" w:eastAsia="Arial" w:hAnsi="Arial"/>
                <w:sz w:val="13"/>
                <w:szCs w:val="13"/>
                <w:color w:val="auto"/>
              </w:rPr>
              <w:t>21,246</w:t>
            </w:r>
            <w:r>
              <w:rPr>
                <w:rFonts w:ascii="Arial" w:cs="Arial" w:eastAsia="Arial" w:hAnsi="Arial"/>
                <w:sz w:val="17"/>
                <w:szCs w:val="17"/>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398,150</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ind w:left="120"/>
              <w:spacing w:after="0" w:line="148" w:lineRule="exact"/>
              <w:rPr>
                <w:sz w:val="20"/>
                <w:szCs w:val="20"/>
                <w:color w:val="auto"/>
              </w:rPr>
            </w:pPr>
            <w:r>
              <w:rPr>
                <w:rFonts w:ascii="Arial" w:cs="Arial" w:eastAsia="Arial" w:hAnsi="Arial"/>
                <w:sz w:val="13"/>
                <w:szCs w:val="13"/>
                <w:b w:val="1"/>
                <w:bCs w:val="1"/>
                <w:color w:val="auto"/>
              </w:rPr>
              <w:t>Rajiv Malik</w:t>
            </w:r>
          </w:p>
        </w:tc>
        <w:tc>
          <w:tcPr>
            <w:tcW w:w="100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34,389</w:t>
            </w:r>
          </w:p>
        </w:tc>
        <w:tc>
          <w:tcPr>
            <w:tcW w:w="1220" w:type="dxa"/>
            <w:vAlign w:val="bottom"/>
            <w:shd w:val="clear" w:color="auto" w:fill="EAEAEA"/>
          </w:tcPr>
          <w:p>
            <w:pPr>
              <w:ind w:left="1060"/>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line="148" w:lineRule="exact"/>
              <w:rPr>
                <w:sz w:val="20"/>
                <w:szCs w:val="20"/>
                <w:color w:val="auto"/>
              </w:rPr>
            </w:pPr>
            <w:r>
              <w:rPr>
                <w:rFonts w:ascii="Arial" w:cs="Arial" w:eastAsia="Arial" w:hAnsi="Arial"/>
                <w:sz w:val="13"/>
                <w:szCs w:val="13"/>
                <w:color w:val="auto"/>
              </w:rPr>
              <w:t>55.84</w:t>
            </w:r>
          </w:p>
        </w:tc>
        <w:tc>
          <w:tcPr>
            <w:tcW w:w="8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3/5/2024</w:t>
            </w:r>
          </w:p>
        </w:tc>
        <w:tc>
          <w:tcPr>
            <w:tcW w:w="580" w:type="dxa"/>
            <w:vAlign w:val="bottom"/>
          </w:tcPr>
          <w:p>
            <w:pPr>
              <w:spacing w:after="0"/>
              <w:rPr>
                <w:sz w:val="12"/>
                <w:szCs w:val="12"/>
                <w:color w:val="auto"/>
              </w:rPr>
            </w:pPr>
          </w:p>
        </w:tc>
        <w:tc>
          <w:tcPr>
            <w:tcW w:w="980" w:type="dxa"/>
            <w:vAlign w:val="bottom"/>
            <w:gridSpan w:val="2"/>
            <w:shd w:val="clear" w:color="auto" w:fill="EAEAEA"/>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41,637</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50.66</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11/17/2025</w:t>
            </w:r>
          </w:p>
        </w:tc>
        <w:tc>
          <w:tcPr>
            <w:tcW w:w="580" w:type="dxa"/>
            <w:vAlign w:val="bottom"/>
          </w:tcPr>
          <w:p>
            <w:pPr>
              <w:spacing w:after="0"/>
              <w:rPr>
                <w:sz w:val="12"/>
                <w:szCs w:val="12"/>
                <w:color w:val="auto"/>
              </w:rPr>
            </w:pPr>
          </w:p>
        </w:tc>
        <w:tc>
          <w:tcPr>
            <w:tcW w:w="980" w:type="dxa"/>
            <w:vAlign w:val="bottom"/>
            <w:gridSpan w:val="2"/>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50,168</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46.27</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2/17/2026</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65,574</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45.18</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3/3/2027</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47,733</w:t>
            </w:r>
          </w:p>
        </w:tc>
        <w:tc>
          <w:tcPr>
            <w:tcW w:w="1220" w:type="dxa"/>
            <w:vAlign w:val="bottom"/>
            <w:shd w:val="clear" w:color="auto" w:fill="EAEAEA"/>
          </w:tcPr>
          <w:p>
            <w:pPr>
              <w:ind w:left="780"/>
              <w:spacing w:after="0"/>
              <w:rPr>
                <w:sz w:val="20"/>
                <w:szCs w:val="20"/>
                <w:color w:val="auto"/>
              </w:rPr>
            </w:pPr>
            <w:r>
              <w:rPr>
                <w:rFonts w:ascii="Arial" w:cs="Arial" w:eastAsia="Arial" w:hAnsi="Arial"/>
                <w:sz w:val="13"/>
                <w:szCs w:val="13"/>
                <w:color w:val="auto"/>
              </w:rPr>
              <w:t>23,867</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40.97</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3/2/2028</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20,018</w:t>
            </w:r>
          </w:p>
        </w:tc>
        <w:tc>
          <w:tcPr>
            <w:tcW w:w="1220" w:type="dxa"/>
            <w:vAlign w:val="bottom"/>
            <w:shd w:val="clear" w:color="auto" w:fill="EAEAEA"/>
          </w:tcPr>
          <w:p>
            <w:pPr>
              <w:ind w:left="780"/>
              <w:spacing w:after="0"/>
              <w:rPr>
                <w:sz w:val="20"/>
                <w:szCs w:val="20"/>
                <w:color w:val="auto"/>
              </w:rPr>
            </w:pPr>
            <w:r>
              <w:rPr>
                <w:rFonts w:ascii="Arial" w:cs="Arial" w:eastAsia="Arial" w:hAnsi="Arial"/>
                <w:sz w:val="13"/>
                <w:szCs w:val="13"/>
                <w:color w:val="auto"/>
              </w:rPr>
              <w:t>40,035</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27.45</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3/1/2029</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780"/>
              <w:spacing w:after="0"/>
              <w:rPr>
                <w:sz w:val="20"/>
                <w:szCs w:val="20"/>
                <w:color w:val="auto"/>
              </w:rPr>
            </w:pPr>
            <w:r>
              <w:rPr>
                <w:rFonts w:ascii="Arial" w:cs="Arial" w:eastAsia="Arial" w:hAnsi="Arial"/>
                <w:sz w:val="13"/>
                <w:szCs w:val="13"/>
                <w:color w:val="auto"/>
              </w:rPr>
              <w:t>84,871</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17.48</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3/2/2030</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14,645</w:t>
            </w:r>
          </w:p>
        </w:tc>
        <w:tc>
          <w:tcPr>
            <w:tcW w:w="160" w:type="dxa"/>
            <w:vAlign w:val="bottom"/>
            <w:vMerge w:val="restart"/>
            <w:shd w:val="clear" w:color="auto" w:fill="EAEAEA"/>
          </w:tcPr>
          <w:p>
            <w:pPr>
              <w:jc w:val="right"/>
              <w:ind w:right="13"/>
              <w:spacing w:after="0"/>
              <w:rPr>
                <w:sz w:val="20"/>
                <w:szCs w:val="20"/>
                <w:color w:val="auto"/>
              </w:rPr>
            </w:pPr>
            <w:r>
              <w:rPr>
                <w:rFonts w:ascii="Arial" w:cs="Arial" w:eastAsia="Arial" w:hAnsi="Arial"/>
                <w:sz w:val="9"/>
                <w:szCs w:val="9"/>
                <w:color w:val="auto"/>
                <w:w w:val="72"/>
              </w:rPr>
              <w:t>(6)</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274,447</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73,225</w:t>
            </w:r>
          </w:p>
        </w:tc>
        <w:tc>
          <w:tcPr>
            <w:tcW w:w="160" w:type="dxa"/>
            <w:vAlign w:val="bottom"/>
            <w:vMerge w:val="continue"/>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1,372,237</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67,031</w:t>
            </w:r>
          </w:p>
        </w:tc>
        <w:tc>
          <w:tcPr>
            <w:tcW w:w="160" w:type="dxa"/>
            <w:vAlign w:val="bottom"/>
            <w:vMerge w:val="restart"/>
            <w:shd w:val="clear" w:color="auto" w:fill="EAEAEA"/>
          </w:tcPr>
          <w:p>
            <w:pPr>
              <w:jc w:val="right"/>
              <w:ind w:right="13"/>
              <w:spacing w:after="0"/>
              <w:rPr>
                <w:sz w:val="20"/>
                <w:szCs w:val="20"/>
                <w:color w:val="auto"/>
              </w:rPr>
            </w:pPr>
            <w:r>
              <w:rPr>
                <w:rFonts w:ascii="Arial" w:cs="Arial" w:eastAsia="Arial" w:hAnsi="Arial"/>
                <w:sz w:val="9"/>
                <w:szCs w:val="9"/>
                <w:color w:val="auto"/>
                <w:w w:val="72"/>
              </w:rPr>
              <w:t>(6)</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1,256,161</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125,684</w:t>
            </w:r>
          </w:p>
        </w:tc>
        <w:tc>
          <w:tcPr>
            <w:tcW w:w="160" w:type="dxa"/>
            <w:vAlign w:val="bottom"/>
            <w:vMerge w:val="continue"/>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2,355,318</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157,895</w:t>
            </w:r>
          </w:p>
        </w:tc>
        <w:tc>
          <w:tcPr>
            <w:tcW w:w="160" w:type="dxa"/>
            <w:vAlign w:val="bottom"/>
            <w:vMerge w:val="restart"/>
            <w:shd w:val="clear" w:color="auto" w:fill="EAEAEA"/>
          </w:tcPr>
          <w:p>
            <w:pPr>
              <w:jc w:val="right"/>
              <w:ind w:right="13"/>
              <w:spacing w:after="0"/>
              <w:rPr>
                <w:sz w:val="20"/>
                <w:szCs w:val="20"/>
                <w:color w:val="auto"/>
              </w:rPr>
            </w:pPr>
            <w:r>
              <w:rPr>
                <w:rFonts w:ascii="Arial" w:cs="Arial" w:eastAsia="Arial" w:hAnsi="Arial"/>
                <w:sz w:val="9"/>
                <w:szCs w:val="9"/>
                <w:color w:val="auto"/>
                <w:w w:val="72"/>
              </w:rPr>
              <w:t>(6)</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2,958,952</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197,369</w:t>
            </w:r>
          </w:p>
        </w:tc>
        <w:tc>
          <w:tcPr>
            <w:tcW w:w="160" w:type="dxa"/>
            <w:vAlign w:val="bottom"/>
            <w:vMerge w:val="continue"/>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3,698,695</w:t>
            </w:r>
          </w:p>
        </w:tc>
        <w:tc>
          <w:tcPr>
            <w:tcW w:w="1220" w:type="dxa"/>
            <w:vAlign w:val="bottom"/>
            <w:shd w:val="clear" w:color="auto" w:fill="EAEAEA"/>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100" w:type="dxa"/>
            <w:vAlign w:val="bottom"/>
          </w:tcPr>
          <w:p>
            <w:pPr>
              <w:ind w:left="120"/>
              <w:spacing w:after="0"/>
              <w:rPr>
                <w:sz w:val="20"/>
                <w:szCs w:val="20"/>
                <w:color w:val="auto"/>
              </w:rPr>
            </w:pPr>
            <w:r>
              <w:rPr>
                <w:rFonts w:ascii="Arial" w:cs="Arial" w:eastAsia="Arial" w:hAnsi="Arial"/>
                <w:sz w:val="13"/>
                <w:szCs w:val="13"/>
                <w:b w:val="1"/>
                <w:bCs w:val="1"/>
                <w:color w:val="auto"/>
              </w:rPr>
              <w:t>Anthony Mauro</w:t>
            </w:r>
          </w:p>
        </w:tc>
        <w:tc>
          <w:tcPr>
            <w:tcW w:w="1000" w:type="dxa"/>
            <w:vAlign w:val="bottom"/>
          </w:tcPr>
          <w:p>
            <w:pPr>
              <w:jc w:val="right"/>
              <w:spacing w:after="0"/>
              <w:rPr>
                <w:sz w:val="20"/>
                <w:szCs w:val="20"/>
                <w:color w:val="auto"/>
              </w:rPr>
            </w:pPr>
            <w:r>
              <w:rPr>
                <w:rFonts w:ascii="Arial" w:cs="Arial" w:eastAsia="Arial" w:hAnsi="Arial"/>
                <w:sz w:val="13"/>
                <w:szCs w:val="13"/>
                <w:color w:val="auto"/>
              </w:rPr>
              <w:t>4,266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23.44</w:t>
            </w:r>
          </w:p>
        </w:tc>
        <w:tc>
          <w:tcPr>
            <w:tcW w:w="840" w:type="dxa"/>
            <w:vAlign w:val="bottom"/>
          </w:tcPr>
          <w:p>
            <w:pPr>
              <w:jc w:val="right"/>
              <w:spacing w:after="0"/>
              <w:rPr>
                <w:sz w:val="20"/>
                <w:szCs w:val="20"/>
                <w:color w:val="auto"/>
              </w:rPr>
            </w:pPr>
            <w:r>
              <w:rPr>
                <w:rFonts w:ascii="Arial" w:cs="Arial" w:eastAsia="Arial" w:hAnsi="Arial"/>
                <w:sz w:val="13"/>
                <w:szCs w:val="13"/>
                <w:color w:val="auto"/>
              </w:rPr>
              <w:t>2/22/2022</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3,236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30.90</w:t>
            </w:r>
          </w:p>
        </w:tc>
        <w:tc>
          <w:tcPr>
            <w:tcW w:w="840" w:type="dxa"/>
            <w:vAlign w:val="bottom"/>
          </w:tcPr>
          <w:p>
            <w:pPr>
              <w:jc w:val="right"/>
              <w:spacing w:after="0"/>
              <w:rPr>
                <w:sz w:val="20"/>
                <w:szCs w:val="20"/>
                <w:color w:val="auto"/>
              </w:rPr>
            </w:pPr>
            <w:r>
              <w:rPr>
                <w:rFonts w:ascii="Arial" w:cs="Arial" w:eastAsia="Arial" w:hAnsi="Arial"/>
                <w:sz w:val="13"/>
                <w:szCs w:val="13"/>
                <w:color w:val="auto"/>
              </w:rPr>
              <w:t>3/6/2023</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12,009</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55.84</w:t>
            </w:r>
          </w:p>
        </w:tc>
        <w:tc>
          <w:tcPr>
            <w:tcW w:w="840" w:type="dxa"/>
            <w:vAlign w:val="bottom"/>
          </w:tcPr>
          <w:p>
            <w:pPr>
              <w:jc w:val="right"/>
              <w:spacing w:after="0"/>
              <w:rPr>
                <w:sz w:val="20"/>
                <w:szCs w:val="20"/>
                <w:color w:val="auto"/>
              </w:rPr>
            </w:pPr>
            <w:r>
              <w:rPr>
                <w:rFonts w:ascii="Arial" w:cs="Arial" w:eastAsia="Arial" w:hAnsi="Arial"/>
                <w:sz w:val="13"/>
                <w:szCs w:val="13"/>
                <w:color w:val="auto"/>
              </w:rPr>
              <w:t>3/5/2024</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16,265</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50.66</w:t>
            </w:r>
          </w:p>
        </w:tc>
        <w:tc>
          <w:tcPr>
            <w:tcW w:w="840" w:type="dxa"/>
            <w:vAlign w:val="bottom"/>
          </w:tcPr>
          <w:p>
            <w:pPr>
              <w:jc w:val="right"/>
              <w:spacing w:after="0"/>
              <w:rPr>
                <w:sz w:val="20"/>
                <w:szCs w:val="20"/>
                <w:color w:val="auto"/>
              </w:rPr>
            </w:pPr>
            <w:r>
              <w:rPr>
                <w:rFonts w:ascii="Arial" w:cs="Arial" w:eastAsia="Arial" w:hAnsi="Arial"/>
                <w:sz w:val="13"/>
                <w:szCs w:val="13"/>
                <w:color w:val="auto"/>
              </w:rPr>
              <w:t>11/17/2025</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27,314</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46.27</w:t>
            </w:r>
          </w:p>
        </w:tc>
        <w:tc>
          <w:tcPr>
            <w:tcW w:w="840" w:type="dxa"/>
            <w:vAlign w:val="bottom"/>
          </w:tcPr>
          <w:p>
            <w:pPr>
              <w:jc w:val="right"/>
              <w:spacing w:after="0"/>
              <w:rPr>
                <w:sz w:val="20"/>
                <w:szCs w:val="20"/>
                <w:color w:val="auto"/>
              </w:rPr>
            </w:pPr>
            <w:r>
              <w:rPr>
                <w:rFonts w:ascii="Arial" w:cs="Arial" w:eastAsia="Arial" w:hAnsi="Arial"/>
                <w:sz w:val="13"/>
                <w:szCs w:val="13"/>
                <w:color w:val="auto"/>
              </w:rPr>
              <w:t>2/17/2026</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29275</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45.18</w:t>
            </w:r>
          </w:p>
        </w:tc>
        <w:tc>
          <w:tcPr>
            <w:tcW w:w="840" w:type="dxa"/>
            <w:vAlign w:val="bottom"/>
          </w:tcPr>
          <w:p>
            <w:pPr>
              <w:jc w:val="right"/>
              <w:spacing w:after="0"/>
              <w:rPr>
                <w:sz w:val="20"/>
                <w:szCs w:val="20"/>
                <w:color w:val="auto"/>
              </w:rPr>
            </w:pPr>
            <w:r>
              <w:rPr>
                <w:rFonts w:ascii="Arial" w:cs="Arial" w:eastAsia="Arial" w:hAnsi="Arial"/>
                <w:sz w:val="13"/>
                <w:szCs w:val="13"/>
                <w:color w:val="auto"/>
              </w:rPr>
              <w:t>3/3/2027</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19,889</w:t>
            </w:r>
          </w:p>
        </w:tc>
        <w:tc>
          <w:tcPr>
            <w:tcW w:w="1220" w:type="dxa"/>
            <w:vAlign w:val="bottom"/>
          </w:tcPr>
          <w:p>
            <w:pPr>
              <w:jc w:val="right"/>
              <w:spacing w:after="0"/>
              <w:rPr>
                <w:sz w:val="20"/>
                <w:szCs w:val="20"/>
                <w:color w:val="auto"/>
              </w:rPr>
            </w:pPr>
            <w:r>
              <w:rPr>
                <w:rFonts w:ascii="Arial" w:cs="Arial" w:eastAsia="Arial" w:hAnsi="Arial"/>
                <w:sz w:val="13"/>
                <w:szCs w:val="13"/>
                <w:color w:val="auto"/>
              </w:rPr>
              <w:t>9,944</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40.97</w:t>
            </w:r>
          </w:p>
        </w:tc>
        <w:tc>
          <w:tcPr>
            <w:tcW w:w="840" w:type="dxa"/>
            <w:vAlign w:val="bottom"/>
          </w:tcPr>
          <w:p>
            <w:pPr>
              <w:jc w:val="right"/>
              <w:spacing w:after="0"/>
              <w:rPr>
                <w:sz w:val="20"/>
                <w:szCs w:val="20"/>
                <w:color w:val="auto"/>
              </w:rPr>
            </w:pPr>
            <w:r>
              <w:rPr>
                <w:rFonts w:ascii="Arial" w:cs="Arial" w:eastAsia="Arial" w:hAnsi="Arial"/>
                <w:sz w:val="13"/>
                <w:szCs w:val="13"/>
                <w:color w:val="auto"/>
              </w:rPr>
              <w:t>3/2/2028</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9,284</w:t>
            </w:r>
          </w:p>
        </w:tc>
        <w:tc>
          <w:tcPr>
            <w:tcW w:w="1220" w:type="dxa"/>
            <w:vAlign w:val="bottom"/>
          </w:tcPr>
          <w:p>
            <w:pPr>
              <w:ind w:left="780"/>
              <w:spacing w:after="0"/>
              <w:rPr>
                <w:sz w:val="20"/>
                <w:szCs w:val="20"/>
                <w:color w:val="auto"/>
              </w:rPr>
            </w:pPr>
            <w:r>
              <w:rPr>
                <w:rFonts w:ascii="Arial" w:cs="Arial" w:eastAsia="Arial" w:hAnsi="Arial"/>
                <w:sz w:val="13"/>
                <w:szCs w:val="13"/>
                <w:color w:val="auto"/>
              </w:rPr>
              <w:t>18,567</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27.45</w:t>
            </w:r>
          </w:p>
        </w:tc>
        <w:tc>
          <w:tcPr>
            <w:tcW w:w="840" w:type="dxa"/>
            <w:vAlign w:val="bottom"/>
          </w:tcPr>
          <w:p>
            <w:pPr>
              <w:jc w:val="right"/>
              <w:spacing w:after="0"/>
              <w:rPr>
                <w:sz w:val="20"/>
                <w:szCs w:val="20"/>
                <w:color w:val="auto"/>
              </w:rPr>
            </w:pPr>
            <w:r>
              <w:rPr>
                <w:rFonts w:ascii="Arial" w:cs="Arial" w:eastAsia="Arial" w:hAnsi="Arial"/>
                <w:sz w:val="13"/>
                <w:szCs w:val="13"/>
                <w:color w:val="auto"/>
              </w:rPr>
              <w:t>3/1/2029</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780"/>
              <w:spacing w:after="0"/>
              <w:rPr>
                <w:sz w:val="20"/>
                <w:szCs w:val="20"/>
                <w:color w:val="auto"/>
              </w:rPr>
            </w:pPr>
            <w:r>
              <w:rPr>
                <w:rFonts w:ascii="Arial" w:cs="Arial" w:eastAsia="Arial" w:hAnsi="Arial"/>
                <w:sz w:val="13"/>
                <w:szCs w:val="13"/>
                <w:color w:val="auto"/>
              </w:rPr>
              <w:t>39,361</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17.48</w:t>
            </w:r>
          </w:p>
        </w:tc>
        <w:tc>
          <w:tcPr>
            <w:tcW w:w="840" w:type="dxa"/>
            <w:vAlign w:val="bottom"/>
          </w:tcPr>
          <w:p>
            <w:pPr>
              <w:jc w:val="right"/>
              <w:spacing w:after="0"/>
              <w:rPr>
                <w:sz w:val="20"/>
                <w:szCs w:val="20"/>
                <w:color w:val="auto"/>
              </w:rPr>
            </w:pPr>
            <w:r>
              <w:rPr>
                <w:rFonts w:ascii="Arial" w:cs="Arial" w:eastAsia="Arial" w:hAnsi="Arial"/>
                <w:sz w:val="13"/>
                <w:szCs w:val="13"/>
                <w:color w:val="auto"/>
              </w:rPr>
              <w:t>3/2/2030</w:t>
            </w:r>
          </w:p>
        </w:tc>
        <w:tc>
          <w:tcPr>
            <w:tcW w:w="580" w:type="dxa"/>
            <w:vAlign w:val="bottom"/>
          </w:tcPr>
          <w:p>
            <w:pPr>
              <w:spacing w:after="0"/>
              <w:rPr>
                <w:sz w:val="12"/>
                <w:szCs w:val="12"/>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13"/>
              <w:spacing w:after="0" w:line="146" w:lineRule="exact"/>
              <w:rPr>
                <w:sz w:val="20"/>
                <w:szCs w:val="20"/>
                <w:color w:val="auto"/>
              </w:rPr>
            </w:pPr>
            <w:r>
              <w:rPr>
                <w:rFonts w:ascii="Arial" w:cs="Arial" w:eastAsia="Arial" w:hAnsi="Arial"/>
                <w:sz w:val="13"/>
                <w:szCs w:val="13"/>
                <w:color w:val="auto"/>
              </w:rPr>
              <w:t>6,102</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114,351</w:t>
            </w:r>
          </w:p>
        </w:tc>
        <w:tc>
          <w:tcPr>
            <w:tcW w:w="1220" w:type="dxa"/>
            <w:vAlign w:val="bottom"/>
          </w:tcPr>
          <w:p>
            <w:pPr>
              <w:jc w:val="right"/>
              <w:ind w:right="113"/>
              <w:spacing w:after="0" w:line="146"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3"/>
              <w:spacing w:after="0" w:line="151" w:lineRule="exact"/>
              <w:rPr>
                <w:sz w:val="20"/>
                <w:szCs w:val="20"/>
                <w:color w:val="auto"/>
              </w:rPr>
            </w:pPr>
            <w:r>
              <w:rPr>
                <w:rFonts w:ascii="Arial" w:cs="Arial" w:eastAsia="Arial" w:hAnsi="Arial"/>
                <w:sz w:val="13"/>
                <w:szCs w:val="13"/>
                <w:color w:val="auto"/>
              </w:rPr>
              <w:t>30,511</w:t>
            </w:r>
            <w:r>
              <w:rPr>
                <w:rFonts w:ascii="Arial" w:cs="Arial" w:eastAsia="Arial" w:hAnsi="Arial"/>
                <w:sz w:val="17"/>
                <w:szCs w:val="1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571,776</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13"/>
              <w:spacing w:after="0" w:line="146" w:lineRule="exact"/>
              <w:rPr>
                <w:sz w:val="20"/>
                <w:szCs w:val="20"/>
                <w:color w:val="auto"/>
              </w:rPr>
            </w:pPr>
            <w:r>
              <w:rPr>
                <w:rFonts w:ascii="Arial" w:cs="Arial" w:eastAsia="Arial" w:hAnsi="Arial"/>
                <w:sz w:val="13"/>
                <w:szCs w:val="13"/>
                <w:color w:val="auto"/>
              </w:rPr>
              <w:t>31,087</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582,570</w:t>
            </w:r>
          </w:p>
        </w:tc>
        <w:tc>
          <w:tcPr>
            <w:tcW w:w="1220" w:type="dxa"/>
            <w:vAlign w:val="bottom"/>
          </w:tcPr>
          <w:p>
            <w:pPr>
              <w:jc w:val="right"/>
              <w:ind w:right="113"/>
              <w:spacing w:after="0" w:line="146"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3"/>
              <w:spacing w:after="0" w:line="151" w:lineRule="exact"/>
              <w:rPr>
                <w:sz w:val="20"/>
                <w:szCs w:val="20"/>
                <w:color w:val="auto"/>
              </w:rPr>
            </w:pPr>
            <w:r>
              <w:rPr>
                <w:rFonts w:ascii="Arial" w:cs="Arial" w:eastAsia="Arial" w:hAnsi="Arial"/>
                <w:sz w:val="13"/>
                <w:szCs w:val="13"/>
                <w:color w:val="auto"/>
              </w:rPr>
              <w:t>58,288</w:t>
            </w:r>
            <w:r>
              <w:rPr>
                <w:rFonts w:ascii="Arial" w:cs="Arial" w:eastAsia="Arial" w:hAnsi="Arial"/>
                <w:sz w:val="17"/>
                <w:szCs w:val="1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1,092,317</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13"/>
              <w:spacing w:after="0" w:line="146" w:lineRule="exact"/>
              <w:rPr>
                <w:sz w:val="20"/>
                <w:szCs w:val="20"/>
                <w:color w:val="auto"/>
              </w:rPr>
            </w:pPr>
            <w:r>
              <w:rPr>
                <w:rFonts w:ascii="Arial" w:cs="Arial" w:eastAsia="Arial" w:hAnsi="Arial"/>
                <w:sz w:val="13"/>
                <w:szCs w:val="13"/>
                <w:color w:val="auto"/>
              </w:rPr>
              <w:t>73,227</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1,372,274</w:t>
            </w:r>
          </w:p>
        </w:tc>
        <w:tc>
          <w:tcPr>
            <w:tcW w:w="1220" w:type="dxa"/>
            <w:vAlign w:val="bottom"/>
          </w:tcPr>
          <w:p>
            <w:pPr>
              <w:jc w:val="right"/>
              <w:ind w:right="113"/>
              <w:spacing w:after="0" w:line="146"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93"/>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100" w:type="dxa"/>
            <w:vAlign w:val="bottom"/>
            <w:tcBorders>
              <w:bottom w:val="single" w:sz="8" w:color="732282"/>
            </w:tcBorders>
          </w:tcPr>
          <w:p>
            <w:pPr>
              <w:spacing w:after="0"/>
              <w:rPr>
                <w:sz w:val="13"/>
                <w:szCs w:val="13"/>
                <w:color w:val="auto"/>
              </w:rPr>
            </w:pPr>
          </w:p>
        </w:tc>
        <w:tc>
          <w:tcPr>
            <w:tcW w:w="100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732282"/>
            </w:tcBorders>
          </w:tcPr>
          <w:p>
            <w:pPr>
              <w:ind w:left="10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732282"/>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32282"/>
            </w:tcBorders>
            <w:gridSpan w:val="3"/>
          </w:tcPr>
          <w:p>
            <w:pPr>
              <w:jc w:val="right"/>
              <w:ind w:right="13"/>
              <w:spacing w:after="0" w:line="152" w:lineRule="exact"/>
              <w:rPr>
                <w:sz w:val="20"/>
                <w:szCs w:val="20"/>
                <w:color w:val="auto"/>
              </w:rPr>
            </w:pPr>
            <w:r>
              <w:rPr>
                <w:rFonts w:ascii="Arial" w:cs="Arial" w:eastAsia="Arial" w:hAnsi="Arial"/>
                <w:sz w:val="13"/>
                <w:szCs w:val="13"/>
                <w:color w:val="auto"/>
              </w:rPr>
              <w:t>91,534</w:t>
            </w:r>
            <w:r>
              <w:rPr>
                <w:rFonts w:ascii="Arial" w:cs="Arial" w:eastAsia="Arial" w:hAnsi="Arial"/>
                <w:sz w:val="17"/>
                <w:szCs w:val="17"/>
                <w:color w:val="auto"/>
                <w:vertAlign w:val="superscript"/>
              </w:rPr>
              <w:t>(6)</w:t>
            </w:r>
          </w:p>
        </w:tc>
        <w:tc>
          <w:tcPr>
            <w:tcW w:w="84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1,715,347</w:t>
            </w:r>
          </w:p>
        </w:tc>
        <w:tc>
          <w:tcPr>
            <w:tcW w:w="1220" w:type="dxa"/>
            <w:vAlign w:val="bottom"/>
            <w:tcBorders>
              <w:bottom w:val="single" w:sz="8" w:color="732282"/>
            </w:tcBorders>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732282"/>
            </w:tcBorders>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96" w:right="439" w:bottom="1440" w:gutter="0" w:footer="0" w:header="0"/>
        </w:sectPr>
      </w:pPr>
    </w:p>
    <w:bookmarkStart w:id="52" w:name="page53"/>
    <w:bookmarkEnd w:id="52"/>
    <w:p>
      <w:pPr>
        <w:jc w:val="both"/>
        <w:ind w:left="424" w:hanging="424"/>
        <w:spacing w:after="0" w:line="236" w:lineRule="auto"/>
        <w:tabs>
          <w:tab w:leader="none" w:pos="424"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the Combination, Mylan option awards were converted into Viatris option awards on a one-for-one basis. Vesting dates applicable to unvested stock options are as follows, in each case, generally subject to continued employment with Viatris: on March 2, 2021, the unvested options at the $40.97 exercise price for Messrs. Malik and Mauro vested; one-half of the unvested stock options at the $27.45 exercise price for Messrs. Malik and Mauro vested on March 2, 2021; and the unvested stock options at the $17.48 exercise price for Messrs. Malik and Mauro will vest in three equal annual installments beginning March 2, 2021. Subject to applicable employment agreement provisions, following termination of 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 For more information on the conversion of Mylan options into Viatris options upon the closing of the Combination, see “Mylan’s 2020 Long-Term Incentive Grants to Legacy Mylan Executives” on page 33 of this Form 10-K/A.</w:t>
      </w:r>
    </w:p>
    <w:p>
      <w:pPr>
        <w:spacing w:after="0" w:line="2"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 connection with the Combination, Mylan RSUs were converted into Viatris RSU awards on a one-for-one basis. On March 2, 2021, 14,645 RSUs for Mr. Malik and 6,102 RSUs for Mr. Mauro vested. Of the 67,031 RSUs for Mr. Malik, 33,515 vested on March 2, 2021, and 33,516 will vest on March 2, 2022; of the 31,087 RSUs for Mr. Mauro, 15,543 vested on March 2, 2021, and 15,544 will vest on March 2, 2022. 157,895 RSUs for Mr. Malik and 73,227 RSUs for Mr. Mauro vest in three equal annual installments beginning on March 2, 2021, and 250,000 RSUs for Mr. Coury will vest on June 24, 2021. In accordance with their terms, all of these awards would vest upon an involuntary termination without cause or a voluntary resignation for good reason that occurs within two years following a change in control (double-trigger awards) or upon the executive’s death or disability. For more information on the conversion of Mylan RSUs into Viatris RSUs upon the closing of the Combination, see “Mylan’s 2020 Long-Term Incentive Grants to Legacy Mylan Executives” on page 33 of this Form 10-K/A.</w:t>
      </w:r>
    </w:p>
    <w:p>
      <w:pPr>
        <w:spacing w:after="0" w:line="6" w:lineRule="exact"/>
        <w:rPr>
          <w:rFonts w:ascii="Arial" w:cs="Arial" w:eastAsia="Arial" w:hAnsi="Arial"/>
          <w:sz w:val="18"/>
          <w:szCs w:val="18"/>
          <w:i w:val="1"/>
          <w:iCs w:val="1"/>
          <w:color w:val="auto"/>
        </w:rPr>
      </w:pPr>
    </w:p>
    <w:p>
      <w:pPr>
        <w:ind w:left="424" w:right="20" w:hanging="424"/>
        <w:spacing w:after="0" w:line="234" w:lineRule="auto"/>
        <w:tabs>
          <w:tab w:leader="none" w:pos="424"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value of RSUs and PRSUs was calculated using the closing price of the Company’s shares as of December 31, 2020, $18.74.</w:t>
      </w:r>
    </w:p>
    <w:p>
      <w:pPr>
        <w:spacing w:after="0" w:line="1"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 connection with the Combination, Viatris granted 1.6 million PRSUs to Mr. Coury pursuant to his Value Creation Award. 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in full upon termination of employment without cause, resignation for good reason, disability or death. For details regarding these PRSUs see “Executive Chairman Employment Agreement” on page 35 of this Form 10-K/A.</w:t>
      </w:r>
    </w:p>
    <w:p>
      <w:pPr>
        <w:spacing w:after="0" w:line="5" w:lineRule="exact"/>
        <w:rPr>
          <w:rFonts w:ascii="Arial" w:cs="Arial" w:eastAsia="Arial" w:hAnsi="Arial"/>
          <w:sz w:val="18"/>
          <w:szCs w:val="18"/>
          <w:i w:val="1"/>
          <w:iCs w:val="1"/>
          <w:color w:val="auto"/>
        </w:rPr>
      </w:pPr>
    </w:p>
    <w:p>
      <w:pPr>
        <w:jc w:val="both"/>
        <w:ind w:left="424" w:right="20" w:hanging="424"/>
        <w:spacing w:after="0" w:line="236" w:lineRule="auto"/>
        <w:tabs>
          <w:tab w:leader="none" w:pos="424"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On February 22, 2021, 3,499 RSUs vested for Mr. Goettler; Mr. Goettler is expected to vest in 53,958 RSUs on February 28, 2022; Mr. Goettler is expected to vest in 119,975 RSUs and Mr. Narula is expected to vest in 21,246 RSUs on February 27, 2023. In accordance with their terms, all of these awards would vest upon an involuntary termination without cause or a voluntary resignation for good reason that occurs within two years following a change in control (double-trigger awards) or upon the executive’s death or disability. For any other</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300" w:right="439" w:bottom="1440" w:gutter="0" w:footer="0" w:header="0"/>
        </w:sectPr>
      </w:pPr>
    </w:p>
    <w:bookmarkStart w:id="53" w:name="page54"/>
    <w:bookmarkEnd w:id="53"/>
    <w:p>
      <w:pPr>
        <w:jc w:val="both"/>
        <w:ind w:left="424"/>
        <w:spacing w:after="0" w:line="24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termination reason, these RSUs will be forfeited. For more information on the conversion of Pfizer awards into Viatris RSUs upon the closing of the Combination, see “Combination-Related Treatment of Pfizer’s 2020 Long-Term Incentive Grants to Legacy Upjohn Executives” on page 34 of this Form 10-K/A.</w:t>
      </w:r>
    </w:p>
    <w:p>
      <w:pPr>
        <w:spacing w:after="0" w:line="2" w:lineRule="exact"/>
        <w:rPr>
          <w:sz w:val="20"/>
          <w:szCs w:val="20"/>
          <w:color w:val="auto"/>
        </w:rPr>
      </w:pPr>
    </w:p>
    <w:p>
      <w:pPr>
        <w:jc w:val="both"/>
        <w:ind w:left="424" w:right="20" w:hanging="424"/>
        <w:spacing w:after="0" w:line="235" w:lineRule="auto"/>
        <w:tabs>
          <w:tab w:leader="none" w:pos="424"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In connection with the Combination, all outstanding Mylan PRSUs were converted into Viatris RSU awards on a one-for-one basis assuming target level performance. On March 2, 2021, Mr. Malik vested in 73,225 shares and Mr. Mauro vested in 30,511 shares or 100% of their original target PRSUs. On March 2, 2022, Mr. Malik is expected to vest in 125,684 shares and Mr. Mauro is expected to vest in 58,288 shares which represents 100% of their original target PRSUs. On March 2, 2023, Mr. Malik is expected to vest in 197,369 shares and Mr. Mauro is expected to vest in 91,534 shares. In accordance with their terms, all of these awards would vest upon an involuntary termination without cause or a voluntary resignation for good reason that occurs within two years following a change in control (double-trigger awards) or upon the executive’s death or disability. The remaining converted Viatris RSUs are expected to vest upon the earliest to occur of (i) March 2, 2022 or March 2, 2023, as applicable, (ii) an involuntary termination without cause or a voluntary resignation for good reason within two years following a change in control, and (iii) the executive’s death or disability. For more information on the conversion of Mylan PRSUs into Viatris RSUs upon the closing of the Combination, see “Mylan’s 2020 Long-Term Incentive Grants to Legacy Mylan Executives” on page 33 of this Form 10-K/A.</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732282"/>
        </w:rPr>
        <w:t>Option Exercises and Stock Vested for 2020</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option awards and stock awards reflected in the table below were exercised or became vested for the NEOs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4980305</wp:posOffset>
            </wp:positionH>
            <wp:positionV relativeFrom="paragraph">
              <wp:posOffset>123825</wp:posOffset>
            </wp:positionV>
            <wp:extent cx="300355" cy="131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0355" cy="1311910"/>
                    </a:xfrm>
                    <a:prstGeom prst="rect">
                      <a:avLst/>
                    </a:prstGeom>
                    <a:noFill/>
                  </pic:spPr>
                </pic:pic>
              </a:graphicData>
            </a:graphic>
          </wp:anchor>
        </w:drawing>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311"/>
        </w:trPr>
        <w:tc>
          <w:tcPr>
            <w:tcW w:w="5260" w:type="dxa"/>
            <w:vAlign w:val="bottom"/>
          </w:tcPr>
          <w:p>
            <w:pPr>
              <w:spacing w:after="0"/>
              <w:rPr>
                <w:sz w:val="24"/>
                <w:szCs w:val="24"/>
                <w:color w:val="auto"/>
              </w:rPr>
            </w:pPr>
          </w:p>
        </w:tc>
        <w:tc>
          <w:tcPr>
            <w:tcW w:w="2580" w:type="dxa"/>
            <w:vAlign w:val="bottom"/>
            <w:gridSpan w:val="2"/>
            <w:shd w:val="clear" w:color="auto" w:fill="231161"/>
          </w:tcPr>
          <w:p>
            <w:pPr>
              <w:jc w:val="right"/>
              <w:ind w:right="521"/>
              <w:spacing w:after="0"/>
              <w:rPr>
                <w:sz w:val="20"/>
                <w:szCs w:val="20"/>
                <w:color w:val="auto"/>
              </w:rPr>
            </w:pPr>
            <w:r>
              <w:rPr>
                <w:rFonts w:ascii="Arial" w:cs="Arial" w:eastAsia="Arial" w:hAnsi="Arial"/>
                <w:sz w:val="13"/>
                <w:szCs w:val="13"/>
                <w:b w:val="1"/>
                <w:bCs w:val="1"/>
                <w:color w:val="FFFFFF"/>
              </w:rPr>
              <w:t>Option Awards</w:t>
            </w:r>
          </w:p>
        </w:tc>
        <w:tc>
          <w:tcPr>
            <w:tcW w:w="600" w:type="dxa"/>
            <w:vAlign w:val="bottom"/>
          </w:tcPr>
          <w:p>
            <w:pPr>
              <w:spacing w:after="0"/>
              <w:rPr>
                <w:sz w:val="24"/>
                <w:szCs w:val="24"/>
                <w:color w:val="auto"/>
              </w:rPr>
            </w:pPr>
          </w:p>
        </w:tc>
        <w:tc>
          <w:tcPr>
            <w:tcW w:w="2580" w:type="dxa"/>
            <w:vAlign w:val="bottom"/>
            <w:gridSpan w:val="2"/>
            <w:shd w:val="clear" w:color="auto" w:fill="231161"/>
          </w:tcPr>
          <w:p>
            <w:pPr>
              <w:jc w:val="right"/>
              <w:ind w:right="562"/>
              <w:spacing w:after="0"/>
              <w:rPr>
                <w:sz w:val="20"/>
                <w:szCs w:val="20"/>
                <w:color w:val="auto"/>
              </w:rPr>
            </w:pPr>
            <w:r>
              <w:rPr>
                <w:rFonts w:ascii="Arial" w:cs="Arial" w:eastAsia="Arial" w:hAnsi="Arial"/>
                <w:sz w:val="13"/>
                <w:szCs w:val="13"/>
                <w:b w:val="1"/>
                <w:bCs w:val="1"/>
                <w:color w:val="FFFFFF"/>
              </w:rPr>
              <w:t>Stock Awards</w:t>
            </w:r>
          </w:p>
        </w:tc>
      </w:tr>
      <w:tr>
        <w:trPr>
          <w:trHeight w:val="132"/>
        </w:trPr>
        <w:tc>
          <w:tcPr>
            <w:tcW w:w="5260" w:type="dxa"/>
            <w:vAlign w:val="bottom"/>
            <w:shd w:val="clear" w:color="auto" w:fill="444444"/>
          </w:tcPr>
          <w:p>
            <w:pPr>
              <w:spacing w:after="0"/>
              <w:rPr>
                <w:sz w:val="11"/>
                <w:szCs w:val="11"/>
                <w:color w:val="auto"/>
              </w:rPr>
            </w:pPr>
          </w:p>
        </w:tc>
        <w:tc>
          <w:tcPr>
            <w:tcW w:w="1500" w:type="dxa"/>
            <w:vAlign w:val="bottom"/>
            <w:shd w:val="clear" w:color="auto" w:fill="444444"/>
          </w:tcPr>
          <w:p>
            <w:pPr>
              <w:jc w:val="right"/>
              <w:ind w:right="203"/>
              <w:spacing w:after="0" w:line="132" w:lineRule="exact"/>
              <w:rPr>
                <w:sz w:val="20"/>
                <w:szCs w:val="20"/>
                <w:color w:val="auto"/>
              </w:rPr>
            </w:pPr>
            <w:r>
              <w:rPr>
                <w:rFonts w:ascii="Arial" w:cs="Arial" w:eastAsia="Arial" w:hAnsi="Arial"/>
                <w:sz w:val="13"/>
                <w:szCs w:val="13"/>
                <w:b w:val="1"/>
                <w:bCs w:val="1"/>
                <w:color w:val="FFFFFF"/>
              </w:rPr>
              <w:t>Number of</w:t>
            </w:r>
          </w:p>
        </w:tc>
        <w:tc>
          <w:tcPr>
            <w:tcW w:w="1080" w:type="dxa"/>
            <w:vAlign w:val="bottom"/>
            <w:shd w:val="clear" w:color="auto" w:fill="444444"/>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shd w:val="clear" w:color="auto" w:fill="444444"/>
          </w:tcPr>
          <w:p>
            <w:pPr>
              <w:jc w:val="right"/>
              <w:ind w:right="204"/>
              <w:spacing w:after="0" w:line="132" w:lineRule="exact"/>
              <w:rPr>
                <w:sz w:val="20"/>
                <w:szCs w:val="20"/>
                <w:color w:val="auto"/>
              </w:rPr>
            </w:pPr>
            <w:r>
              <w:rPr>
                <w:rFonts w:ascii="Arial" w:cs="Arial" w:eastAsia="Arial" w:hAnsi="Arial"/>
                <w:sz w:val="13"/>
                <w:szCs w:val="13"/>
                <w:b w:val="1"/>
                <w:bCs w:val="1"/>
                <w:color w:val="FFFFFF"/>
              </w:rPr>
              <w:t>Number</w:t>
            </w:r>
          </w:p>
        </w:tc>
        <w:tc>
          <w:tcPr>
            <w:tcW w:w="1140" w:type="dxa"/>
            <w:vAlign w:val="bottom"/>
            <w:shd w:val="clear" w:color="auto" w:fill="444444"/>
          </w:tcPr>
          <w:p>
            <w:pPr>
              <w:jc w:val="right"/>
              <w:spacing w:after="0" w:line="132" w:lineRule="exact"/>
              <w:rPr>
                <w:sz w:val="20"/>
                <w:szCs w:val="20"/>
                <w:color w:val="auto"/>
              </w:rPr>
            </w:pPr>
            <w:r>
              <w:rPr>
                <w:rFonts w:ascii="Arial" w:cs="Arial" w:eastAsia="Arial" w:hAnsi="Arial"/>
                <w:sz w:val="13"/>
                <w:szCs w:val="13"/>
                <w:b w:val="1"/>
                <w:bCs w:val="1"/>
                <w:color w:val="FFFFFF"/>
              </w:rPr>
              <w:t>Value</w:t>
            </w:r>
          </w:p>
        </w:tc>
      </w:tr>
      <w:tr>
        <w:trPr>
          <w:trHeight w:val="148"/>
        </w:trPr>
        <w:tc>
          <w:tcPr>
            <w:tcW w:w="5260" w:type="dxa"/>
            <w:vAlign w:val="bottom"/>
            <w:shd w:val="clear" w:color="auto" w:fill="444444"/>
          </w:tcPr>
          <w:p>
            <w:pPr>
              <w:spacing w:after="0"/>
              <w:rPr>
                <w:sz w:val="12"/>
                <w:szCs w:val="12"/>
                <w:color w:val="auto"/>
              </w:rPr>
            </w:pPr>
          </w:p>
        </w:tc>
        <w:tc>
          <w:tcPr>
            <w:tcW w:w="1500" w:type="dxa"/>
            <w:vAlign w:val="bottom"/>
            <w:shd w:val="clear" w:color="auto" w:fill="444444"/>
          </w:tcPr>
          <w:p>
            <w:pPr>
              <w:jc w:val="right"/>
              <w:ind w:right="203"/>
              <w:spacing w:after="0"/>
              <w:rPr>
                <w:sz w:val="20"/>
                <w:szCs w:val="20"/>
                <w:color w:val="auto"/>
              </w:rPr>
            </w:pPr>
            <w:r>
              <w:rPr>
                <w:rFonts w:ascii="Arial" w:cs="Arial" w:eastAsia="Arial" w:hAnsi="Arial"/>
                <w:sz w:val="13"/>
                <w:szCs w:val="13"/>
                <w:b w:val="1"/>
                <w:bCs w:val="1"/>
                <w:color w:val="FFFFFF"/>
              </w:rPr>
              <w:t>Shares</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Value</w:t>
            </w:r>
          </w:p>
        </w:tc>
        <w:tc>
          <w:tcPr>
            <w:tcW w:w="600" w:type="dxa"/>
            <w:vAlign w:val="bottom"/>
          </w:tcPr>
          <w:p>
            <w:pPr>
              <w:spacing w:after="0"/>
              <w:rPr>
                <w:sz w:val="12"/>
                <w:szCs w:val="12"/>
                <w:color w:val="auto"/>
              </w:rPr>
            </w:pPr>
          </w:p>
        </w:tc>
        <w:tc>
          <w:tcPr>
            <w:tcW w:w="1440" w:type="dxa"/>
            <w:vAlign w:val="bottom"/>
            <w:shd w:val="clear" w:color="auto" w:fill="444444"/>
          </w:tcPr>
          <w:p>
            <w:pPr>
              <w:jc w:val="right"/>
              <w:ind w:right="204"/>
              <w:spacing w:after="0"/>
              <w:rPr>
                <w:sz w:val="20"/>
                <w:szCs w:val="20"/>
                <w:color w:val="auto"/>
              </w:rPr>
            </w:pPr>
            <w:r>
              <w:rPr>
                <w:rFonts w:ascii="Arial" w:cs="Arial" w:eastAsia="Arial" w:hAnsi="Arial"/>
                <w:sz w:val="13"/>
                <w:szCs w:val="13"/>
                <w:b w:val="1"/>
                <w:bCs w:val="1"/>
                <w:color w:val="FFFFFF"/>
              </w:rPr>
              <w:t>of Shares</w:t>
            </w:r>
          </w:p>
        </w:tc>
        <w:tc>
          <w:tcPr>
            <w:tcW w:w="11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Realized</w:t>
            </w:r>
          </w:p>
        </w:tc>
      </w:tr>
      <w:tr>
        <w:trPr>
          <w:trHeight w:val="149"/>
        </w:trPr>
        <w:tc>
          <w:tcPr>
            <w:tcW w:w="5260" w:type="dxa"/>
            <w:vAlign w:val="bottom"/>
            <w:shd w:val="clear" w:color="auto" w:fill="444444"/>
          </w:tcPr>
          <w:p>
            <w:pPr>
              <w:spacing w:after="0"/>
              <w:rPr>
                <w:sz w:val="12"/>
                <w:szCs w:val="12"/>
                <w:color w:val="auto"/>
              </w:rPr>
            </w:pPr>
          </w:p>
        </w:tc>
        <w:tc>
          <w:tcPr>
            <w:tcW w:w="1500" w:type="dxa"/>
            <w:vAlign w:val="bottom"/>
            <w:shd w:val="clear" w:color="auto" w:fill="444444"/>
          </w:tcPr>
          <w:p>
            <w:pPr>
              <w:jc w:val="right"/>
              <w:ind w:right="203"/>
              <w:spacing w:after="0"/>
              <w:rPr>
                <w:sz w:val="20"/>
                <w:szCs w:val="20"/>
                <w:color w:val="auto"/>
              </w:rPr>
            </w:pPr>
            <w:r>
              <w:rPr>
                <w:rFonts w:ascii="Arial" w:cs="Arial" w:eastAsia="Arial" w:hAnsi="Arial"/>
                <w:sz w:val="13"/>
                <w:szCs w:val="13"/>
                <w:b w:val="1"/>
                <w:bCs w:val="1"/>
                <w:color w:val="FFFFFF"/>
              </w:rPr>
              <w:t>Acquired</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Realized</w:t>
            </w:r>
          </w:p>
        </w:tc>
        <w:tc>
          <w:tcPr>
            <w:tcW w:w="600" w:type="dxa"/>
            <w:vAlign w:val="bottom"/>
          </w:tcPr>
          <w:p>
            <w:pPr>
              <w:spacing w:after="0"/>
              <w:rPr>
                <w:sz w:val="12"/>
                <w:szCs w:val="12"/>
                <w:color w:val="auto"/>
              </w:rPr>
            </w:pPr>
          </w:p>
        </w:tc>
        <w:tc>
          <w:tcPr>
            <w:tcW w:w="1440" w:type="dxa"/>
            <w:vAlign w:val="bottom"/>
            <w:shd w:val="clear" w:color="auto" w:fill="444444"/>
          </w:tcPr>
          <w:p>
            <w:pPr>
              <w:jc w:val="right"/>
              <w:ind w:right="204"/>
              <w:spacing w:after="0"/>
              <w:rPr>
                <w:sz w:val="20"/>
                <w:szCs w:val="20"/>
                <w:color w:val="auto"/>
              </w:rPr>
            </w:pPr>
            <w:r>
              <w:rPr>
                <w:rFonts w:ascii="Arial" w:cs="Arial" w:eastAsia="Arial" w:hAnsi="Arial"/>
                <w:sz w:val="13"/>
                <w:szCs w:val="13"/>
                <w:b w:val="1"/>
                <w:bCs w:val="1"/>
                <w:color w:val="FFFFFF"/>
              </w:rPr>
              <w:t>Acquired</w:t>
            </w:r>
          </w:p>
        </w:tc>
        <w:tc>
          <w:tcPr>
            <w:tcW w:w="11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on</w:t>
            </w:r>
          </w:p>
        </w:tc>
      </w:tr>
      <w:tr>
        <w:trPr>
          <w:trHeight w:val="148"/>
        </w:trPr>
        <w:tc>
          <w:tcPr>
            <w:tcW w:w="5260" w:type="dxa"/>
            <w:vAlign w:val="bottom"/>
            <w:shd w:val="clear" w:color="auto" w:fill="444444"/>
          </w:tcPr>
          <w:p>
            <w:pPr>
              <w:spacing w:after="0"/>
              <w:rPr>
                <w:sz w:val="12"/>
                <w:szCs w:val="12"/>
                <w:color w:val="auto"/>
              </w:rPr>
            </w:pPr>
          </w:p>
        </w:tc>
        <w:tc>
          <w:tcPr>
            <w:tcW w:w="1500" w:type="dxa"/>
            <w:vAlign w:val="bottom"/>
            <w:shd w:val="clear" w:color="auto" w:fill="444444"/>
          </w:tcPr>
          <w:p>
            <w:pPr>
              <w:jc w:val="right"/>
              <w:ind w:right="203"/>
              <w:spacing w:after="0"/>
              <w:rPr>
                <w:sz w:val="20"/>
                <w:szCs w:val="20"/>
                <w:color w:val="auto"/>
              </w:rPr>
            </w:pPr>
            <w:r>
              <w:rPr>
                <w:rFonts w:ascii="Arial" w:cs="Arial" w:eastAsia="Arial" w:hAnsi="Arial"/>
                <w:sz w:val="13"/>
                <w:szCs w:val="13"/>
                <w:b w:val="1"/>
                <w:bCs w:val="1"/>
                <w:color w:val="FFFFFF"/>
              </w:rPr>
              <w:t>on</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on</w:t>
            </w:r>
          </w:p>
        </w:tc>
        <w:tc>
          <w:tcPr>
            <w:tcW w:w="600" w:type="dxa"/>
            <w:vAlign w:val="bottom"/>
          </w:tcPr>
          <w:p>
            <w:pPr>
              <w:spacing w:after="0"/>
              <w:rPr>
                <w:sz w:val="12"/>
                <w:szCs w:val="12"/>
                <w:color w:val="auto"/>
              </w:rPr>
            </w:pPr>
          </w:p>
        </w:tc>
        <w:tc>
          <w:tcPr>
            <w:tcW w:w="1440" w:type="dxa"/>
            <w:vAlign w:val="bottom"/>
            <w:shd w:val="clear" w:color="auto" w:fill="444444"/>
          </w:tcPr>
          <w:p>
            <w:pPr>
              <w:jc w:val="right"/>
              <w:ind w:right="204"/>
              <w:spacing w:after="0"/>
              <w:rPr>
                <w:sz w:val="20"/>
                <w:szCs w:val="20"/>
                <w:color w:val="auto"/>
              </w:rPr>
            </w:pPr>
            <w:r>
              <w:rPr>
                <w:rFonts w:ascii="Arial" w:cs="Arial" w:eastAsia="Arial" w:hAnsi="Arial"/>
                <w:sz w:val="13"/>
                <w:szCs w:val="13"/>
                <w:b w:val="1"/>
                <w:bCs w:val="1"/>
                <w:color w:val="FFFFFF"/>
              </w:rPr>
              <w:t>on</w:t>
            </w:r>
          </w:p>
        </w:tc>
        <w:tc>
          <w:tcPr>
            <w:tcW w:w="11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Vesting</w:t>
            </w:r>
          </w:p>
        </w:tc>
      </w:tr>
      <w:tr>
        <w:trPr>
          <w:trHeight w:val="165"/>
        </w:trPr>
        <w:tc>
          <w:tcPr>
            <w:tcW w:w="526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N</w:t>
            </w:r>
            <w:r>
              <w:rPr>
                <w:rFonts w:ascii="Arial" w:cs="Arial" w:eastAsia="Arial" w:hAnsi="Arial"/>
                <w:sz w:val="11"/>
                <w:szCs w:val="11"/>
                <w:b w:val="1"/>
                <w:bCs w:val="1"/>
                <w:color w:val="FFFFFF"/>
              </w:rPr>
              <w:t>AME</w:t>
            </w:r>
          </w:p>
        </w:tc>
        <w:tc>
          <w:tcPr>
            <w:tcW w:w="1500" w:type="dxa"/>
            <w:vAlign w:val="bottom"/>
            <w:shd w:val="clear" w:color="auto" w:fill="444444"/>
          </w:tcPr>
          <w:p>
            <w:pPr>
              <w:jc w:val="right"/>
              <w:ind w:right="203"/>
              <w:spacing w:after="0"/>
              <w:rPr>
                <w:sz w:val="20"/>
                <w:szCs w:val="20"/>
                <w:color w:val="auto"/>
              </w:rPr>
            </w:pPr>
            <w:r>
              <w:rPr>
                <w:rFonts w:ascii="Arial" w:cs="Arial" w:eastAsia="Arial" w:hAnsi="Arial"/>
                <w:sz w:val="13"/>
                <w:szCs w:val="13"/>
                <w:b w:val="1"/>
                <w:bCs w:val="1"/>
                <w:color w:val="FFFFFF"/>
              </w:rPr>
              <w:t>Exercise (#)</w:t>
            </w:r>
          </w:p>
        </w:tc>
        <w:tc>
          <w:tcPr>
            <w:tcW w:w="10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Exercise ($)</w:t>
            </w:r>
          </w:p>
        </w:tc>
        <w:tc>
          <w:tcPr>
            <w:tcW w:w="600" w:type="dxa"/>
            <w:vAlign w:val="bottom"/>
          </w:tcPr>
          <w:p>
            <w:pPr>
              <w:spacing w:after="0"/>
              <w:rPr>
                <w:sz w:val="14"/>
                <w:szCs w:val="14"/>
                <w:color w:val="auto"/>
              </w:rPr>
            </w:pPr>
          </w:p>
        </w:tc>
        <w:tc>
          <w:tcPr>
            <w:tcW w:w="1440" w:type="dxa"/>
            <w:vAlign w:val="bottom"/>
            <w:shd w:val="clear" w:color="auto" w:fill="444444"/>
          </w:tcPr>
          <w:p>
            <w:pPr>
              <w:jc w:val="right"/>
              <w:ind w:right="204"/>
              <w:spacing w:after="0"/>
              <w:rPr>
                <w:sz w:val="20"/>
                <w:szCs w:val="20"/>
                <w:color w:val="auto"/>
              </w:rPr>
            </w:pPr>
            <w:r>
              <w:rPr>
                <w:rFonts w:ascii="Arial" w:cs="Arial" w:eastAsia="Arial" w:hAnsi="Arial"/>
                <w:sz w:val="13"/>
                <w:szCs w:val="13"/>
                <w:b w:val="1"/>
                <w:bCs w:val="1"/>
                <w:color w:val="FFFFFF"/>
              </w:rPr>
              <w:t>Vesting (#)</w:t>
            </w:r>
          </w:p>
        </w:tc>
        <w:tc>
          <w:tcPr>
            <w:tcW w:w="11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p>
        </w:tc>
      </w:tr>
      <w:tr>
        <w:trPr>
          <w:trHeight w:val="203"/>
        </w:trPr>
        <w:tc>
          <w:tcPr>
            <w:tcW w:w="5260" w:type="dxa"/>
            <w:vAlign w:val="bottom"/>
            <w:shd w:val="clear" w:color="auto" w:fill="EAEAEA"/>
          </w:tcPr>
          <w:p>
            <w:pPr>
              <w:ind w:left="140"/>
              <w:spacing w:after="0" w:line="202" w:lineRule="exact"/>
              <w:rPr>
                <w:sz w:val="20"/>
                <w:szCs w:val="20"/>
                <w:color w:val="auto"/>
              </w:rPr>
            </w:pPr>
            <w:r>
              <w:rPr>
                <w:rFonts w:ascii="Arial" w:cs="Arial" w:eastAsia="Arial" w:hAnsi="Arial"/>
                <w:sz w:val="18"/>
                <w:szCs w:val="18"/>
                <w:color w:val="auto"/>
              </w:rPr>
              <w:t>Robert J. Coury</w:t>
            </w:r>
          </w:p>
        </w:tc>
        <w:tc>
          <w:tcPr>
            <w:tcW w:w="1500" w:type="dxa"/>
            <w:vAlign w:val="bottom"/>
            <w:shd w:val="clear" w:color="auto" w:fill="EAEAEA"/>
          </w:tcPr>
          <w:p>
            <w:pPr>
              <w:jc w:val="right"/>
              <w:ind w:right="20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7"/>
                <w:szCs w:val="17"/>
                <w:color w:val="auto"/>
              </w:rPr>
            </w:pPr>
          </w:p>
        </w:tc>
        <w:tc>
          <w:tcPr>
            <w:tcW w:w="1440" w:type="dxa"/>
            <w:vAlign w:val="bottom"/>
            <w:shd w:val="clear" w:color="auto" w:fill="EAEAEA"/>
          </w:tcPr>
          <w:p>
            <w:pPr>
              <w:jc w:val="right"/>
              <w:ind w:right="204"/>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Michael Goettler</w:t>
            </w:r>
          </w:p>
        </w:tc>
        <w:tc>
          <w:tcPr>
            <w:tcW w:w="1500" w:type="dxa"/>
            <w:vAlign w:val="bottom"/>
          </w:tcPr>
          <w:p>
            <w:pPr>
              <w:jc w:val="right"/>
              <w:ind w:right="20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440" w:type="dxa"/>
            <w:vAlign w:val="bottom"/>
          </w:tcPr>
          <w:p>
            <w:pPr>
              <w:jc w:val="right"/>
              <w:ind w:right="204"/>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EAEAEA"/>
          </w:tcPr>
          <w:p>
            <w:pPr>
              <w:ind w:left="140"/>
              <w:spacing w:after="0" w:line="202" w:lineRule="exact"/>
              <w:rPr>
                <w:sz w:val="20"/>
                <w:szCs w:val="20"/>
                <w:color w:val="auto"/>
              </w:rPr>
            </w:pPr>
            <w:r>
              <w:rPr>
                <w:rFonts w:ascii="Arial" w:cs="Arial" w:eastAsia="Arial" w:hAnsi="Arial"/>
                <w:sz w:val="18"/>
                <w:szCs w:val="18"/>
                <w:color w:val="auto"/>
              </w:rPr>
              <w:t>Sanjeev Narula</w:t>
            </w:r>
          </w:p>
        </w:tc>
        <w:tc>
          <w:tcPr>
            <w:tcW w:w="1500" w:type="dxa"/>
            <w:vAlign w:val="bottom"/>
            <w:shd w:val="clear" w:color="auto" w:fill="EAEAEA"/>
          </w:tcPr>
          <w:p>
            <w:pPr>
              <w:jc w:val="right"/>
              <w:ind w:right="20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7"/>
                <w:szCs w:val="17"/>
                <w:color w:val="auto"/>
              </w:rPr>
            </w:pPr>
          </w:p>
        </w:tc>
        <w:tc>
          <w:tcPr>
            <w:tcW w:w="1440" w:type="dxa"/>
            <w:vAlign w:val="bottom"/>
            <w:shd w:val="clear" w:color="auto" w:fill="EAEAEA"/>
          </w:tcPr>
          <w:p>
            <w:pPr>
              <w:jc w:val="right"/>
              <w:ind w:right="204"/>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Rajiv Malik</w:t>
            </w:r>
          </w:p>
        </w:tc>
        <w:tc>
          <w:tcPr>
            <w:tcW w:w="1500" w:type="dxa"/>
            <w:vAlign w:val="bottom"/>
          </w:tcPr>
          <w:p>
            <w:pPr>
              <w:jc w:val="right"/>
              <w:ind w:right="20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04"/>
              <w:spacing w:after="0" w:line="202" w:lineRule="exact"/>
              <w:rPr>
                <w:sz w:val="20"/>
                <w:szCs w:val="20"/>
                <w:color w:val="auto"/>
              </w:rPr>
            </w:pPr>
            <w:r>
              <w:rPr>
                <w:rFonts w:ascii="Arial" w:cs="Arial" w:eastAsia="Arial" w:hAnsi="Arial"/>
                <w:sz w:val="18"/>
                <w:szCs w:val="18"/>
                <w:color w:val="auto"/>
              </w:rPr>
              <w:t>91,544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1,548,563</w:t>
            </w:r>
          </w:p>
        </w:tc>
      </w:tr>
      <w:tr>
        <w:trPr>
          <w:trHeight w:val="203"/>
        </w:trPr>
        <w:tc>
          <w:tcPr>
            <w:tcW w:w="5260" w:type="dxa"/>
            <w:vAlign w:val="bottom"/>
            <w:tcBorders>
              <w:bottom w:val="single" w:sz="8" w:color="732282"/>
            </w:tcBorders>
            <w:shd w:val="clear" w:color="auto" w:fill="EAEAEA"/>
          </w:tcPr>
          <w:p>
            <w:pPr>
              <w:ind w:left="140"/>
              <w:spacing w:after="0" w:line="202" w:lineRule="exact"/>
              <w:rPr>
                <w:sz w:val="20"/>
                <w:szCs w:val="20"/>
                <w:color w:val="auto"/>
              </w:rPr>
            </w:pPr>
            <w:r>
              <w:rPr>
                <w:rFonts w:ascii="Arial" w:cs="Arial" w:eastAsia="Arial" w:hAnsi="Arial"/>
                <w:sz w:val="18"/>
                <w:szCs w:val="18"/>
                <w:color w:val="auto"/>
              </w:rPr>
              <w:t>Anthony Mauro</w:t>
            </w:r>
          </w:p>
        </w:tc>
        <w:tc>
          <w:tcPr>
            <w:tcW w:w="1500" w:type="dxa"/>
            <w:vAlign w:val="bottom"/>
            <w:tcBorders>
              <w:bottom w:val="single" w:sz="8" w:color="732282"/>
            </w:tcBorders>
            <w:shd w:val="clear" w:color="auto" w:fill="EAEAEA"/>
          </w:tcPr>
          <w:p>
            <w:pPr>
              <w:jc w:val="right"/>
              <w:ind w:right="203"/>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732282"/>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732282"/>
            </w:tcBorders>
            <w:shd w:val="clear" w:color="auto" w:fill="E5E5E5"/>
          </w:tcPr>
          <w:p>
            <w:pPr>
              <w:spacing w:after="0"/>
              <w:rPr>
                <w:sz w:val="17"/>
                <w:szCs w:val="17"/>
                <w:color w:val="auto"/>
              </w:rPr>
            </w:pPr>
          </w:p>
        </w:tc>
        <w:tc>
          <w:tcPr>
            <w:tcW w:w="1440" w:type="dxa"/>
            <w:vAlign w:val="bottom"/>
            <w:tcBorders>
              <w:bottom w:val="single" w:sz="8" w:color="732282"/>
            </w:tcBorders>
            <w:shd w:val="clear" w:color="auto" w:fill="EAEAEA"/>
          </w:tcPr>
          <w:p>
            <w:pPr>
              <w:jc w:val="right"/>
              <w:ind w:right="204"/>
              <w:spacing w:after="0" w:line="202" w:lineRule="exact"/>
              <w:rPr>
                <w:sz w:val="20"/>
                <w:szCs w:val="20"/>
                <w:color w:val="auto"/>
              </w:rPr>
            </w:pPr>
            <w:r>
              <w:rPr>
                <w:rFonts w:ascii="Arial" w:cs="Arial" w:eastAsia="Arial" w:hAnsi="Arial"/>
                <w:sz w:val="18"/>
                <w:szCs w:val="18"/>
                <w:color w:val="auto"/>
              </w:rPr>
              <w:t>41,013</w:t>
            </w:r>
          </w:p>
        </w:tc>
        <w:tc>
          <w:tcPr>
            <w:tcW w:w="1140" w:type="dxa"/>
            <w:vAlign w:val="bottom"/>
            <w:tcBorders>
              <w:bottom w:val="single" w:sz="8" w:color="732282"/>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693,861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-1122045</wp:posOffset>
            </wp:positionV>
            <wp:extent cx="77470" cy="1114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114425"/>
                    </a:xfrm>
                    <a:prstGeom prst="rect">
                      <a:avLst/>
                    </a:prstGeom>
                    <a:noFill/>
                  </pic:spPr>
                </pic:pic>
              </a:graphicData>
            </a:graphic>
          </wp:anchor>
        </w:drawing>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732282"/>
        </w:rPr>
        <w:t>Pension Benefits for 2020</w:t>
      </w:r>
    </w:p>
    <w:p>
      <w:pPr>
        <w:spacing w:after="0" w:line="99"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The following table summarizes the benefits accrued by Mr. Malik as of December 31, 2020, under the Executive Plan and Malik RBA in effect during 2020. The Company does not sponsor any other defined benefit pension programs covering the NEOs.</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900" w:type="dxa"/>
            <w:vAlign w:val="bottom"/>
            <w:shd w:val="clear" w:color="auto" w:fill="444444"/>
          </w:tcPr>
          <w:p>
            <w:pPr>
              <w:spacing w:after="0"/>
              <w:rPr>
                <w:sz w:val="12"/>
                <w:szCs w:val="12"/>
                <w:color w:val="auto"/>
              </w:rPr>
            </w:pPr>
          </w:p>
        </w:tc>
        <w:tc>
          <w:tcPr>
            <w:tcW w:w="4560" w:type="dxa"/>
            <w:vAlign w:val="bottom"/>
            <w:shd w:val="clear" w:color="auto" w:fill="444444"/>
          </w:tcPr>
          <w:p>
            <w:pPr>
              <w:spacing w:after="0"/>
              <w:rPr>
                <w:sz w:val="12"/>
                <w:szCs w:val="12"/>
                <w:color w:val="auto"/>
              </w:rPr>
            </w:pPr>
          </w:p>
        </w:tc>
        <w:tc>
          <w:tcPr>
            <w:tcW w:w="1200" w:type="dxa"/>
            <w:vAlign w:val="bottom"/>
            <w:shd w:val="clear" w:color="auto" w:fill="444444"/>
          </w:tcPr>
          <w:p>
            <w:pPr>
              <w:jc w:val="right"/>
              <w:ind w:right="201"/>
              <w:spacing w:after="0"/>
              <w:rPr>
                <w:sz w:val="20"/>
                <w:szCs w:val="20"/>
                <w:color w:val="auto"/>
              </w:rPr>
            </w:pPr>
            <w:r>
              <w:rPr>
                <w:rFonts w:ascii="Arial" w:cs="Arial" w:eastAsia="Arial" w:hAnsi="Arial"/>
                <w:sz w:val="13"/>
                <w:szCs w:val="13"/>
                <w:b w:val="1"/>
                <w:bCs w:val="1"/>
                <w:color w:val="FFFFFF"/>
              </w:rPr>
              <w:t>Number of</w:t>
            </w:r>
          </w:p>
        </w:tc>
        <w:tc>
          <w:tcPr>
            <w:tcW w:w="1380" w:type="dxa"/>
            <w:vAlign w:val="bottom"/>
            <w:shd w:val="clear" w:color="auto" w:fill="444444"/>
          </w:tcPr>
          <w:p>
            <w:pPr>
              <w:spacing w:after="0"/>
              <w:rPr>
                <w:sz w:val="12"/>
                <w:szCs w:val="12"/>
                <w:color w:val="auto"/>
              </w:rPr>
            </w:pPr>
          </w:p>
        </w:tc>
        <w:tc>
          <w:tcPr>
            <w:tcW w:w="9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Payments</w:t>
            </w:r>
          </w:p>
        </w:tc>
      </w:tr>
      <w:tr>
        <w:trPr>
          <w:trHeight w:val="148"/>
        </w:trPr>
        <w:tc>
          <w:tcPr>
            <w:tcW w:w="2900" w:type="dxa"/>
            <w:vAlign w:val="bottom"/>
            <w:shd w:val="clear" w:color="auto" w:fill="444444"/>
          </w:tcPr>
          <w:p>
            <w:pPr>
              <w:spacing w:after="0"/>
              <w:rPr>
                <w:sz w:val="12"/>
                <w:szCs w:val="12"/>
                <w:color w:val="auto"/>
              </w:rPr>
            </w:pPr>
          </w:p>
        </w:tc>
        <w:tc>
          <w:tcPr>
            <w:tcW w:w="4560" w:type="dxa"/>
            <w:vAlign w:val="bottom"/>
            <w:shd w:val="clear" w:color="auto" w:fill="444444"/>
          </w:tcPr>
          <w:p>
            <w:pPr>
              <w:spacing w:after="0"/>
              <w:rPr>
                <w:sz w:val="12"/>
                <w:szCs w:val="12"/>
                <w:color w:val="auto"/>
              </w:rPr>
            </w:pPr>
          </w:p>
        </w:tc>
        <w:tc>
          <w:tcPr>
            <w:tcW w:w="1200" w:type="dxa"/>
            <w:vAlign w:val="bottom"/>
            <w:shd w:val="clear" w:color="auto" w:fill="444444"/>
          </w:tcPr>
          <w:p>
            <w:pPr>
              <w:jc w:val="right"/>
              <w:ind w:right="201"/>
              <w:spacing w:after="0"/>
              <w:rPr>
                <w:sz w:val="20"/>
                <w:szCs w:val="20"/>
                <w:color w:val="auto"/>
              </w:rPr>
            </w:pPr>
            <w:r>
              <w:rPr>
                <w:rFonts w:ascii="Arial" w:cs="Arial" w:eastAsia="Arial" w:hAnsi="Arial"/>
                <w:sz w:val="13"/>
                <w:szCs w:val="13"/>
                <w:b w:val="1"/>
                <w:bCs w:val="1"/>
                <w:color w:val="FFFFFF"/>
              </w:rPr>
              <w:t>Years of</w:t>
            </w:r>
          </w:p>
        </w:tc>
        <w:tc>
          <w:tcPr>
            <w:tcW w:w="1380" w:type="dxa"/>
            <w:vAlign w:val="bottom"/>
            <w:shd w:val="clear" w:color="auto" w:fill="444444"/>
          </w:tcPr>
          <w:p>
            <w:pPr>
              <w:jc w:val="right"/>
              <w:ind w:right="180"/>
              <w:spacing w:after="0"/>
              <w:rPr>
                <w:sz w:val="20"/>
                <w:szCs w:val="20"/>
                <w:color w:val="auto"/>
              </w:rPr>
            </w:pPr>
            <w:r>
              <w:rPr>
                <w:rFonts w:ascii="Arial" w:cs="Arial" w:eastAsia="Arial" w:hAnsi="Arial"/>
                <w:sz w:val="13"/>
                <w:szCs w:val="13"/>
                <w:b w:val="1"/>
                <w:bCs w:val="1"/>
                <w:color w:val="FFFFFF"/>
              </w:rPr>
              <w:t>Present</w:t>
            </w:r>
          </w:p>
        </w:tc>
        <w:tc>
          <w:tcPr>
            <w:tcW w:w="9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During</w:t>
            </w:r>
          </w:p>
        </w:tc>
      </w:tr>
      <w:tr>
        <w:trPr>
          <w:trHeight w:val="148"/>
        </w:trPr>
        <w:tc>
          <w:tcPr>
            <w:tcW w:w="2900" w:type="dxa"/>
            <w:vAlign w:val="bottom"/>
            <w:shd w:val="clear" w:color="auto" w:fill="444444"/>
          </w:tcPr>
          <w:p>
            <w:pPr>
              <w:spacing w:after="0"/>
              <w:rPr>
                <w:sz w:val="12"/>
                <w:szCs w:val="12"/>
                <w:color w:val="auto"/>
              </w:rPr>
            </w:pPr>
          </w:p>
        </w:tc>
        <w:tc>
          <w:tcPr>
            <w:tcW w:w="4560" w:type="dxa"/>
            <w:vAlign w:val="bottom"/>
            <w:shd w:val="clear" w:color="auto" w:fill="444444"/>
          </w:tcPr>
          <w:p>
            <w:pPr>
              <w:spacing w:after="0"/>
              <w:rPr>
                <w:sz w:val="12"/>
                <w:szCs w:val="12"/>
                <w:color w:val="auto"/>
              </w:rPr>
            </w:pPr>
          </w:p>
        </w:tc>
        <w:tc>
          <w:tcPr>
            <w:tcW w:w="1200" w:type="dxa"/>
            <w:vAlign w:val="bottom"/>
            <w:shd w:val="clear" w:color="auto" w:fill="444444"/>
          </w:tcPr>
          <w:p>
            <w:pPr>
              <w:jc w:val="right"/>
              <w:ind w:right="201"/>
              <w:spacing w:after="0"/>
              <w:rPr>
                <w:sz w:val="20"/>
                <w:szCs w:val="20"/>
                <w:color w:val="auto"/>
              </w:rPr>
            </w:pPr>
            <w:r>
              <w:rPr>
                <w:rFonts w:ascii="Arial" w:cs="Arial" w:eastAsia="Arial" w:hAnsi="Arial"/>
                <w:sz w:val="13"/>
                <w:szCs w:val="13"/>
                <w:b w:val="1"/>
                <w:bCs w:val="1"/>
                <w:color w:val="FFFFFF"/>
              </w:rPr>
              <w:t>Credited</w:t>
            </w:r>
          </w:p>
        </w:tc>
        <w:tc>
          <w:tcPr>
            <w:tcW w:w="1380" w:type="dxa"/>
            <w:vAlign w:val="bottom"/>
            <w:shd w:val="clear" w:color="auto" w:fill="444444"/>
          </w:tcPr>
          <w:p>
            <w:pPr>
              <w:jc w:val="right"/>
              <w:ind w:right="180"/>
              <w:spacing w:after="0"/>
              <w:rPr>
                <w:sz w:val="20"/>
                <w:szCs w:val="20"/>
                <w:color w:val="auto"/>
              </w:rPr>
            </w:pPr>
            <w:r>
              <w:rPr>
                <w:rFonts w:ascii="Arial" w:cs="Arial" w:eastAsia="Arial" w:hAnsi="Arial"/>
                <w:sz w:val="13"/>
                <w:szCs w:val="13"/>
                <w:b w:val="1"/>
                <w:bCs w:val="1"/>
                <w:color w:val="FFFFFF"/>
              </w:rPr>
              <w:t>Value of</w:t>
            </w:r>
          </w:p>
        </w:tc>
        <w:tc>
          <w:tcPr>
            <w:tcW w:w="9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Last</w:t>
            </w:r>
          </w:p>
        </w:tc>
      </w:tr>
      <w:tr>
        <w:trPr>
          <w:trHeight w:val="149"/>
        </w:trPr>
        <w:tc>
          <w:tcPr>
            <w:tcW w:w="2900" w:type="dxa"/>
            <w:vAlign w:val="bottom"/>
            <w:shd w:val="clear" w:color="auto" w:fill="444444"/>
          </w:tcPr>
          <w:p>
            <w:pPr>
              <w:spacing w:after="0"/>
              <w:rPr>
                <w:sz w:val="12"/>
                <w:szCs w:val="12"/>
                <w:color w:val="auto"/>
              </w:rPr>
            </w:pPr>
          </w:p>
        </w:tc>
        <w:tc>
          <w:tcPr>
            <w:tcW w:w="4560" w:type="dxa"/>
            <w:vAlign w:val="bottom"/>
            <w:shd w:val="clear" w:color="auto" w:fill="444444"/>
          </w:tcPr>
          <w:p>
            <w:pPr>
              <w:spacing w:after="0"/>
              <w:rPr>
                <w:sz w:val="12"/>
                <w:szCs w:val="12"/>
                <w:color w:val="auto"/>
              </w:rPr>
            </w:pPr>
          </w:p>
        </w:tc>
        <w:tc>
          <w:tcPr>
            <w:tcW w:w="1200" w:type="dxa"/>
            <w:vAlign w:val="bottom"/>
            <w:shd w:val="clear" w:color="auto" w:fill="444444"/>
          </w:tcPr>
          <w:p>
            <w:pPr>
              <w:jc w:val="right"/>
              <w:ind w:right="201"/>
              <w:spacing w:after="0"/>
              <w:rPr>
                <w:sz w:val="20"/>
                <w:szCs w:val="20"/>
                <w:color w:val="auto"/>
              </w:rPr>
            </w:pPr>
            <w:r>
              <w:rPr>
                <w:rFonts w:ascii="Arial" w:cs="Arial" w:eastAsia="Arial" w:hAnsi="Arial"/>
                <w:sz w:val="13"/>
                <w:szCs w:val="13"/>
                <w:b w:val="1"/>
                <w:bCs w:val="1"/>
                <w:color w:val="FFFFFF"/>
              </w:rPr>
              <w:t>Service</w:t>
            </w:r>
          </w:p>
        </w:tc>
        <w:tc>
          <w:tcPr>
            <w:tcW w:w="1380" w:type="dxa"/>
            <w:vAlign w:val="bottom"/>
            <w:shd w:val="clear" w:color="auto" w:fill="444444"/>
          </w:tcPr>
          <w:p>
            <w:pPr>
              <w:jc w:val="right"/>
              <w:ind w:right="180"/>
              <w:spacing w:after="0"/>
              <w:rPr>
                <w:sz w:val="20"/>
                <w:szCs w:val="20"/>
                <w:color w:val="auto"/>
              </w:rPr>
            </w:pPr>
            <w:r>
              <w:rPr>
                <w:rFonts w:ascii="Arial" w:cs="Arial" w:eastAsia="Arial" w:hAnsi="Arial"/>
                <w:sz w:val="13"/>
                <w:szCs w:val="13"/>
                <w:b w:val="1"/>
                <w:bCs w:val="1"/>
                <w:color w:val="FFFFFF"/>
              </w:rPr>
              <w:t>Accumulated</w:t>
            </w:r>
          </w:p>
        </w:tc>
        <w:tc>
          <w:tcPr>
            <w:tcW w:w="9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Fiscal</w:t>
            </w:r>
          </w:p>
        </w:tc>
      </w:tr>
      <w:tr>
        <w:trPr>
          <w:trHeight w:val="165"/>
        </w:trPr>
        <w:tc>
          <w:tcPr>
            <w:tcW w:w="290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Name</w:t>
            </w:r>
          </w:p>
        </w:tc>
        <w:tc>
          <w:tcPr>
            <w:tcW w:w="4560" w:type="dxa"/>
            <w:vAlign w:val="bottom"/>
            <w:shd w:val="clear" w:color="auto" w:fill="444444"/>
          </w:tcPr>
          <w:p>
            <w:pPr>
              <w:jc w:val="right"/>
              <w:ind w:right="155"/>
              <w:spacing w:after="0" w:line="165" w:lineRule="exact"/>
              <w:rPr>
                <w:sz w:val="20"/>
                <w:szCs w:val="20"/>
                <w:color w:val="auto"/>
              </w:rPr>
            </w:pPr>
            <w:r>
              <w:rPr>
                <w:rFonts w:ascii="Arial" w:cs="Arial" w:eastAsia="Arial" w:hAnsi="Arial"/>
                <w:sz w:val="13"/>
                <w:szCs w:val="13"/>
                <w:b w:val="1"/>
                <w:bCs w:val="1"/>
                <w:color w:val="FFFFFF"/>
              </w:rPr>
              <w:t>Plan Name</w:t>
            </w:r>
            <w:r>
              <w:rPr>
                <w:rFonts w:ascii="Arial" w:cs="Arial" w:eastAsia="Arial" w:hAnsi="Arial"/>
                <w:sz w:val="18"/>
                <w:szCs w:val="18"/>
                <w:b w:val="1"/>
                <w:bCs w:val="1"/>
                <w:color w:val="FFFFFF"/>
                <w:vertAlign w:val="superscript"/>
              </w:rPr>
              <w:t>(1)</w:t>
            </w:r>
          </w:p>
        </w:tc>
        <w:tc>
          <w:tcPr>
            <w:tcW w:w="1200" w:type="dxa"/>
            <w:vAlign w:val="bottom"/>
            <w:shd w:val="clear" w:color="auto" w:fill="444444"/>
          </w:tcPr>
          <w:p>
            <w:pPr>
              <w:jc w:val="right"/>
              <w:ind w:right="201"/>
              <w:spacing w:after="0"/>
              <w:rPr>
                <w:sz w:val="20"/>
                <w:szCs w:val="20"/>
                <w:color w:val="auto"/>
              </w:rPr>
            </w:pPr>
            <w:r>
              <w:rPr>
                <w:rFonts w:ascii="Arial" w:cs="Arial" w:eastAsia="Arial" w:hAnsi="Arial"/>
                <w:sz w:val="13"/>
                <w:szCs w:val="13"/>
                <w:b w:val="1"/>
                <w:bCs w:val="1"/>
                <w:color w:val="FFFFFF"/>
              </w:rPr>
              <w:t>(#)</w:t>
            </w:r>
          </w:p>
        </w:tc>
        <w:tc>
          <w:tcPr>
            <w:tcW w:w="1380" w:type="dxa"/>
            <w:vAlign w:val="bottom"/>
            <w:shd w:val="clear" w:color="auto" w:fill="444444"/>
          </w:tcPr>
          <w:p>
            <w:pPr>
              <w:jc w:val="right"/>
              <w:ind w:right="180"/>
              <w:spacing w:after="0" w:line="165" w:lineRule="exact"/>
              <w:rPr>
                <w:sz w:val="20"/>
                <w:szCs w:val="20"/>
                <w:color w:val="auto"/>
              </w:rPr>
            </w:pPr>
            <w:r>
              <w:rPr>
                <w:rFonts w:ascii="Arial" w:cs="Arial" w:eastAsia="Arial" w:hAnsi="Arial"/>
                <w:sz w:val="13"/>
                <w:szCs w:val="13"/>
                <w:b w:val="1"/>
                <w:bCs w:val="1"/>
                <w:color w:val="FFFFFF"/>
              </w:rPr>
              <w:t>Benefit ($)</w:t>
            </w:r>
            <w:r>
              <w:rPr>
                <w:rFonts w:ascii="Arial" w:cs="Arial" w:eastAsia="Arial" w:hAnsi="Arial"/>
                <w:sz w:val="18"/>
                <w:szCs w:val="18"/>
                <w:b w:val="1"/>
                <w:bCs w:val="1"/>
                <w:color w:val="FFFFFF"/>
                <w:vertAlign w:val="superscript"/>
              </w:rPr>
              <w:t>(2)</w:t>
            </w:r>
          </w:p>
        </w:tc>
        <w:tc>
          <w:tcPr>
            <w:tcW w:w="9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Year ($)</w:t>
            </w:r>
          </w:p>
        </w:tc>
      </w:tr>
      <w:tr>
        <w:trPr>
          <w:trHeight w:val="203"/>
        </w:trPr>
        <w:tc>
          <w:tcPr>
            <w:tcW w:w="29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Robert J. Coury</w:t>
            </w:r>
          </w:p>
        </w:tc>
        <w:tc>
          <w:tcPr>
            <w:tcW w:w="4560" w:type="dxa"/>
            <w:vAlign w:val="bottom"/>
            <w:shd w:val="clear" w:color="auto" w:fill="E5E5E5"/>
          </w:tcPr>
          <w:p>
            <w:pPr>
              <w:jc w:val="right"/>
              <w:ind w:right="155"/>
              <w:spacing w:after="0" w:line="202" w:lineRule="exact"/>
              <w:rPr>
                <w:sz w:val="20"/>
                <w:szCs w:val="20"/>
                <w:color w:val="auto"/>
              </w:rPr>
            </w:pPr>
            <w:r>
              <w:rPr>
                <w:rFonts w:ascii="Arial" w:cs="Arial" w:eastAsia="Arial" w:hAnsi="Arial"/>
                <w:sz w:val="18"/>
                <w:szCs w:val="18"/>
                <w:color w:val="auto"/>
              </w:rPr>
              <w:t>N/A</w:t>
            </w:r>
          </w:p>
        </w:tc>
        <w:tc>
          <w:tcPr>
            <w:tcW w:w="1200" w:type="dxa"/>
            <w:vAlign w:val="bottom"/>
            <w:shd w:val="clear" w:color="auto" w:fill="E5E5E5"/>
          </w:tcPr>
          <w:p>
            <w:pPr>
              <w:jc w:val="right"/>
              <w:ind w:right="201"/>
              <w:spacing w:after="0" w:line="202" w:lineRule="exact"/>
              <w:rPr>
                <w:sz w:val="20"/>
                <w:szCs w:val="20"/>
                <w:color w:val="auto"/>
              </w:rPr>
            </w:pPr>
            <w:r>
              <w:rPr>
                <w:rFonts w:ascii="Arial" w:cs="Arial" w:eastAsia="Arial" w:hAnsi="Arial"/>
                <w:sz w:val="18"/>
                <w:szCs w:val="18"/>
                <w:color w:val="auto"/>
              </w:rPr>
              <w:t>N/A</w:t>
            </w:r>
          </w:p>
        </w:tc>
        <w:tc>
          <w:tcPr>
            <w:tcW w:w="1380" w:type="dxa"/>
            <w:vAlign w:val="bottom"/>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tcPr>
          <w:p>
            <w:pPr>
              <w:ind w:left="100"/>
              <w:spacing w:after="0" w:line="202" w:lineRule="exact"/>
              <w:rPr>
                <w:sz w:val="20"/>
                <w:szCs w:val="20"/>
                <w:color w:val="auto"/>
              </w:rPr>
            </w:pPr>
            <w:r>
              <w:rPr>
                <w:rFonts w:ascii="Arial" w:cs="Arial" w:eastAsia="Arial" w:hAnsi="Arial"/>
                <w:sz w:val="18"/>
                <w:szCs w:val="18"/>
                <w:color w:val="auto"/>
              </w:rPr>
              <w:t>Michael Goettler</w:t>
            </w:r>
          </w:p>
        </w:tc>
        <w:tc>
          <w:tcPr>
            <w:tcW w:w="45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N/A</w:t>
            </w:r>
          </w:p>
        </w:tc>
        <w:tc>
          <w:tcPr>
            <w:tcW w:w="120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N/A</w:t>
            </w:r>
          </w:p>
        </w:tc>
        <w:tc>
          <w:tcPr>
            <w:tcW w:w="138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Sanjeev Narula</w:t>
            </w:r>
          </w:p>
        </w:tc>
        <w:tc>
          <w:tcPr>
            <w:tcW w:w="4560" w:type="dxa"/>
            <w:vAlign w:val="bottom"/>
            <w:shd w:val="clear" w:color="auto" w:fill="E5E5E5"/>
          </w:tcPr>
          <w:p>
            <w:pPr>
              <w:jc w:val="right"/>
              <w:ind w:right="155"/>
              <w:spacing w:after="0" w:line="202" w:lineRule="exact"/>
              <w:rPr>
                <w:sz w:val="20"/>
                <w:szCs w:val="20"/>
                <w:color w:val="auto"/>
              </w:rPr>
            </w:pPr>
            <w:r>
              <w:rPr>
                <w:rFonts w:ascii="Arial" w:cs="Arial" w:eastAsia="Arial" w:hAnsi="Arial"/>
                <w:sz w:val="18"/>
                <w:szCs w:val="18"/>
                <w:color w:val="auto"/>
              </w:rPr>
              <w:t>N/A</w:t>
            </w:r>
          </w:p>
        </w:tc>
        <w:tc>
          <w:tcPr>
            <w:tcW w:w="1200" w:type="dxa"/>
            <w:vAlign w:val="bottom"/>
            <w:shd w:val="clear" w:color="auto" w:fill="E5E5E5"/>
          </w:tcPr>
          <w:p>
            <w:pPr>
              <w:jc w:val="right"/>
              <w:ind w:right="201"/>
              <w:spacing w:after="0" w:line="202" w:lineRule="exact"/>
              <w:rPr>
                <w:sz w:val="20"/>
                <w:szCs w:val="20"/>
                <w:color w:val="auto"/>
              </w:rPr>
            </w:pPr>
            <w:r>
              <w:rPr>
                <w:rFonts w:ascii="Arial" w:cs="Arial" w:eastAsia="Arial" w:hAnsi="Arial"/>
                <w:sz w:val="18"/>
                <w:szCs w:val="18"/>
                <w:color w:val="auto"/>
              </w:rPr>
              <w:t>N/A</w:t>
            </w:r>
          </w:p>
        </w:tc>
        <w:tc>
          <w:tcPr>
            <w:tcW w:w="1380" w:type="dxa"/>
            <w:vAlign w:val="bottom"/>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tcPr>
          <w:p>
            <w:pPr>
              <w:ind w:left="100"/>
              <w:spacing w:after="0" w:line="202" w:lineRule="exact"/>
              <w:rPr>
                <w:sz w:val="20"/>
                <w:szCs w:val="20"/>
                <w:color w:val="auto"/>
              </w:rPr>
            </w:pPr>
            <w:r>
              <w:rPr>
                <w:rFonts w:ascii="Arial" w:cs="Arial" w:eastAsia="Arial" w:hAnsi="Arial"/>
                <w:sz w:val="18"/>
                <w:szCs w:val="18"/>
                <w:color w:val="auto"/>
              </w:rPr>
              <w:t>Rajiv Malik</w:t>
            </w:r>
          </w:p>
        </w:tc>
        <w:tc>
          <w:tcPr>
            <w:tcW w:w="45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The Executive Plan for Rajiv Malik</w:t>
            </w:r>
            <w:r>
              <w:rPr>
                <w:rFonts w:ascii="Arial" w:cs="Arial" w:eastAsia="Arial" w:hAnsi="Arial"/>
                <w:sz w:val="9"/>
                <w:szCs w:val="9"/>
                <w:color w:val="auto"/>
              </w:rPr>
              <w:t>(3)</w:t>
            </w:r>
          </w:p>
        </w:tc>
        <w:tc>
          <w:tcPr>
            <w:tcW w:w="120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N/A</w:t>
            </w:r>
          </w:p>
        </w:tc>
        <w:tc>
          <w:tcPr>
            <w:tcW w:w="138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441,652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Rajiv Malik</w:t>
            </w:r>
          </w:p>
        </w:tc>
        <w:tc>
          <w:tcPr>
            <w:tcW w:w="4560" w:type="dxa"/>
            <w:vAlign w:val="bottom"/>
            <w:shd w:val="clear" w:color="auto" w:fill="E5E5E5"/>
          </w:tcPr>
          <w:p>
            <w:pPr>
              <w:jc w:val="right"/>
              <w:ind w:right="155"/>
              <w:spacing w:after="0" w:line="202" w:lineRule="exact"/>
              <w:rPr>
                <w:sz w:val="20"/>
                <w:szCs w:val="20"/>
                <w:color w:val="auto"/>
              </w:rPr>
            </w:pPr>
            <w:r>
              <w:rPr>
                <w:rFonts w:ascii="Arial" w:cs="Arial" w:eastAsia="Arial" w:hAnsi="Arial"/>
                <w:sz w:val="18"/>
                <w:szCs w:val="18"/>
                <w:color w:val="auto"/>
              </w:rPr>
              <w:t>Retirement Benefit Agreement</w:t>
            </w:r>
            <w:r>
              <w:rPr>
                <w:rFonts w:ascii="Arial" w:cs="Arial" w:eastAsia="Arial" w:hAnsi="Arial"/>
                <w:sz w:val="9"/>
                <w:szCs w:val="9"/>
                <w:color w:val="auto"/>
              </w:rPr>
              <w:t>(4)</w:t>
            </w:r>
          </w:p>
        </w:tc>
        <w:tc>
          <w:tcPr>
            <w:tcW w:w="1200" w:type="dxa"/>
            <w:vAlign w:val="bottom"/>
            <w:shd w:val="clear" w:color="auto" w:fill="E5E5E5"/>
          </w:tcPr>
          <w:p>
            <w:pPr>
              <w:jc w:val="right"/>
              <w:ind w:right="201"/>
              <w:spacing w:after="0" w:line="202" w:lineRule="exact"/>
              <w:rPr>
                <w:sz w:val="20"/>
                <w:szCs w:val="20"/>
                <w:color w:val="auto"/>
              </w:rPr>
            </w:pPr>
            <w:r>
              <w:rPr>
                <w:rFonts w:ascii="Arial" w:cs="Arial" w:eastAsia="Arial" w:hAnsi="Arial"/>
                <w:sz w:val="18"/>
                <w:szCs w:val="18"/>
                <w:color w:val="auto"/>
              </w:rPr>
              <w:t>14</w:t>
            </w:r>
          </w:p>
        </w:tc>
        <w:tc>
          <w:tcPr>
            <w:tcW w:w="1380" w:type="dxa"/>
            <w:vAlign w:val="bottom"/>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5,342,449</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6"/>
        </w:trPr>
        <w:tc>
          <w:tcPr>
            <w:tcW w:w="2900" w:type="dxa"/>
            <w:vAlign w:val="bottom"/>
          </w:tcPr>
          <w:p>
            <w:pPr>
              <w:ind w:left="100"/>
              <w:spacing w:after="0" w:line="206" w:lineRule="exact"/>
              <w:rPr>
                <w:sz w:val="20"/>
                <w:szCs w:val="20"/>
                <w:color w:val="auto"/>
              </w:rPr>
            </w:pPr>
            <w:r>
              <w:rPr>
                <w:rFonts w:ascii="Arial" w:cs="Arial" w:eastAsia="Arial" w:hAnsi="Arial"/>
                <w:sz w:val="18"/>
                <w:szCs w:val="18"/>
                <w:color w:val="auto"/>
              </w:rPr>
              <w:t>Anthony Mauro</w:t>
            </w:r>
          </w:p>
        </w:tc>
        <w:tc>
          <w:tcPr>
            <w:tcW w:w="4560" w:type="dxa"/>
            <w:vAlign w:val="bottom"/>
          </w:tcPr>
          <w:p>
            <w:pPr>
              <w:jc w:val="right"/>
              <w:ind w:right="155"/>
              <w:spacing w:after="0" w:line="206" w:lineRule="exact"/>
              <w:rPr>
                <w:sz w:val="20"/>
                <w:szCs w:val="20"/>
                <w:color w:val="auto"/>
              </w:rPr>
            </w:pPr>
            <w:r>
              <w:rPr>
                <w:rFonts w:ascii="Arial" w:cs="Arial" w:eastAsia="Arial" w:hAnsi="Arial"/>
                <w:sz w:val="18"/>
                <w:szCs w:val="18"/>
                <w:color w:val="auto"/>
              </w:rPr>
              <w:t>N/A</w:t>
            </w:r>
          </w:p>
        </w:tc>
        <w:tc>
          <w:tcPr>
            <w:tcW w:w="1200" w:type="dxa"/>
            <w:vAlign w:val="bottom"/>
          </w:tcPr>
          <w:p>
            <w:pPr>
              <w:jc w:val="right"/>
              <w:ind w:right="201"/>
              <w:spacing w:after="0" w:line="206" w:lineRule="exact"/>
              <w:rPr>
                <w:sz w:val="20"/>
                <w:szCs w:val="20"/>
                <w:color w:val="auto"/>
              </w:rPr>
            </w:pPr>
            <w:r>
              <w:rPr>
                <w:rFonts w:ascii="Arial" w:cs="Arial" w:eastAsia="Arial" w:hAnsi="Arial"/>
                <w:sz w:val="18"/>
                <w:szCs w:val="18"/>
                <w:color w:val="auto"/>
              </w:rPr>
              <w:t>N/A</w:t>
            </w:r>
          </w:p>
        </w:tc>
        <w:tc>
          <w:tcPr>
            <w:tcW w:w="1380" w:type="dxa"/>
            <w:vAlign w:val="bottom"/>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r>
    </w:tbl>
    <w:p>
      <w:pPr>
        <w:ind w:left="5404" w:right="2880" w:hanging="5404"/>
        <w:spacing w:after="0" w:line="411" w:lineRule="auto"/>
        <w:tabs>
          <w:tab w:leader="none" w:pos="426"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Messrs. Coury, Goettler, Narula, and Mauro are not party to a defined benefit pension arrangement. </w:t>
      </w:r>
      <w:r>
        <w:rPr>
          <w:rFonts w:ascii="Arial" w:cs="Arial" w:eastAsia="Arial" w:hAnsi="Arial"/>
          <w:sz w:val="18"/>
          <w:szCs w:val="18"/>
          <w:color w:val="auto"/>
        </w:rPr>
        <w:t>49</w:t>
      </w:r>
    </w:p>
    <w:p>
      <w:pPr>
        <w:sectPr>
          <w:pgSz w:w="11900" w:h="16838" w:orient="portrait"/>
          <w:cols w:equalWidth="0" w:num="1">
            <w:col w:w="11024"/>
          </w:cols>
          <w:pgMar w:left="436" w:top="300" w:right="439" w:bottom="1440" w:gutter="0" w:footer="0" w:header="0"/>
        </w:sectPr>
      </w:pPr>
    </w:p>
    <w:bookmarkStart w:id="54" w:name="page55"/>
    <w:bookmarkEnd w:id="54"/>
    <w:p>
      <w:pPr>
        <w:ind w:left="424" w:hanging="424"/>
        <w:spacing w:after="0"/>
        <w:tabs>
          <w:tab w:leader="none" w:pos="424"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See pages 38 and 42 of this Form 10-K/A for further information on the value of the accumulated pension benefit.</w:t>
      </w:r>
    </w:p>
    <w:p>
      <w:pPr>
        <w:spacing w:after="0" w:line="13" w:lineRule="exact"/>
        <w:rPr>
          <w:rFonts w:ascii="Arial" w:cs="Arial" w:eastAsia="Arial" w:hAnsi="Arial"/>
          <w:sz w:val="18"/>
          <w:szCs w:val="18"/>
          <w:i w:val="1"/>
          <w:iCs w:val="1"/>
          <w:color w:val="auto"/>
        </w:rPr>
      </w:pPr>
    </w:p>
    <w:p>
      <w:pPr>
        <w:ind w:left="424" w:hanging="424"/>
        <w:spacing w:after="0" w:line="234" w:lineRule="auto"/>
        <w:tabs>
          <w:tab w:leader="none" w:pos="424"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This is a deferred compensation plan established for the benefit of Mr. Malik. The Company is no longer contributing to this plan.</w:t>
      </w:r>
    </w:p>
    <w:p>
      <w:pPr>
        <w:ind w:left="424" w:hanging="424"/>
        <w:spacing w:after="0"/>
        <w:tabs>
          <w:tab w:leader="none" w:pos="424"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 Benefit Agreement has been frozen. Mr. Malik will no longer accrue any additional benefits under the agreement.</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732282"/>
        </w:rPr>
        <w:t>Nonqualified Deferred Compensation</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sets forth information relating to the Restoration Plan for 2020.</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700" w:type="dxa"/>
            <w:vAlign w:val="bottom"/>
            <w:shd w:val="clear" w:color="auto" w:fill="444444"/>
          </w:tcPr>
          <w:p>
            <w:pPr>
              <w:spacing w:after="0"/>
              <w:rPr>
                <w:sz w:val="13"/>
                <w:szCs w:val="13"/>
                <w:color w:val="auto"/>
              </w:rPr>
            </w:pPr>
          </w:p>
        </w:tc>
        <w:tc>
          <w:tcPr>
            <w:tcW w:w="2300" w:type="dxa"/>
            <w:vAlign w:val="bottom"/>
            <w:shd w:val="clear" w:color="auto" w:fill="444444"/>
          </w:tcPr>
          <w:p>
            <w:pPr>
              <w:spacing w:after="0"/>
              <w:rPr>
                <w:sz w:val="13"/>
                <w:szCs w:val="13"/>
                <w:color w:val="auto"/>
              </w:rPr>
            </w:pPr>
          </w:p>
        </w:tc>
        <w:tc>
          <w:tcPr>
            <w:tcW w:w="1260" w:type="dxa"/>
            <w:vAlign w:val="bottom"/>
            <w:shd w:val="clear" w:color="auto" w:fill="444444"/>
          </w:tcPr>
          <w:p>
            <w:pPr>
              <w:spacing w:after="0"/>
              <w:rPr>
                <w:sz w:val="13"/>
                <w:szCs w:val="13"/>
                <w:color w:val="auto"/>
              </w:rPr>
            </w:pP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Company</w:t>
            </w:r>
          </w:p>
        </w:tc>
        <w:tc>
          <w:tcPr>
            <w:tcW w:w="1160" w:type="dxa"/>
            <w:vAlign w:val="bottom"/>
            <w:shd w:val="clear" w:color="auto" w:fill="444444"/>
          </w:tcPr>
          <w:p>
            <w:pPr>
              <w:spacing w:after="0"/>
              <w:rPr>
                <w:sz w:val="13"/>
                <w:szCs w:val="13"/>
                <w:color w:val="auto"/>
              </w:rPr>
            </w:pPr>
          </w:p>
        </w:tc>
        <w:tc>
          <w:tcPr>
            <w:tcW w:w="1240" w:type="dxa"/>
            <w:vAlign w:val="bottom"/>
            <w:shd w:val="clear" w:color="auto" w:fill="444444"/>
          </w:tcPr>
          <w:p>
            <w:pPr>
              <w:spacing w:after="0"/>
              <w:rPr>
                <w:sz w:val="13"/>
                <w:szCs w:val="13"/>
                <w:color w:val="auto"/>
              </w:rPr>
            </w:pPr>
          </w:p>
        </w:tc>
        <w:tc>
          <w:tcPr>
            <w:tcW w:w="1060" w:type="dxa"/>
            <w:vAlign w:val="bottom"/>
            <w:shd w:val="clear" w:color="auto" w:fill="444444"/>
          </w:tcPr>
          <w:p>
            <w:pPr>
              <w:spacing w:after="0"/>
              <w:rPr>
                <w:sz w:val="13"/>
                <w:szCs w:val="13"/>
                <w:color w:val="auto"/>
              </w:rPr>
            </w:pPr>
          </w:p>
        </w:tc>
      </w:tr>
      <w:tr>
        <w:trPr>
          <w:trHeight w:val="148"/>
        </w:trPr>
        <w:tc>
          <w:tcPr>
            <w:tcW w:w="2700" w:type="dxa"/>
            <w:vAlign w:val="bottom"/>
            <w:shd w:val="clear" w:color="auto" w:fill="444444"/>
          </w:tcPr>
          <w:p>
            <w:pPr>
              <w:spacing w:after="0"/>
              <w:rPr>
                <w:sz w:val="12"/>
                <w:szCs w:val="12"/>
                <w:color w:val="auto"/>
              </w:rPr>
            </w:pPr>
          </w:p>
        </w:tc>
        <w:tc>
          <w:tcPr>
            <w:tcW w:w="2300" w:type="dxa"/>
            <w:vAlign w:val="bottom"/>
            <w:shd w:val="clear" w:color="auto" w:fill="444444"/>
          </w:tcPr>
          <w:p>
            <w:pPr>
              <w:spacing w:after="0"/>
              <w:rPr>
                <w:sz w:val="12"/>
                <w:szCs w:val="12"/>
                <w:color w:val="auto"/>
              </w:rPr>
            </w:pPr>
          </w:p>
        </w:tc>
        <w:tc>
          <w:tcPr>
            <w:tcW w:w="1260" w:type="dxa"/>
            <w:vAlign w:val="bottom"/>
            <w:shd w:val="clear" w:color="auto" w:fill="444444"/>
          </w:tcPr>
          <w:p>
            <w:pPr>
              <w:spacing w:after="0"/>
              <w:rPr>
                <w:sz w:val="12"/>
                <w:szCs w:val="12"/>
                <w:color w:val="auto"/>
              </w:rPr>
            </w:pP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Profit</w:t>
            </w:r>
          </w:p>
        </w:tc>
        <w:tc>
          <w:tcPr>
            <w:tcW w:w="1160" w:type="dxa"/>
            <w:vAlign w:val="bottom"/>
            <w:shd w:val="clear" w:color="auto" w:fill="444444"/>
          </w:tcPr>
          <w:p>
            <w:pPr>
              <w:spacing w:after="0"/>
              <w:rPr>
                <w:sz w:val="12"/>
                <w:szCs w:val="12"/>
                <w:color w:val="auto"/>
              </w:rPr>
            </w:pPr>
          </w:p>
        </w:tc>
        <w:tc>
          <w:tcPr>
            <w:tcW w:w="1240" w:type="dxa"/>
            <w:vAlign w:val="bottom"/>
            <w:shd w:val="clear" w:color="auto" w:fill="444444"/>
          </w:tcPr>
          <w:p>
            <w:pPr>
              <w:spacing w:after="0"/>
              <w:rPr>
                <w:sz w:val="12"/>
                <w:szCs w:val="12"/>
                <w:color w:val="auto"/>
              </w:rPr>
            </w:pPr>
          </w:p>
        </w:tc>
        <w:tc>
          <w:tcPr>
            <w:tcW w:w="1060" w:type="dxa"/>
            <w:vAlign w:val="bottom"/>
            <w:shd w:val="clear" w:color="auto" w:fill="444444"/>
          </w:tcPr>
          <w:p>
            <w:pPr>
              <w:spacing w:after="0"/>
              <w:rPr>
                <w:sz w:val="12"/>
                <w:szCs w:val="12"/>
                <w:color w:val="auto"/>
              </w:rPr>
            </w:pPr>
          </w:p>
        </w:tc>
      </w:tr>
      <w:tr>
        <w:trPr>
          <w:trHeight w:val="148"/>
        </w:trPr>
        <w:tc>
          <w:tcPr>
            <w:tcW w:w="2700" w:type="dxa"/>
            <w:vAlign w:val="bottom"/>
            <w:shd w:val="clear" w:color="auto" w:fill="444444"/>
          </w:tcPr>
          <w:p>
            <w:pPr>
              <w:spacing w:after="0"/>
              <w:rPr>
                <w:sz w:val="12"/>
                <w:szCs w:val="12"/>
                <w:color w:val="auto"/>
              </w:rPr>
            </w:pPr>
          </w:p>
        </w:tc>
        <w:tc>
          <w:tcPr>
            <w:tcW w:w="230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Aggregate</w:t>
            </w:r>
          </w:p>
        </w:tc>
        <w:tc>
          <w:tcPr>
            <w:tcW w:w="1260" w:type="dxa"/>
            <w:vAlign w:val="bottom"/>
            <w:shd w:val="clear" w:color="auto" w:fill="444444"/>
          </w:tcPr>
          <w:p>
            <w:pPr>
              <w:spacing w:after="0"/>
              <w:rPr>
                <w:sz w:val="12"/>
                <w:szCs w:val="12"/>
                <w:color w:val="auto"/>
              </w:rPr>
            </w:pP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Sharing</w:t>
            </w:r>
          </w:p>
        </w:tc>
        <w:tc>
          <w:tcPr>
            <w:tcW w:w="1160" w:type="dxa"/>
            <w:vAlign w:val="bottom"/>
            <w:shd w:val="clear" w:color="auto" w:fill="444444"/>
          </w:tcPr>
          <w:p>
            <w:pPr>
              <w:jc w:val="right"/>
              <w:ind w:right="161"/>
              <w:spacing w:after="0"/>
              <w:rPr>
                <w:sz w:val="20"/>
                <w:szCs w:val="20"/>
                <w:color w:val="auto"/>
              </w:rPr>
            </w:pPr>
            <w:r>
              <w:rPr>
                <w:rFonts w:ascii="Arial" w:cs="Arial" w:eastAsia="Arial" w:hAnsi="Arial"/>
                <w:sz w:val="13"/>
                <w:szCs w:val="13"/>
                <w:b w:val="1"/>
                <w:bCs w:val="1"/>
                <w:color w:val="FFFFFF"/>
              </w:rPr>
              <w:t>Aggregate</w:t>
            </w:r>
          </w:p>
        </w:tc>
        <w:tc>
          <w:tcPr>
            <w:tcW w:w="1240" w:type="dxa"/>
            <w:vAlign w:val="bottom"/>
            <w:shd w:val="clear" w:color="auto" w:fill="444444"/>
          </w:tcPr>
          <w:p>
            <w:pPr>
              <w:spacing w:after="0"/>
              <w:rPr>
                <w:sz w:val="12"/>
                <w:szCs w:val="12"/>
                <w:color w:val="auto"/>
              </w:rPr>
            </w:pPr>
          </w:p>
        </w:tc>
        <w:tc>
          <w:tcPr>
            <w:tcW w:w="1060" w:type="dxa"/>
            <w:vAlign w:val="bottom"/>
            <w:shd w:val="clear" w:color="auto" w:fill="444444"/>
          </w:tcPr>
          <w:p>
            <w:pPr>
              <w:spacing w:after="0"/>
              <w:rPr>
                <w:sz w:val="12"/>
                <w:szCs w:val="12"/>
                <w:color w:val="auto"/>
              </w:rPr>
            </w:pPr>
          </w:p>
        </w:tc>
      </w:tr>
      <w:tr>
        <w:trPr>
          <w:trHeight w:val="148"/>
        </w:trPr>
        <w:tc>
          <w:tcPr>
            <w:tcW w:w="2700" w:type="dxa"/>
            <w:vAlign w:val="bottom"/>
            <w:shd w:val="clear" w:color="auto" w:fill="444444"/>
          </w:tcPr>
          <w:p>
            <w:pPr>
              <w:spacing w:after="0"/>
              <w:rPr>
                <w:sz w:val="12"/>
                <w:szCs w:val="12"/>
                <w:color w:val="auto"/>
              </w:rPr>
            </w:pPr>
          </w:p>
        </w:tc>
        <w:tc>
          <w:tcPr>
            <w:tcW w:w="230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Balance</w:t>
            </w:r>
          </w:p>
        </w:tc>
        <w:tc>
          <w:tcPr>
            <w:tcW w:w="1260" w:type="dxa"/>
            <w:vAlign w:val="bottom"/>
            <w:shd w:val="clear" w:color="auto" w:fill="444444"/>
          </w:tcPr>
          <w:p>
            <w:pPr>
              <w:jc w:val="right"/>
              <w:ind w:right="100"/>
              <w:spacing w:after="0"/>
              <w:rPr>
                <w:sz w:val="20"/>
                <w:szCs w:val="20"/>
                <w:color w:val="auto"/>
              </w:rPr>
            </w:pPr>
            <w:r>
              <w:rPr>
                <w:rFonts w:ascii="Arial" w:cs="Arial" w:eastAsia="Arial" w:hAnsi="Arial"/>
                <w:sz w:val="13"/>
                <w:szCs w:val="13"/>
                <w:b w:val="1"/>
                <w:bCs w:val="1"/>
                <w:color w:val="FFFFFF"/>
              </w:rPr>
              <w:t>Executive</w:t>
            </w: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and Match</w:t>
            </w:r>
          </w:p>
        </w:tc>
        <w:tc>
          <w:tcPr>
            <w:tcW w:w="1160" w:type="dxa"/>
            <w:vAlign w:val="bottom"/>
            <w:shd w:val="clear" w:color="auto" w:fill="444444"/>
          </w:tcPr>
          <w:p>
            <w:pPr>
              <w:jc w:val="right"/>
              <w:ind w:right="161"/>
              <w:spacing w:after="0"/>
              <w:rPr>
                <w:sz w:val="20"/>
                <w:szCs w:val="20"/>
                <w:color w:val="auto"/>
              </w:rPr>
            </w:pPr>
            <w:r>
              <w:rPr>
                <w:rFonts w:ascii="Arial" w:cs="Arial" w:eastAsia="Arial" w:hAnsi="Arial"/>
                <w:sz w:val="13"/>
                <w:szCs w:val="13"/>
                <w:b w:val="1"/>
                <w:bCs w:val="1"/>
                <w:color w:val="FFFFFF"/>
              </w:rPr>
              <w:t>Earnings</w:t>
            </w:r>
          </w:p>
        </w:tc>
        <w:tc>
          <w:tcPr>
            <w:tcW w:w="1240" w:type="dxa"/>
            <w:vAlign w:val="bottom"/>
            <w:shd w:val="clear" w:color="auto" w:fill="444444"/>
          </w:tcPr>
          <w:p>
            <w:pPr>
              <w:jc w:val="right"/>
              <w:ind w:right="140"/>
              <w:spacing w:after="0"/>
              <w:rPr>
                <w:sz w:val="20"/>
                <w:szCs w:val="20"/>
                <w:color w:val="auto"/>
              </w:rPr>
            </w:pPr>
            <w:r>
              <w:rPr>
                <w:rFonts w:ascii="Arial" w:cs="Arial" w:eastAsia="Arial" w:hAnsi="Arial"/>
                <w:sz w:val="13"/>
                <w:szCs w:val="13"/>
                <w:b w:val="1"/>
                <w:bCs w:val="1"/>
                <w:color w:val="FFFFFF"/>
              </w:rPr>
              <w:t>Aggregate</w:t>
            </w:r>
          </w:p>
        </w:tc>
        <w:tc>
          <w:tcPr>
            <w:tcW w:w="10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Aggregate</w:t>
            </w:r>
          </w:p>
        </w:tc>
      </w:tr>
      <w:tr>
        <w:trPr>
          <w:trHeight w:val="149"/>
        </w:trPr>
        <w:tc>
          <w:tcPr>
            <w:tcW w:w="2700" w:type="dxa"/>
            <w:vAlign w:val="bottom"/>
            <w:shd w:val="clear" w:color="auto" w:fill="444444"/>
          </w:tcPr>
          <w:p>
            <w:pPr>
              <w:spacing w:after="0"/>
              <w:rPr>
                <w:sz w:val="12"/>
                <w:szCs w:val="12"/>
                <w:color w:val="auto"/>
              </w:rPr>
            </w:pPr>
          </w:p>
        </w:tc>
        <w:tc>
          <w:tcPr>
            <w:tcW w:w="230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at Last</w:t>
            </w:r>
          </w:p>
        </w:tc>
        <w:tc>
          <w:tcPr>
            <w:tcW w:w="1260" w:type="dxa"/>
            <w:vAlign w:val="bottom"/>
            <w:shd w:val="clear" w:color="auto" w:fill="444444"/>
          </w:tcPr>
          <w:p>
            <w:pPr>
              <w:jc w:val="right"/>
              <w:ind w:right="100"/>
              <w:spacing w:after="0"/>
              <w:rPr>
                <w:sz w:val="20"/>
                <w:szCs w:val="20"/>
                <w:color w:val="auto"/>
              </w:rPr>
            </w:pPr>
            <w:r>
              <w:rPr>
                <w:rFonts w:ascii="Arial" w:cs="Arial" w:eastAsia="Arial" w:hAnsi="Arial"/>
                <w:sz w:val="13"/>
                <w:szCs w:val="13"/>
                <w:b w:val="1"/>
                <w:bCs w:val="1"/>
                <w:color w:val="FFFFFF"/>
              </w:rPr>
              <w:t>Contributions</w:t>
            </w: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Contributions</w:t>
            </w:r>
          </w:p>
        </w:tc>
        <w:tc>
          <w:tcPr>
            <w:tcW w:w="1160" w:type="dxa"/>
            <w:vAlign w:val="bottom"/>
            <w:shd w:val="clear" w:color="auto" w:fill="444444"/>
          </w:tcPr>
          <w:p>
            <w:pPr>
              <w:jc w:val="right"/>
              <w:ind w:right="161"/>
              <w:spacing w:after="0"/>
              <w:rPr>
                <w:sz w:val="20"/>
                <w:szCs w:val="20"/>
                <w:color w:val="auto"/>
              </w:rPr>
            </w:pPr>
            <w:r>
              <w:rPr>
                <w:rFonts w:ascii="Arial" w:cs="Arial" w:eastAsia="Arial" w:hAnsi="Arial"/>
                <w:sz w:val="13"/>
                <w:szCs w:val="13"/>
                <w:b w:val="1"/>
                <w:bCs w:val="1"/>
                <w:color w:val="FFFFFF"/>
              </w:rPr>
              <w:t>(Loss) in</w:t>
            </w:r>
          </w:p>
        </w:tc>
        <w:tc>
          <w:tcPr>
            <w:tcW w:w="1240" w:type="dxa"/>
            <w:vAlign w:val="bottom"/>
            <w:shd w:val="clear" w:color="auto" w:fill="444444"/>
          </w:tcPr>
          <w:p>
            <w:pPr>
              <w:jc w:val="right"/>
              <w:ind w:right="140"/>
              <w:spacing w:after="0"/>
              <w:rPr>
                <w:sz w:val="20"/>
                <w:szCs w:val="20"/>
                <w:color w:val="auto"/>
              </w:rPr>
            </w:pPr>
            <w:r>
              <w:rPr>
                <w:rFonts w:ascii="Arial" w:cs="Arial" w:eastAsia="Arial" w:hAnsi="Arial"/>
                <w:sz w:val="13"/>
                <w:szCs w:val="13"/>
                <w:b w:val="1"/>
                <w:bCs w:val="1"/>
                <w:color w:val="FFFFFF"/>
              </w:rPr>
              <w:t>Withdrawals/</w:t>
            </w:r>
          </w:p>
        </w:tc>
        <w:tc>
          <w:tcPr>
            <w:tcW w:w="10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Balance</w:t>
            </w:r>
          </w:p>
        </w:tc>
      </w:tr>
      <w:tr>
        <w:trPr>
          <w:trHeight w:val="165"/>
        </w:trPr>
        <w:tc>
          <w:tcPr>
            <w:tcW w:w="2700" w:type="dxa"/>
            <w:vAlign w:val="bottom"/>
            <w:shd w:val="clear" w:color="auto" w:fill="444444"/>
          </w:tcPr>
          <w:p>
            <w:pPr>
              <w:spacing w:after="0"/>
              <w:rPr>
                <w:sz w:val="20"/>
                <w:szCs w:val="20"/>
                <w:color w:val="auto"/>
              </w:rPr>
            </w:pPr>
            <w:r>
              <w:rPr>
                <w:rFonts w:ascii="Arial" w:cs="Arial" w:eastAsia="Arial" w:hAnsi="Arial"/>
                <w:sz w:val="13"/>
                <w:szCs w:val="13"/>
                <w:b w:val="1"/>
                <w:bCs w:val="1"/>
                <w:color w:val="FFFFFF"/>
              </w:rPr>
              <w:t>NAME</w:t>
            </w:r>
          </w:p>
        </w:tc>
        <w:tc>
          <w:tcPr>
            <w:tcW w:w="2300" w:type="dxa"/>
            <w:vAlign w:val="bottom"/>
            <w:shd w:val="clear" w:color="auto" w:fill="444444"/>
          </w:tcPr>
          <w:p>
            <w:pPr>
              <w:jc w:val="right"/>
              <w:ind w:right="101"/>
              <w:spacing w:after="0"/>
              <w:rPr>
                <w:sz w:val="20"/>
                <w:szCs w:val="20"/>
                <w:color w:val="auto"/>
              </w:rPr>
            </w:pPr>
            <w:r>
              <w:rPr>
                <w:rFonts w:ascii="Arial" w:cs="Arial" w:eastAsia="Arial" w:hAnsi="Arial"/>
                <w:sz w:val="13"/>
                <w:szCs w:val="13"/>
                <w:b w:val="1"/>
                <w:bCs w:val="1"/>
                <w:color w:val="FFFFFF"/>
              </w:rPr>
              <w:t>FYE</w:t>
            </w:r>
          </w:p>
        </w:tc>
        <w:tc>
          <w:tcPr>
            <w:tcW w:w="1260" w:type="dxa"/>
            <w:vAlign w:val="bottom"/>
            <w:shd w:val="clear" w:color="auto" w:fill="444444"/>
          </w:tcPr>
          <w:p>
            <w:pPr>
              <w:jc w:val="right"/>
              <w:ind w:right="100"/>
              <w:spacing w:after="0"/>
              <w:rPr>
                <w:sz w:val="20"/>
                <w:szCs w:val="20"/>
                <w:color w:val="auto"/>
              </w:rPr>
            </w:pPr>
            <w:r>
              <w:rPr>
                <w:rFonts w:ascii="Arial" w:cs="Arial" w:eastAsia="Arial" w:hAnsi="Arial"/>
                <w:sz w:val="13"/>
                <w:szCs w:val="13"/>
                <w:b w:val="1"/>
                <w:bCs w:val="1"/>
                <w:color w:val="FFFFFF"/>
              </w:rPr>
              <w:t>in Last FY</w:t>
            </w:r>
          </w:p>
        </w:tc>
        <w:tc>
          <w:tcPr>
            <w:tcW w:w="1300" w:type="dxa"/>
            <w:vAlign w:val="bottom"/>
            <w:shd w:val="clear" w:color="auto" w:fill="444444"/>
          </w:tcPr>
          <w:p>
            <w:pPr>
              <w:jc w:val="right"/>
              <w:ind w:right="143"/>
              <w:spacing w:after="0"/>
              <w:rPr>
                <w:sz w:val="20"/>
                <w:szCs w:val="20"/>
                <w:color w:val="auto"/>
              </w:rPr>
            </w:pPr>
            <w:r>
              <w:rPr>
                <w:rFonts w:ascii="Arial" w:cs="Arial" w:eastAsia="Arial" w:hAnsi="Arial"/>
                <w:sz w:val="13"/>
                <w:szCs w:val="13"/>
                <w:b w:val="1"/>
                <w:bCs w:val="1"/>
                <w:color w:val="FFFFFF"/>
              </w:rPr>
              <w:t>in Last FY</w:t>
            </w:r>
          </w:p>
        </w:tc>
        <w:tc>
          <w:tcPr>
            <w:tcW w:w="1160" w:type="dxa"/>
            <w:vAlign w:val="bottom"/>
            <w:shd w:val="clear" w:color="auto" w:fill="444444"/>
          </w:tcPr>
          <w:p>
            <w:pPr>
              <w:jc w:val="right"/>
              <w:ind w:right="161"/>
              <w:spacing w:after="0"/>
              <w:rPr>
                <w:sz w:val="20"/>
                <w:szCs w:val="20"/>
                <w:color w:val="auto"/>
              </w:rPr>
            </w:pPr>
            <w:r>
              <w:rPr>
                <w:rFonts w:ascii="Arial" w:cs="Arial" w:eastAsia="Arial" w:hAnsi="Arial"/>
                <w:sz w:val="13"/>
                <w:szCs w:val="13"/>
                <w:b w:val="1"/>
                <w:bCs w:val="1"/>
                <w:color w:val="FFFFFF"/>
              </w:rPr>
              <w:t>Last FY</w:t>
            </w:r>
          </w:p>
        </w:tc>
        <w:tc>
          <w:tcPr>
            <w:tcW w:w="1240" w:type="dxa"/>
            <w:vAlign w:val="bottom"/>
            <w:shd w:val="clear" w:color="auto" w:fill="444444"/>
          </w:tcPr>
          <w:p>
            <w:pPr>
              <w:jc w:val="right"/>
              <w:ind w:right="140"/>
              <w:spacing w:after="0"/>
              <w:rPr>
                <w:sz w:val="20"/>
                <w:szCs w:val="20"/>
                <w:color w:val="auto"/>
              </w:rPr>
            </w:pPr>
            <w:r>
              <w:rPr>
                <w:rFonts w:ascii="Arial" w:cs="Arial" w:eastAsia="Arial" w:hAnsi="Arial"/>
                <w:sz w:val="13"/>
                <w:szCs w:val="13"/>
                <w:b w:val="1"/>
                <w:bCs w:val="1"/>
                <w:color w:val="FFFFFF"/>
              </w:rPr>
              <w:t>Distributions</w:t>
            </w:r>
          </w:p>
        </w:tc>
        <w:tc>
          <w:tcPr>
            <w:tcW w:w="10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at FYE</w:t>
            </w:r>
          </w:p>
        </w:tc>
      </w:tr>
      <w:tr>
        <w:trPr>
          <w:trHeight w:val="203"/>
        </w:trPr>
        <w:tc>
          <w:tcPr>
            <w:tcW w:w="27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Robert J. Coury</w:t>
            </w:r>
          </w:p>
        </w:tc>
        <w:tc>
          <w:tcPr>
            <w:tcW w:w="230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39,633</w:t>
            </w:r>
          </w:p>
        </w:tc>
        <w:tc>
          <w:tcPr>
            <w:tcW w:w="1300" w:type="dxa"/>
            <w:vAlign w:val="bottom"/>
            <w:shd w:val="clear" w:color="auto" w:fill="E5E5E5"/>
          </w:tcPr>
          <w:p>
            <w:pPr>
              <w:jc w:val="right"/>
              <w:ind w:right="143"/>
              <w:spacing w:after="0" w:line="202" w:lineRule="exact"/>
              <w:rPr>
                <w:sz w:val="20"/>
                <w:szCs w:val="20"/>
                <w:color w:val="auto"/>
              </w:rPr>
            </w:pPr>
            <w:r>
              <w:rPr>
                <w:rFonts w:ascii="Arial" w:cs="Arial" w:eastAsia="Arial" w:hAnsi="Arial"/>
                <w:sz w:val="18"/>
                <w:szCs w:val="18"/>
                <w:color w:val="auto"/>
              </w:rPr>
              <w:t>39,633</w:t>
            </w:r>
          </w:p>
        </w:tc>
        <w:tc>
          <w:tcPr>
            <w:tcW w:w="1160" w:type="dxa"/>
            <w:vAlign w:val="bottom"/>
            <w:shd w:val="clear" w:color="auto" w:fill="E5E5E5"/>
          </w:tcPr>
          <w:p>
            <w:pPr>
              <w:jc w:val="right"/>
              <w:ind w:right="161"/>
              <w:spacing w:after="0" w:line="202" w:lineRule="exact"/>
              <w:rPr>
                <w:sz w:val="20"/>
                <w:szCs w:val="20"/>
                <w:color w:val="auto"/>
              </w:rPr>
            </w:pPr>
            <w:r>
              <w:rPr>
                <w:rFonts w:ascii="Arial" w:cs="Arial" w:eastAsia="Arial" w:hAnsi="Arial"/>
                <w:sz w:val="18"/>
                <w:szCs w:val="18"/>
                <w:color w:val="auto"/>
              </w:rPr>
              <w:t>6,530</w:t>
            </w:r>
          </w:p>
        </w:tc>
        <w:tc>
          <w:tcPr>
            <w:tcW w:w="1240" w:type="dxa"/>
            <w:vAlign w:val="bottom"/>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85,796</w:t>
            </w:r>
          </w:p>
        </w:tc>
      </w:tr>
      <w:tr>
        <w:trPr>
          <w:trHeight w:val="203"/>
        </w:trPr>
        <w:tc>
          <w:tcPr>
            <w:tcW w:w="2700" w:type="dxa"/>
            <w:vAlign w:val="bottom"/>
          </w:tcPr>
          <w:p>
            <w:pPr>
              <w:ind w:left="100"/>
              <w:spacing w:after="0" w:line="202" w:lineRule="exact"/>
              <w:rPr>
                <w:sz w:val="20"/>
                <w:szCs w:val="20"/>
                <w:color w:val="auto"/>
              </w:rPr>
            </w:pPr>
            <w:r>
              <w:rPr>
                <w:rFonts w:ascii="Arial" w:cs="Arial" w:eastAsia="Arial" w:hAnsi="Arial"/>
                <w:sz w:val="18"/>
                <w:szCs w:val="18"/>
                <w:color w:val="auto"/>
              </w:rPr>
              <w:t>Michael Goettler</w:t>
            </w:r>
          </w:p>
        </w:tc>
        <w:tc>
          <w:tcPr>
            <w:tcW w:w="230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43"/>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7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Sanjeev Narula</w:t>
            </w:r>
          </w:p>
        </w:tc>
        <w:tc>
          <w:tcPr>
            <w:tcW w:w="230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43"/>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700" w:type="dxa"/>
            <w:vAlign w:val="bottom"/>
          </w:tcPr>
          <w:p>
            <w:pPr>
              <w:ind w:left="100"/>
              <w:spacing w:after="0" w:line="202" w:lineRule="exact"/>
              <w:rPr>
                <w:sz w:val="20"/>
                <w:szCs w:val="20"/>
                <w:color w:val="auto"/>
              </w:rPr>
            </w:pPr>
            <w:r>
              <w:rPr>
                <w:rFonts w:ascii="Arial" w:cs="Arial" w:eastAsia="Arial" w:hAnsi="Arial"/>
                <w:sz w:val="18"/>
                <w:szCs w:val="18"/>
                <w:color w:val="auto"/>
              </w:rPr>
              <w:t>Rajiv Malik</w:t>
            </w:r>
          </w:p>
        </w:tc>
        <w:tc>
          <w:tcPr>
            <w:tcW w:w="230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421,610</w:t>
            </w:r>
          </w:p>
        </w:tc>
        <w:tc>
          <w:tcPr>
            <w:tcW w:w="126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43"/>
              <w:spacing w:after="0" w:line="202" w:lineRule="exact"/>
              <w:rPr>
                <w:sz w:val="20"/>
                <w:szCs w:val="20"/>
                <w:color w:val="auto"/>
              </w:rPr>
            </w:pPr>
            <w:r>
              <w:rPr>
                <w:rFonts w:ascii="Arial" w:cs="Arial" w:eastAsia="Arial" w:hAnsi="Arial"/>
                <w:sz w:val="18"/>
                <w:szCs w:val="18"/>
                <w:color w:val="auto"/>
              </w:rPr>
              <w:t>152,198</w:t>
            </w:r>
          </w:p>
        </w:tc>
        <w:tc>
          <w:tcPr>
            <w:tcW w:w="1160" w:type="dxa"/>
            <w:vAlign w:val="bottom"/>
          </w:tcPr>
          <w:p>
            <w:pPr>
              <w:jc w:val="right"/>
              <w:ind w:right="161"/>
              <w:spacing w:after="0" w:line="202" w:lineRule="exact"/>
              <w:rPr>
                <w:sz w:val="20"/>
                <w:szCs w:val="20"/>
                <w:color w:val="auto"/>
              </w:rPr>
            </w:pPr>
            <w:r>
              <w:rPr>
                <w:rFonts w:ascii="Arial" w:cs="Arial" w:eastAsia="Arial" w:hAnsi="Arial"/>
                <w:sz w:val="18"/>
                <w:szCs w:val="18"/>
                <w:color w:val="auto"/>
              </w:rPr>
              <w:t>135,440</w:t>
            </w:r>
          </w:p>
        </w:tc>
        <w:tc>
          <w:tcPr>
            <w:tcW w:w="124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709,248</w:t>
            </w:r>
          </w:p>
        </w:tc>
      </w:tr>
      <w:tr>
        <w:trPr>
          <w:trHeight w:val="203"/>
        </w:trPr>
        <w:tc>
          <w:tcPr>
            <w:tcW w:w="27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Anthony Mauro</w:t>
            </w:r>
          </w:p>
        </w:tc>
        <w:tc>
          <w:tcPr>
            <w:tcW w:w="230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2,356,177</w:t>
            </w:r>
          </w:p>
        </w:tc>
        <w:tc>
          <w:tcPr>
            <w:tcW w:w="1260" w:type="dxa"/>
            <w:vAlign w:val="bottom"/>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75,984</w:t>
            </w:r>
          </w:p>
        </w:tc>
        <w:tc>
          <w:tcPr>
            <w:tcW w:w="1300" w:type="dxa"/>
            <w:vAlign w:val="bottom"/>
            <w:shd w:val="clear" w:color="auto" w:fill="E5E5E5"/>
          </w:tcPr>
          <w:p>
            <w:pPr>
              <w:jc w:val="right"/>
              <w:ind w:right="143"/>
              <w:spacing w:after="0" w:line="202" w:lineRule="exact"/>
              <w:rPr>
                <w:sz w:val="20"/>
                <w:szCs w:val="20"/>
                <w:color w:val="auto"/>
              </w:rPr>
            </w:pPr>
            <w:r>
              <w:rPr>
                <w:rFonts w:ascii="Arial" w:cs="Arial" w:eastAsia="Arial" w:hAnsi="Arial"/>
                <w:sz w:val="18"/>
                <w:szCs w:val="18"/>
                <w:color w:val="auto"/>
              </w:rPr>
              <w:t>226,782</w:t>
            </w:r>
          </w:p>
        </w:tc>
        <w:tc>
          <w:tcPr>
            <w:tcW w:w="116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(145,112)</w:t>
            </w:r>
          </w:p>
        </w:tc>
        <w:tc>
          <w:tcPr>
            <w:tcW w:w="1240" w:type="dxa"/>
            <w:vAlign w:val="bottom"/>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2,513,831</w:t>
            </w:r>
          </w:p>
        </w:tc>
      </w:tr>
    </w:tbl>
    <w:p>
      <w:pPr>
        <w:spacing w:after="0" w:line="128" w:lineRule="exact"/>
        <w:rPr>
          <w:sz w:val="20"/>
          <w:szCs w:val="20"/>
          <w:color w:val="auto"/>
        </w:rPr>
      </w:pPr>
    </w:p>
    <w:p>
      <w:pPr>
        <w:ind w:left="4" w:right="300"/>
        <w:spacing w:after="0" w:line="286" w:lineRule="auto"/>
        <w:rPr>
          <w:sz w:val="20"/>
          <w:szCs w:val="20"/>
          <w:color w:val="auto"/>
        </w:rPr>
      </w:pPr>
      <w:r>
        <w:rPr>
          <w:rFonts w:ascii="Arial" w:cs="Arial" w:eastAsia="Arial" w:hAnsi="Arial"/>
          <w:sz w:val="24"/>
          <w:szCs w:val="24"/>
          <w:b w:val="1"/>
          <w:bCs w:val="1"/>
          <w:color w:val="666666"/>
        </w:rPr>
        <w:t>Estimated Potential Payments in Connection with a Termination of Employment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4"/>
        <w:spacing w:after="0" w:line="234" w:lineRule="auto"/>
        <w:rPr>
          <w:sz w:val="20"/>
          <w:szCs w:val="20"/>
          <w:color w:val="auto"/>
        </w:rPr>
      </w:pPr>
      <w:r>
        <w:rPr>
          <w:rFonts w:ascii="Arial" w:cs="Arial" w:eastAsia="Arial" w:hAnsi="Arial"/>
          <w:sz w:val="18"/>
          <w:szCs w:val="18"/>
          <w:color w:val="auto"/>
        </w:rPr>
        <w:t>The following discussion summarizes the potential payments and benefits that would have been payable to each of the NEOs upon a termination of employment or upon a change in control, in each case, as of December 31, 2020. The amounts discussed below exclude</w:t>
      </w:r>
    </w:p>
    <w:p>
      <w:pPr>
        <w:spacing w:after="0" w:line="1" w:lineRule="exact"/>
        <w:rPr>
          <w:sz w:val="20"/>
          <w:szCs w:val="20"/>
          <w:color w:val="auto"/>
        </w:rPr>
      </w:pPr>
    </w:p>
    <w:p>
      <w:pPr>
        <w:jc w:val="both"/>
        <w:ind w:left="4" w:hanging="4"/>
        <w:spacing w:after="0" w:line="236" w:lineRule="auto"/>
        <w:tabs>
          <w:tab w:leader="none" w:pos="2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2020 by their terms, (iv) any amounts that may be due at the time of an event in the table below in respect of accrued and unpaid salary, bonuses or vacation and (v) the value of each NEOs’ annual bonus for the 2020 completed fiscal year as the year was complete as of December 31, 2020. These are estimates only and actual amounts payable upon such terminations may be different and will only be determined upon the actual occurrence of any such event.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color w:val="732282"/>
        </w:rPr>
        <w:t>Robert J. Coury</w:t>
      </w:r>
    </w:p>
    <w:p>
      <w:pPr>
        <w:spacing w:after="0" w:line="77"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Mr. Coury is entitled to severance payments and benefits upon certain terminations of employment pursuant to the Executive Chairman Agreement as summarized above under “Executive Chairman Employment Agreement” and his equity award agreements with Viatris.</w:t>
      </w:r>
    </w:p>
    <w:p>
      <w:pPr>
        <w:spacing w:after="0" w:line="135"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Coury’s employment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on December 31, 2020 by Viatris without cause, upon resignation for good reason or due to his death or disability (in each case, as defined in the Executive Chairman Agreement), he would have been entitled to (1) a lump sum payment equal to three times the sum of his base salary and target or highest bonus paid, (2) three years of continued health and other benefits and (3) full vesting of his RSUs and PRSUs. The estimated values of such payments and benefits, assuming a December 31, 2020 termination, would have been (i) $13,648,501, in respect of cash severance and other benefits and (ii) $34,669,000, in respect of the vesting of his RSUs and PRSUs. These amounts would not be enhanced if these events occurred following a change in control of Viatris.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300"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Michael Goettler</w:t>
      </w:r>
    </w:p>
    <w:p>
      <w:pPr>
        <w:spacing w:after="0" w:line="77"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Mr. Goettler is entitled to severance payments and benefits upon certain terminations of employment pursuant to an agreement with Viatris as summarized above under “Certain Arrangements with Messrs. Goettler and Narula” and his equity award agreements with Viatris.</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Resignation for Good Reason or Termination Without Cause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Goettler’s employment was terminated on December 31, 2020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Viatris without cause, he would have been entitled to (1) a lump sum payment equal to two times the sum of his base salary and his target annual bonus in effect at the time of such termination and (2) full vesting of his Make-Whole RSUs (which vesting with respect to the Make-Whole RSUs would also apply in the event of a resignation for good reason). The estimated values of such payments and benefits, assuming a December 31, 2020 termination, would have been (i) $6,500,000, in respect of cash severance and (ii) $3,325,076, in respect of the vesting of his Make-Whole RSUs. Mr. Goettler is not entitled to cash severance payments in connection with a termination of employment due to death or disability or enhanced severance payments in connection with terminations following a change in control of Viatris.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732282"/>
        </w:rPr>
        <w:t>Sanjeev Narula</w:t>
      </w:r>
    </w:p>
    <w:p>
      <w:pPr>
        <w:spacing w:after="0" w:line="7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Narula is entitled to severance payments and benefits upon certain terminations of employment pursuant to an agreement with Pfizer as summarized above under “Certain Arrangements with Messrs. Goettler and Narula” and his equity award agreements with Viatris.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Resignation for Good Reason or Termination Without Cause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Narula’s employment was terminated on December 31, 2020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Viatris without cause or upon resignation by Mr. Narula for good reason (as defined in the letter agreement or equity award agreements), he would have been entitled to (1) a lump sum payment equal to two times the sum of his base salary and his highest annual bonus paid by Pfizer, Upjohn or Viatris in respect of the four calendar years preceding his date of termination (even if paid in a later year) and (2) full vesting of his Make-Whole RSUs. The estimated values of such payments and benefits, assuming a December 31, 2020 termination, would have been (i) $2,214,024, in respect of cash severance and (ii) $398,150, in respect of the vesting of his Make-Whole RSUs. Mr. Narula is not entitled to cash severance payments in connection with a termination of employment due to death or disability or enhanced severance payments in connection with terminations following a change in control of Viatris.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732282"/>
        </w:rPr>
        <w:t>Rajiv Malik</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Malik is entitled to severance payments and benefits upon certain terminations of employment pursuant to his Transition and Succession Agreement with Mylan (which was assumed by Viatris) as summarized above under “Certain Arrangements with Messrs. Malik and Mauro” and his equity award agreements with Viatris. Because the Combination constituted a change in control of Mylan, the Transition and Succession Agreement will apply to terminations of employment through the 24 month anniversary of the Combination.</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Malik’s employment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on December 31, 2020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Mr. Malik is also entitled to participate in the Company’s Supplemental Health Insurance Plan for certain retired executives following a termination of employment. As discussed above, in connection with the Combination, Mr. Malik waived his right to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318" w:right="439" w:bottom="1440" w:gutter="0" w:footer="0" w:header="0"/>
        </w:sectPr>
      </w:pPr>
    </w:p>
    <w:bookmarkStart w:id="56" w:name="page57"/>
    <w:bookmarkEnd w:id="56"/>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280G excise tax gross up. The estimated values of such payments and benefits, assuming a December 31, 2020 termination, would have been (i) $11,231,298, in respect of cash severance and other benefits and (ii) $12,022,747, in respect of the vesting of his RSUs and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732282"/>
        </w:rPr>
        <w:t>Anthony Mauro</w:t>
      </w:r>
    </w:p>
    <w:p>
      <w:pPr>
        <w:spacing w:after="0" w:line="7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Mr. Mauro is entitled to severance payments and benefits upon certain terminations of employment pursuant to his Transition and Succession Agreement with Mylan (which was assumed by Viatris) as summarized above under “Certain Arrangements with Messrs. Malik and Mauro” and his equity award agreements with Viatris. Because the Combination constituted a change in control of Mylan, the Transition and Succession Agreement will apply to terminations of employment through the 24 month anniversary of the Combination.</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Mauro’s employment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on December 31, 2020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The estimated values of such payments and benefits, assuming a December 31, 2020 termination, would have been (i) $5,751,218, in respect of cash severance and other benefits and (ii) $5,498,231, in respect of the vesting of his RSUs and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318" w:right="439" w:bottom="1440" w:gutter="0" w:footer="0" w:header="0"/>
        </w:sectPr>
      </w:pPr>
    </w:p>
    <w:bookmarkStart w:id="57" w:name="page58"/>
    <w:bookmarkEnd w:id="57"/>
    <w:p>
      <w:pPr>
        <w:spacing w:after="0"/>
        <w:rPr>
          <w:sz w:val="20"/>
          <w:szCs w:val="20"/>
          <w:color w:val="auto"/>
        </w:rPr>
      </w:pPr>
      <w:r>
        <w:rPr>
          <w:rFonts w:ascii="Arial" w:cs="Arial" w:eastAsia="Arial" w:hAnsi="Arial"/>
          <w:sz w:val="43"/>
          <w:szCs w:val="43"/>
          <w:color w:val="732282"/>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CEO Pay Ratio</w:t>
      </w:r>
    </w:p>
    <w:p>
      <w:pPr>
        <w:spacing w:after="0" w:line="28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As the Combination did not close until the middle of the fourth quarter of 2020, Viatris has not yet completed its first full fiscal year of operations and integration of Global Human Resources systems and is not yet subject to the requirements of Item 402(u) of Regulation S-K, as the stub Viatris fiscal year 2020 represents a transition period. Therefore, we are not providing a pay ratio disclosure in this CD&amp;A. Viatris intends on fully complying with Item 402(u) of Regulation S-K beginning in our disclosures related to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for 2020</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information concerning the compensation earned by Viatris’ non-employee Directors (each a “Non-Employee Director,” and, together, the “Non-Employee Directors”) for 2020. Directors who are employees of Viatris (Messrs. Coury, Goettler and Malik) receive no compensation for their Board service. With respect to the Non-Employee Directors who served on the Mylan Board of Directors until the closing of the Combination (Mses. Dillon, Higgins and van der Meer Mohr and Messrs. Dimick, Korman, Mark and Parrish), since Viatris holds the Mylan business as a result of the Combination, such service has a direct relationship with Viatris and therefore the amounts below include the 2020 pro-rated compensation received from Mylan by such Non-Employee Directors prior to the closing of the Combination as well as the 2020 pro-rated compensation received from Viatris by such Non-Employee Directors after the closing of the Combination. With respect to the Non-Employee Directors who served on Pfizer’s board of directors until the closing of the Combination (Messrs. Cornwell and Kilts), since prior to the Combination Pfizer had, among other things, transferred to Viatris substantially all of the assets and liabilities comprising the Upjohn Business and thereafter distributed to Pfizer shareholders all of the issued and outstanding shares of Viatris, such service does not have a direct relationship with Viatris and therefore the amounts below only include the 2020 pro-rated compensation received from Viatris by such Non-Employee Directors following the closing of the Combination. Mr. Read did not serve on the Mylan or Pfizer boards of directors in 2020 prior to the closing of the Combination and, therefore, the amounts below only include the 2020 pro-rated compensation received from Viatris by Mr. Read following the closing of the Combination. Prior to the closing of the Combination, the Upjohn board of directors consisted of three employee directors, Ms. Madden, Mr. Giordano and Mr. Supran, who were not independent and did not receive compensation for their service on the Upjohn board of directors. A discussion of the elements of Non-Employee Director compensation follows the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3"/>
                <w:szCs w:val="13"/>
                <w:b w:val="1"/>
                <w:bCs w:val="1"/>
                <w:color w:val="732282"/>
              </w:rPr>
              <w:t>Fees Earned or Paid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732282"/>
              </w:rPr>
              <w:t>All Other</w:t>
            </w:r>
          </w:p>
        </w:tc>
        <w:tc>
          <w:tcPr>
            <w:tcW w:w="880" w:type="dxa"/>
            <w:vAlign w:val="bottom"/>
          </w:tcPr>
          <w:p>
            <w:pPr>
              <w:spacing w:after="0"/>
              <w:rPr>
                <w:sz w:val="13"/>
                <w:szCs w:val="13"/>
                <w:color w:val="auto"/>
              </w:rPr>
            </w:pPr>
          </w:p>
        </w:tc>
      </w:tr>
      <w:tr>
        <w:trPr>
          <w:trHeight w:val="148"/>
        </w:trPr>
        <w:tc>
          <w:tcPr>
            <w:tcW w:w="3640" w:type="dxa"/>
            <w:vAlign w:val="bottom"/>
          </w:tcPr>
          <w:p>
            <w:pPr>
              <w:spacing w:after="0"/>
              <w:rPr>
                <w:sz w:val="12"/>
                <w:szCs w:val="12"/>
                <w:color w:val="auto"/>
              </w:rPr>
            </w:pPr>
          </w:p>
        </w:tc>
        <w:tc>
          <w:tcPr>
            <w:tcW w:w="2700" w:type="dxa"/>
            <w:vAlign w:val="bottom"/>
          </w:tcPr>
          <w:p>
            <w:pPr>
              <w:jc w:val="right"/>
              <w:spacing w:after="0"/>
              <w:rPr>
                <w:sz w:val="20"/>
                <w:szCs w:val="20"/>
                <w:color w:val="auto"/>
              </w:rPr>
            </w:pPr>
            <w:r>
              <w:rPr>
                <w:rFonts w:ascii="Arial" w:cs="Arial" w:eastAsia="Arial" w:hAnsi="Arial"/>
                <w:sz w:val="13"/>
                <w:szCs w:val="13"/>
                <w:b w:val="1"/>
                <w:bCs w:val="1"/>
                <w:color w:val="732282"/>
              </w:rPr>
              <w:t>in Cash</w:t>
            </w:r>
          </w:p>
        </w:tc>
        <w:tc>
          <w:tcPr>
            <w:tcW w:w="320" w:type="dxa"/>
            <w:vAlign w:val="bottom"/>
          </w:tcPr>
          <w:p>
            <w:pPr>
              <w:spacing w:after="0"/>
              <w:rPr>
                <w:sz w:val="12"/>
                <w:szCs w:val="12"/>
                <w:color w:val="auto"/>
              </w:rPr>
            </w:pPr>
          </w:p>
        </w:tc>
        <w:tc>
          <w:tcPr>
            <w:tcW w:w="1060" w:type="dxa"/>
            <w:vAlign w:val="bottom"/>
          </w:tcPr>
          <w:p>
            <w:pPr>
              <w:jc w:val="right"/>
              <w:ind w:right="236"/>
              <w:spacing w:after="0"/>
              <w:rPr>
                <w:sz w:val="20"/>
                <w:szCs w:val="20"/>
                <w:color w:val="auto"/>
              </w:rPr>
            </w:pPr>
            <w:r>
              <w:rPr>
                <w:rFonts w:ascii="Arial" w:cs="Arial" w:eastAsia="Arial" w:hAnsi="Arial"/>
                <w:sz w:val="13"/>
                <w:szCs w:val="13"/>
                <w:b w:val="1"/>
                <w:bCs w:val="1"/>
                <w:color w:val="732282"/>
              </w:rPr>
              <w:t>RSUs</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732282"/>
              </w:rPr>
              <w:t>Option Awards</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732282"/>
              </w:rPr>
              <w:t>Compensation</w:t>
            </w:r>
          </w:p>
        </w:tc>
        <w:tc>
          <w:tcPr>
            <w:tcW w:w="880" w:type="dxa"/>
            <w:vAlign w:val="bottom"/>
          </w:tcPr>
          <w:p>
            <w:pPr>
              <w:spacing w:after="0"/>
              <w:rPr>
                <w:sz w:val="12"/>
                <w:szCs w:val="12"/>
                <w:color w:val="auto"/>
              </w:rPr>
            </w:pPr>
          </w:p>
        </w:tc>
      </w:tr>
      <w:tr>
        <w:trPr>
          <w:trHeight w:val="179"/>
        </w:trPr>
        <w:tc>
          <w:tcPr>
            <w:tcW w:w="3640" w:type="dxa"/>
            <w:vAlign w:val="bottom"/>
            <w:tcBorders>
              <w:bottom w:val="single" w:sz="8" w:color="732282"/>
            </w:tcBorders>
          </w:tcPr>
          <w:p>
            <w:pPr>
              <w:ind w:left="260"/>
              <w:spacing w:after="0"/>
              <w:rPr>
                <w:sz w:val="20"/>
                <w:szCs w:val="20"/>
                <w:color w:val="auto"/>
              </w:rPr>
            </w:pPr>
            <w:r>
              <w:rPr>
                <w:rFonts w:ascii="Arial" w:cs="Arial" w:eastAsia="Arial" w:hAnsi="Arial"/>
                <w:sz w:val="13"/>
                <w:szCs w:val="13"/>
                <w:b w:val="1"/>
                <w:bCs w:val="1"/>
                <w:color w:val="732282"/>
              </w:rPr>
              <w:t>Name</w:t>
            </w:r>
          </w:p>
        </w:tc>
        <w:tc>
          <w:tcPr>
            <w:tcW w:w="2700" w:type="dxa"/>
            <w:vAlign w:val="bottom"/>
            <w:tcBorders>
              <w:bottom w:val="single" w:sz="8" w:color="732282"/>
            </w:tcBorders>
          </w:tcPr>
          <w:p>
            <w:pPr>
              <w:jc w:val="right"/>
              <w:spacing w:after="0"/>
              <w:rPr>
                <w:sz w:val="20"/>
                <w:szCs w:val="20"/>
                <w:color w:val="auto"/>
              </w:rPr>
            </w:pPr>
            <w:r>
              <w:rPr>
                <w:rFonts w:ascii="Arial" w:cs="Arial" w:eastAsia="Arial" w:hAnsi="Arial"/>
                <w:sz w:val="13"/>
                <w:szCs w:val="13"/>
                <w:b w:val="1"/>
                <w:bCs w:val="1"/>
                <w:color w:val="732282"/>
              </w:rPr>
              <w:t>($)</w:t>
            </w:r>
          </w:p>
        </w:tc>
        <w:tc>
          <w:tcPr>
            <w:tcW w:w="320" w:type="dxa"/>
            <w:vAlign w:val="bottom"/>
            <w:tcBorders>
              <w:bottom w:val="single" w:sz="8" w:color="732282"/>
            </w:tcBorders>
          </w:tcPr>
          <w:p>
            <w:pPr>
              <w:spacing w:after="0"/>
              <w:rPr>
                <w:sz w:val="15"/>
                <w:szCs w:val="15"/>
                <w:color w:val="auto"/>
              </w:rPr>
            </w:pPr>
          </w:p>
        </w:tc>
        <w:tc>
          <w:tcPr>
            <w:tcW w:w="1060" w:type="dxa"/>
            <w:vAlign w:val="bottom"/>
            <w:tcBorders>
              <w:bottom w:val="single" w:sz="8" w:color="732282"/>
            </w:tcBorders>
          </w:tcPr>
          <w:p>
            <w:pPr>
              <w:jc w:val="right"/>
              <w:ind w:right="236"/>
              <w:spacing w:after="0" w:line="179" w:lineRule="exact"/>
              <w:rPr>
                <w:sz w:val="20"/>
                <w:szCs w:val="20"/>
                <w:color w:val="auto"/>
              </w:rPr>
            </w:pPr>
            <w:r>
              <w:rPr>
                <w:rFonts w:ascii="Arial" w:cs="Arial" w:eastAsia="Arial" w:hAnsi="Arial"/>
                <w:sz w:val="13"/>
                <w:szCs w:val="13"/>
                <w:b w:val="1"/>
                <w:bCs w:val="1"/>
                <w:color w:val="732282"/>
              </w:rPr>
              <w:t>($)</w:t>
            </w:r>
            <w:r>
              <w:rPr>
                <w:rFonts w:ascii="Arial" w:cs="Arial" w:eastAsia="Arial" w:hAnsi="Arial"/>
                <w:sz w:val="18"/>
                <w:szCs w:val="18"/>
                <w:b w:val="1"/>
                <w:bCs w:val="1"/>
                <w:color w:val="732282"/>
                <w:vertAlign w:val="superscript"/>
              </w:rPr>
              <w:t>(4)</w:t>
            </w:r>
          </w:p>
        </w:tc>
        <w:tc>
          <w:tcPr>
            <w:tcW w:w="1320" w:type="dxa"/>
            <w:vAlign w:val="bottom"/>
            <w:tcBorders>
              <w:bottom w:val="single" w:sz="8" w:color="732282"/>
            </w:tcBorders>
          </w:tcPr>
          <w:p>
            <w:pPr>
              <w:jc w:val="right"/>
              <w:spacing w:after="0" w:line="179" w:lineRule="exact"/>
              <w:rPr>
                <w:sz w:val="20"/>
                <w:szCs w:val="20"/>
                <w:color w:val="auto"/>
              </w:rPr>
            </w:pPr>
            <w:r>
              <w:rPr>
                <w:rFonts w:ascii="Arial" w:cs="Arial" w:eastAsia="Arial" w:hAnsi="Arial"/>
                <w:sz w:val="13"/>
                <w:szCs w:val="13"/>
                <w:b w:val="1"/>
                <w:bCs w:val="1"/>
                <w:color w:val="732282"/>
              </w:rPr>
              <w:t>($)</w:t>
            </w:r>
            <w:r>
              <w:rPr>
                <w:rFonts w:ascii="Arial" w:cs="Arial" w:eastAsia="Arial" w:hAnsi="Arial"/>
                <w:sz w:val="18"/>
                <w:szCs w:val="18"/>
                <w:b w:val="1"/>
                <w:bCs w:val="1"/>
                <w:color w:val="732282"/>
                <w:vertAlign w:val="superscript"/>
              </w:rPr>
              <w:t>(4)</w:t>
            </w:r>
          </w:p>
        </w:tc>
        <w:tc>
          <w:tcPr>
            <w:tcW w:w="1100" w:type="dxa"/>
            <w:vAlign w:val="bottom"/>
            <w:tcBorders>
              <w:bottom w:val="single" w:sz="8" w:color="732282"/>
            </w:tcBorders>
          </w:tcPr>
          <w:p>
            <w:pPr>
              <w:jc w:val="right"/>
              <w:ind w:right="37"/>
              <w:spacing w:after="0" w:line="179" w:lineRule="exact"/>
              <w:rPr>
                <w:sz w:val="20"/>
                <w:szCs w:val="20"/>
                <w:color w:val="auto"/>
              </w:rPr>
            </w:pPr>
            <w:r>
              <w:rPr>
                <w:rFonts w:ascii="Arial" w:cs="Arial" w:eastAsia="Arial" w:hAnsi="Arial"/>
                <w:sz w:val="13"/>
                <w:szCs w:val="13"/>
                <w:b w:val="1"/>
                <w:bCs w:val="1"/>
                <w:color w:val="732282"/>
              </w:rPr>
              <w:t>($)</w:t>
            </w:r>
            <w:r>
              <w:rPr>
                <w:rFonts w:ascii="Arial" w:cs="Arial" w:eastAsia="Arial" w:hAnsi="Arial"/>
                <w:sz w:val="18"/>
                <w:szCs w:val="18"/>
                <w:b w:val="1"/>
                <w:bCs w:val="1"/>
                <w:color w:val="732282"/>
                <w:vertAlign w:val="superscript"/>
              </w:rPr>
              <w:t>(5)</w:t>
            </w:r>
          </w:p>
        </w:tc>
        <w:tc>
          <w:tcPr>
            <w:tcW w:w="880" w:type="dxa"/>
            <w:vAlign w:val="bottom"/>
            <w:tcBorders>
              <w:bottom w:val="single" w:sz="8" w:color="732282"/>
            </w:tcBorders>
          </w:tcPr>
          <w:p>
            <w:pPr>
              <w:jc w:val="right"/>
              <w:ind w:right="34"/>
              <w:spacing w:after="0"/>
              <w:rPr>
                <w:sz w:val="20"/>
                <w:szCs w:val="20"/>
                <w:color w:val="auto"/>
              </w:rPr>
            </w:pPr>
            <w:r>
              <w:rPr>
                <w:rFonts w:ascii="Arial" w:cs="Arial" w:eastAsia="Arial" w:hAnsi="Arial"/>
                <w:sz w:val="13"/>
                <w:szCs w:val="13"/>
                <w:b w:val="1"/>
                <w:bCs w:val="1"/>
                <w:color w:val="732282"/>
              </w:rPr>
              <w:t>Total ($)</w:t>
            </w:r>
          </w:p>
        </w:tc>
      </w:tr>
      <w:tr>
        <w:trPr>
          <w:trHeight w:val="196"/>
        </w:trPr>
        <w:tc>
          <w:tcPr>
            <w:tcW w:w="3640" w:type="dxa"/>
            <w:vAlign w:val="bottom"/>
            <w:shd w:val="clear" w:color="auto" w:fill="E5E5E5"/>
          </w:tcPr>
          <w:p>
            <w:pPr>
              <w:ind w:left="100"/>
              <w:spacing w:after="0" w:line="196" w:lineRule="exact"/>
              <w:rPr>
                <w:sz w:val="20"/>
                <w:szCs w:val="20"/>
                <w:color w:val="auto"/>
              </w:rPr>
            </w:pPr>
            <w:r>
              <w:rPr>
                <w:rFonts w:ascii="Arial" w:cs="Arial" w:eastAsia="Arial" w:hAnsi="Arial"/>
                <w:sz w:val="18"/>
                <w:szCs w:val="18"/>
                <w:color w:val="auto"/>
              </w:rPr>
              <w:t>W. Don Cornwell</w:t>
            </w:r>
            <w:r>
              <w:rPr>
                <w:rFonts w:ascii="Arial" w:cs="Arial" w:eastAsia="Arial" w:hAnsi="Arial"/>
                <w:sz w:val="9"/>
                <w:szCs w:val="9"/>
                <w:color w:val="auto"/>
              </w:rPr>
              <w:t>(1)</w:t>
            </w:r>
          </w:p>
        </w:tc>
        <w:tc>
          <w:tcPr>
            <w:tcW w:w="27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12,500</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6"/>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4"/>
              <w:spacing w:after="0" w:line="196" w:lineRule="exact"/>
              <w:rPr>
                <w:sz w:val="20"/>
                <w:szCs w:val="20"/>
                <w:color w:val="auto"/>
              </w:rPr>
            </w:pPr>
            <w:r>
              <w:rPr>
                <w:rFonts w:ascii="Arial" w:cs="Arial" w:eastAsia="Arial" w:hAnsi="Arial"/>
                <w:sz w:val="18"/>
                <w:szCs w:val="18"/>
                <w:color w:val="auto"/>
              </w:rPr>
              <w:t>12,500</w:t>
            </w: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JoEllen Lyons Dillon</w:t>
            </w:r>
            <w:r>
              <w:rPr>
                <w:rFonts w:ascii="Arial" w:cs="Arial" w:eastAsia="Arial" w:hAnsi="Arial"/>
                <w:sz w:val="9"/>
                <w:szCs w:val="9"/>
                <w:color w:val="auto"/>
              </w:rPr>
              <w:t>(2)</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197,500</w:t>
            </w:r>
          </w:p>
        </w:tc>
        <w:tc>
          <w:tcPr>
            <w:tcW w:w="320" w:type="dxa"/>
            <w:vAlign w:val="bottom"/>
          </w:tcPr>
          <w:p>
            <w:pPr>
              <w:spacing w:after="0"/>
              <w:rPr>
                <w:sz w:val="17"/>
                <w:szCs w:val="17"/>
                <w:color w:val="auto"/>
              </w:rPr>
            </w:pPr>
          </w:p>
        </w:tc>
        <w:tc>
          <w:tcPr>
            <w:tcW w:w="10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25,898</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438,417</w:t>
            </w:r>
          </w:p>
        </w:tc>
      </w:tr>
      <w:tr>
        <w:trPr>
          <w:trHeight w:val="203"/>
        </w:trPr>
        <w:tc>
          <w:tcPr>
            <w:tcW w:w="3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Neil Dimick</w:t>
            </w:r>
            <w:r>
              <w:rPr>
                <w:rFonts w:ascii="Arial" w:cs="Arial" w:eastAsia="Arial" w:hAnsi="Arial"/>
                <w:sz w:val="9"/>
                <w:szCs w:val="9"/>
                <w:color w:val="auto"/>
              </w:rPr>
              <w:t>(2)</w:t>
            </w:r>
          </w:p>
        </w:tc>
        <w:tc>
          <w:tcPr>
            <w:tcW w:w="2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185,000</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29,538</w:t>
            </w:r>
          </w:p>
        </w:tc>
        <w:tc>
          <w:tcPr>
            <w:tcW w:w="8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429,556</w:t>
            </w: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Melina Higgins</w:t>
            </w:r>
            <w:r>
              <w:rPr>
                <w:rFonts w:ascii="Arial" w:cs="Arial" w:eastAsia="Arial" w:hAnsi="Arial"/>
                <w:sz w:val="9"/>
                <w:szCs w:val="9"/>
                <w:color w:val="auto"/>
              </w:rPr>
              <w:t>(2)</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177,500</w:t>
            </w:r>
          </w:p>
        </w:tc>
        <w:tc>
          <w:tcPr>
            <w:tcW w:w="320" w:type="dxa"/>
            <w:vAlign w:val="bottom"/>
          </w:tcPr>
          <w:p>
            <w:pPr>
              <w:spacing w:after="0"/>
              <w:rPr>
                <w:sz w:val="17"/>
                <w:szCs w:val="17"/>
                <w:color w:val="auto"/>
              </w:rPr>
            </w:pPr>
          </w:p>
        </w:tc>
        <w:tc>
          <w:tcPr>
            <w:tcW w:w="10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23,177</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415,695</w:t>
            </w:r>
          </w:p>
        </w:tc>
      </w:tr>
      <w:tr>
        <w:trPr>
          <w:trHeight w:val="203"/>
        </w:trPr>
        <w:tc>
          <w:tcPr>
            <w:tcW w:w="3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James Kilts</w:t>
            </w:r>
            <w:r>
              <w:rPr>
                <w:rFonts w:ascii="Arial" w:cs="Arial" w:eastAsia="Arial" w:hAnsi="Arial"/>
                <w:sz w:val="9"/>
                <w:szCs w:val="9"/>
                <w:color w:val="auto"/>
              </w:rPr>
              <w:t>(1)</w:t>
            </w:r>
          </w:p>
        </w:tc>
        <w:tc>
          <w:tcPr>
            <w:tcW w:w="2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12,500</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12,500</w:t>
            </w: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Harry A. Korman</w:t>
            </w:r>
            <w:r>
              <w:rPr>
                <w:rFonts w:ascii="Arial" w:cs="Arial" w:eastAsia="Arial" w:hAnsi="Arial"/>
                <w:sz w:val="9"/>
                <w:szCs w:val="9"/>
                <w:color w:val="auto"/>
              </w:rPr>
              <w:t>(2)</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148,750</w:t>
            </w:r>
          </w:p>
        </w:tc>
        <w:tc>
          <w:tcPr>
            <w:tcW w:w="320" w:type="dxa"/>
            <w:vAlign w:val="bottom"/>
          </w:tcPr>
          <w:p>
            <w:pPr>
              <w:spacing w:after="0"/>
              <w:rPr>
                <w:sz w:val="17"/>
                <w:szCs w:val="17"/>
                <w:color w:val="auto"/>
              </w:rPr>
            </w:pPr>
          </w:p>
        </w:tc>
        <w:tc>
          <w:tcPr>
            <w:tcW w:w="10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14,791</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378,559</w:t>
            </w:r>
          </w:p>
        </w:tc>
      </w:tr>
      <w:tr>
        <w:trPr>
          <w:trHeight w:val="203"/>
        </w:trPr>
        <w:tc>
          <w:tcPr>
            <w:tcW w:w="3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Richard Mark</w:t>
            </w:r>
            <w:r>
              <w:rPr>
                <w:rFonts w:ascii="Arial" w:cs="Arial" w:eastAsia="Arial" w:hAnsi="Arial"/>
                <w:sz w:val="9"/>
                <w:szCs w:val="9"/>
                <w:color w:val="auto"/>
              </w:rPr>
              <w:t>(2)</w:t>
            </w:r>
          </w:p>
        </w:tc>
        <w:tc>
          <w:tcPr>
            <w:tcW w:w="2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125,000</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6,667</w:t>
            </w:r>
          </w:p>
        </w:tc>
        <w:tc>
          <w:tcPr>
            <w:tcW w:w="8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346,686</w:t>
            </w: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Mark W. Parrish</w:t>
            </w:r>
            <w:r>
              <w:rPr>
                <w:rFonts w:ascii="Arial" w:cs="Arial" w:eastAsia="Arial" w:hAnsi="Arial"/>
                <w:sz w:val="9"/>
                <w:szCs w:val="9"/>
                <w:color w:val="auto"/>
              </w:rPr>
              <w:t>(2)</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320" w:type="dxa"/>
            <w:vAlign w:val="bottom"/>
          </w:tcPr>
          <w:p>
            <w:pPr>
              <w:spacing w:after="0"/>
              <w:rPr>
                <w:sz w:val="17"/>
                <w:szCs w:val="17"/>
                <w:color w:val="auto"/>
              </w:rPr>
            </w:pPr>
          </w:p>
        </w:tc>
        <w:tc>
          <w:tcPr>
            <w:tcW w:w="10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24,013</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504,031</w:t>
            </w:r>
          </w:p>
        </w:tc>
      </w:tr>
      <w:tr>
        <w:trPr>
          <w:trHeight w:val="203"/>
        </w:trPr>
        <w:tc>
          <w:tcPr>
            <w:tcW w:w="3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Ian Read</w:t>
            </w:r>
            <w:r>
              <w:rPr>
                <w:rFonts w:ascii="Arial" w:cs="Arial" w:eastAsia="Arial" w:hAnsi="Arial"/>
                <w:sz w:val="9"/>
                <w:szCs w:val="9"/>
                <w:color w:val="auto"/>
              </w:rPr>
              <w:t>(1)</w:t>
            </w:r>
          </w:p>
        </w:tc>
        <w:tc>
          <w:tcPr>
            <w:tcW w:w="2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12,500</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12,500</w:t>
            </w:r>
          </w:p>
        </w:tc>
      </w:tr>
      <w:tr>
        <w:trPr>
          <w:trHeight w:val="203"/>
        </w:trPr>
        <w:tc>
          <w:tcPr>
            <w:tcW w:w="3640" w:type="dxa"/>
            <w:vAlign w:val="bottom"/>
            <w:tcBorders>
              <w:bottom w:val="single" w:sz="8" w:color="732282"/>
            </w:tcBorders>
          </w:tcPr>
          <w:p>
            <w:pPr>
              <w:ind w:left="100"/>
              <w:spacing w:after="0" w:line="202" w:lineRule="exact"/>
              <w:rPr>
                <w:sz w:val="20"/>
                <w:szCs w:val="20"/>
                <w:color w:val="auto"/>
              </w:rPr>
            </w:pPr>
            <w:r>
              <w:rPr>
                <w:rFonts w:ascii="Arial" w:cs="Arial" w:eastAsia="Arial" w:hAnsi="Arial"/>
                <w:sz w:val="18"/>
                <w:szCs w:val="18"/>
                <w:color w:val="auto"/>
              </w:rPr>
              <w:t>Pauline van der Meer Mohr</w:t>
            </w:r>
            <w:r>
              <w:rPr>
                <w:rFonts w:ascii="Arial" w:cs="Arial" w:eastAsia="Arial" w:hAnsi="Arial"/>
                <w:sz w:val="9"/>
                <w:szCs w:val="9"/>
                <w:color w:val="auto"/>
              </w:rPr>
              <w:t>(2)</w:t>
            </w:r>
          </w:p>
        </w:tc>
        <w:tc>
          <w:tcPr>
            <w:tcW w:w="2700" w:type="dxa"/>
            <w:vAlign w:val="bottom"/>
            <w:tcBorders>
              <w:bottom w:val="single" w:sz="8" w:color="732282"/>
            </w:tcBorders>
          </w:tcPr>
          <w:p>
            <w:pPr>
              <w:jc w:val="right"/>
              <w:spacing w:after="0" w:line="202" w:lineRule="exact"/>
              <w:rPr>
                <w:sz w:val="20"/>
                <w:szCs w:val="20"/>
                <w:color w:val="auto"/>
              </w:rPr>
            </w:pPr>
            <w:r>
              <w:rPr>
                <w:rFonts w:ascii="Arial" w:cs="Arial" w:eastAsia="Arial" w:hAnsi="Arial"/>
                <w:sz w:val="18"/>
                <w:szCs w:val="18"/>
                <w:color w:val="auto"/>
              </w:rPr>
              <w:t>130,000</w:t>
            </w:r>
          </w:p>
        </w:tc>
        <w:tc>
          <w:tcPr>
            <w:tcW w:w="320" w:type="dxa"/>
            <w:vAlign w:val="bottom"/>
            <w:tcBorders>
              <w:bottom w:val="single" w:sz="8" w:color="732282"/>
            </w:tcBorders>
          </w:tcPr>
          <w:p>
            <w:pPr>
              <w:jc w:val="right"/>
              <w:ind w:right="73"/>
              <w:spacing w:after="0"/>
              <w:rPr>
                <w:sz w:val="20"/>
                <w:szCs w:val="20"/>
                <w:color w:val="auto"/>
              </w:rPr>
            </w:pPr>
            <w:r>
              <w:rPr>
                <w:rFonts w:ascii="Arial" w:cs="Arial" w:eastAsia="Arial" w:hAnsi="Arial"/>
                <w:sz w:val="9"/>
                <w:szCs w:val="9"/>
                <w:color w:val="auto"/>
              </w:rPr>
              <w:t>(3)</w:t>
            </w:r>
          </w:p>
        </w:tc>
        <w:tc>
          <w:tcPr>
            <w:tcW w:w="1060" w:type="dxa"/>
            <w:vAlign w:val="bottom"/>
            <w:tcBorders>
              <w:bottom w:val="single" w:sz="8" w:color="732282"/>
            </w:tcBorders>
          </w:tcPr>
          <w:p>
            <w:pPr>
              <w:jc w:val="right"/>
              <w:ind w:right="236"/>
              <w:spacing w:after="0" w:line="202" w:lineRule="exact"/>
              <w:rPr>
                <w:sz w:val="20"/>
                <w:szCs w:val="20"/>
                <w:color w:val="auto"/>
              </w:rPr>
            </w:pPr>
            <w:r>
              <w:rPr>
                <w:rFonts w:ascii="Arial" w:cs="Arial" w:eastAsia="Arial" w:hAnsi="Arial"/>
                <w:sz w:val="18"/>
                <w:szCs w:val="18"/>
                <w:color w:val="auto"/>
              </w:rPr>
              <w:t>165,011</w:t>
            </w:r>
          </w:p>
        </w:tc>
        <w:tc>
          <w:tcPr>
            <w:tcW w:w="1320" w:type="dxa"/>
            <w:vAlign w:val="bottom"/>
            <w:tcBorders>
              <w:bottom w:val="single" w:sz="8" w:color="732282"/>
            </w:tcBorders>
          </w:tcPr>
          <w:p>
            <w:pPr>
              <w:jc w:val="right"/>
              <w:spacing w:after="0" w:line="202" w:lineRule="exact"/>
              <w:rPr>
                <w:sz w:val="20"/>
                <w:szCs w:val="20"/>
                <w:color w:val="auto"/>
              </w:rPr>
            </w:pPr>
            <w:r>
              <w:rPr>
                <w:rFonts w:ascii="Arial" w:cs="Arial" w:eastAsia="Arial" w:hAnsi="Arial"/>
                <w:sz w:val="18"/>
                <w:szCs w:val="18"/>
                <w:color w:val="auto"/>
              </w:rPr>
              <w:t>50,008</w:t>
            </w:r>
          </w:p>
        </w:tc>
        <w:tc>
          <w:tcPr>
            <w:tcW w:w="1100" w:type="dxa"/>
            <w:vAlign w:val="bottom"/>
            <w:tcBorders>
              <w:bottom w:val="single" w:sz="8" w:color="732282"/>
            </w:tcBorders>
          </w:tcPr>
          <w:p>
            <w:pPr>
              <w:jc w:val="right"/>
              <w:ind w:right="37"/>
              <w:spacing w:after="0" w:line="202" w:lineRule="exact"/>
              <w:rPr>
                <w:sz w:val="20"/>
                <w:szCs w:val="20"/>
                <w:color w:val="auto"/>
              </w:rPr>
            </w:pPr>
            <w:r>
              <w:rPr>
                <w:rFonts w:ascii="Arial" w:cs="Arial" w:eastAsia="Arial" w:hAnsi="Arial"/>
                <w:sz w:val="18"/>
                <w:szCs w:val="18"/>
                <w:color w:val="auto"/>
              </w:rPr>
              <w:t>10,136</w:t>
            </w:r>
          </w:p>
        </w:tc>
        <w:tc>
          <w:tcPr>
            <w:tcW w:w="880" w:type="dxa"/>
            <w:vAlign w:val="bottom"/>
            <w:tcBorders>
              <w:bottom w:val="single" w:sz="8" w:color="732282"/>
            </w:tcBorders>
          </w:tcPr>
          <w:p>
            <w:pPr>
              <w:jc w:val="right"/>
              <w:ind w:right="34"/>
              <w:spacing w:after="0" w:line="202" w:lineRule="exact"/>
              <w:rPr>
                <w:sz w:val="20"/>
                <w:szCs w:val="20"/>
                <w:color w:val="auto"/>
              </w:rPr>
            </w:pPr>
            <w:r>
              <w:rPr>
                <w:rFonts w:ascii="Arial" w:cs="Arial" w:eastAsia="Arial" w:hAnsi="Arial"/>
                <w:sz w:val="18"/>
                <w:szCs w:val="18"/>
                <w:color w:val="auto"/>
              </w:rPr>
              <w:t>355,155</w:t>
            </w:r>
          </w:p>
        </w:tc>
      </w:tr>
      <w:tr>
        <w:trPr>
          <w:trHeight w:val="356"/>
        </w:trPr>
        <w:tc>
          <w:tcPr>
            <w:tcW w:w="3640" w:type="dxa"/>
            <w:vAlign w:val="bottom"/>
          </w:tcPr>
          <w:p>
            <w:pPr>
              <w:spacing w:after="0"/>
              <w:rPr>
                <w:sz w:val="24"/>
                <w:szCs w:val="24"/>
                <w:color w:val="auto"/>
              </w:rPr>
            </w:pPr>
          </w:p>
        </w:tc>
        <w:tc>
          <w:tcPr>
            <w:tcW w:w="2700" w:type="dxa"/>
            <w:vAlign w:val="bottom"/>
          </w:tcPr>
          <w:p>
            <w:pPr>
              <w:jc w:val="right"/>
              <w:ind w:right="657"/>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020"/>
          </w:cols>
          <w:pgMar w:left="440" w:top="314" w:right="439" w:bottom="1440" w:gutter="0" w:footer="0" w:header="0"/>
        </w:sectPr>
      </w:pPr>
    </w:p>
    <w:bookmarkStart w:id="58" w:name="page59"/>
    <w:bookmarkEnd w:id="58"/>
    <w:p>
      <w:pPr>
        <w:jc w:val="both"/>
        <w:ind w:left="424" w:right="20" w:hanging="424"/>
        <w:spacing w:after="0" w:line="271" w:lineRule="auto"/>
        <w:tabs>
          <w:tab w:leader="none" w:pos="424"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269240</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t>The amounts reported reflect fees earned by Messrs. Cornwell, Kilts and Read, each of whom was elected to the Board in connection with the Combination, during the period beginning on November 16, 2020 and ending on December 31, 2020. Information regarding the compensation earned by each of them in 2020 for their service to Pfizer can be found in Pfizer’s 2021 Proxy Statement.</w:t>
      </w:r>
    </w:p>
    <w:p>
      <w:pPr>
        <w:spacing w:after="0" w:line="2" w:lineRule="exact"/>
        <w:rPr>
          <w:rFonts w:ascii="Arial" w:cs="Arial" w:eastAsia="Arial" w:hAnsi="Arial"/>
          <w:sz w:val="16"/>
          <w:szCs w:val="16"/>
          <w:i w:val="1"/>
          <w:iCs w:val="1"/>
          <w:color w:val="auto"/>
        </w:rPr>
      </w:pPr>
    </w:p>
    <w:p>
      <w:pPr>
        <w:jc w:val="both"/>
        <w:ind w:left="424" w:hanging="424"/>
        <w:spacing w:after="0" w:line="234" w:lineRule="auto"/>
        <w:tabs>
          <w:tab w:leader="none" w:pos="424"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reported reflect fees earned by Messrs. Dimick, Korman, Mark and Parrish and Mses. Dillon, Higgins and van der Meer Mohr, a portion of which relates to his or her service on the Mylan Board from January 1, 2020 to November 16, 2020, and the remaining portion of which relates to his or her service on the Viatris Board following the Combination through December 31, 2020.</w:t>
      </w:r>
    </w:p>
    <w:p>
      <w:pPr>
        <w:spacing w:after="0" w:line="2" w:lineRule="exact"/>
        <w:rPr>
          <w:rFonts w:ascii="Arial" w:cs="Arial" w:eastAsia="Arial" w:hAnsi="Arial"/>
          <w:sz w:val="18"/>
          <w:szCs w:val="18"/>
          <w:i w:val="1"/>
          <w:iCs w:val="1"/>
          <w:color w:val="auto"/>
        </w:rPr>
      </w:pPr>
    </w:p>
    <w:p>
      <w:pPr>
        <w:ind w:left="424" w:right="20" w:hanging="424"/>
        <w:spacing w:after="0" w:line="234" w:lineRule="auto"/>
        <w:tabs>
          <w:tab w:leader="none" w:pos="424"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Fees earned by Ms. van der Meer Mohr were paid in Euros. Such amounts were converted into Euros using the monthly conversion rate in effect when each payment was made.</w:t>
      </w:r>
    </w:p>
    <w:p>
      <w:pPr>
        <w:spacing w:after="0" w:line="1" w:lineRule="exact"/>
        <w:rPr>
          <w:rFonts w:ascii="Arial" w:cs="Arial" w:eastAsia="Arial" w:hAnsi="Arial"/>
          <w:sz w:val="18"/>
          <w:szCs w:val="18"/>
          <w:i w:val="1"/>
          <w:iCs w:val="1"/>
          <w:color w:val="auto"/>
        </w:rPr>
      </w:pPr>
    </w:p>
    <w:p>
      <w:pPr>
        <w:jc w:val="both"/>
        <w:ind w:left="424" w:hanging="424"/>
        <w:spacing w:after="0" w:line="234" w:lineRule="auto"/>
        <w:tabs>
          <w:tab w:leader="none" w:pos="424"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grant date fair value of the specific award granted to the Non-Employee Director. RSU awards and option awards granted in 2020 vested on March 2, 2021. For information regarding assumptions used in determining the amounts reflected in the table above, please refer to Note 13 to the Company’s Consolidated Financial Statements contained in the Original Filing. The number of unvested RSUs held by each of the Non-Employee Directors, as of December 31, 2020, were as follows: Ms. Dillon, 9,440; Mr. Dimick, 9,440; Ms. Higgins, 9,440; Mr. Korman, 9,440; Mr. Mark, 9,440; Mr. Parrish, 9,440; and Ms. van der Meer Mohr, 9,440. The aggregate number of shares subject to stock options held by the Non-Employee Directors, as of December 31, 2020, were as follows: Ms. Dillon, 24,780; Mr. Dimick, 24,780; Ms. Higgins, 31,403; Mr. Korman, 30,770; Mr. Mark, 12,260; Mr. Parrish, 24,780; and Ms. van der Meer Mohr, 13,949.</w:t>
      </w:r>
    </w:p>
    <w:p>
      <w:pPr>
        <w:spacing w:after="0" w:line="5" w:lineRule="exact"/>
        <w:rPr>
          <w:rFonts w:ascii="Arial" w:cs="Arial" w:eastAsia="Arial" w:hAnsi="Arial"/>
          <w:sz w:val="18"/>
          <w:szCs w:val="18"/>
          <w:i w:val="1"/>
          <w:iCs w:val="1"/>
          <w:color w:val="auto"/>
        </w:rPr>
      </w:pPr>
    </w:p>
    <w:p>
      <w:pPr>
        <w:ind w:left="424" w:hanging="424"/>
        <w:spacing w:after="0" w:line="239" w:lineRule="auto"/>
        <w:tabs>
          <w:tab w:leader="none" w:pos="424"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a reimbursement for certain U.K. taxes that were incurred as a result of attendance at Mylan Board Meetings in the U.K. from 2015 through 2020.</w:t>
      </w:r>
    </w:p>
    <w:p>
      <w:pPr>
        <w:spacing w:after="0" w:line="155"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8"/>
          <w:szCs w:val="18"/>
          <w:color w:val="auto"/>
        </w:rPr>
        <w:t>Viatris’ compensation philosophy for Non-Employee Directors is designed to attract and retain Directors with the experience necessary to represent the Company and oversee executive management. On an annual basis, the Viatris Compensation Committee considers market data for our Compensation Peer Group and input received from the Viatris Compensation Committee’s consultant regarding market practices for Director compensation. Any changes to Director compensation are approved by the Viatris Compensation Committee and the independent Directors.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Non-Employee Director Cash and Equity Compensation</w:t>
      </w:r>
    </w:p>
    <w:p>
      <w:pPr>
        <w:spacing w:after="0" w:line="99"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In 2020, Non-Employee Directors of both Mylan and Viatris each received a pro-rated $100,000 annual retainer for their service on the boards of Viatris and/or Mylan. Non-Employee Directors also were reimbursed for actual expenses relating to meeting attendance.</w:t>
      </w:r>
    </w:p>
    <w:p>
      <w:pPr>
        <w:spacing w:after="0" w:line="155"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color w:val="auto"/>
        </w:rPr>
        <w:t>In 2020, the Non-Employee Directors of both Mylan and Viatris also received the following additional fees for their service on committees of the Viatris and/or Mylan boards, payable in each case in four equal quarterly installments (pro-rated for any partial quarter):</w:t>
      </w:r>
    </w:p>
    <w:p>
      <w:pPr>
        <w:spacing w:after="0" w:line="74"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Audit Committee received an additional fee of $30,000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Compensation Committee received an additional fee of $25,000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Compliance Committee received an additional fee of $30,000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Finance Committee received an additional fee of $25,000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Governance and Nominating Committee received an additional fee of $25,000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Risk Oversight Committee received an additional fee of $25,000 per year;</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Science and Technology Committee received an additional fee of $25,000 per year;</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449" w:right="439" w:bottom="1440" w:gutter="0" w:footer="0" w:header="0"/>
        </w:sectPr>
      </w:pPr>
    </w:p>
    <w:bookmarkStart w:id="59" w:name="page60"/>
    <w:bookmarkEnd w:id="59"/>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Each member of the Executive Committee who was a Non-Employee Director received an additional fee of $30,000 per year;</w:t>
      </w:r>
    </w:p>
    <w:p>
      <w:pPr>
        <w:spacing w:after="0" w:line="76" w:lineRule="exact"/>
        <w:rPr>
          <w:rFonts w:ascii="Arial" w:cs="Arial" w:eastAsia="Arial" w:hAnsi="Arial"/>
          <w:sz w:val="18"/>
          <w:szCs w:val="18"/>
          <w:color w:val="auto"/>
        </w:rPr>
      </w:pPr>
    </w:p>
    <w:p>
      <w:pPr>
        <w:ind w:left="424" w:right="20" w:hanging="424"/>
        <w:spacing w:after="0" w:line="239"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member of the Audit Committee, Compensation Committee, Governance and Nominating Committee, and Risk Oversight Committee received an additional fee of $15,000 per year;</w:t>
      </w:r>
    </w:p>
    <w:p>
      <w:pPr>
        <w:spacing w:after="0" w:line="73" w:lineRule="exact"/>
        <w:rPr>
          <w:rFonts w:ascii="Arial" w:cs="Arial" w:eastAsia="Arial" w:hAnsi="Arial"/>
          <w:sz w:val="18"/>
          <w:szCs w:val="18"/>
          <w:color w:val="auto"/>
        </w:rPr>
      </w:pPr>
    </w:p>
    <w:p>
      <w:pPr>
        <w:ind w:left="424" w:right="20" w:hanging="424"/>
        <w:spacing w:after="0" w:line="239"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member of the Compliance Committee, Finance Committee, and each Non-Employee Director of the Science and Technology Committee received an additional fee of $10,000 per year; and</w:t>
      </w:r>
    </w:p>
    <w:p>
      <w:pPr>
        <w:spacing w:after="0" w:line="73"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Lead Independent Director received an additional fee of $60,000 per year.</w:t>
      </w:r>
    </w:p>
    <w:p>
      <w:pPr>
        <w:spacing w:after="0" w:line="77"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color w:val="auto"/>
        </w:rPr>
        <w:t>In 2020, Non-Employee Directors of Mylan also were eligible to receive stock options or other grants under the Amended 2003 Plan. In March 2020, each Non-Employee Director, other than Mr. Coury, was granted an option to purchase 6,151 ordinary shares at an exercise price of $17.48 per share, the closing price per share of Mylan’s ordinary shares on the date of grant, which option vested on March 2, 2021, and 9,440 RSUs, which also vested on March 2, 2021.</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Structure for 2021</w:t>
      </w:r>
    </w:p>
    <w:p>
      <w:pPr>
        <w:spacing w:after="0" w:line="99"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In March 2021, the Viatris Compensation Committee and the independent Directors approved the following Director compensation structure effective as of January 2021:</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678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Element of Compensation</w:t>
            </w:r>
          </w:p>
        </w:tc>
        <w:tc>
          <w:tcPr>
            <w:tcW w:w="4240" w:type="dxa"/>
            <w:vAlign w:val="bottom"/>
            <w:tcBorders>
              <w:bottom w:val="single" w:sz="8" w:color="732282"/>
            </w:tcBorders>
          </w:tcPr>
          <w:p>
            <w:pPr>
              <w:jc w:val="right"/>
              <w:spacing w:after="0"/>
              <w:rPr>
                <w:sz w:val="20"/>
                <w:szCs w:val="20"/>
                <w:color w:val="auto"/>
              </w:rPr>
            </w:pPr>
            <w:r>
              <w:rPr>
                <w:rFonts w:ascii="Arial" w:cs="Arial" w:eastAsia="Arial" w:hAnsi="Arial"/>
                <w:sz w:val="13"/>
                <w:szCs w:val="13"/>
                <w:b w:val="1"/>
                <w:bCs w:val="1"/>
                <w:color w:val="732282"/>
              </w:rPr>
              <w:t>Amount</w:t>
            </w:r>
          </w:p>
        </w:tc>
      </w:tr>
      <w:tr>
        <w:trPr>
          <w:trHeight w:val="196"/>
        </w:trPr>
        <w:tc>
          <w:tcPr>
            <w:tcW w:w="67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Board Member Retainer</w:t>
            </w:r>
          </w:p>
        </w:tc>
        <w:tc>
          <w:tcPr>
            <w:tcW w:w="4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Committee Chair Fee</w:t>
            </w:r>
          </w:p>
        </w:tc>
        <w:tc>
          <w:tcPr>
            <w:tcW w:w="424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Executive Committee Member Fee</w:t>
            </w:r>
          </w:p>
        </w:tc>
        <w:tc>
          <w:tcPr>
            <w:tcW w:w="4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Lead Independent Director Compensation</w:t>
            </w:r>
          </w:p>
        </w:tc>
        <w:tc>
          <w:tcPr>
            <w:tcW w:w="424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6780" w:type="dxa"/>
            <w:vAlign w:val="bottom"/>
            <w:tcBorders>
              <w:bottom w:val="single" w:sz="8" w:color="732282"/>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Annual Equity Grant Value (RSUs)</w:t>
            </w:r>
          </w:p>
        </w:tc>
        <w:tc>
          <w:tcPr>
            <w:tcW w:w="4240" w:type="dxa"/>
            <w:vAlign w:val="bottom"/>
            <w:tcBorders>
              <w:bottom w:val="single" w:sz="8" w:color="732282"/>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bl>
    <w:p>
      <w:pPr>
        <w:spacing w:after="0" w:line="84"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Non-Employee Directors are also eligible to receive matching charitable contributions under the Company’s Director Matching Gift Program. Under this program, to the extent Directors choose to make charitable contributions to qualifying charitable organizations, the Company matches those contributions dollar-for-dollar up to an annual limit of $20,000 per person per calendar year.</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Non-Employee Director Share Ownership Guidelines</w:t>
      </w:r>
    </w:p>
    <w:p>
      <w:pPr>
        <w:spacing w:after="0" w:line="97" w:lineRule="exact"/>
        <w:rPr>
          <w:sz w:val="20"/>
          <w:szCs w:val="20"/>
          <w:color w:val="auto"/>
        </w:rPr>
      </w:pPr>
    </w:p>
    <w:p>
      <w:pPr>
        <w:jc w:val="both"/>
        <w:ind w:left="4"/>
        <w:spacing w:after="0" w:line="236" w:lineRule="auto"/>
        <w:rPr>
          <w:sz w:val="20"/>
          <w:szCs w:val="20"/>
          <w:color w:val="auto"/>
        </w:rPr>
      </w:pPr>
      <w:r>
        <w:rPr>
          <w:rFonts w:ascii="Arial" w:cs="Arial" w:eastAsia="Arial" w:hAnsi="Arial"/>
          <w:sz w:val="18"/>
          <w:szCs w:val="18"/>
          <w:color w:val="auto"/>
        </w:rPr>
        <w:t>In November 2020, the Viatris Board established share ownership requirements for Non-Employee Directors which required each Director to hold common stock valued at three times the amount of his or her annual cash retainer, excluding any cash retainer paid for committee service. 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count toward compliance with these requirements.</w:t>
      </w:r>
    </w:p>
    <w:p>
      <w:pPr>
        <w:spacing w:after="0" w:line="17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9"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Certain information concerning securities authorized for issuance under equity compensation plans is contained in the discussion entitled “Equity Compensation Plan Information” in Item 12 of Part III of the Original Filing.</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318" w:right="439" w:bottom="1440" w:gutter="0" w:footer="0" w:header="0"/>
        </w:sectPr>
      </w:pPr>
    </w:p>
    <w:bookmarkStart w:id="60" w:name="page61"/>
    <w:bookmarkEnd w:id="6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Directors, Nominees and Executive Officers</w:t>
      </w:r>
    </w:p>
    <w:p>
      <w:pPr>
        <w:spacing w:after="0" w:line="99" w:lineRule="exact"/>
        <w:rPr>
          <w:sz w:val="20"/>
          <w:szCs w:val="20"/>
          <w:color w:val="auto"/>
        </w:rPr>
      </w:pPr>
    </w:p>
    <w:p>
      <w:pPr>
        <w:jc w:val="both"/>
        <w:ind w:left="4"/>
        <w:spacing w:after="0" w:line="235" w:lineRule="auto"/>
        <w:rPr>
          <w:sz w:val="20"/>
          <w:szCs w:val="20"/>
          <w:color w:val="auto"/>
        </w:rPr>
      </w:pPr>
      <w:r>
        <w:rPr>
          <w:rFonts w:ascii="Arial" w:cs="Arial" w:eastAsia="Arial" w:hAnsi="Arial"/>
          <w:sz w:val="18"/>
          <w:szCs w:val="18"/>
          <w:color w:val="auto"/>
        </w:rPr>
        <w:t>The following table sets forth information regarding the beneficial ownership of common stock of Viatris Inc. as of April 26, 2021 by (i) each Viatris Director, (ii) each NEO, and (iii) all Directors and executive officers of Viatris Inc. as a group (based on 1,208,643,411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April 26, 2021.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his or her state date to attain compliance with our Stock Ownership Guidelines. In addition, each of our covered employees has five years to achieve minimum ownership requirements, as discussed in more detail in the Compensation Discussion &amp; Analysis section of this document.</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732282"/>
              </w:rPr>
              <w:t>Options</w:t>
            </w:r>
          </w:p>
        </w:tc>
        <w:tc>
          <w:tcPr>
            <w:tcW w:w="1160" w:type="dxa"/>
            <w:vAlign w:val="bottom"/>
          </w:tcPr>
          <w:p>
            <w:pPr>
              <w:spacing w:after="0"/>
              <w:rPr>
                <w:sz w:val="13"/>
                <w:szCs w:val="13"/>
                <w:color w:val="auto"/>
              </w:rPr>
            </w:pPr>
          </w:p>
        </w:tc>
      </w:tr>
      <w:tr>
        <w:trPr>
          <w:trHeight w:val="148"/>
        </w:trPr>
        <w:tc>
          <w:tcPr>
            <w:tcW w:w="5860" w:type="dxa"/>
            <w:vAlign w:val="bottom"/>
          </w:tcPr>
          <w:p>
            <w:pPr>
              <w:spacing w:after="0"/>
              <w:rPr>
                <w:sz w:val="12"/>
                <w:szCs w:val="12"/>
                <w:color w:val="auto"/>
              </w:rPr>
            </w:pPr>
          </w:p>
        </w:tc>
        <w:tc>
          <w:tcPr>
            <w:tcW w:w="2320" w:type="dxa"/>
            <w:vAlign w:val="bottom"/>
          </w:tcPr>
          <w:p>
            <w:pPr>
              <w:jc w:val="right"/>
              <w:ind w:right="376"/>
              <w:spacing w:after="0"/>
              <w:rPr>
                <w:sz w:val="20"/>
                <w:szCs w:val="20"/>
                <w:color w:val="auto"/>
              </w:rPr>
            </w:pPr>
            <w:r>
              <w:rPr>
                <w:rFonts w:ascii="Arial" w:cs="Arial" w:eastAsia="Arial" w:hAnsi="Arial"/>
                <w:sz w:val="13"/>
                <w:szCs w:val="13"/>
                <w:b w:val="1"/>
                <w:bCs w:val="1"/>
                <w:color w:val="732282"/>
              </w:rPr>
              <w:t>Amount and</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732282"/>
              </w:rPr>
              <w:t>Exercisable and</w:t>
            </w:r>
          </w:p>
        </w:tc>
        <w:tc>
          <w:tcPr>
            <w:tcW w:w="1160" w:type="dxa"/>
            <w:vAlign w:val="bottom"/>
          </w:tcPr>
          <w:p>
            <w:pPr>
              <w:spacing w:after="0"/>
              <w:rPr>
                <w:sz w:val="12"/>
                <w:szCs w:val="12"/>
                <w:color w:val="auto"/>
              </w:rPr>
            </w:pPr>
          </w:p>
        </w:tc>
      </w:tr>
      <w:tr>
        <w:trPr>
          <w:trHeight w:val="148"/>
        </w:trPr>
        <w:tc>
          <w:tcPr>
            <w:tcW w:w="5860" w:type="dxa"/>
            <w:vAlign w:val="bottom"/>
          </w:tcPr>
          <w:p>
            <w:pPr>
              <w:spacing w:after="0"/>
              <w:rPr>
                <w:sz w:val="12"/>
                <w:szCs w:val="12"/>
                <w:color w:val="auto"/>
              </w:rPr>
            </w:pPr>
          </w:p>
        </w:tc>
        <w:tc>
          <w:tcPr>
            <w:tcW w:w="2320" w:type="dxa"/>
            <w:vAlign w:val="bottom"/>
          </w:tcPr>
          <w:p>
            <w:pPr>
              <w:jc w:val="right"/>
              <w:ind w:right="376"/>
              <w:spacing w:after="0"/>
              <w:rPr>
                <w:sz w:val="20"/>
                <w:szCs w:val="20"/>
                <w:color w:val="auto"/>
              </w:rPr>
            </w:pPr>
            <w:r>
              <w:rPr>
                <w:rFonts w:ascii="Arial" w:cs="Arial" w:eastAsia="Arial" w:hAnsi="Arial"/>
                <w:sz w:val="13"/>
                <w:szCs w:val="13"/>
                <w:b w:val="1"/>
                <w:bCs w:val="1"/>
                <w:color w:val="732282"/>
              </w:rPr>
              <w:t>Nature of</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732282"/>
              </w:rPr>
              <w:t>Restricted</w:t>
            </w:r>
          </w:p>
        </w:tc>
        <w:tc>
          <w:tcPr>
            <w:tcW w:w="1160" w:type="dxa"/>
            <w:vAlign w:val="bottom"/>
          </w:tcPr>
          <w:p>
            <w:pPr>
              <w:spacing w:after="0"/>
              <w:rPr>
                <w:sz w:val="12"/>
                <w:szCs w:val="12"/>
                <w:color w:val="auto"/>
              </w:rPr>
            </w:pPr>
          </w:p>
        </w:tc>
      </w:tr>
      <w:tr>
        <w:trPr>
          <w:trHeight w:val="148"/>
        </w:trPr>
        <w:tc>
          <w:tcPr>
            <w:tcW w:w="5860" w:type="dxa"/>
            <w:vAlign w:val="bottom"/>
          </w:tcPr>
          <w:p>
            <w:pPr>
              <w:spacing w:after="0"/>
              <w:rPr>
                <w:sz w:val="12"/>
                <w:szCs w:val="12"/>
                <w:color w:val="auto"/>
              </w:rPr>
            </w:pPr>
          </w:p>
        </w:tc>
        <w:tc>
          <w:tcPr>
            <w:tcW w:w="2320" w:type="dxa"/>
            <w:vAlign w:val="bottom"/>
          </w:tcPr>
          <w:p>
            <w:pPr>
              <w:jc w:val="right"/>
              <w:ind w:right="376"/>
              <w:spacing w:after="0"/>
              <w:rPr>
                <w:sz w:val="20"/>
                <w:szCs w:val="20"/>
                <w:color w:val="auto"/>
              </w:rPr>
            </w:pPr>
            <w:r>
              <w:rPr>
                <w:rFonts w:ascii="Arial" w:cs="Arial" w:eastAsia="Arial" w:hAnsi="Arial"/>
                <w:sz w:val="13"/>
                <w:szCs w:val="13"/>
                <w:b w:val="1"/>
                <w:bCs w:val="1"/>
                <w:color w:val="732282"/>
              </w:rPr>
              <w:t>Beneficial</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732282"/>
              </w:rPr>
              <w:t>Shares Vesting</w:t>
            </w:r>
          </w:p>
        </w:tc>
        <w:tc>
          <w:tcPr>
            <w:tcW w:w="1160" w:type="dxa"/>
            <w:vAlign w:val="bottom"/>
          </w:tcPr>
          <w:p>
            <w:pPr>
              <w:jc w:val="right"/>
              <w:ind w:right="215"/>
              <w:spacing w:after="0"/>
              <w:rPr>
                <w:sz w:val="20"/>
                <w:szCs w:val="20"/>
                <w:color w:val="auto"/>
              </w:rPr>
            </w:pPr>
            <w:r>
              <w:rPr>
                <w:rFonts w:ascii="Arial" w:cs="Arial" w:eastAsia="Arial" w:hAnsi="Arial"/>
                <w:sz w:val="13"/>
                <w:szCs w:val="13"/>
                <w:b w:val="1"/>
                <w:bCs w:val="1"/>
                <w:color w:val="732282"/>
              </w:rPr>
              <w:t>Percent of</w:t>
            </w:r>
          </w:p>
        </w:tc>
      </w:tr>
      <w:tr>
        <w:trPr>
          <w:trHeight w:val="165"/>
        </w:trPr>
        <w:tc>
          <w:tcPr>
            <w:tcW w:w="586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Name of Beneficial Owner</w:t>
            </w:r>
          </w:p>
        </w:tc>
        <w:tc>
          <w:tcPr>
            <w:tcW w:w="2320" w:type="dxa"/>
            <w:vAlign w:val="bottom"/>
            <w:tcBorders>
              <w:bottom w:val="single" w:sz="8" w:color="732282"/>
            </w:tcBorders>
          </w:tcPr>
          <w:p>
            <w:pPr>
              <w:jc w:val="right"/>
              <w:ind w:right="376"/>
              <w:spacing w:after="0"/>
              <w:rPr>
                <w:sz w:val="20"/>
                <w:szCs w:val="20"/>
                <w:color w:val="auto"/>
              </w:rPr>
            </w:pPr>
            <w:r>
              <w:rPr>
                <w:rFonts w:ascii="Arial" w:cs="Arial" w:eastAsia="Arial" w:hAnsi="Arial"/>
                <w:sz w:val="13"/>
                <w:szCs w:val="13"/>
                <w:b w:val="1"/>
                <w:bCs w:val="1"/>
                <w:color w:val="732282"/>
              </w:rPr>
              <w:t>Ownership</w:t>
            </w:r>
          </w:p>
        </w:tc>
        <w:tc>
          <w:tcPr>
            <w:tcW w:w="1680" w:type="dxa"/>
            <w:vAlign w:val="bottom"/>
            <w:tcBorders>
              <w:bottom w:val="single" w:sz="8" w:color="732282"/>
            </w:tcBorders>
          </w:tcPr>
          <w:p>
            <w:pPr>
              <w:jc w:val="right"/>
              <w:ind w:right="217"/>
              <w:spacing w:after="0"/>
              <w:rPr>
                <w:sz w:val="20"/>
                <w:szCs w:val="20"/>
                <w:color w:val="auto"/>
              </w:rPr>
            </w:pPr>
            <w:r>
              <w:rPr>
                <w:rFonts w:ascii="Arial" w:cs="Arial" w:eastAsia="Arial" w:hAnsi="Arial"/>
                <w:sz w:val="13"/>
                <w:szCs w:val="13"/>
                <w:b w:val="1"/>
                <w:bCs w:val="1"/>
                <w:color w:val="732282"/>
              </w:rPr>
              <w:t>within 60 days</w:t>
            </w:r>
          </w:p>
        </w:tc>
        <w:tc>
          <w:tcPr>
            <w:tcW w:w="1160" w:type="dxa"/>
            <w:vAlign w:val="bottom"/>
            <w:tcBorders>
              <w:bottom w:val="single" w:sz="8" w:color="732282"/>
            </w:tcBorders>
          </w:tcPr>
          <w:p>
            <w:pPr>
              <w:jc w:val="right"/>
              <w:ind w:right="215"/>
              <w:spacing w:after="0"/>
              <w:rPr>
                <w:sz w:val="20"/>
                <w:szCs w:val="20"/>
                <w:color w:val="auto"/>
              </w:rPr>
            </w:pPr>
            <w:r>
              <w:rPr>
                <w:rFonts w:ascii="Arial" w:cs="Arial" w:eastAsia="Arial" w:hAnsi="Arial"/>
                <w:sz w:val="13"/>
                <w:szCs w:val="13"/>
                <w:b w:val="1"/>
                <w:bCs w:val="1"/>
                <w:color w:val="732282"/>
              </w:rPr>
              <w:t>Class</w:t>
            </w:r>
          </w:p>
        </w:tc>
      </w:tr>
      <w:tr>
        <w:trPr>
          <w:trHeight w:val="196"/>
        </w:trPr>
        <w:tc>
          <w:tcPr>
            <w:tcW w:w="5860" w:type="dxa"/>
            <w:vAlign w:val="bottom"/>
            <w:shd w:val="clear" w:color="auto" w:fill="EAEAEA"/>
          </w:tcPr>
          <w:p>
            <w:pPr>
              <w:ind w:left="80"/>
              <w:spacing w:after="0" w:line="196" w:lineRule="exact"/>
              <w:rPr>
                <w:sz w:val="20"/>
                <w:szCs w:val="20"/>
                <w:color w:val="auto"/>
              </w:rPr>
            </w:pPr>
            <w:r>
              <w:rPr>
                <w:rFonts w:ascii="Arial" w:cs="Arial" w:eastAsia="Arial" w:hAnsi="Arial"/>
                <w:sz w:val="18"/>
                <w:szCs w:val="18"/>
                <w:color w:val="auto"/>
              </w:rPr>
              <w:t>W. Don Cornwell</w:t>
            </w:r>
          </w:p>
        </w:tc>
        <w:tc>
          <w:tcPr>
            <w:tcW w:w="2320" w:type="dxa"/>
            <w:vAlign w:val="bottom"/>
            <w:shd w:val="clear" w:color="auto" w:fill="EAEAEA"/>
          </w:tcPr>
          <w:p>
            <w:pPr>
              <w:jc w:val="right"/>
              <w:ind w:right="376"/>
              <w:spacing w:after="0" w:line="196" w:lineRule="exact"/>
              <w:rPr>
                <w:sz w:val="20"/>
                <w:szCs w:val="20"/>
                <w:color w:val="auto"/>
              </w:rPr>
            </w:pPr>
            <w:r>
              <w:rPr>
                <w:rFonts w:ascii="Arial" w:cs="Arial" w:eastAsia="Arial" w:hAnsi="Arial"/>
                <w:sz w:val="18"/>
                <w:szCs w:val="18"/>
                <w:color w:val="auto"/>
              </w:rPr>
              <w:t>3,000</w:t>
            </w:r>
          </w:p>
        </w:tc>
        <w:tc>
          <w:tcPr>
            <w:tcW w:w="1680" w:type="dxa"/>
            <w:vAlign w:val="bottom"/>
            <w:shd w:val="clear" w:color="auto" w:fill="EAEAEA"/>
          </w:tcPr>
          <w:p>
            <w:pPr>
              <w:jc w:val="right"/>
              <w:ind w:right="217"/>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EAEAEA"/>
          </w:tcPr>
          <w:p>
            <w:pPr>
              <w:jc w:val="right"/>
              <w:ind w:right="215"/>
              <w:spacing w:after="0" w:line="196"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Robert J. Coury</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1,383,587</w:t>
            </w:r>
          </w:p>
        </w:tc>
        <w:tc>
          <w:tcPr>
            <w:tcW w:w="16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462,465</w:t>
            </w:r>
            <w:r>
              <w:rPr>
                <w:rFonts w:ascii="Arial" w:cs="Arial" w:eastAsia="Arial" w:hAnsi="Arial"/>
                <w:sz w:val="9"/>
                <w:szCs w:val="9"/>
                <w:color w:val="auto"/>
              </w:rPr>
              <w:t>(1)</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JoEllen Lyons Dillon</w:t>
            </w:r>
          </w:p>
        </w:tc>
        <w:tc>
          <w:tcPr>
            <w:tcW w:w="2320" w:type="dxa"/>
            <w:vAlign w:val="bottom"/>
            <w:shd w:val="clear" w:color="auto" w:fill="EAEAEA"/>
          </w:tcPr>
          <w:p>
            <w:pPr>
              <w:jc w:val="right"/>
              <w:ind w:right="256"/>
              <w:spacing w:after="0" w:line="202" w:lineRule="exact"/>
              <w:rPr>
                <w:sz w:val="20"/>
                <w:szCs w:val="20"/>
                <w:color w:val="auto"/>
              </w:rPr>
            </w:pPr>
            <w:r>
              <w:rPr>
                <w:rFonts w:ascii="Arial" w:cs="Arial" w:eastAsia="Arial" w:hAnsi="Arial"/>
                <w:sz w:val="18"/>
                <w:szCs w:val="18"/>
                <w:color w:val="auto"/>
              </w:rPr>
              <w:t>25,067</w:t>
            </w:r>
            <w:r>
              <w:rPr>
                <w:rFonts w:ascii="Arial" w:cs="Arial" w:eastAsia="Arial" w:hAnsi="Arial"/>
                <w:sz w:val="9"/>
                <w:szCs w:val="9"/>
                <w:color w:val="auto"/>
              </w:rPr>
              <w:t>(2)</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24,780</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Neil Dimick</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60,703</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24,780</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Michael Goettler</w:t>
            </w:r>
          </w:p>
        </w:tc>
        <w:tc>
          <w:tcPr>
            <w:tcW w:w="2320" w:type="dxa"/>
            <w:vAlign w:val="bottom"/>
            <w:shd w:val="clear" w:color="auto" w:fill="EAEAEA"/>
          </w:tcPr>
          <w:p>
            <w:pPr>
              <w:jc w:val="right"/>
              <w:ind w:right="376"/>
              <w:spacing w:after="0" w:line="202" w:lineRule="exact"/>
              <w:rPr>
                <w:sz w:val="20"/>
                <w:szCs w:val="20"/>
                <w:color w:val="auto"/>
              </w:rPr>
            </w:pPr>
            <w:r>
              <w:rPr>
                <w:rFonts w:ascii="Arial" w:cs="Arial" w:eastAsia="Arial" w:hAnsi="Arial"/>
                <w:sz w:val="18"/>
                <w:szCs w:val="18"/>
                <w:color w:val="auto"/>
              </w:rPr>
              <w:t>6,081</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Melina Higgins</w:t>
            </w:r>
          </w:p>
        </w:tc>
        <w:tc>
          <w:tcPr>
            <w:tcW w:w="23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122,571</w:t>
            </w:r>
            <w:r>
              <w:rPr>
                <w:rFonts w:ascii="Arial" w:cs="Arial" w:eastAsia="Arial" w:hAnsi="Arial"/>
                <w:sz w:val="9"/>
                <w:szCs w:val="9"/>
                <w:color w:val="auto"/>
              </w:rPr>
              <w:t>(3)</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31,403</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James Kilts</w:t>
            </w:r>
          </w:p>
        </w:tc>
        <w:tc>
          <w:tcPr>
            <w:tcW w:w="2320" w:type="dxa"/>
            <w:vAlign w:val="bottom"/>
            <w:shd w:val="clear" w:color="auto" w:fill="EAEAEA"/>
          </w:tcPr>
          <w:p>
            <w:pPr>
              <w:jc w:val="right"/>
              <w:ind w:right="376"/>
              <w:spacing w:after="0" w:line="202" w:lineRule="exact"/>
              <w:rPr>
                <w:sz w:val="20"/>
                <w:szCs w:val="20"/>
                <w:color w:val="auto"/>
              </w:rPr>
            </w:pPr>
            <w:r>
              <w:rPr>
                <w:rFonts w:ascii="Arial" w:cs="Arial" w:eastAsia="Arial" w:hAnsi="Arial"/>
                <w:sz w:val="18"/>
                <w:szCs w:val="18"/>
                <w:color w:val="auto"/>
              </w:rPr>
              <w:t>64,905</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Harry A. Korman</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36,141</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30,770</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Rajiv Malik</w:t>
            </w:r>
          </w:p>
        </w:tc>
        <w:tc>
          <w:tcPr>
            <w:tcW w:w="2320" w:type="dxa"/>
            <w:vAlign w:val="bottom"/>
            <w:shd w:val="clear" w:color="auto" w:fill="EAEAEA"/>
          </w:tcPr>
          <w:p>
            <w:pPr>
              <w:jc w:val="right"/>
              <w:ind w:right="256"/>
              <w:spacing w:after="0" w:line="202" w:lineRule="exact"/>
              <w:rPr>
                <w:sz w:val="20"/>
                <w:szCs w:val="20"/>
                <w:color w:val="auto"/>
              </w:rPr>
            </w:pPr>
            <w:r>
              <w:rPr>
                <w:rFonts w:ascii="Arial" w:cs="Arial" w:eastAsia="Arial" w:hAnsi="Arial"/>
                <w:sz w:val="18"/>
                <w:szCs w:val="18"/>
                <w:color w:val="auto"/>
              </w:rPr>
              <w:t>722,701</w:t>
            </w:r>
            <w:r>
              <w:rPr>
                <w:rFonts w:ascii="Arial" w:cs="Arial" w:eastAsia="Arial" w:hAnsi="Arial"/>
                <w:sz w:val="9"/>
                <w:szCs w:val="9"/>
                <w:color w:val="auto"/>
              </w:rPr>
              <w:t>(4)</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331,694</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Richard A. Mark</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18,668</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12,260</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Anthony Mauro</w:t>
            </w:r>
          </w:p>
        </w:tc>
        <w:tc>
          <w:tcPr>
            <w:tcW w:w="2320" w:type="dxa"/>
            <w:vAlign w:val="bottom"/>
            <w:shd w:val="clear" w:color="auto" w:fill="EAEAEA"/>
          </w:tcPr>
          <w:p>
            <w:pPr>
              <w:jc w:val="right"/>
              <w:ind w:right="256"/>
              <w:spacing w:after="0" w:line="202" w:lineRule="exact"/>
              <w:rPr>
                <w:sz w:val="20"/>
                <w:szCs w:val="20"/>
                <w:color w:val="auto"/>
              </w:rPr>
            </w:pPr>
            <w:r>
              <w:rPr>
                <w:rFonts w:ascii="Arial" w:cs="Arial" w:eastAsia="Arial" w:hAnsi="Arial"/>
                <w:sz w:val="18"/>
                <w:szCs w:val="18"/>
                <w:color w:val="auto"/>
              </w:rPr>
              <w:t>168,124</w:t>
            </w:r>
            <w:r>
              <w:rPr>
                <w:rFonts w:ascii="Arial" w:cs="Arial" w:eastAsia="Arial" w:hAnsi="Arial"/>
                <w:sz w:val="9"/>
                <w:szCs w:val="9"/>
                <w:color w:val="auto"/>
              </w:rPr>
              <w:t>(5)</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153,886</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Sanjeev Narula</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7,314</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Mark W. Parrish</w:t>
            </w:r>
          </w:p>
        </w:tc>
        <w:tc>
          <w:tcPr>
            <w:tcW w:w="2320" w:type="dxa"/>
            <w:vAlign w:val="bottom"/>
            <w:shd w:val="clear" w:color="auto" w:fill="EAEAEA"/>
          </w:tcPr>
          <w:p>
            <w:pPr>
              <w:jc w:val="right"/>
              <w:ind w:right="376"/>
              <w:spacing w:after="0" w:line="202" w:lineRule="exact"/>
              <w:rPr>
                <w:sz w:val="20"/>
                <w:szCs w:val="20"/>
                <w:color w:val="auto"/>
              </w:rPr>
            </w:pPr>
            <w:r>
              <w:rPr>
                <w:rFonts w:ascii="Arial" w:cs="Arial" w:eastAsia="Arial" w:hAnsi="Arial"/>
                <w:sz w:val="18"/>
                <w:szCs w:val="18"/>
                <w:color w:val="auto"/>
              </w:rPr>
              <w:t>67,753</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24,780</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Ian Read</w:t>
            </w:r>
          </w:p>
        </w:tc>
        <w:tc>
          <w:tcPr>
            <w:tcW w:w="232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2"/>
        </w:trPr>
        <w:tc>
          <w:tcPr>
            <w:tcW w:w="586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Pauline van der Meer Mohr</w:t>
            </w:r>
          </w:p>
        </w:tc>
        <w:tc>
          <w:tcPr>
            <w:tcW w:w="2320" w:type="dxa"/>
            <w:vAlign w:val="bottom"/>
            <w:shd w:val="clear" w:color="auto" w:fill="EAEAEA"/>
          </w:tcPr>
          <w:p>
            <w:pPr>
              <w:jc w:val="right"/>
              <w:ind w:right="376"/>
              <w:spacing w:after="0" w:line="202" w:lineRule="exact"/>
              <w:rPr>
                <w:sz w:val="20"/>
                <w:szCs w:val="20"/>
                <w:color w:val="auto"/>
              </w:rPr>
            </w:pPr>
            <w:r>
              <w:rPr>
                <w:rFonts w:ascii="Arial" w:cs="Arial" w:eastAsia="Arial" w:hAnsi="Arial"/>
                <w:sz w:val="18"/>
                <w:szCs w:val="18"/>
                <w:color w:val="auto"/>
              </w:rPr>
              <w:t>15,705</w:t>
            </w:r>
          </w:p>
        </w:tc>
        <w:tc>
          <w:tcPr>
            <w:tcW w:w="1680" w:type="dxa"/>
            <w:vAlign w:val="bottom"/>
            <w:shd w:val="clear" w:color="auto" w:fill="EAEAEA"/>
          </w:tcPr>
          <w:p>
            <w:pPr>
              <w:jc w:val="right"/>
              <w:ind w:right="217"/>
              <w:spacing w:after="0" w:line="202" w:lineRule="exact"/>
              <w:rPr>
                <w:sz w:val="20"/>
                <w:szCs w:val="20"/>
                <w:color w:val="auto"/>
              </w:rPr>
            </w:pPr>
            <w:r>
              <w:rPr>
                <w:rFonts w:ascii="Arial" w:cs="Arial" w:eastAsia="Arial" w:hAnsi="Arial"/>
                <w:sz w:val="18"/>
                <w:szCs w:val="18"/>
                <w:color w:val="auto"/>
              </w:rPr>
              <w:t>13,949</w:t>
            </w:r>
          </w:p>
        </w:tc>
        <w:tc>
          <w:tcPr>
            <w:tcW w:w="1160" w:type="dxa"/>
            <w:vAlign w:val="bottom"/>
            <w:shd w:val="clear" w:color="auto" w:fill="EAEAEA"/>
          </w:tcPr>
          <w:p>
            <w:pPr>
              <w:jc w:val="right"/>
              <w:ind w:right="2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Borders>
              <w:bottom w:val="single" w:sz="8" w:color="732282"/>
            </w:tcBorders>
          </w:tcPr>
          <w:p>
            <w:pPr>
              <w:ind w:left="80"/>
              <w:spacing w:after="0" w:line="202" w:lineRule="exact"/>
              <w:rPr>
                <w:sz w:val="20"/>
                <w:szCs w:val="20"/>
                <w:color w:val="auto"/>
              </w:rPr>
            </w:pPr>
            <w:r>
              <w:rPr>
                <w:rFonts w:ascii="Arial" w:cs="Arial" w:eastAsia="Arial" w:hAnsi="Arial"/>
                <w:sz w:val="18"/>
                <w:szCs w:val="18"/>
                <w:color w:val="auto"/>
              </w:rPr>
              <w:t>All Directors and executive officers as a group (20 persons</w:t>
            </w:r>
            <w:r>
              <w:rPr>
                <w:rFonts w:ascii="Arial" w:cs="Arial" w:eastAsia="Arial" w:hAnsi="Arial"/>
                <w:sz w:val="9"/>
                <w:szCs w:val="9"/>
                <w:color w:val="auto"/>
              </w:rPr>
              <w:t>(6)</w:t>
            </w:r>
            <w:r>
              <w:rPr>
                <w:rFonts w:ascii="Arial" w:cs="Arial" w:eastAsia="Arial" w:hAnsi="Arial"/>
                <w:sz w:val="18"/>
                <w:szCs w:val="18"/>
                <w:color w:val="auto"/>
              </w:rPr>
              <w:t>)</w:t>
            </w:r>
          </w:p>
        </w:tc>
        <w:tc>
          <w:tcPr>
            <w:tcW w:w="2320" w:type="dxa"/>
            <w:vAlign w:val="bottom"/>
            <w:tcBorders>
              <w:bottom w:val="single" w:sz="8" w:color="732282"/>
            </w:tcBorders>
          </w:tcPr>
          <w:p>
            <w:pPr>
              <w:jc w:val="right"/>
              <w:ind w:right="376"/>
              <w:spacing w:after="0" w:line="202" w:lineRule="exact"/>
              <w:rPr>
                <w:sz w:val="20"/>
                <w:szCs w:val="20"/>
                <w:color w:val="auto"/>
              </w:rPr>
            </w:pPr>
            <w:r>
              <w:rPr>
                <w:rFonts w:ascii="Arial" w:cs="Arial" w:eastAsia="Arial" w:hAnsi="Arial"/>
                <w:sz w:val="18"/>
                <w:szCs w:val="18"/>
                <w:color w:val="auto"/>
              </w:rPr>
              <w:t>2,739,662</w:t>
            </w:r>
          </w:p>
        </w:tc>
        <w:tc>
          <w:tcPr>
            <w:tcW w:w="1680" w:type="dxa"/>
            <w:vAlign w:val="bottom"/>
            <w:tcBorders>
              <w:bottom w:val="single" w:sz="8" w:color="732282"/>
            </w:tcBorders>
          </w:tcPr>
          <w:p>
            <w:pPr>
              <w:jc w:val="right"/>
              <w:ind w:right="217"/>
              <w:spacing w:after="0" w:line="202" w:lineRule="exact"/>
              <w:rPr>
                <w:sz w:val="20"/>
                <w:szCs w:val="20"/>
                <w:color w:val="auto"/>
              </w:rPr>
            </w:pPr>
            <w:r>
              <w:rPr>
                <w:rFonts w:ascii="Arial" w:cs="Arial" w:eastAsia="Arial" w:hAnsi="Arial"/>
                <w:sz w:val="18"/>
                <w:szCs w:val="18"/>
                <w:color w:val="auto"/>
              </w:rPr>
              <w:t>1,239,883</w:t>
            </w:r>
          </w:p>
        </w:tc>
        <w:tc>
          <w:tcPr>
            <w:tcW w:w="1160" w:type="dxa"/>
            <w:vAlign w:val="bottom"/>
            <w:tcBorders>
              <w:bottom w:val="single" w:sz="8" w:color="732282"/>
            </w:tcBorders>
          </w:tcPr>
          <w:p>
            <w:pPr>
              <w:jc w:val="right"/>
              <w:ind w:right="215"/>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71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22"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Less than 1%.</w:t>
      </w:r>
    </w:p>
    <w:p>
      <w:pPr>
        <w:spacing w:after="0" w:line="9"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250,000 RSUs scheduled to vest on June 24, 2021.</w:t>
      </w:r>
    </w:p>
    <w:p>
      <w:pPr>
        <w:ind w:left="424" w:hanging="424"/>
        <w:spacing w:after="0" w:line="234" w:lineRule="auto"/>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18 shares of common stock held by Ms. Dillon’s spouse.</w:t>
      </w:r>
    </w:p>
    <w:p>
      <w:pPr>
        <w:ind w:left="424" w:hanging="424"/>
        <w:spacing w:after="0" w:line="234" w:lineRule="auto"/>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74,000 shares of common stock held by Ms. Higgins’ spouse.</w:t>
      </w:r>
    </w:p>
    <w:p>
      <w:pPr>
        <w:ind w:left="424" w:right="20" w:hanging="424"/>
        <w:spacing w:after="0" w:line="234" w:lineRule="auto"/>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88,365 shares held in a grantor retained annuity trust of which Mr. Malik is the sole trustee and 460,319 shares held in an irrevocable trust for the benefit of Mr. Malik’s spouse and children.</w:t>
      </w:r>
    </w:p>
    <w:p>
      <w:pPr>
        <w:spacing w:after="0" w:line="1" w:lineRule="exact"/>
        <w:rPr>
          <w:rFonts w:ascii="Arial" w:cs="Arial" w:eastAsia="Arial" w:hAnsi="Arial"/>
          <w:sz w:val="18"/>
          <w:szCs w:val="18"/>
          <w:i w:val="1"/>
          <w:iCs w:val="1"/>
          <w:color w:val="auto"/>
        </w:rPr>
      </w:pPr>
    </w:p>
    <w:p>
      <w:pPr>
        <w:ind w:left="424" w:hanging="424"/>
        <w:spacing w:after="0" w:line="234" w:lineRule="auto"/>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5,574 shares held in Mr. Mauro’s 401(k) account.</w:t>
      </w:r>
    </w:p>
    <w:p>
      <w:pPr>
        <w:ind w:left="424" w:hanging="424"/>
        <w:spacing w:after="0"/>
        <w:tabs>
          <w:tab w:leader="none" w:pos="42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15 individuals set forth above as well as Messrs. Campbell, Cuneo, Ni, Roman and Taddese.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96" w:right="439" w:bottom="1440" w:gutter="0" w:footer="0" w:header="0"/>
        </w:sectPr>
      </w:pPr>
    </w:p>
    <w:bookmarkStart w:id="61" w:name="page62"/>
    <w:bookmarkEnd w:id="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 Owners</w:t>
      </w:r>
    </w:p>
    <w:p>
      <w:pPr>
        <w:spacing w:after="0" w:line="18"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The following table lists the names and addresses of shareholders known to management to own beneficially more than five percent of the shares of common stock of Viatris as of April 26, 2021 (based on 1,208,643,411 shares of common stock of Viatris Inc. outstanding as of such date):</w:t>
      </w:r>
    </w:p>
    <w:p>
      <w:pPr>
        <w:spacing w:after="0" w:line="52" w:lineRule="exact"/>
        <w:rPr>
          <w:sz w:val="20"/>
          <w:szCs w:val="20"/>
          <w:color w:val="auto"/>
        </w:rPr>
      </w:pPr>
    </w:p>
    <w:tbl>
      <w:tblPr>
        <w:tblLayout w:type="fixed"/>
        <w:tblInd w:w="104"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4240" w:type="dxa"/>
            <w:vAlign w:val="bottom"/>
          </w:tcPr>
          <w:p>
            <w:pPr>
              <w:jc w:val="right"/>
              <w:ind w:right="393"/>
              <w:spacing w:after="0"/>
              <w:rPr>
                <w:sz w:val="20"/>
                <w:szCs w:val="20"/>
                <w:color w:val="auto"/>
              </w:rPr>
            </w:pPr>
            <w:r>
              <w:rPr>
                <w:rFonts w:ascii="Arial" w:cs="Arial" w:eastAsia="Arial" w:hAnsi="Arial"/>
                <w:sz w:val="13"/>
                <w:szCs w:val="13"/>
                <w:b w:val="1"/>
                <w:bCs w:val="1"/>
                <w:color w:val="732282"/>
              </w:rPr>
              <w:t>Amount and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4240" w:type="dxa"/>
            <w:vAlign w:val="bottom"/>
          </w:tcPr>
          <w:p>
            <w:pPr>
              <w:jc w:val="right"/>
              <w:ind w:right="393"/>
              <w:spacing w:after="0"/>
              <w:rPr>
                <w:sz w:val="20"/>
                <w:szCs w:val="20"/>
                <w:color w:val="auto"/>
              </w:rPr>
            </w:pPr>
            <w:r>
              <w:rPr>
                <w:rFonts w:ascii="Arial" w:cs="Arial" w:eastAsia="Arial" w:hAnsi="Arial"/>
                <w:sz w:val="13"/>
                <w:szCs w:val="13"/>
                <w:b w:val="1"/>
                <w:bCs w:val="1"/>
                <w:color w:val="732282"/>
              </w:rPr>
              <w:t>Nature of</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732282"/>
              </w:rPr>
              <w:t>Percent of</w:t>
            </w:r>
          </w:p>
        </w:tc>
        <w:tc>
          <w:tcPr>
            <w:tcW w:w="0" w:type="dxa"/>
            <w:vAlign w:val="bottom"/>
          </w:tcPr>
          <w:p>
            <w:pPr>
              <w:spacing w:after="0"/>
              <w:rPr>
                <w:sz w:val="1"/>
                <w:szCs w:val="1"/>
                <w:color w:val="auto"/>
              </w:rPr>
            </w:pPr>
          </w:p>
        </w:tc>
      </w:tr>
      <w:tr>
        <w:trPr>
          <w:trHeight w:val="138"/>
        </w:trPr>
        <w:tc>
          <w:tcPr>
            <w:tcW w:w="5500" w:type="dxa"/>
            <w:vAlign w:val="bottom"/>
          </w:tcPr>
          <w:p>
            <w:pPr>
              <w:spacing w:after="0"/>
              <w:rPr>
                <w:sz w:val="12"/>
                <w:szCs w:val="12"/>
                <w:color w:val="auto"/>
              </w:rPr>
            </w:pPr>
          </w:p>
        </w:tc>
        <w:tc>
          <w:tcPr>
            <w:tcW w:w="4240" w:type="dxa"/>
            <w:vAlign w:val="bottom"/>
          </w:tcPr>
          <w:p>
            <w:pPr>
              <w:jc w:val="right"/>
              <w:ind w:right="393"/>
              <w:spacing w:after="0" w:line="138" w:lineRule="exact"/>
              <w:rPr>
                <w:sz w:val="20"/>
                <w:szCs w:val="20"/>
                <w:color w:val="auto"/>
              </w:rPr>
            </w:pPr>
            <w:r>
              <w:rPr>
                <w:rFonts w:ascii="Arial" w:cs="Arial" w:eastAsia="Arial" w:hAnsi="Arial"/>
                <w:sz w:val="13"/>
                <w:szCs w:val="13"/>
                <w:b w:val="1"/>
                <w:bCs w:val="1"/>
                <w:color w:val="732282"/>
              </w:rPr>
              <w:t>Beneficial</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Arial" w:cs="Arial" w:eastAsia="Arial" w:hAnsi="Arial"/>
                <w:sz w:val="13"/>
                <w:szCs w:val="13"/>
                <w:b w:val="1"/>
                <w:bCs w:val="1"/>
                <w:color w:val="732282"/>
              </w:rPr>
              <w:t>Name and Address of Beneficial Owner</w:t>
            </w:r>
          </w:p>
        </w:tc>
        <w:tc>
          <w:tcPr>
            <w:tcW w:w="4240" w:type="dxa"/>
            <w:vAlign w:val="bottom"/>
          </w:tcPr>
          <w:p>
            <w:pPr>
              <w:jc w:val="right"/>
              <w:ind w:right="393"/>
              <w:spacing w:after="0"/>
              <w:rPr>
                <w:sz w:val="20"/>
                <w:szCs w:val="20"/>
                <w:color w:val="auto"/>
              </w:rPr>
            </w:pPr>
            <w:r>
              <w:rPr>
                <w:rFonts w:ascii="Arial" w:cs="Arial" w:eastAsia="Arial" w:hAnsi="Arial"/>
                <w:sz w:val="13"/>
                <w:szCs w:val="13"/>
                <w:b w:val="1"/>
                <w:bCs w:val="1"/>
                <w:color w:val="732282"/>
              </w:rPr>
              <w:t>Ownership</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732282"/>
              </w:rPr>
              <w:t>Class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9516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p>
      <w:pPr>
        <w:ind w:left="4"/>
        <w:spacing w:after="0"/>
        <w:rPr>
          <w:sz w:val="20"/>
          <w:szCs w:val="20"/>
          <w:color w:val="auto"/>
        </w:rPr>
      </w:pPr>
      <w:r>
        <w:rPr>
          <w:rFonts w:ascii="Arial" w:cs="Arial" w:eastAsia="Arial" w:hAnsi="Arial"/>
          <w:sz w:val="18"/>
          <w:szCs w:val="18"/>
          <w:color w:val="auto"/>
        </w:rPr>
        <w:t>The Vanguard Group,</w:t>
      </w:r>
    </w:p>
    <w:p>
      <w:pPr>
        <w:ind w:left="4"/>
        <w:spacing w:after="0"/>
        <w:rPr>
          <w:sz w:val="20"/>
          <w:szCs w:val="20"/>
          <w:color w:val="auto"/>
        </w:rPr>
      </w:pPr>
      <w:r>
        <w:rPr>
          <w:rFonts w:ascii="Arial" w:cs="Arial" w:eastAsia="Arial" w:hAnsi="Arial"/>
          <w:sz w:val="18"/>
          <w:szCs w:val="18"/>
          <w:color w:val="auto"/>
        </w:rPr>
        <w:t>100 Vanguard Blvd., Malvern, PA 19355</w:t>
      </w:r>
    </w:p>
    <w:p>
      <w:pPr>
        <w:spacing w:after="0" w:line="5"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BlackRock, Inc.,</w:t>
      </w:r>
    </w:p>
    <w:p>
      <w:pPr>
        <w:ind w:left="4"/>
        <w:spacing w:after="0"/>
        <w:rPr>
          <w:sz w:val="20"/>
          <w:szCs w:val="20"/>
          <w:color w:val="auto"/>
        </w:rPr>
      </w:pPr>
      <w:r>
        <w:rPr>
          <w:rFonts w:ascii="Arial" w:cs="Arial" w:eastAsia="Arial" w:hAnsi="Arial"/>
          <w:sz w:val="18"/>
          <w:szCs w:val="18"/>
          <w:color w:val="auto"/>
        </w:rPr>
        <w:t>55 East 52nd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9516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Wellington Management Group LLP and affiliates,</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280 Congress Street, 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129,072,141</w:t>
      </w:r>
      <w:r>
        <w:rPr>
          <w:rFonts w:ascii="Arial" w:cs="Arial" w:eastAsia="Arial" w:hAnsi="Arial"/>
          <w:sz w:val="9"/>
          <w:szCs w:val="9"/>
          <w:color w:val="auto"/>
        </w:rPr>
        <w:t>(1)</w:t>
      </w:r>
      <w:r>
        <w:rPr>
          <w:sz w:val="20"/>
          <w:szCs w:val="20"/>
          <w:color w:val="auto"/>
        </w:rPr>
        <w:tab/>
      </w:r>
      <w:r>
        <w:rPr>
          <w:rFonts w:ascii="Arial" w:cs="Arial" w:eastAsia="Arial" w:hAnsi="Arial"/>
          <w:sz w:val="16"/>
          <w:szCs w:val="16"/>
          <w:color w:val="auto"/>
        </w:rPr>
        <w:t>10.68%</w:t>
      </w:r>
    </w:p>
    <w:p>
      <w:pPr>
        <w:spacing w:after="0" w:line="212" w:lineRule="exact"/>
        <w:rPr>
          <w:sz w:val="20"/>
          <w:szCs w:val="20"/>
          <w:color w:val="auto"/>
        </w:rPr>
      </w:pPr>
    </w:p>
    <w:p>
      <w:pPr>
        <w:ind w:left="100"/>
        <w:spacing w:after="0"/>
        <w:tabs>
          <w:tab w:leader="none" w:pos="2020" w:val="left"/>
        </w:tabs>
        <w:rPr>
          <w:sz w:val="20"/>
          <w:szCs w:val="20"/>
          <w:color w:val="auto"/>
        </w:rPr>
      </w:pPr>
      <w:r>
        <w:rPr>
          <w:rFonts w:ascii="Arial" w:cs="Arial" w:eastAsia="Arial" w:hAnsi="Arial"/>
          <w:sz w:val="18"/>
          <w:szCs w:val="18"/>
          <w:color w:val="auto"/>
        </w:rPr>
        <w:t>89,526,414</w:t>
      </w:r>
      <w:r>
        <w:rPr>
          <w:rFonts w:ascii="Arial" w:cs="Arial" w:eastAsia="Arial" w:hAnsi="Arial"/>
          <w:sz w:val="9"/>
          <w:szCs w:val="9"/>
          <w:color w:val="auto"/>
        </w:rPr>
        <w:t>(2)</w:t>
      </w:r>
      <w:r>
        <w:rPr>
          <w:sz w:val="20"/>
          <w:szCs w:val="20"/>
          <w:color w:val="auto"/>
        </w:rPr>
        <w:tab/>
      </w:r>
      <w:r>
        <w:rPr>
          <w:rFonts w:ascii="Arial" w:cs="Arial" w:eastAsia="Arial" w:hAnsi="Arial"/>
          <w:sz w:val="16"/>
          <w:szCs w:val="16"/>
          <w:color w:val="auto"/>
        </w:rPr>
        <w:t>7.41%</w:t>
      </w:r>
    </w:p>
    <w:p>
      <w:pPr>
        <w:spacing w:after="0" w:line="212" w:lineRule="exact"/>
        <w:rPr>
          <w:sz w:val="20"/>
          <w:szCs w:val="20"/>
          <w:color w:val="auto"/>
        </w:rPr>
      </w:pPr>
    </w:p>
    <w:p>
      <w:pPr>
        <w:ind w:left="100"/>
        <w:spacing w:after="0"/>
        <w:tabs>
          <w:tab w:leader="none" w:pos="2020" w:val="left"/>
        </w:tabs>
        <w:rPr>
          <w:sz w:val="20"/>
          <w:szCs w:val="20"/>
          <w:color w:val="auto"/>
        </w:rPr>
      </w:pPr>
      <w:r>
        <w:rPr>
          <w:rFonts w:ascii="Arial" w:cs="Arial" w:eastAsia="Arial" w:hAnsi="Arial"/>
          <w:sz w:val="18"/>
          <w:szCs w:val="18"/>
          <w:color w:val="auto"/>
        </w:rPr>
        <w:t>69,811,210</w:t>
      </w:r>
      <w:r>
        <w:rPr>
          <w:rFonts w:ascii="Arial" w:cs="Arial" w:eastAsia="Arial" w:hAnsi="Arial"/>
          <w:sz w:val="9"/>
          <w:szCs w:val="9"/>
          <w:color w:val="auto"/>
        </w:rPr>
        <w:t>(3)</w:t>
      </w:r>
      <w:r>
        <w:rPr>
          <w:sz w:val="20"/>
          <w:szCs w:val="20"/>
          <w:color w:val="auto"/>
        </w:rPr>
        <w:tab/>
      </w:r>
      <w:r>
        <w:rPr>
          <w:rFonts w:ascii="Arial" w:cs="Arial" w:eastAsia="Arial" w:hAnsi="Arial"/>
          <w:sz w:val="16"/>
          <w:szCs w:val="16"/>
          <w:color w:val="auto"/>
        </w:rPr>
        <w:t>5.78%</w:t>
      </w:r>
    </w:p>
    <w:p>
      <w:pPr>
        <w:spacing w:after="0" w:line="200" w:lineRule="exact"/>
        <w:rPr>
          <w:sz w:val="20"/>
          <w:szCs w:val="20"/>
          <w:color w:val="auto"/>
        </w:rPr>
      </w:pPr>
    </w:p>
    <w:p>
      <w:pPr>
        <w:sectPr>
          <w:pgSz w:w="11900" w:h="16838" w:orient="portrait"/>
          <w:cols w:equalWidth="0" w:num="2">
            <w:col w:w="7684" w:space="720"/>
            <w:col w:w="2620"/>
          </w:cols>
          <w:pgMar w:left="436" w:top="296" w:right="439" w:bottom="1440" w:gutter="0" w:footer="0" w:header="0"/>
          <w:type w:val="continuous"/>
        </w:sectPr>
      </w:pPr>
    </w:p>
    <w:p>
      <w:pPr>
        <w:spacing w:after="0" w:line="102" w:lineRule="exact"/>
        <w:rPr>
          <w:sz w:val="20"/>
          <w:szCs w:val="20"/>
          <w:color w:val="auto"/>
        </w:rPr>
      </w:pPr>
    </w:p>
    <w:p>
      <w:pPr>
        <w:jc w:val="both"/>
        <w:ind w:left="424" w:right="20" w:hanging="424"/>
        <w:spacing w:after="0" w:line="241" w:lineRule="auto"/>
        <w:tabs>
          <w:tab w:leader="none" w:pos="424"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the Schedule 13G filed by The Vanguard Group with the SEC on January 8, 2021, The Vanguard Group has sole voting power over 0 shares of common stock, shared voting power over 2,028,926 shares of common stock, sole dispositive power over 123,690,942 shares of common stock and shared dispositive power over 5,381,199 shares of common stock.</w:t>
      </w:r>
    </w:p>
    <w:p>
      <w:pPr>
        <w:spacing w:after="0" w:line="1" w:lineRule="exact"/>
        <w:rPr>
          <w:rFonts w:ascii="Arial" w:cs="Arial" w:eastAsia="Arial" w:hAnsi="Arial"/>
          <w:sz w:val="18"/>
          <w:szCs w:val="18"/>
          <w:i w:val="1"/>
          <w:iCs w:val="1"/>
          <w:color w:val="auto"/>
        </w:rPr>
      </w:pPr>
    </w:p>
    <w:p>
      <w:pPr>
        <w:jc w:val="both"/>
        <w:ind w:left="424" w:right="20" w:hanging="424"/>
        <w:spacing w:after="0" w:line="234" w:lineRule="auto"/>
        <w:tabs>
          <w:tab w:leader="none" w:pos="424"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the Schedule 13G filed by BlackRock, Inc. with the SEC on February 2, 2021, BlackRock, Inc. has sole voting power over 78,521,524 shares of common stock, shared voting power over 0 shares of common stock, sole dispositive power over 89,526,414 shares of common stock and shared dispositive power over 0 shares of common stock.</w:t>
      </w:r>
    </w:p>
    <w:p>
      <w:pPr>
        <w:spacing w:after="0" w:line="2" w:lineRule="exact"/>
        <w:rPr>
          <w:rFonts w:ascii="Arial" w:cs="Arial" w:eastAsia="Arial" w:hAnsi="Arial"/>
          <w:sz w:val="18"/>
          <w:szCs w:val="18"/>
          <w:i w:val="1"/>
          <w:iCs w:val="1"/>
          <w:color w:val="auto"/>
        </w:rPr>
      </w:pPr>
    </w:p>
    <w:p>
      <w:pPr>
        <w:jc w:val="both"/>
        <w:ind w:left="424" w:hanging="424"/>
        <w:spacing w:after="0" w:line="235" w:lineRule="auto"/>
        <w:tabs>
          <w:tab w:leader="none" w:pos="424"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the Schedule 13G filed by Wellington Management Group LLP, Wellington Group Holdings LLP, Wellington Investment Advisors Holdings LLP and Wellington Management Company LLP with the SEC on February 4, 2021, Wellington Management Group LLP has sole voting power over 0 shares of common stock, shared voting power over 67,990,306 shares of common stock, sole dispositive power over 0 shares of common stock and shared dispositive power over 69,811,210 shares of common stock; Wellington Group Holdings LLP has sole voting power over 0 shares of common stock, shared voting power over 67,990,306 shares of common stock, sole dispositive power over 0 shares of common stock and shared dispositive power over 69,811,210 shares of common stock; Wellington Investment Advisors Holdings LLP has sole voting power over 0 shares of common stock, shared voting power over 67,990,306 shares of common stock, sole dispositive power over 0 shares of common stock and shared dispositive power over 69,811,210 shares of common stock; and Wellington Management Company LLP has sole voting power over 0 shares of common stock, shared voting power over 67,257,978 shares of common stock, sole dispositive power over 0 shares of common stock and shared dispositive power over 67,280,712 shares of common stock. Based on the Schedule 13G, the securities as to which the Schedule 13G was filed are owned of record by clients of one or more investment advisers identified therein directly or indirectly owned by Wellington Management Group LLP. Those clients have the right to receive, or the power to direct the receipt of, dividends from, or the proceeds from the sale of, such securities.</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96" w:right="439" w:bottom="1440" w:gutter="0" w:footer="0" w:header="0"/>
          <w:type w:val="continuous"/>
        </w:sectPr>
      </w:pPr>
    </w:p>
    <w:bookmarkStart w:id="62" w:name="page63"/>
    <w:bookmarkEnd w:id="6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9"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8"/>
          <w:szCs w:val="18"/>
          <w:color w:val="auto"/>
        </w:rPr>
        <w:t>Based on a review of any transactions between Viatris and its Directors and executive officers, their immediate family members, and their affiliated entities, Viatris has determined that since the beginning of 2020,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spacing w:after="0" w:line="73" w:lineRule="exact"/>
        <w:rPr>
          <w:sz w:val="20"/>
          <w:szCs w:val="20"/>
          <w:color w:val="auto"/>
        </w:rPr>
      </w:pPr>
    </w:p>
    <w:p>
      <w:pPr>
        <w:jc w:val="both"/>
        <w:ind w:left="4"/>
        <w:spacing w:after="0" w:line="267" w:lineRule="auto"/>
        <w:rPr>
          <w:sz w:val="20"/>
          <w:szCs w:val="20"/>
          <w:color w:val="auto"/>
        </w:rPr>
      </w:pPr>
      <w:r>
        <w:rPr>
          <w:rFonts w:ascii="Arial" w:cs="Arial" w:eastAsia="Arial" w:hAnsi="Arial"/>
          <w:sz w:val="16"/>
          <w:szCs w:val="16"/>
          <w:color w:val="auto"/>
        </w:rPr>
        <w:t>Mylan had engaged The Coury Firm LLC (together with its predecessors, “TCF”), the principals of which are brothers and a son of Robert J. Coury, Executive Chairman, to provide certain services to Mylan. TCF is beneficially owned by brothers and trusts on behalf of brothers and children of Mr. Coury. TCF is in the business of providing strategic corporate benefits advice and services, among others. Since approximately 1995, TCF and, in the past, other affiliated entities of TCF, served as the broker in connection with several of Mylan’s employee benefit programs. Effective January 1, 2018, Mylan extended its previous contract with TCF for an additional three year period on substantially the same terms as its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2020 and early 2021, received payments totaling approximately $200,000 in commissions for these services directly from the insurance carriers (including payments for 2019 business paid in 2020). In August 2020 and commencing on September 1, 2020, the parties further extended this agreement through December 31, 2023 on substantially the same terms; in connection with the consummation of the Combination, Mylan Inc. is now a subsidiary of Viatris, and Viatris and its subsidiaries receive the services contemplated by the extended agreement.</w:t>
      </w:r>
    </w:p>
    <w:p>
      <w:pPr>
        <w:spacing w:after="0" w:line="259" w:lineRule="exact"/>
        <w:rPr>
          <w:sz w:val="20"/>
          <w:szCs w:val="20"/>
          <w:color w:val="auto"/>
        </w:rPr>
      </w:pPr>
    </w:p>
    <w:p>
      <w:pPr>
        <w:jc w:val="both"/>
        <w:ind w:left="4"/>
        <w:spacing w:after="0" w:line="236" w:lineRule="auto"/>
        <w:rPr>
          <w:sz w:val="20"/>
          <w:szCs w:val="20"/>
          <w:color w:val="auto"/>
        </w:rPr>
      </w:pPr>
      <w:r>
        <w:rPr>
          <w:rFonts w:ascii="Arial" w:cs="Arial" w:eastAsia="Arial" w:hAnsi="Arial"/>
          <w:sz w:val="18"/>
          <w:szCs w:val="18"/>
          <w:color w:val="auto"/>
        </w:rPr>
        <w:t>Angela Campbell, Mr. Campbell’s spouse and herself a related person of Viatris, held roles of increasing responsibility at Mylan Inc. since June 2007 and is currently serving as Head of Operations Strategic Initiatives at Viatris. Ms. Campbell earned approximately $300,000 in compensation from Mylan Inc. in 2020 (consisting of base salary, an annual short-term incentive bonus, amounts realized from the exercise or vesting of long-term incentive awards and miscellaneous other benefits) where she was Head of Global Commercial Incentive Compensation and her compensation in 2021 is expected to be approximately $325,000 (consisting of base salary, an annual short-term incentive bonus, amounts realized from the exercise or vesting of long-term incentive awards and miscellaneous other benefits).</w:t>
      </w:r>
    </w:p>
    <w:p>
      <w:pPr>
        <w:spacing w:after="0" w:line="75"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8"/>
          <w:szCs w:val="18"/>
          <w:color w:val="auto"/>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$710,000 in 2020 and approximately $50,000 in 2021 for services provided to Mr. Malik in connection with certain previously disclosed drug pricing matters. The Company anticipates making additional payments of approximately $1.3 million in 2021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74"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Viatris has a written related party transactions policy that establishes guidelines for reviewing and approving, as appropriate, transactions involving any Director, nominee for Director,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w:t>
      </w:r>
    </w:p>
    <w:p>
      <w:pPr>
        <w:ind w:left="4" w:right="20" w:hanging="4"/>
        <w:spacing w:after="0" w:line="239"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 The Board also annually reviews certain relationships and related party transactions as part of its assessment of each Director’s independence.</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96" w:right="439" w:bottom="1440" w:gutter="0" w:footer="0" w:header="0"/>
        </w:sectPr>
      </w:pPr>
    </w:p>
    <w:bookmarkStart w:id="63" w:name="page64"/>
    <w:bookmarkEnd w:id="6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Independence</w:t>
      </w:r>
    </w:p>
    <w:p>
      <w:pPr>
        <w:spacing w:after="0" w:line="99" w:lineRule="exact"/>
        <w:rPr>
          <w:sz w:val="20"/>
          <w:szCs w:val="20"/>
          <w:color w:val="auto"/>
        </w:rPr>
      </w:pPr>
    </w:p>
    <w:p>
      <w:pPr>
        <w:jc w:val="both"/>
        <w:ind w:left="4"/>
        <w:spacing w:after="0" w:line="268" w:lineRule="auto"/>
        <w:rPr>
          <w:sz w:val="20"/>
          <w:szCs w:val="20"/>
          <w:color w:val="auto"/>
        </w:rPr>
      </w:pPr>
      <w:r>
        <w:rPr>
          <w:rFonts w:ascii="Arial" w:cs="Arial" w:eastAsia="Arial" w:hAnsi="Arial"/>
          <w:sz w:val="16"/>
          <w:szCs w:val="16"/>
          <w:color w:val="auto"/>
        </w:rPr>
        <w:t>Viatris’ Board has determined that Mr. Cornwell, Ms. Dillon, Mr. Dimick, Ms. Higgins, Mr. Kilts, Mr. Korman, Mr. Mark, Mr. Parrish, and Ms. van der Meer Mohr are independent Directors under the applicable NASDAQ listing rules. In making these determinations, the Board considered, with respect to Mr. Cornwell’s independence, that Mr. Cornwell’s son is a partner of PJT Partners (“PJT”), which served as a financial advisor to Mylan in connection with the Combination; Mr. Cornwell’s son was not involved in PJT’s work for Mylan. With respect to Mr. Korman’s independence, the Board considered (a) 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Viatris’ independent registered public accounting firm. The Board determined that any such arrangements, transactions or relationships would not interfere with the exercise of independent judgment by Mr. Cornwell, Mr. Korman or Mr. Mark in carrying out his respective responsibilities as a Director of Viatris.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Messrs. Coury, Goettler, Malik, and Read are not independent Directors under applicable NASDAQ listing rules.</w:t>
      </w:r>
    </w:p>
    <w:p>
      <w:pPr>
        <w:spacing w:after="0" w:line="25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9" w:lineRule="exact"/>
        <w:rPr>
          <w:sz w:val="20"/>
          <w:szCs w:val="20"/>
          <w:color w:val="auto"/>
        </w:rPr>
      </w:pPr>
    </w:p>
    <w:p>
      <w:pPr>
        <w:jc w:val="both"/>
        <w:ind w:left="4"/>
        <w:spacing w:after="0" w:line="269" w:lineRule="auto"/>
        <w:rPr>
          <w:sz w:val="20"/>
          <w:szCs w:val="20"/>
          <w:color w:val="auto"/>
        </w:rPr>
      </w:pPr>
      <w:r>
        <w:rPr>
          <w:rFonts w:ascii="Arial" w:cs="Arial" w:eastAsia="Arial" w:hAnsi="Arial"/>
          <w:sz w:val="16"/>
          <w:szCs w:val="16"/>
          <w:color w:val="auto"/>
        </w:rPr>
        <w:t>In connection with the Combination, on November 19, 2020, the Audit Committee dismissed KPMG LLP as the Company’s independent registered public accounting firm and appointed Deloitte to serve in that role going forward. Mylan is the accounting acquirer in the Combination, and Deloitte had served as Mylan’s independent registered public accounting firm since 1976. As a result, the fees described below relate to fees paid by Mylan to Deloitte prior to the Combination and fees paid by Viatris to Deloitte following the closing of the Combination on November 16, 2020. Deloitte has audited Viatris’ financial statements for the fiscal year ended December 31, 2020. No relationships exist with Deloitte other than the usual relationship between such a firm and its client. Details about the nature of the services provided by, and fees Viatris and Mylan paid to, Deloitte and affiliated firms for such services during 2020 and 2019 are set forth below.</w:t>
      </w:r>
    </w:p>
    <w:p>
      <w:pPr>
        <w:spacing w:after="0" w:line="157"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12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32282"/>
              </w:rPr>
              <w:t>In Millions</w:t>
            </w:r>
          </w:p>
        </w:tc>
      </w:tr>
      <w:tr>
        <w:trPr>
          <w:trHeight w:val="230"/>
        </w:trPr>
        <w:tc>
          <w:tcPr>
            <w:tcW w:w="1220" w:type="dxa"/>
            <w:vAlign w:val="bottom"/>
            <w:tcBorders>
              <w:bottom w:val="single" w:sz="8" w:color="732282"/>
            </w:tcBorders>
          </w:tcPr>
          <w:p>
            <w:pPr>
              <w:spacing w:after="0"/>
              <w:rPr>
                <w:sz w:val="20"/>
                <w:szCs w:val="20"/>
                <w:color w:val="auto"/>
              </w:rPr>
            </w:pPr>
          </w:p>
        </w:tc>
        <w:tc>
          <w:tcPr>
            <w:tcW w:w="7360" w:type="dxa"/>
            <w:vAlign w:val="bottom"/>
            <w:tcBorders>
              <w:bottom w:val="single" w:sz="8" w:color="732282"/>
            </w:tcBorders>
          </w:tcPr>
          <w:p>
            <w:pPr>
              <w:spacing w:after="0"/>
              <w:rPr>
                <w:sz w:val="20"/>
                <w:szCs w:val="20"/>
                <w:color w:val="auto"/>
              </w:rPr>
            </w:pPr>
          </w:p>
        </w:tc>
        <w:tc>
          <w:tcPr>
            <w:tcW w:w="1640" w:type="dxa"/>
            <w:vAlign w:val="bottom"/>
            <w:tcBorders>
              <w:bottom w:val="single" w:sz="8" w:color="732282"/>
            </w:tcBorders>
            <w:gridSpan w:val="2"/>
          </w:tcPr>
          <w:p>
            <w:pPr>
              <w:jc w:val="right"/>
              <w:ind w:right="820"/>
              <w:spacing w:after="0"/>
              <w:rPr>
                <w:sz w:val="20"/>
                <w:szCs w:val="20"/>
                <w:color w:val="auto"/>
              </w:rPr>
            </w:pPr>
            <w:r>
              <w:rPr>
                <w:rFonts w:ascii="Arial" w:cs="Arial" w:eastAsia="Arial" w:hAnsi="Arial"/>
                <w:sz w:val="13"/>
                <w:szCs w:val="13"/>
                <w:b w:val="1"/>
                <w:bCs w:val="1"/>
                <w:color w:val="732282"/>
              </w:rPr>
              <w:t>2020</w:t>
            </w:r>
          </w:p>
        </w:tc>
        <w:tc>
          <w:tcPr>
            <w:tcW w:w="800" w:type="dxa"/>
            <w:vAlign w:val="bottom"/>
            <w:tcBorders>
              <w:bottom w:val="single" w:sz="8" w:color="732282"/>
            </w:tcBorders>
            <w:gridSpan w:val="2"/>
          </w:tcPr>
          <w:p>
            <w:pPr>
              <w:jc w:val="right"/>
              <w:ind w:right="120"/>
              <w:spacing w:after="0"/>
              <w:rPr>
                <w:sz w:val="20"/>
                <w:szCs w:val="20"/>
                <w:color w:val="auto"/>
              </w:rPr>
            </w:pPr>
            <w:r>
              <w:rPr>
                <w:rFonts w:ascii="Arial" w:cs="Arial" w:eastAsia="Arial" w:hAnsi="Arial"/>
                <w:sz w:val="13"/>
                <w:szCs w:val="13"/>
                <w:b w:val="1"/>
                <w:bCs w:val="1"/>
                <w:color w:val="732282"/>
              </w:rPr>
              <w:t>2019</w:t>
            </w:r>
          </w:p>
        </w:tc>
      </w:tr>
      <w:tr>
        <w:trPr>
          <w:trHeight w:val="196"/>
        </w:trPr>
        <w:tc>
          <w:tcPr>
            <w:tcW w:w="858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Audit Fees(1)</w:t>
            </w:r>
          </w:p>
        </w:tc>
        <w:tc>
          <w:tcPr>
            <w:tcW w:w="1640" w:type="dxa"/>
            <w:vAlign w:val="bottom"/>
            <w:gridSpan w:val="2"/>
            <w:shd w:val="clear" w:color="auto" w:fill="E5E5E5"/>
          </w:tcPr>
          <w:p>
            <w:pPr>
              <w:jc w:val="right"/>
              <w:ind w:right="820"/>
              <w:spacing w:after="0" w:line="196" w:lineRule="exact"/>
              <w:rPr>
                <w:sz w:val="20"/>
                <w:szCs w:val="20"/>
                <w:color w:val="auto"/>
              </w:rPr>
            </w:pPr>
            <w:r>
              <w:rPr>
                <w:rFonts w:ascii="Arial" w:cs="Arial" w:eastAsia="Arial" w:hAnsi="Arial"/>
                <w:sz w:val="18"/>
                <w:szCs w:val="18"/>
                <w:color w:val="auto"/>
              </w:rPr>
              <w:t>$11.93</w:t>
            </w:r>
          </w:p>
        </w:tc>
        <w:tc>
          <w:tcPr>
            <w:tcW w:w="80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$10.29</w:t>
            </w: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Audit Related Fees</w:t>
            </w:r>
            <w:r>
              <w:rPr>
                <w:rFonts w:ascii="Arial" w:cs="Arial" w:eastAsia="Arial" w:hAnsi="Arial"/>
                <w:sz w:val="9"/>
                <w:szCs w:val="9"/>
                <w:color w:val="auto"/>
              </w:rPr>
              <w:t>(2)</w:t>
            </w:r>
          </w:p>
        </w:tc>
        <w:tc>
          <w:tcPr>
            <w:tcW w:w="16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0.21</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0.56</w:t>
            </w:r>
          </w:p>
        </w:tc>
      </w:tr>
      <w:tr>
        <w:trPr>
          <w:trHeight w:val="203"/>
        </w:trPr>
        <w:tc>
          <w:tcPr>
            <w:tcW w:w="85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9"/>
                <w:szCs w:val="9"/>
                <w:color w:val="auto"/>
              </w:rPr>
              <w:t>(3)</w:t>
            </w:r>
          </w:p>
        </w:tc>
        <w:tc>
          <w:tcPr>
            <w:tcW w:w="1640" w:type="dxa"/>
            <w:vAlign w:val="bottom"/>
            <w:gridSpan w:val="2"/>
            <w:shd w:val="clear" w:color="auto" w:fill="E5E5E5"/>
          </w:tcPr>
          <w:p>
            <w:pPr>
              <w:jc w:val="right"/>
              <w:ind w:right="820"/>
              <w:spacing w:after="0" w:line="202" w:lineRule="exact"/>
              <w:rPr>
                <w:sz w:val="20"/>
                <w:szCs w:val="20"/>
                <w:color w:val="auto"/>
              </w:rPr>
            </w:pPr>
            <w:r>
              <w:rPr>
                <w:rFonts w:ascii="Arial" w:cs="Arial" w:eastAsia="Arial" w:hAnsi="Arial"/>
                <w:sz w:val="18"/>
                <w:szCs w:val="18"/>
                <w:color w:val="auto"/>
              </w:rPr>
              <w:t>2.38</w:t>
            </w: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0.22</w:t>
            </w: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All Other Fees</w:t>
            </w:r>
            <w:r>
              <w:rPr>
                <w:rFonts w:ascii="Arial" w:cs="Arial" w:eastAsia="Arial" w:hAnsi="Arial"/>
                <w:sz w:val="9"/>
                <w:szCs w:val="9"/>
                <w:color w:val="auto"/>
              </w:rPr>
              <w:t>(4)</w:t>
            </w:r>
          </w:p>
        </w:tc>
        <w:tc>
          <w:tcPr>
            <w:tcW w:w="16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0.04</w:t>
            </w: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3"/>
        </w:trPr>
        <w:tc>
          <w:tcPr>
            <w:tcW w:w="8580" w:type="dxa"/>
            <w:vAlign w:val="bottom"/>
            <w:gridSpan w:val="2"/>
            <w:shd w:val="clear" w:color="auto" w:fill="EAEAEA"/>
          </w:tcPr>
          <w:p>
            <w:pPr>
              <w:spacing w:after="0"/>
              <w:rPr>
                <w:sz w:val="20"/>
                <w:szCs w:val="20"/>
                <w:color w:val="auto"/>
              </w:rPr>
            </w:pPr>
            <w:r>
              <w:rPr>
                <w:rFonts w:ascii="Arial" w:cs="Arial" w:eastAsia="Arial" w:hAnsi="Arial"/>
                <w:sz w:val="18"/>
                <w:szCs w:val="18"/>
                <w:b w:val="1"/>
                <w:bCs w:val="1"/>
                <w:color w:val="auto"/>
              </w:rPr>
              <w:t>Total Fees</w:t>
            </w:r>
          </w:p>
        </w:tc>
        <w:tc>
          <w:tcPr>
            <w:tcW w:w="1640" w:type="dxa"/>
            <w:vAlign w:val="bottom"/>
            <w:gridSpan w:val="2"/>
            <w:shd w:val="clear" w:color="auto" w:fill="EAEAEA"/>
          </w:tcPr>
          <w:p>
            <w:pPr>
              <w:jc w:val="right"/>
              <w:ind w:right="820"/>
              <w:spacing w:after="0"/>
              <w:rPr>
                <w:sz w:val="20"/>
                <w:szCs w:val="20"/>
                <w:color w:val="auto"/>
              </w:rPr>
            </w:pPr>
            <w:r>
              <w:rPr>
                <w:rFonts w:ascii="Arial" w:cs="Arial" w:eastAsia="Arial" w:hAnsi="Arial"/>
                <w:sz w:val="18"/>
                <w:szCs w:val="18"/>
                <w:b w:val="1"/>
                <w:bCs w:val="1"/>
                <w:color w:val="auto"/>
              </w:rPr>
              <w:t>$14.52</w:t>
            </w:r>
          </w:p>
        </w:tc>
        <w:tc>
          <w:tcPr>
            <w:tcW w:w="8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b w:val="1"/>
                <w:bCs w:val="1"/>
                <w:color w:val="auto"/>
              </w:rPr>
              <w:t>$11.11</w:t>
            </w:r>
          </w:p>
        </w:tc>
      </w:tr>
      <w:tr>
        <w:trPr>
          <w:trHeight w:val="132"/>
        </w:trPr>
        <w:tc>
          <w:tcPr>
            <w:tcW w:w="1220" w:type="dxa"/>
            <w:vAlign w:val="bottom"/>
            <w:tcBorders>
              <w:bottom w:val="single" w:sz="8" w:color="732282"/>
            </w:tcBorders>
            <w:shd w:val="clear" w:color="auto" w:fill="EAEAEA"/>
          </w:tcPr>
          <w:p>
            <w:pPr>
              <w:spacing w:after="0"/>
              <w:rPr>
                <w:sz w:val="11"/>
                <w:szCs w:val="11"/>
                <w:color w:val="auto"/>
              </w:rPr>
            </w:pPr>
          </w:p>
        </w:tc>
        <w:tc>
          <w:tcPr>
            <w:tcW w:w="7360" w:type="dxa"/>
            <w:vAlign w:val="bottom"/>
            <w:tcBorders>
              <w:bottom w:val="single" w:sz="8" w:color="732282"/>
            </w:tcBorders>
            <w:shd w:val="clear" w:color="auto" w:fill="EAEAEA"/>
          </w:tcPr>
          <w:p>
            <w:pPr>
              <w:spacing w:after="0"/>
              <w:rPr>
                <w:sz w:val="11"/>
                <w:szCs w:val="11"/>
                <w:color w:val="auto"/>
              </w:rPr>
            </w:pPr>
          </w:p>
        </w:tc>
        <w:tc>
          <w:tcPr>
            <w:tcW w:w="820" w:type="dxa"/>
            <w:vAlign w:val="bottom"/>
            <w:tcBorders>
              <w:bottom w:val="single" w:sz="8" w:color="732282"/>
            </w:tcBorders>
            <w:shd w:val="clear" w:color="auto" w:fill="EAEAEA"/>
          </w:tcPr>
          <w:p>
            <w:pPr>
              <w:spacing w:after="0"/>
              <w:rPr>
                <w:sz w:val="11"/>
                <w:szCs w:val="11"/>
                <w:color w:val="auto"/>
              </w:rPr>
            </w:pPr>
          </w:p>
        </w:tc>
        <w:tc>
          <w:tcPr>
            <w:tcW w:w="820" w:type="dxa"/>
            <w:vAlign w:val="bottom"/>
            <w:tcBorders>
              <w:bottom w:val="single" w:sz="8" w:color="732282"/>
            </w:tcBorders>
            <w:shd w:val="clear" w:color="auto" w:fill="EAEAEA"/>
          </w:tcPr>
          <w:p>
            <w:pPr>
              <w:spacing w:after="0"/>
              <w:rPr>
                <w:sz w:val="11"/>
                <w:szCs w:val="11"/>
                <w:color w:val="auto"/>
              </w:rPr>
            </w:pPr>
          </w:p>
        </w:tc>
        <w:tc>
          <w:tcPr>
            <w:tcW w:w="680" w:type="dxa"/>
            <w:vAlign w:val="bottom"/>
            <w:tcBorders>
              <w:bottom w:val="single" w:sz="8" w:color="732282"/>
            </w:tcBorders>
            <w:shd w:val="clear" w:color="auto" w:fill="EAEAEA"/>
          </w:tcPr>
          <w:p>
            <w:pPr>
              <w:spacing w:after="0"/>
              <w:rPr>
                <w:sz w:val="11"/>
                <w:szCs w:val="11"/>
                <w:color w:val="auto"/>
              </w:rPr>
            </w:pPr>
          </w:p>
        </w:tc>
        <w:tc>
          <w:tcPr>
            <w:tcW w:w="120" w:type="dxa"/>
            <w:vAlign w:val="bottom"/>
            <w:tcBorders>
              <w:bottom w:val="single" w:sz="8" w:color="732282"/>
            </w:tcBorders>
            <w:shd w:val="clear" w:color="auto" w:fill="EAEAEA"/>
          </w:tcPr>
          <w:p>
            <w:pPr>
              <w:spacing w:after="0"/>
              <w:rPr>
                <w:sz w:val="11"/>
                <w:szCs w:val="11"/>
                <w:color w:val="auto"/>
              </w:rPr>
            </w:pPr>
          </w:p>
        </w:tc>
      </w:tr>
      <w:tr>
        <w:trPr>
          <w:trHeight w:val="182"/>
        </w:trPr>
        <w:tc>
          <w:tcPr>
            <w:tcW w:w="1220" w:type="dxa"/>
            <w:vAlign w:val="bottom"/>
            <w:tcBorders>
              <w:bottom w:val="single" w:sz="8" w:color="auto"/>
            </w:tcBorders>
          </w:tcPr>
          <w:p>
            <w:pPr>
              <w:spacing w:after="0"/>
              <w:rPr>
                <w:sz w:val="15"/>
                <w:szCs w:val="15"/>
                <w:color w:val="auto"/>
              </w:rPr>
            </w:pPr>
          </w:p>
        </w:tc>
        <w:tc>
          <w:tcPr>
            <w:tcW w:w="7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2" w:lineRule="exact"/>
        <w:rPr>
          <w:sz w:val="20"/>
          <w:szCs w:val="20"/>
          <w:color w:val="auto"/>
        </w:rPr>
      </w:pPr>
    </w:p>
    <w:p>
      <w:pPr>
        <w:jc w:val="both"/>
        <w:ind w:left="424" w:right="20" w:hanging="424"/>
        <w:spacing w:after="0"/>
        <w:tabs>
          <w:tab w:leader="none" w:pos="424"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jc w:val="both"/>
        <w:ind w:left="424" w:right="20" w:hanging="424"/>
        <w:spacing w:after="0" w:line="234" w:lineRule="auto"/>
        <w:tabs>
          <w:tab w:leader="none" w:pos="424"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fees for assurance services related to the audit of the Company’s annual consolidated financial statements, including statutory audits of certain of the Company’s subsidiaries, the audit of the Company’s employee benefit plans, comfort letters, certain SEC filings and other agreed-upon procedures.</w:t>
      </w:r>
    </w:p>
    <w:p>
      <w:pPr>
        <w:spacing w:after="0" w:line="2" w:lineRule="exact"/>
        <w:rPr>
          <w:rFonts w:ascii="Arial" w:cs="Arial" w:eastAsia="Arial" w:hAnsi="Arial"/>
          <w:sz w:val="18"/>
          <w:szCs w:val="18"/>
          <w:i w:val="1"/>
          <w:iCs w:val="1"/>
          <w:color w:val="auto"/>
        </w:rPr>
      </w:pPr>
    </w:p>
    <w:p>
      <w:pPr>
        <w:ind w:left="424" w:right="20" w:hanging="424"/>
        <w:spacing w:after="0" w:line="234" w:lineRule="auto"/>
        <w:tabs>
          <w:tab w:leader="none" w:pos="424"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fees primarily related to tax return preparation, tax planning and tax compliance support services, as well as fees related to tax advice provided in connection with the Combination.</w:t>
      </w:r>
    </w:p>
    <w:p>
      <w:pPr>
        <w:spacing w:after="0" w:line="1" w:lineRule="exact"/>
        <w:rPr>
          <w:rFonts w:ascii="Arial" w:cs="Arial" w:eastAsia="Arial" w:hAnsi="Arial"/>
          <w:sz w:val="18"/>
          <w:szCs w:val="18"/>
          <w:i w:val="1"/>
          <w:iCs w:val="1"/>
          <w:color w:val="auto"/>
        </w:rPr>
      </w:pPr>
    </w:p>
    <w:p>
      <w:pPr>
        <w:ind w:left="424" w:hanging="424"/>
        <w:spacing w:after="0"/>
        <w:tabs>
          <w:tab w:leader="none" w:pos="424"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fees related primarily to advisory services.</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4"/>
          </w:cols>
          <w:pgMar w:left="436" w:top="296"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Pre-Approval Policy</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2020 and 2019 were pre-approved by the Audit Committee or, with respect to periods prior to November 16, 2020, the Mylan Audit Committee in accordance with their respective pre-approval policies.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96" w:right="439" w:bottom="1440" w:gutter="0" w:footer="0" w:header="0"/>
        </w:sectPr>
      </w:pPr>
    </w:p>
    <w:bookmarkStart w:id="65" w:name="page66"/>
    <w:bookmarkEnd w:id="6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IV</w:t>
      </w:r>
    </w:p>
    <w:p>
      <w:pPr>
        <w:spacing w:after="0" w:line="19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0"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71">
        <w:r>
          <w:rPr>
            <w:rFonts w:ascii="Arial" w:cs="Arial" w:eastAsia="Arial" w:hAnsi="Arial"/>
            <w:sz w:val="16"/>
            <w:szCs w:val="16"/>
            <w:u w:val="single" w:color="auto"/>
            <w:color w:val="0000EE"/>
          </w:rPr>
          <w:t>Retention Agreement entered into on December 3, 2020, by and between Viatris Inc. and Anthony Mauro.*</w:t>
        </w:r>
      </w:hyperlink>
    </w:p>
    <w:p>
      <w:pPr>
        <w:spacing w:after="0" w:line="104"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6">
        <w:r>
          <w:rPr>
            <w:rFonts w:ascii="Arial" w:cs="Arial" w:eastAsia="Arial" w:hAnsi="Arial"/>
            <w:sz w:val="16"/>
            <w:szCs w:val="16"/>
            <w:u w:val="single" w:color="auto"/>
            <w:color w:val="0000EE"/>
          </w:rPr>
          <w:t>Certification of Principal Executive Officer pursuant to Section 302 of the Sarbanes-Oxley Act of 2002.</w:t>
        </w:r>
      </w:hyperlink>
    </w:p>
    <w:p>
      <w:pPr>
        <w:spacing w:after="0" w:line="104"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7">
        <w:r>
          <w:rPr>
            <w:rFonts w:ascii="Arial" w:cs="Arial" w:eastAsia="Arial" w:hAnsi="Arial"/>
            <w:sz w:val="16"/>
            <w:szCs w:val="16"/>
            <w:u w:val="single" w:color="auto"/>
            <w:color w:val="0000EE"/>
          </w:rPr>
          <w:t>Certification of Principal Financial Officer pursuant to Section 302 of the Sarbanes-Oxley Act of 2002.</w:t>
        </w:r>
      </w:hyperlink>
    </w:p>
    <w:p>
      <w:pPr>
        <w:spacing w:after="0" w:line="104" w:lineRule="exact"/>
        <w:rPr>
          <w:sz w:val="20"/>
          <w:szCs w:val="20"/>
          <w:color w:val="auto"/>
        </w:rPr>
      </w:pPr>
    </w:p>
    <w:p>
      <w:pPr>
        <w:ind w:left="884" w:right="380" w:hanging="884"/>
        <w:spacing w:after="0" w:line="239" w:lineRule="auto"/>
        <w:tabs>
          <w:tab w:leader="none" w:pos="8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 Page Interactive Data File—the cover page interactive data file does not appear in the Interactive Data File because its XBRL tags are embedded within the Inline XBRL document (included in Exhibit 101).</w:t>
      </w:r>
    </w:p>
    <w:p>
      <w:pPr>
        <w:spacing w:after="0" w:line="101" w:lineRule="exact"/>
        <w:rPr>
          <w:sz w:val="20"/>
          <w:szCs w:val="20"/>
          <w:color w:val="auto"/>
        </w:rPr>
      </w:pPr>
    </w:p>
    <w:p>
      <w:pPr>
        <w:ind w:left="5404" w:hanging="5404"/>
        <w:spacing w:after="0" w:line="411" w:lineRule="auto"/>
        <w:tabs>
          <w:tab w:leader="none" w:pos="8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and is a corrected filing of Exhibit 10.8 to the Original Filing. 61</w:t>
      </w:r>
    </w:p>
    <w:p>
      <w:pPr>
        <w:sectPr>
          <w:pgSz w:w="11900" w:h="16838" w:orient="portrait"/>
          <w:cols w:equalWidth="0" w:num="1">
            <w:col w:w="11004"/>
          </w:cols>
          <w:pgMar w:left="436" w:top="296" w:right="4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30, 2021</w:t>
      </w:r>
      <w:r>
        <w:rPr>
          <w:sz w:val="20"/>
          <w:szCs w:val="20"/>
          <w:color w:val="auto"/>
        </w:rPr>
        <w:tab/>
      </w:r>
      <w:r>
        <w:rPr>
          <w:rFonts w:ascii="Arial" w:cs="Arial" w:eastAsia="Arial" w:hAnsi="Arial"/>
          <w:sz w:val="16"/>
          <w:szCs w:val="16"/>
          <w:color w:val="auto"/>
        </w:rPr>
        <w:t>VIATRIS INC.</w:t>
      </w:r>
    </w:p>
    <w:p>
      <w:pPr>
        <w:spacing w:after="0" w:line="104" w:lineRule="exact"/>
        <w:rPr>
          <w:sz w:val="20"/>
          <w:szCs w:val="20"/>
          <w:color w:val="auto"/>
        </w:rPr>
      </w:pPr>
    </w:p>
    <w:p>
      <w:pPr>
        <w:ind w:left="5620"/>
        <w:spacing w:after="0"/>
        <w:tabs>
          <w:tab w:leader="none" w:pos="6140" w:val="left"/>
          <w:tab w:leader="none" w:pos="65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-4445</wp:posOffset>
            </wp:positionV>
            <wp:extent cx="3077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Sanjeev Narula</w:t>
      </w:r>
    </w:p>
    <w:p>
      <w:pPr>
        <w:ind w:left="61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96" w:right="459" w:bottom="1440" w:gutter="0" w:footer="0" w:header="0"/>
        </w:sectPr>
      </w:pPr>
    </w:p>
    <w:bookmarkStart w:id="67" w:name="page68"/>
    <w:bookmarkEnd w:id="6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36" w:lineRule="exact"/>
        <w:rPr>
          <w:sz w:val="20"/>
          <w:szCs w:val="20"/>
          <w:color w:val="auto"/>
        </w:rPr>
      </w:pPr>
    </w:p>
    <w:p>
      <w:pPr>
        <w:ind w:left="4" w:right="4980"/>
        <w:spacing w:after="0" w:line="341" w:lineRule="auto"/>
        <w:rPr>
          <w:sz w:val="20"/>
          <w:szCs w:val="20"/>
          <w:color w:val="auto"/>
        </w:rPr>
      </w:pPr>
      <w:r>
        <w:rPr>
          <w:rFonts w:ascii="Arial" w:cs="Arial" w:eastAsia="Arial" w:hAnsi="Arial"/>
          <w:sz w:val="18"/>
          <w:szCs w:val="18"/>
          <w:b w:val="1"/>
          <w:bCs w:val="1"/>
          <w:color w:val="auto"/>
        </w:rPr>
        <w:t xml:space="preserve">Reconciliation of Pre-Combination Mylan Non-GAAP Financial Measures </w:t>
      </w:r>
      <w:r>
        <w:rPr>
          <w:rFonts w:ascii="Arial" w:cs="Arial" w:eastAsia="Arial" w:hAnsi="Arial"/>
          <w:sz w:val="18"/>
          <w:szCs w:val="18"/>
          <w:b w:val="1"/>
          <w:bCs w:val="1"/>
          <w:i w:val="1"/>
          <w:iCs w:val="1"/>
          <w:color w:val="auto"/>
        </w:rPr>
        <w:t>Adjusted EBITDA</w:t>
      </w:r>
    </w:p>
    <w:p>
      <w:pPr>
        <w:spacing w:after="0" w:line="1"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color w:val="auto"/>
        </w:rPr>
        <w:t>Adjusted EBITDA for purposes of 2020 annual incentive performance relating to Mylan legacy executives is calculated in the same manner Mylan publicly reported adjusted EBITDA as set forth below, except that the calculation for the incentive program utilized budgeted foreign exchange rates. Below is a reconciliation of Mylan’s U.S. GAAP net earnings (loss) to EBITDA and adjusted EBITDA for the nine months ended September 30, 2020:</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Arial" w:cs="Arial" w:eastAsia="Arial" w:hAnsi="Arial"/>
                <w:sz w:val="13"/>
                <w:szCs w:val="13"/>
                <w:b w:val="1"/>
                <w:bCs w:val="1"/>
                <w:color w:val="732282"/>
              </w:rPr>
              <w:t>Nine months ended</w:t>
            </w:r>
          </w:p>
        </w:tc>
      </w:tr>
      <w:tr>
        <w:trPr>
          <w:trHeight w:val="178"/>
        </w:trPr>
        <w:tc>
          <w:tcPr>
            <w:tcW w:w="7540" w:type="dxa"/>
            <w:vAlign w:val="bottom"/>
          </w:tcPr>
          <w:p>
            <w:pPr>
              <w:spacing w:after="0"/>
              <w:rPr>
                <w:sz w:val="15"/>
                <w:szCs w:val="15"/>
                <w:color w:val="auto"/>
              </w:rPr>
            </w:pPr>
          </w:p>
        </w:tc>
        <w:tc>
          <w:tcPr>
            <w:tcW w:w="900" w:type="dxa"/>
            <w:vAlign w:val="bottom"/>
            <w:tcBorders>
              <w:bottom w:val="single" w:sz="8" w:color="732282"/>
            </w:tcBorders>
          </w:tcPr>
          <w:p>
            <w:pPr>
              <w:spacing w:after="0"/>
              <w:rPr>
                <w:sz w:val="15"/>
                <w:szCs w:val="15"/>
                <w:color w:val="auto"/>
              </w:rPr>
            </w:pPr>
          </w:p>
        </w:tc>
        <w:tc>
          <w:tcPr>
            <w:tcW w:w="960" w:type="dxa"/>
            <w:vAlign w:val="bottom"/>
            <w:tcBorders>
              <w:bottom w:val="single" w:sz="8" w:color="732282"/>
            </w:tcBorders>
          </w:tcPr>
          <w:p>
            <w:pPr>
              <w:spacing w:after="0"/>
              <w:rPr>
                <w:sz w:val="15"/>
                <w:szCs w:val="15"/>
                <w:color w:val="auto"/>
              </w:rPr>
            </w:pPr>
          </w:p>
        </w:tc>
        <w:tc>
          <w:tcPr>
            <w:tcW w:w="1620" w:type="dxa"/>
            <w:vAlign w:val="bottom"/>
            <w:tcBorders>
              <w:bottom w:val="single" w:sz="8" w:color="732282"/>
            </w:tcBorders>
            <w:gridSpan w:val="2"/>
          </w:tcPr>
          <w:p>
            <w:pPr>
              <w:jc w:val="right"/>
              <w:spacing w:after="0"/>
              <w:rPr>
                <w:sz w:val="20"/>
                <w:szCs w:val="20"/>
                <w:color w:val="auto"/>
              </w:rPr>
            </w:pPr>
            <w:r>
              <w:rPr>
                <w:rFonts w:ascii="Arial" w:cs="Arial" w:eastAsia="Arial" w:hAnsi="Arial"/>
                <w:sz w:val="13"/>
                <w:szCs w:val="13"/>
                <w:b w:val="1"/>
                <w:bCs w:val="1"/>
                <w:color w:val="732282"/>
              </w:rPr>
              <w:t>September 30, 2020</w:t>
            </w:r>
          </w:p>
        </w:tc>
      </w:tr>
      <w:tr>
        <w:trPr>
          <w:trHeight w:val="126"/>
        </w:trPr>
        <w:tc>
          <w:tcPr>
            <w:tcW w:w="7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3"/>
                <w:szCs w:val="13"/>
                <w:b w:val="1"/>
                <w:bCs w:val="1"/>
                <w:color w:val="732282"/>
              </w:rPr>
              <w:t>Adjusted for</w:t>
            </w:r>
          </w:p>
        </w:tc>
      </w:tr>
      <w:tr>
        <w:trPr>
          <w:trHeight w:val="165"/>
        </w:trPr>
        <w:tc>
          <w:tcPr>
            <w:tcW w:w="7540" w:type="dxa"/>
            <w:vAlign w:val="bottom"/>
            <w:tcBorders>
              <w:bottom w:val="single" w:sz="8" w:color="732282"/>
            </w:tcBorders>
          </w:tcPr>
          <w:p>
            <w:pPr>
              <w:ind w:left="100"/>
              <w:spacing w:after="0"/>
              <w:rPr>
                <w:sz w:val="20"/>
                <w:szCs w:val="20"/>
                <w:color w:val="auto"/>
              </w:rPr>
            </w:pPr>
            <w:r>
              <w:rPr>
                <w:rFonts w:ascii="Arial" w:cs="Arial" w:eastAsia="Arial" w:hAnsi="Arial"/>
                <w:sz w:val="13"/>
                <w:szCs w:val="13"/>
                <w:b w:val="1"/>
                <w:bCs w:val="1"/>
                <w:color w:val="732282"/>
              </w:rPr>
              <w:t>(in millions)</w:t>
            </w:r>
          </w:p>
        </w:tc>
        <w:tc>
          <w:tcPr>
            <w:tcW w:w="1860" w:type="dxa"/>
            <w:vAlign w:val="bottom"/>
            <w:tcBorders>
              <w:bottom w:val="single" w:sz="8" w:color="732282"/>
            </w:tcBorders>
            <w:gridSpan w:val="2"/>
          </w:tcPr>
          <w:p>
            <w:pPr>
              <w:ind w:left="760"/>
              <w:spacing w:after="0"/>
              <w:rPr>
                <w:sz w:val="20"/>
                <w:szCs w:val="20"/>
                <w:color w:val="auto"/>
              </w:rPr>
            </w:pPr>
            <w:r>
              <w:rPr>
                <w:rFonts w:ascii="Arial" w:cs="Arial" w:eastAsia="Arial" w:hAnsi="Arial"/>
                <w:sz w:val="13"/>
                <w:szCs w:val="13"/>
                <w:b w:val="1"/>
                <w:bCs w:val="1"/>
                <w:color w:val="732282"/>
              </w:rPr>
              <w:t>As Reported</w:t>
            </w:r>
          </w:p>
        </w:tc>
        <w:tc>
          <w:tcPr>
            <w:tcW w:w="1620" w:type="dxa"/>
            <w:vAlign w:val="bottom"/>
            <w:tcBorders>
              <w:bottom w:val="single" w:sz="8" w:color="732282"/>
            </w:tcBorders>
            <w:gridSpan w:val="2"/>
          </w:tcPr>
          <w:p>
            <w:pPr>
              <w:jc w:val="right"/>
              <w:spacing w:after="0"/>
              <w:rPr>
                <w:sz w:val="20"/>
                <w:szCs w:val="20"/>
                <w:color w:val="auto"/>
              </w:rPr>
            </w:pPr>
            <w:r>
              <w:rPr>
                <w:rFonts w:ascii="Arial" w:cs="Arial" w:eastAsia="Arial" w:hAnsi="Arial"/>
                <w:sz w:val="13"/>
                <w:szCs w:val="13"/>
                <w:b w:val="1"/>
                <w:bCs w:val="1"/>
                <w:color w:val="732282"/>
              </w:rPr>
              <w:t>Currency Impact</w:t>
            </w:r>
          </w:p>
        </w:tc>
      </w:tr>
      <w:tr>
        <w:trPr>
          <w:trHeight w:val="196"/>
        </w:trPr>
        <w:tc>
          <w:tcPr>
            <w:tcW w:w="75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U.S. GAAP net earnings (loss)</w:t>
            </w:r>
          </w:p>
        </w:tc>
        <w:tc>
          <w:tcPr>
            <w:tcW w:w="90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245.9</w:t>
            </w:r>
          </w:p>
        </w:tc>
        <w:tc>
          <w:tcPr>
            <w:tcW w:w="68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222.7</w:t>
            </w:r>
          </w:p>
        </w:tc>
      </w:tr>
      <w:tr>
        <w:trPr>
          <w:trHeight w:val="203"/>
        </w:trPr>
        <w:tc>
          <w:tcPr>
            <w:tcW w:w="7540" w:type="dxa"/>
            <w:vAlign w:val="bottom"/>
          </w:tcPr>
          <w:p>
            <w:pPr>
              <w:ind w:left="100"/>
              <w:spacing w:after="0" w:line="202" w:lineRule="exact"/>
              <w:rPr>
                <w:sz w:val="20"/>
                <w:szCs w:val="20"/>
                <w:color w:val="auto"/>
              </w:rPr>
            </w:pPr>
            <w:r>
              <w:rPr>
                <w:rFonts w:ascii="Arial" w:cs="Arial" w:eastAsia="Arial" w:hAnsi="Arial"/>
                <w:sz w:val="18"/>
                <w:szCs w:val="18"/>
                <w:color w:val="auto"/>
              </w:rPr>
              <w:t>Add/(deduct) adjustments: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Clean energy investments pre-tax loss</w:t>
            </w: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37.4</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7540" w:type="dxa"/>
            <w:vAlign w:val="bottom"/>
          </w:tcPr>
          <w:p>
            <w:pPr>
              <w:ind w:left="420"/>
              <w:spacing w:after="0" w:line="202" w:lineRule="exact"/>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7"/>
                <w:szCs w:val="17"/>
                <w:color w:val="auto"/>
              </w:rPr>
            </w:pP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46.4</w:t>
            </w:r>
          </w:p>
        </w:tc>
        <w:tc>
          <w:tcPr>
            <w:tcW w:w="6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r>
              <w:rPr>
                <w:rFonts w:ascii="Arial" w:cs="Arial" w:eastAsia="Arial" w:hAnsi="Arial"/>
                <w:sz w:val="9"/>
                <w:szCs w:val="9"/>
                <w:color w:val="auto"/>
              </w:rPr>
              <w:t>(a)</w:t>
            </w: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353.4</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353.5</w:t>
            </w:r>
          </w:p>
        </w:tc>
      </w:tr>
      <w:tr>
        <w:trPr>
          <w:trHeight w:val="203"/>
        </w:trPr>
        <w:tc>
          <w:tcPr>
            <w:tcW w:w="754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9"/>
                <w:szCs w:val="9"/>
                <w:color w:val="auto"/>
              </w:rPr>
              <w:t>(b)</w:t>
            </w:r>
          </w:p>
        </w:tc>
        <w:tc>
          <w:tcPr>
            <w:tcW w:w="900" w:type="dxa"/>
            <w:vAlign w:val="bottom"/>
          </w:tcPr>
          <w:p>
            <w:pPr>
              <w:spacing w:after="0"/>
              <w:rPr>
                <w:sz w:val="17"/>
                <w:szCs w:val="17"/>
                <w:color w:val="auto"/>
              </w:rPr>
            </w:pP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1,263.0</w:t>
            </w:r>
          </w:p>
        </w:tc>
        <w:tc>
          <w:tcPr>
            <w:tcW w:w="6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1,263.4</w:t>
            </w:r>
          </w:p>
        </w:tc>
      </w:tr>
      <w:tr>
        <w:trPr>
          <w:trHeight w:val="202"/>
        </w:trPr>
        <w:tc>
          <w:tcPr>
            <w:tcW w:w="7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EBITDA</w:t>
            </w:r>
          </w:p>
        </w:tc>
        <w:tc>
          <w:tcPr>
            <w:tcW w:w="9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1,946.1</w:t>
            </w:r>
          </w:p>
        </w:tc>
        <w:tc>
          <w:tcPr>
            <w:tcW w:w="68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1,919.0</w:t>
            </w:r>
          </w:p>
        </w:tc>
      </w:tr>
      <w:tr>
        <w:trPr>
          <w:trHeight w:val="203"/>
        </w:trPr>
        <w:tc>
          <w:tcPr>
            <w:tcW w:w="7540" w:type="dxa"/>
            <w:vAlign w:val="bottom"/>
          </w:tcPr>
          <w:p>
            <w:pPr>
              <w:ind w:left="100"/>
              <w:spacing w:after="0" w:line="202" w:lineRule="exact"/>
              <w:rPr>
                <w:sz w:val="20"/>
                <w:szCs w:val="20"/>
                <w:color w:val="auto"/>
              </w:rPr>
            </w:pPr>
            <w:r>
              <w:rPr>
                <w:rFonts w:ascii="Arial" w:cs="Arial" w:eastAsia="Arial" w:hAnsi="Arial"/>
                <w:sz w:val="18"/>
                <w:szCs w:val="18"/>
                <w:color w:val="auto"/>
              </w:rPr>
              <w:t>Add/(deduct) adjustments: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Share-based compensation expense (income)</w:t>
            </w: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49.8</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r>
      <w:tr>
        <w:trPr>
          <w:trHeight w:val="203"/>
        </w:trPr>
        <w:tc>
          <w:tcPr>
            <w:tcW w:w="7540" w:type="dxa"/>
            <w:vAlign w:val="bottom"/>
          </w:tcPr>
          <w:p>
            <w:pPr>
              <w:ind w:left="420"/>
              <w:spacing w:after="0" w:line="202" w:lineRule="exact"/>
              <w:rPr>
                <w:sz w:val="20"/>
                <w:szCs w:val="20"/>
                <w:color w:val="auto"/>
              </w:rPr>
            </w:pPr>
            <w:r>
              <w:rPr>
                <w:rFonts w:ascii="Arial" w:cs="Arial" w:eastAsia="Arial" w:hAnsi="Arial"/>
                <w:sz w:val="18"/>
                <w:szCs w:val="18"/>
                <w:color w:val="auto"/>
              </w:rPr>
              <w:t>Litigation settlements and other contingencies, net</w:t>
            </w:r>
          </w:p>
        </w:tc>
        <w:tc>
          <w:tcPr>
            <w:tcW w:w="900" w:type="dxa"/>
            <w:vAlign w:val="bottom"/>
          </w:tcPr>
          <w:p>
            <w:pPr>
              <w:spacing w:after="0"/>
              <w:rPr>
                <w:sz w:val="17"/>
                <w:szCs w:val="17"/>
                <w:color w:val="auto"/>
              </w:rPr>
            </w:pP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36.5</w:t>
            </w:r>
          </w:p>
        </w:tc>
        <w:tc>
          <w:tcPr>
            <w:tcW w:w="6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r>
      <w:tr>
        <w:trPr>
          <w:trHeight w:val="203"/>
        </w:trPr>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Restructuring , acquisition related and other special items</w:t>
            </w:r>
            <w:r>
              <w:rPr>
                <w:rFonts w:ascii="Arial" w:cs="Arial" w:eastAsia="Arial" w:hAnsi="Arial"/>
                <w:sz w:val="9"/>
                <w:szCs w:val="9"/>
                <w:color w:val="auto"/>
              </w:rPr>
              <w:t>(c)</w:t>
            </w: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606.6</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609.5</w:t>
            </w:r>
          </w:p>
        </w:tc>
      </w:tr>
      <w:tr>
        <w:trPr>
          <w:trHeight w:val="214"/>
        </w:trPr>
        <w:tc>
          <w:tcPr>
            <w:tcW w:w="754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2,639.0</w:t>
            </w:r>
          </w:p>
        </w:tc>
        <w:tc>
          <w:tcPr>
            <w:tcW w:w="6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clean energy investment financing and accretion of contingent consideration.</w:t>
      </w:r>
    </w:p>
    <w:p>
      <w:pPr>
        <w:ind w:left="424" w:hanging="424"/>
        <w:spacing w:after="0" w:line="234"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purchase accounting related amortization.</w:t>
      </w:r>
    </w:p>
    <w:p>
      <w:pPr>
        <w:ind w:left="424" w:hanging="424"/>
        <w:spacing w:after="0" w:line="239"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restructuring related costs, acquisition related costs (primarily including SG&amp;A) and other special items, including cost of sales, research and development expense, selling, general and administrative expense, and other expense.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Adjusted FCF/Credit Agreement Debt</w:t>
      </w:r>
    </w:p>
    <w:p>
      <w:pPr>
        <w:spacing w:after="0" w:line="97"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8"/>
          <w:szCs w:val="18"/>
          <w:color w:val="auto"/>
        </w:rPr>
        <w:t>Adjusted FCF/Credit Agreement Debt for purposes of Mylan’s 2020 long-term incentive grants to legacy Mylan executives would have been calculated by dividing adjusted free cash flow by Credit Agreement Debt, each as described below.</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Adjusted Free Cash Flow</w:t>
      </w:r>
    </w:p>
    <w:p>
      <w:pPr>
        <w:spacing w:after="0" w:line="95"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8"/>
          <w:szCs w:val="18"/>
          <w:color w:val="auto"/>
        </w:rPr>
        <w:t>Adjusted free cash flow for purposes of Mylan’s 2020 long-term incentive grants to legacy Mylan executives would have been calculated by adding or deducting certain items from Mylan’s U.S. GAAP net cash provided by operating activities to arrive at adjusted free cash flow. Historically, Mylan added or deducted the following items: restructuring and related costs, financing related expenses, corporate contingencies, acquisition related costs, R&amp;D expenses, capital expenditures, proceeds from sale of certain property, plant and equipment, and other costs and expenditures.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96"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Credit Agreement Debt</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Credit Agreement Debt for purposes of Mylan’s 2020 long-term incentive grants to legacy Mylan executives would have been calculated as Mylan’s average quarterly total notional debt for the preceding four quarters as calculated pursuant to the revolving credit facility dated as of July 27, 2018 (as amended, supplemented or otherwise modified from time to time), among Mylan Inc., as borrower, the Company, as guarantor, certain affiliates and subsidiaries of the Company from time to time party thereto as guarantors, each lender from time to time party thereto and Bank of America, N.A., as administrative agent. Total notional debt would have been calculated using the reported long-term debt and short-term borrowings/other current obligation balances, and adding or deducting the net discount on debt issuances, deferred financing fees and fair value adjustments for hedged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Invested Capital (ROIC)</w:t>
      </w:r>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ROIC for purposes of Mylan’s 2020 long-term incentive grants to legacy Mylan executives would have been calculated using that year’s adjusted net operating profit after tax divided by the prior year’s total invested capital.</w:t>
      </w:r>
    </w:p>
    <w:p>
      <w:pPr>
        <w:spacing w:after="0" w:line="15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Adjusted net operating profit after tax would have been calculated by adding adjusted pre-tax income plus adjusted interest expense (to get to adjusted income before interest and tax) less estimated adjusted income tax expense. Estimated adjusted income tax expense is the adjusted estimated income tax rate multiplied by adjusted income before interest and tax. Prior year’s total invested capital would have been calculated by adding the prior year’s accounts payable, other current liabilities and income taxes payable balances to the prior year’s total invested assets. Prior year’s total invested assets would have been calculated by deducting the prior year’s cash and near cash items, short-term investments, deferred income taxes, clean energy investments, and restricted cash from the total assets reported on Mylan’s prior year audited consolidated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Effective Tax Rate</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Mylan would have calculated the adjusted effective tax rate by dividing the adjusted income tax provision by adjusted earnings before income taxes. Adjusted income tax provision would have been calculated as U.S. GAAP income tax provision or benefit plus adjusted tax expense and adjusted income tax provision. Adjusted earnings before income taxes would have been calculated as U.S. GAAP earnings before income taxes plus the total amount of pre-tax non-GAAP adjustments in reconciling U.S. GAAP net earnings to adjusted net earnings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Interest Expense</w:t>
      </w:r>
    </w:p>
    <w:p>
      <w:pPr>
        <w:spacing w:after="0" w:line="9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Mylan would have calculated adjusted interest expense as U.S. GAAP interest expense less interest expense related to clean energy investments, accretion of contingent consideration liabilities, restructuring and related costs, and other special items.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Earnings</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Mylan would have calculated adjusted net earnings by adding or deducting acquisition activity and other significant event activity to U.S. GAAP net earnings. Activity historically considered in this calculation includes purchase accounting related amortization, net litigation settlements and other contingencies, interest expense (primarily relating to clean energy financing and accretion of contingent consideration), clean energy investments pre-tax loss, acquisition related costs, restructuring related costs, share-based compensation expense, and other special items. This calculation also considers the tax effect of the previously mentioned items.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300"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Adjusted Pre-Tax Income</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Mylan would have calculated adjusted pre-tax income as adjusted net earnings (as described above) plus or minus the U.S. GAAP reported income tax benefit or provision and the tax effect of non-GAAP adjustments and other income tax related items.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Viatris Adjusted EBITDA</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Viatris intends to calculate adjusted EBITDA for purposes of its 2021 annual incentive program in the same manner as Viatris publicly reports adjusted EBITDA, except that the calculation for the incentive program will utilize budgeted foreign exchange rates. See “</w:t>
      </w:r>
      <w:r>
        <w:rPr>
          <w:rFonts w:ascii="Arial" w:cs="Arial" w:eastAsia="Arial" w:hAnsi="Arial"/>
          <w:sz w:val="18"/>
          <w:szCs w:val="18"/>
          <w:i w:val="1"/>
          <w:iCs w:val="1"/>
          <w:color w:val="auto"/>
        </w:rPr>
        <w:t>Reconciliation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U.S. GAAP Net Earnings to EBITDA and Adjusted EBITDA</w:t>
      </w:r>
      <w:r>
        <w:rPr>
          <w:rFonts w:ascii="Arial" w:cs="Arial" w:eastAsia="Arial" w:hAnsi="Arial"/>
          <w:sz w:val="18"/>
          <w:szCs w:val="18"/>
          <w:color w:val="auto"/>
        </w:rPr>
        <w:t>” on pages 65-66 of the Original Filing for a reconciliation of Viatris’ U.S. GAAP net</w:t>
      </w:r>
      <w:r>
        <w:rPr>
          <w:rFonts w:ascii="Arial" w:cs="Arial" w:eastAsia="Arial" w:hAnsi="Arial"/>
          <w:sz w:val="18"/>
          <w:szCs w:val="18"/>
          <w:i w:val="1"/>
          <w:iCs w:val="1"/>
          <w:color w:val="auto"/>
        </w:rPr>
        <w:t xml:space="preserve"> </w:t>
      </w:r>
      <w:r>
        <w:rPr>
          <w:rFonts w:ascii="Arial" w:cs="Arial" w:eastAsia="Arial" w:hAnsi="Arial"/>
          <w:sz w:val="18"/>
          <w:szCs w:val="18"/>
          <w:color w:val="auto"/>
        </w:rPr>
        <w:t>(loss) earnings to EBITDA and adjusted EBITDA for the twelve months ended December 31,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300"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25625"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56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December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Mauro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Mylan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 15317</w:t>
      </w:r>
    </w:p>
    <w:p>
      <w:pPr>
        <w:spacing w:after="0" w:line="21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Retention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Mauro:</w:t>
      </w:r>
    </w:p>
    <w:p>
      <w:pPr>
        <w:spacing w:after="0" w:line="225" w:lineRule="exact"/>
        <w:rPr>
          <w:sz w:val="20"/>
          <w:szCs w:val="20"/>
          <w:color w:val="auto"/>
        </w:rPr>
      </w:pPr>
    </w:p>
    <w:p>
      <w:pPr>
        <w:ind w:right="140" w:firstLine="1432"/>
        <w:spacing w:after="0" w:line="257" w:lineRule="auto"/>
        <w:rPr>
          <w:sz w:val="20"/>
          <w:szCs w:val="20"/>
          <w:color w:val="auto"/>
        </w:rPr>
      </w:pPr>
      <w:r>
        <w:rPr>
          <w:rFonts w:ascii="Arial" w:cs="Arial" w:eastAsia="Arial" w:hAnsi="Arial"/>
          <w:sz w:val="18"/>
          <w:szCs w:val="18"/>
          <w:color w:val="auto"/>
        </w:rPr>
        <w:t>As you know, Mylan N.V. (“</w:t>
      </w:r>
      <w:r>
        <w:rPr>
          <w:rFonts w:ascii="Arial" w:cs="Arial" w:eastAsia="Arial" w:hAnsi="Arial"/>
          <w:sz w:val="18"/>
          <w:szCs w:val="18"/>
          <w:u w:val="single" w:color="auto"/>
          <w:color w:val="auto"/>
        </w:rPr>
        <w:t>Mylan</w:t>
      </w:r>
      <w:r>
        <w:rPr>
          <w:rFonts w:ascii="Arial" w:cs="Arial" w:eastAsia="Arial" w:hAnsi="Arial"/>
          <w:sz w:val="18"/>
          <w:szCs w:val="18"/>
          <w:color w:val="auto"/>
        </w:rPr>
        <w:t>”) and Upjohn Inc. (“</w:t>
      </w:r>
      <w:r>
        <w:rPr>
          <w:rFonts w:ascii="Arial" w:cs="Arial" w:eastAsia="Arial" w:hAnsi="Arial"/>
          <w:sz w:val="18"/>
          <w:szCs w:val="18"/>
          <w:u w:val="single" w:color="auto"/>
          <w:color w:val="auto"/>
        </w:rPr>
        <w:t>Upjohn</w:t>
      </w:r>
      <w:r>
        <w:rPr>
          <w:rFonts w:ascii="Arial" w:cs="Arial" w:eastAsia="Arial" w:hAnsi="Arial"/>
          <w:sz w:val="18"/>
          <w:szCs w:val="18"/>
          <w:color w:val="auto"/>
        </w:rPr>
        <w:t>”) consummated the combination of Mylan and Upjohn pursuant to the Business Combination Agreement between Pfizer Inc., Upjohn, Mylan and the other parties thereto to create Viatris Inc. (the “</w:t>
      </w:r>
      <w:r>
        <w:rPr>
          <w:rFonts w:ascii="Arial" w:cs="Arial" w:eastAsia="Arial" w:hAnsi="Arial"/>
          <w:sz w:val="18"/>
          <w:szCs w:val="18"/>
          <w:u w:val="single" w:color="auto"/>
          <w:color w:val="auto"/>
        </w:rPr>
        <w:t>Company</w:t>
      </w:r>
      <w:r>
        <w:rPr>
          <w:rFonts w:ascii="Arial" w:cs="Arial" w:eastAsia="Arial" w:hAnsi="Arial"/>
          <w:sz w:val="18"/>
          <w:szCs w:val="18"/>
          <w:color w:val="auto"/>
        </w:rPr>
        <w:t>”), a new champion for global health, on November 16, 2020. In recognition of your efforts in connection with the consummation of the combination (the “</w:t>
      </w:r>
      <w:r>
        <w:rPr>
          <w:rFonts w:ascii="Arial" w:cs="Arial" w:eastAsia="Arial" w:hAnsi="Arial"/>
          <w:sz w:val="18"/>
          <w:szCs w:val="18"/>
          <w:u w:val="single" w:color="auto"/>
          <w:color w:val="auto"/>
        </w:rPr>
        <w:t>Closing</w:t>
      </w:r>
      <w:r>
        <w:rPr>
          <w:rFonts w:ascii="Arial" w:cs="Arial" w:eastAsia="Arial" w:hAnsi="Arial"/>
          <w:sz w:val="18"/>
          <w:szCs w:val="18"/>
          <w:color w:val="auto"/>
        </w:rPr>
        <w:t>”), and in order to incentivize you to remain employed with the Company and its affiliates, the Company hereby grants you the following retention bonus opportunity.</w:t>
      </w:r>
    </w:p>
    <w:p>
      <w:pPr>
        <w:spacing w:after="0" w:line="188" w:lineRule="exact"/>
        <w:rPr>
          <w:sz w:val="20"/>
          <w:szCs w:val="20"/>
          <w:color w:val="auto"/>
        </w:rPr>
      </w:pPr>
    </w:p>
    <w:p>
      <w:pPr>
        <w:ind w:right="20" w:firstLine="987"/>
        <w:spacing w:after="0" w:line="252" w:lineRule="auto"/>
        <w:tabs>
          <w:tab w:leader="none" w:pos="1306" w:val="left"/>
        </w:tabs>
        <w:numPr>
          <w:ilvl w:val="0"/>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Retention Bonus Opportunity.</w:t>
      </w:r>
      <w:r>
        <w:rPr>
          <w:rFonts w:ascii="Arial" w:cs="Arial" w:eastAsia="Arial" w:hAnsi="Arial"/>
          <w:sz w:val="18"/>
          <w:szCs w:val="18"/>
          <w:color w:val="auto"/>
        </w:rPr>
        <w:t xml:space="preserve"> If you remain an active full-time employee of the Company or its affiliates through the expiration of the 24-month period beginning on the day following the date of Closing (the “</w:t>
      </w:r>
      <w:r>
        <w:rPr>
          <w:rFonts w:ascii="Arial" w:cs="Arial" w:eastAsia="Arial" w:hAnsi="Arial"/>
          <w:sz w:val="18"/>
          <w:szCs w:val="18"/>
          <w:u w:val="single" w:color="auto"/>
          <w:color w:val="auto"/>
        </w:rPr>
        <w:t>Vesting Date</w:t>
      </w:r>
      <w:r>
        <w:rPr>
          <w:rFonts w:ascii="Arial" w:cs="Arial" w:eastAsia="Arial" w:hAnsi="Arial"/>
          <w:sz w:val="18"/>
          <w:szCs w:val="18"/>
          <w:color w:val="auto"/>
        </w:rPr>
        <w:t>”), you will receive a cash payment equal to $6,553,800 (the “</w:t>
      </w:r>
      <w:r>
        <w:rPr>
          <w:rFonts w:ascii="Arial" w:cs="Arial" w:eastAsia="Arial" w:hAnsi="Arial"/>
          <w:sz w:val="18"/>
          <w:szCs w:val="18"/>
          <w:u w:val="single" w:color="auto"/>
          <w:color w:val="auto"/>
        </w:rPr>
        <w:t>Retention Bonus</w:t>
      </w:r>
      <w:r>
        <w:rPr>
          <w:rFonts w:ascii="Arial" w:cs="Arial" w:eastAsia="Arial" w:hAnsi="Arial"/>
          <w:sz w:val="18"/>
          <w:szCs w:val="18"/>
          <w:color w:val="auto"/>
        </w:rPr>
        <w:t>”), representing the cash amount you would receive upon a termination of employment as of the Closing under Section 5(a) of your Transition and Succession Agreement with Mylan Inc., dated as of February 25, 2008, as has been or may be amended from time to time (the “</w:t>
      </w:r>
      <w:r>
        <w:rPr>
          <w:rFonts w:ascii="Arial" w:cs="Arial" w:eastAsia="Arial" w:hAnsi="Arial"/>
          <w:sz w:val="18"/>
          <w:szCs w:val="18"/>
          <w:u w:val="single" w:color="auto"/>
          <w:color w:val="auto"/>
        </w:rPr>
        <w:t>Transition and Succession Agreement</w:t>
      </w:r>
      <w:r>
        <w:rPr>
          <w:rFonts w:ascii="Arial" w:cs="Arial" w:eastAsia="Arial" w:hAnsi="Arial"/>
          <w:sz w:val="18"/>
          <w:szCs w:val="18"/>
          <w:color w:val="auto"/>
        </w:rPr>
        <w:t xml:space="preserve">”), which will be paid to you in a lump sum on or about the first payroll date following the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you receive any severance payments or severance benefits pursuant to Section 5(a) of your Transition and Succession Agreement, you will not be entitled to receive the Retention Bonus. In no event will you receive the Retention Bonus if your employment terminates for any reason prior to the Vesting Date. For the avoidance of doubt, in the event of a qualifying termination of employment (e.g., a termination without Cause, a termination due to Death or Disability or a resignation for Good Reason, each as defined in your Transition and Succession Agreement) on or prior to the 24-month anniversary of the date of Closing, you will remain eligible to receive the severance payments and benefits pursuant to your Transition and Succession Agreement, in accordance with the terms of such agreement, subject to your execution of a general release of claims against the Company and its affiliates and such release becoming effective and irrevocable no later than 60 days following the date of termination.</w:t>
      </w:r>
    </w:p>
    <w:p>
      <w:pPr>
        <w:sectPr>
          <w:pgSz w:w="11900" w:h="16838" w:orient="portrait"/>
          <w:cols w:equalWidth="0" w:num="1">
            <w:col w:w="11020"/>
          </w:cols>
          <w:pgMar w:left="440" w:top="121" w:right="439" w:bottom="1440" w:gutter="0" w:footer="0" w:header="0"/>
        </w:sectPr>
      </w:pPr>
    </w:p>
    <w:bookmarkStart w:id="71" w:name="page72"/>
    <w:bookmarkEnd w:id="71"/>
    <w:p>
      <w:pPr>
        <w:ind w:left="-440" w:right="220" w:firstLine="987"/>
        <w:spacing w:after="0" w:line="263" w:lineRule="auto"/>
        <w:tabs>
          <w:tab w:leader="none" w:pos="86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280G Matters.</w:t>
      </w:r>
      <w:r>
        <w:rPr>
          <w:rFonts w:ascii="Arial" w:cs="Arial" w:eastAsia="Arial" w:hAnsi="Arial"/>
          <w:sz w:val="18"/>
          <w:szCs w:val="18"/>
          <w:color w:val="auto"/>
        </w:rPr>
        <w:t xml:space="preserve"> The parties hereto acknowledge and agree that in consideration of the benefits provided under this letter agreement and for other good and valuable consideration, Section 8 of the Transition and Succession Agreement is hereby amended and restated in its entirety as follows:</w:t>
      </w:r>
    </w:p>
    <w:p>
      <w:pPr>
        <w:spacing w:after="0" w:line="76" w:lineRule="exact"/>
        <w:rPr>
          <w:sz w:val="20"/>
          <w:szCs w:val="20"/>
          <w:color w:val="auto"/>
        </w:rPr>
      </w:pPr>
    </w:p>
    <w:p>
      <w:pPr>
        <w:ind w:right="520" w:firstLine="952"/>
        <w:spacing w:after="0" w:line="277" w:lineRule="auto"/>
        <w:rPr>
          <w:sz w:val="20"/>
          <w:szCs w:val="20"/>
          <w:color w:val="auto"/>
        </w:rPr>
      </w:pPr>
      <w:r>
        <w:rPr>
          <w:rFonts w:ascii="Arial" w:cs="Arial" w:eastAsia="Arial" w:hAnsi="Arial"/>
          <w:sz w:val="18"/>
          <w:szCs w:val="18"/>
          <w:color w:val="auto"/>
        </w:rPr>
        <w:t>“Notwithstanding any other provision of this Agreement or any other plan, program, arrangement, agreement or policy with or maintained by any of the Affiliated Companies:</w:t>
      </w:r>
    </w:p>
    <w:p>
      <w:pPr>
        <w:spacing w:after="0" w:line="62" w:lineRule="exact"/>
        <w:rPr>
          <w:sz w:val="20"/>
          <w:szCs w:val="20"/>
          <w:color w:val="auto"/>
        </w:rPr>
      </w:pPr>
    </w:p>
    <w:p>
      <w:pPr>
        <w:ind w:firstLine="948"/>
        <w:spacing w:after="0" w:line="285" w:lineRule="auto"/>
        <w:tabs>
          <w:tab w:leader="none" w:pos="13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it is determined by an independent nationally recognized public accounting firm, which is engaged and paid for by the Company prior to the consummation of any transaction constituting a Change of Control (which for purposes of this Section 8 shall mean a change in ownership or control as determined in accordance with the regulations promulgated under Section 280G of the Code), which accounting firm shall in no event be the accounting firm for the entity seeking to effectuate the Change of Control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 shall be certified by the Accountant, that part or all of the consideration, compensation or benefits to be paid to the Executive under this Agreement or under any other plan, program, arrangement, agreement or policy with or maintained by any of the Affiliated Companies constitute “parachute payments” under Section 280G(b)(2) of the Code, then, if the aggregate present value of such parachute payments, singularly or together with the aggregate present value of any consideration, compensation or benefits to be paid to the Executive under any other plan, arrangement or agreement which constitute “parachute payments” (collectively, the “</w:t>
      </w:r>
      <w:r>
        <w:rPr>
          <w:rFonts w:ascii="Arial" w:cs="Arial" w:eastAsia="Arial" w:hAnsi="Arial"/>
          <w:sz w:val="16"/>
          <w:szCs w:val="16"/>
          <w:u w:val="single" w:color="auto"/>
          <w:color w:val="auto"/>
        </w:rPr>
        <w:t>Parachute Amount</w:t>
      </w:r>
      <w:r>
        <w:rPr>
          <w:rFonts w:ascii="Arial" w:cs="Arial" w:eastAsia="Arial" w:hAnsi="Arial"/>
          <w:sz w:val="16"/>
          <w:szCs w:val="16"/>
          <w:color w:val="auto"/>
        </w:rPr>
        <w:t>”) exceeds the maximum amount that would not give rise to any liability under Section 4999 of the Code, the amounts constituting “parachute payments” which would otherwise be payable to the Executive or for his benefit shall be reduced to the maximum amount that would not give rise to any liability under Section 4999 of the Code (the “</w:t>
      </w:r>
      <w:r>
        <w:rPr>
          <w:rFonts w:ascii="Arial" w:cs="Arial" w:eastAsia="Arial" w:hAnsi="Arial"/>
          <w:sz w:val="16"/>
          <w:szCs w:val="16"/>
          <w:u w:val="single" w:color="auto"/>
          <w:color w:val="auto"/>
        </w:rPr>
        <w:t>Reduced Amount</w:t>
      </w:r>
      <w:r>
        <w:rPr>
          <w:rFonts w:ascii="Arial" w:cs="Arial" w:eastAsia="Arial" w:hAnsi="Arial"/>
          <w:sz w:val="16"/>
          <w:szCs w:val="16"/>
          <w:color w:val="auto"/>
        </w:rPr>
        <w:t>”); provided that such amounts shall not be so reduced if the Accountant determines that without such reduction the Executive would be entitled to receive and retain, on a net after-tax basis (including, without limitation, any excise taxes payable under Section 4999 of the Code), an amount which is greater than the amount, on a net after-tax basis, that the Executive would be entitled to retain upon receipt of the Reduced Amount. In connection with making determinations under this Section 8(a), the Accountant shall take into account any positions to mitigate any excise taxes payable under Section 4999 of the Code, such as the value of any reasonable compensation for services to be rendered by the Executive before or after the Change of Control, including any amounts payable to the Executive following the Executive’s Termination of Employment with respect to any non-competition provisions that may apply to the Executive, and the Company shall cooperate in the valuation of any such services, including any non-competition provisions.</w:t>
      </w:r>
    </w:p>
    <w:p>
      <w:pPr>
        <w:spacing w:after="0" w:line="279" w:lineRule="exact"/>
        <w:rPr>
          <w:rFonts w:ascii="Arial" w:cs="Arial" w:eastAsia="Arial" w:hAnsi="Arial"/>
          <w:sz w:val="16"/>
          <w:szCs w:val="16"/>
          <w:color w:val="auto"/>
        </w:rPr>
      </w:pPr>
    </w:p>
    <w:p>
      <w:pPr>
        <w:ind w:right="80" w:firstLine="948"/>
        <w:spacing w:after="0" w:line="301" w:lineRule="auto"/>
        <w:tabs>
          <w:tab w:leader="none" w:pos="134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determination made pursuant to Section 8(a) results in a reduction of the payments that would otherwise be paid to the Executive except for the application of Section 8(a), the Company shall promptly give the Executive notice of such determination. Such reduction in payments shall be first applied to reduce any cash payments that the Executive would otherwise be entitled to receive (whether pursuant to this Agreement or otherwise) and shall thereafter be applied to reduce other payments and benefits, in each case, in reverse order beginning with the</w:t>
      </w:r>
    </w:p>
    <w:p>
      <w:pPr>
        <w:sectPr>
          <w:pgSz w:w="11900" w:h="16838" w:orient="portrait"/>
          <w:cols w:equalWidth="0" w:num="1">
            <w:col w:w="10580"/>
          </w:cols>
          <w:pgMar w:left="880" w:top="274" w:right="439" w:bottom="1440" w:gutter="0" w:footer="0" w:header="0"/>
        </w:sectPr>
      </w:pPr>
    </w:p>
    <w:bookmarkStart w:id="72" w:name="page73"/>
    <w:bookmarkEnd w:id="7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or benefits that are to be paid the furthest in time from the date of such determination, unless, to the extent permitted by Section 409A of the Code, the Executive elects to have the reduction in payments applied in a different order; provided that, in no event may such payments be reduced in a manner that would result in subjecting the Executive to additional taxation under Section 409A of the Code.</w:t>
      </w:r>
    </w:p>
    <w:p>
      <w:pPr>
        <w:spacing w:after="0" w:line="57" w:lineRule="exact"/>
        <w:rPr>
          <w:sz w:val="20"/>
          <w:szCs w:val="20"/>
          <w:color w:val="auto"/>
        </w:rPr>
      </w:pPr>
    </w:p>
    <w:p>
      <w:pPr>
        <w:ind w:firstLine="948"/>
        <w:spacing w:after="0" w:line="286" w:lineRule="auto"/>
        <w:tabs>
          <w:tab w:leader="none" w:pos="1321" w:val="left"/>
        </w:tabs>
        <w:numPr>
          <w:ilvl w:val="1"/>
          <w:numId w:val="70"/>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280G and 4999 of the Code at the time of a determination hereunder, it is possible that amounts will have been paid or distributed by the Company to or for the Executive’s benefit pursuant to this Agreement or under any other plan, program, arrangement, agreement or policy with or maintained by any of the Affiliated Companies which should not have been so paid or distributed (each, an “</w:t>
      </w:r>
      <w:r>
        <w:rPr>
          <w:rFonts w:ascii="Arial" w:cs="Arial" w:eastAsia="Arial" w:hAnsi="Arial"/>
          <w:sz w:val="16"/>
          <w:szCs w:val="16"/>
          <w:u w:val="single" w:color="auto"/>
          <w:color w:val="auto"/>
        </w:rPr>
        <w:t>Overpayment</w:t>
      </w:r>
      <w:r>
        <w:rPr>
          <w:rFonts w:ascii="Arial" w:cs="Arial" w:eastAsia="Arial" w:hAnsi="Arial"/>
          <w:sz w:val="16"/>
          <w:szCs w:val="16"/>
          <w:color w:val="auto"/>
        </w:rPr>
        <w:t>”) or that additional amounts which will have not been paid or distributed by the Company to or for the Executive’s benefit pursuant to this Agreement or under any other plan, program, arrangement, agreement or policy with or maintained by any of the Affiliated Companies could have been so paid or distributed (each, an “</w:t>
      </w:r>
      <w:r>
        <w:rPr>
          <w:rFonts w:ascii="Arial" w:cs="Arial" w:eastAsia="Arial" w:hAnsi="Arial"/>
          <w:sz w:val="16"/>
          <w:szCs w:val="16"/>
          <w:u w:val="single" w:color="auto"/>
          <w:color w:val="auto"/>
        </w:rPr>
        <w:t>Underpayment</w:t>
      </w:r>
      <w:r>
        <w:rPr>
          <w:rFonts w:ascii="Arial" w:cs="Arial" w:eastAsia="Arial" w:hAnsi="Arial"/>
          <w:sz w:val="16"/>
          <w:szCs w:val="16"/>
          <w:color w:val="auto"/>
        </w:rPr>
        <w:t>”), in each case, consistent with the calculation of the Reduced Amount hereunder. In the event that the Accountant, based upon the assertion of a deficiency by the Internal Revenue Service against either the Company or the Executive which the Accountant believes has a high probability of success, determines that an Overpayment has been made, any such Overpayment paid or distributed by the Company to or for the Executive’s benefit shall be repaid by the Executive to the Company together with interest at the applicable federal rate provided for in Section 7872(f)(2)(A) of the Code; provided, however, that no such repayment shall be required if and to the extent such deemed repayment would not either reduce the amount on which the Executive is subject to tax under Sections 1 and 4999 of the Code or generate a refund of such taxes. In the event that the Accountant, based on controlling precedent or substantial authority, determines that an Underpayment has occurred, any such Underpayment shall be promptly paid by the Company to or for the Executive’s benefit together with interest at the applicable federal rate provided for in Section 7872(f)(2)(A) of the Code.”</w:t>
      </w:r>
    </w:p>
    <w:p>
      <w:pPr>
        <w:spacing w:after="0" w:line="170" w:lineRule="exact"/>
        <w:rPr>
          <w:rFonts w:ascii="Arial" w:cs="Arial" w:eastAsia="Arial" w:hAnsi="Arial"/>
          <w:sz w:val="16"/>
          <w:szCs w:val="16"/>
          <w:color w:val="auto"/>
        </w:rPr>
      </w:pPr>
    </w:p>
    <w:p>
      <w:pPr>
        <w:ind w:left="-440" w:firstLine="987"/>
        <w:spacing w:after="0" w:line="257" w:lineRule="auto"/>
        <w:tabs>
          <w:tab w:leader="none" w:pos="86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Employee Covenants.</w:t>
      </w:r>
      <w:r>
        <w:rPr>
          <w:rFonts w:ascii="Arial" w:cs="Arial" w:eastAsia="Arial" w:hAnsi="Arial"/>
          <w:sz w:val="18"/>
          <w:szCs w:val="18"/>
          <w:color w:val="auto"/>
        </w:rPr>
        <w:t xml:space="preserve"> For the avoidance of doubt, you shall remain bound by the confidentiality, non-solicitation, non-competition and any other restrictive covenants to which you are subject pursuant to the Transition and Succession Agreement, the Executive Employment Agreement between you and Mylan Inc., dated as of February 25, 2019, and the “Agreement Relating to Patents, Copyrights, Inventions, Confidentiality and Proprietary Information” between you and Mylan Inc. and any and all amendments and supplements thereto, and any other plans or agreements of or between you and the Company or any of its affiliates.</w:t>
      </w:r>
    </w:p>
    <w:p>
      <w:pPr>
        <w:spacing w:after="0" w:line="187" w:lineRule="exact"/>
        <w:rPr>
          <w:rFonts w:ascii="Arial" w:cs="Arial" w:eastAsia="Arial" w:hAnsi="Arial"/>
          <w:sz w:val="18"/>
          <w:szCs w:val="18"/>
          <w:color w:val="auto"/>
        </w:rPr>
      </w:pPr>
    </w:p>
    <w:p>
      <w:pPr>
        <w:ind w:left="-440" w:right="360" w:firstLine="987"/>
        <w:spacing w:after="0" w:line="296" w:lineRule="auto"/>
        <w:tabs>
          <w:tab w:leader="none" w:pos="86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Withholding; Not an Employment Agreement.</w:t>
      </w:r>
      <w:r>
        <w:rPr>
          <w:rFonts w:ascii="Arial" w:cs="Arial" w:eastAsia="Arial" w:hAnsi="Arial"/>
          <w:sz w:val="16"/>
          <w:szCs w:val="16"/>
          <w:color w:val="auto"/>
        </w:rPr>
        <w:t xml:space="preserve"> Please note that the Retention Bonus will not be taken into consideration for any purpose under any pay-based benefit, compensation or severance plan or program maintained by the Company. Nothing herein shall constitute an employment contract or employment agreement or a guarantee of continued employment. All payments hereunder are subject to withholdings and deductions as required by applicable law. You are solely liable for all taxes, including federal, state, local or foreign income, employment and social security taxes, and tax penalties that may arise in connection with this letter agreement (including any taxes arising under Section 409A</w:t>
      </w:r>
    </w:p>
    <w:p>
      <w:pPr>
        <w:sectPr>
          <w:pgSz w:w="11900" w:h="16838" w:orient="portrait"/>
          <w:cols w:equalWidth="0" w:num="1">
            <w:col w:w="10560"/>
          </w:cols>
          <w:pgMar w:left="880" w:top="274" w:right="459" w:bottom="1440" w:gutter="0" w:footer="0" w:header="0"/>
        </w:sectPr>
      </w:pPr>
    </w:p>
    <w:bookmarkStart w:id="73" w:name="page74"/>
    <w:bookmarkEnd w:id="7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none of the Company or its affiliates shall have any obligation to indemnify or otherwise hold you harmless from any or all such taxes.</w:t>
      </w:r>
    </w:p>
    <w:p>
      <w:pPr>
        <w:spacing w:after="0" w:line="170" w:lineRule="exact"/>
        <w:rPr>
          <w:sz w:val="20"/>
          <w:szCs w:val="20"/>
          <w:color w:val="auto"/>
        </w:rPr>
      </w:pPr>
    </w:p>
    <w:p>
      <w:pPr>
        <w:ind w:firstLine="987"/>
        <w:spacing w:after="0" w:line="277" w:lineRule="auto"/>
        <w:tabs>
          <w:tab w:leader="none" w:pos="13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It is intended that the provisions of this letter agreement comply with Section 409A of the Code, and all provisions of this letter agreement shall be construed and interpreted in a manner consistent with Section 409A of the Code.</w:t>
      </w:r>
    </w:p>
    <w:p>
      <w:pPr>
        <w:spacing w:after="0" w:line="170" w:lineRule="exact"/>
        <w:rPr>
          <w:rFonts w:ascii="Arial" w:cs="Arial" w:eastAsia="Arial" w:hAnsi="Arial"/>
          <w:sz w:val="18"/>
          <w:szCs w:val="18"/>
          <w:color w:val="auto"/>
        </w:rPr>
      </w:pPr>
    </w:p>
    <w:p>
      <w:pPr>
        <w:ind w:right="180" w:firstLine="987"/>
        <w:spacing w:after="0" w:line="277" w:lineRule="auto"/>
        <w:tabs>
          <w:tab w:leader="none" w:pos="13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letter agreement shall be governed by, construed and interpreted in accordance with, the laws of the State of Pennsylvania, without regard to its principles of conflicts of laws.</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letter agreement may not be modified or amended except in writing signed by each of the parties hereto.</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p>
    <w:p>
      <w:pPr>
        <w:sectPr>
          <w:pgSz w:w="11900" w:h="16838" w:orient="portrait"/>
          <w:cols w:equalWidth="0" w:num="1">
            <w:col w:w="10820"/>
          </w:cols>
          <w:pgMar w:left="440" w:top="274" w:right="639" w:bottom="1440" w:gutter="0" w:footer="0" w:header="0"/>
        </w:sectPr>
      </w:pPr>
    </w:p>
    <w:bookmarkStart w:id="74" w:name="page75"/>
    <w:bookmarkEnd w:id="7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thank you for your dedicated service and look forward to your continued service during this exciting time.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Roman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Global 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MAURO</w:t>
      </w:r>
    </w:p>
    <w:p>
      <w:pPr>
        <w:sectPr>
          <w:pgSz w:w="11900" w:h="16838" w:orient="portrait"/>
          <w:cols w:equalWidth="0" w:num="1">
            <w:col w:w="10019"/>
          </w:cols>
          <w:pgMar w:left="440" w:top="27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58" w:lineRule="exact"/>
        <w:rPr>
          <w:sz w:val="20"/>
          <w:szCs w:val="20"/>
          <w:color w:val="auto"/>
        </w:rPr>
      </w:pPr>
    </w:p>
    <w:p>
      <w:pPr>
        <w:ind w:left="640" w:hanging="204"/>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Form 10-K/A of Viatris Inc.; and</w:t>
      </w:r>
    </w:p>
    <w:p>
      <w:pPr>
        <w:spacing w:after="0" w:line="157" w:lineRule="exact"/>
        <w:rPr>
          <w:rFonts w:ascii="Arial" w:cs="Arial" w:eastAsia="Arial" w:hAnsi="Arial"/>
          <w:sz w:val="18"/>
          <w:szCs w:val="18"/>
          <w:color w:val="auto"/>
        </w:rPr>
      </w:pPr>
    </w:p>
    <w:p>
      <w:pPr>
        <w:jc w:val="both"/>
        <w:ind w:firstLine="436"/>
        <w:spacing w:after="0" w:line="238"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Goettler</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235" w:lineRule="auto"/>
        <w:rPr>
          <w:sz w:val="20"/>
          <w:szCs w:val="20"/>
          <w:color w:val="auto"/>
        </w:rPr>
      </w:pPr>
      <w:r>
        <w:rPr>
          <w:rFonts w:ascii="Arial" w:cs="Arial" w:eastAsia="Arial" w:hAnsi="Arial"/>
          <w:sz w:val="18"/>
          <w:szCs w:val="18"/>
          <w:i w:val="1"/>
          <w:iCs w:val="1"/>
          <w:color w:val="auto"/>
        </w:rPr>
        <w:t>(Principal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ectPr>
          <w:pgSz w:w="11900" w:h="16838" w:orient="portrait"/>
          <w:cols w:equalWidth="0" w:num="1">
            <w:col w:w="11020"/>
          </w:cols>
          <w:pgMar w:left="440" w:top="12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58" w:lineRule="exact"/>
        <w:rPr>
          <w:sz w:val="20"/>
          <w:szCs w:val="20"/>
          <w:color w:val="auto"/>
        </w:rPr>
      </w:pPr>
    </w:p>
    <w:p>
      <w:pPr>
        <w:ind w:left="640" w:hanging="204"/>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Form 10-K/A of Viatris Inc.; and</w:t>
      </w:r>
    </w:p>
    <w:p>
      <w:pPr>
        <w:spacing w:after="0" w:line="157" w:lineRule="exact"/>
        <w:rPr>
          <w:rFonts w:ascii="Arial" w:cs="Arial" w:eastAsia="Arial" w:hAnsi="Arial"/>
          <w:sz w:val="18"/>
          <w:szCs w:val="18"/>
          <w:color w:val="auto"/>
        </w:rPr>
      </w:pPr>
    </w:p>
    <w:p>
      <w:pPr>
        <w:jc w:val="both"/>
        <w:ind w:firstLine="436"/>
        <w:spacing w:after="0" w:line="238" w:lineRule="auto"/>
        <w:tabs>
          <w:tab w:leader="none" w:pos="6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Sanjeev Narula</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i w:val="1"/>
          <w:iCs w:val="1"/>
          <w:color w:val="auto"/>
        </w:rPr>
        <w:t>(Principal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X"/>
      <w:numFmt w:val="bullet"/>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4"/>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5"/>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6"/>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2"/>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3"/>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04"/>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2"/>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decimal"/>
      <w:start w:val="1"/>
    </w:lvl>
    <w:lvl w:ilvl="1">
      <w:lvlJc w:val="left"/>
      <w:lvlText w:val="(%2)"/>
      <w:numFmt w:val="lowerLetter"/>
      <w:start w:val="3"/>
    </w:lvl>
  </w:abstractNum>
  <w:abstractNum w:abstractNumId="70">
    <w:nsid w:val="168E121F"/>
    <w:multiLevelType w:val="hybridMultilevel"/>
    <w:lvl w:ilvl="0">
      <w:lvlJc w:val="left"/>
      <w:lvlText w:val="%1."/>
      <w:numFmt w:val="decimal"/>
      <w:start w:val="3"/>
    </w:lvl>
    <w:lvl w:ilvl="1">
      <w:lvlJc w:val="left"/>
      <w:lvlText w:val="%2"/>
      <w:numFmt w:val="lowerLetter"/>
      <w:start w:val="1"/>
    </w:lvl>
  </w:abstractNum>
  <w:abstractNum w:abstractNumId="71">
    <w:nsid w:val="1EBA5D23"/>
    <w:multiLevelType w:val="hybridMultilevel"/>
    <w:lvl w:ilvl="0">
      <w:lvlJc w:val="left"/>
      <w:lvlText w:val="%1."/>
      <w:numFmt w:val="decimal"/>
      <w:start w:val="5"/>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2021-04-30T16:51:24Z</dcterms:created>
  <dcterms:modified xsi:type="dcterms:W3CDTF">2021-04-30T16:51:24Z</dcterms:modified>
</cp:coreProperties>
</file>