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27.jpeg" ContentType="image/jpeg"/>
  <Override PartName="/word/media/image50.jpeg" ContentType="image/jpeg"/>
  <Override PartName="/word/media/image6.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53.jpeg" ContentType="image/jpeg"/>
  <Override PartName="/word/media/image49.jpeg" ContentType="image/jpeg"/>
  <Override PartName="/word/media/image54.jpeg" ContentType="image/jpeg"/>
  <Override PartName="/word/media/image33.jpeg" ContentType="image/jpeg"/>
  <Override PartName="/word/media/image55.jpeg" ContentType="image/jpeg"/>
  <Override PartName="/word/media/image34.jpeg" ContentType="image/jpeg"/>
  <Override PartName="/word/media/image38.jpeg" ContentType="image/jpeg"/>
  <Override PartName="/word/media/image7.jpeg" ContentType="image/jpeg"/>
  <Override PartName="/word/media/image56.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55082x771_def14a_000-regcov_pg1"/>
        <w:bookmarkStart w:id="1" w:name="ny20055082x771_def14a.htm"/>
        <w:bookmarkStart w:id="2" w:name="ksny20055082x771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center"/>
        <w:rPr>
          <w:rFonts w:ascii="Arial;Helvetica;sans-serif" w:hAnsi="Arial;Helvetica;sans-serif"/>
          <w:b/>
          <w:color w:val="000000"/>
          <w:sz w:val="24"/>
        </w:rPr>
      </w:pPr>
      <w:r>
        <w:rPr>
          <w:rFonts w:ascii="Arial;Helvetica;sans-serif" w:hAnsi="Arial;Helvetica;sans-serif"/>
          <w:b/>
          <w:color w:val="000000"/>
          <w:sz w:val="24"/>
        </w:rPr>
        <w:t xml:space="preserve">UNITED STATES </w:t>
      </w:r>
    </w:p>
    <w:p>
      <w:pPr>
        <w:pStyle w:val="TextBody"/>
        <w:bidi w:val="0"/>
        <w:spacing w:before="0" w:after="283"/>
        <w:jc w:val="center"/>
        <w:rPr>
          <w:rFonts w:ascii="Arial;Helvetica;sans-serif" w:hAnsi="Arial;Helvetica;sans-serif"/>
          <w:b/>
          <w:color w:val="000000"/>
          <w:sz w:val="24"/>
        </w:rPr>
      </w:pPr>
      <w:r>
        <w:rPr>
          <w:rFonts w:ascii="Arial;Helvetica;sans-serif" w:hAnsi="Arial;Helvetica;sans-serif"/>
          <w:b/>
          <w:color w:val="000000"/>
          <w:sz w:val="24"/>
        </w:rPr>
        <w:t xml:space="preserve">SECURITIES AND EXCHANGE COMMISSION </w:t>
      </w:r>
    </w:p>
    <w:p>
      <w:pPr>
        <w:pStyle w:val="TextBody"/>
        <w:bidi w:val="0"/>
        <w:spacing w:before="0" w:after="283"/>
        <w:jc w:val="center"/>
        <w:rPr>
          <w:rFonts w:ascii="Arial;Helvetica;sans-serif" w:hAnsi="Arial;Helvetica;sans-serif"/>
          <w:b/>
          <w:color w:val="000000"/>
          <w:sz w:val="24"/>
        </w:rPr>
      </w:pPr>
      <w:r>
        <w:rPr>
          <w:rFonts w:ascii="Arial;Helvetica;sans-serif" w:hAnsi="Arial;Helvetica;sans-serif"/>
          <w:b/>
          <w:color w:val="000000"/>
          <w:sz w:val="24"/>
        </w:rPr>
        <w:t xml:space="preserve">Washington, D.C. 20549 </w:t>
      </w:r>
    </w:p>
    <w:p>
      <w:pPr>
        <w:pStyle w:val="TextBody"/>
        <w:bidi w:val="0"/>
        <w:spacing w:before="210" w:after="283"/>
        <w:jc w:val="center"/>
        <w:rPr>
          <w:rFonts w:ascii="Arial;Helvetica;sans-serif" w:hAnsi="Arial;Helvetica;sans-serif"/>
          <w:b/>
          <w:color w:val="000000"/>
          <w:sz w:val="28"/>
        </w:rPr>
      </w:pPr>
      <w:r>
        <w:rPr>
          <w:rFonts w:ascii="Arial;Helvetica;sans-serif" w:hAnsi="Arial;Helvetica;sans-serif"/>
          <w:b/>
          <w:color w:val="000000"/>
          <w:sz w:val="28"/>
        </w:rPr>
        <w:t xml:space="preserve">SCHEDULE 14A </w:t>
      </w:r>
    </w:p>
    <w:p>
      <w:pPr>
        <w:pStyle w:val="TextBody"/>
        <w:bidi w:val="0"/>
        <w:spacing w:before="130" w:after="283"/>
        <w:jc w:val="center"/>
        <w:rPr>
          <w:rFonts w:ascii="Arial;Helvetica;sans-serif" w:hAnsi="Arial;Helvetica;sans-serif"/>
          <w:b/>
          <w:color w:val="000000"/>
          <w:sz w:val="20"/>
        </w:rPr>
      </w:pPr>
      <w:r>
        <w:rPr>
          <w:rFonts w:ascii="Arial;Helvetica;sans-serif" w:hAnsi="Arial;Helvetica;sans-serif"/>
          <w:b/>
          <w:color w:val="000000"/>
          <w:sz w:val="20"/>
        </w:rPr>
        <w:t xml:space="preserve">Proxy Statement Pursuant to Section 14(a) of the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Securities Exchange Act of 1934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(Amendment No. ) </w:t>
      </w:r>
    </w:p>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Filed by the Registrant ☒ </w:t>
      </w:r>
    </w:p>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Filed by a party other than the Registrant  ☐ </w:t>
      </w:r>
    </w:p>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Check the appropriate box: </w:t>
      </w:r>
    </w:p>
    <w:tbl>
      <w:tblPr>
        <w:tblW w:w="2950" w:type="dxa"/>
        <w:jc w:val="left"/>
        <w:tblInd w:w="0" w:type="dxa"/>
        <w:tblLayout w:type="fixed"/>
        <w:tblCellMar>
          <w:top w:w="0" w:type="dxa"/>
          <w:left w:w="0" w:type="dxa"/>
          <w:bottom w:w="0" w:type="dxa"/>
          <w:right w:w="0" w:type="dxa"/>
        </w:tblCellMar>
      </w:tblPr>
      <w:tblGrid>
        <w:gridCol w:w="305"/>
        <w:gridCol w:w="2645"/>
      </w:tblGrid>
      <w:tr>
        <w:trPr/>
        <w:tc>
          <w:tcPr>
            <w:tcW w:w="305" w:type="dxa"/>
            <w:tcBorders/>
            <w:vAlign w:val="center"/>
          </w:tcPr>
          <w:p>
            <w:pPr>
              <w:pStyle w:val="TableContents"/>
              <w:bidi w:val="0"/>
              <w:spacing w:before="0" w:after="0"/>
              <w:jc w:val="left"/>
              <w:rPr>
                <w:color w:val="000000"/>
              </w:rPr>
            </w:pPr>
            <w:r>
              <w:rPr>
                <w:color w:val="000000"/>
              </w:rPr>
              <w:t> ☐</w:t>
            </w:r>
          </w:p>
        </w:tc>
        <w:tc>
          <w:tcPr>
            <w:tcW w:w="26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Preliminary Proxy Statement </w:t>
            </w:r>
          </w:p>
        </w:tc>
      </w:tr>
    </w:tbl>
    <w:tbl>
      <w:tblPr>
        <w:tblW w:w="7705" w:type="dxa"/>
        <w:jc w:val="left"/>
        <w:tblInd w:w="0" w:type="dxa"/>
        <w:tblLayout w:type="fixed"/>
        <w:tblCellMar>
          <w:top w:w="0" w:type="dxa"/>
          <w:left w:w="0" w:type="dxa"/>
          <w:bottom w:w="0" w:type="dxa"/>
          <w:right w:w="0" w:type="dxa"/>
        </w:tblCellMar>
      </w:tblPr>
      <w:tblGrid>
        <w:gridCol w:w="305"/>
        <w:gridCol w:w="7400"/>
      </w:tblGrid>
      <w:tr>
        <w:trPr/>
        <w:tc>
          <w:tcPr>
            <w:tcW w:w="305" w:type="dxa"/>
            <w:tcBorders/>
            <w:vAlign w:val="center"/>
          </w:tcPr>
          <w:p>
            <w:pPr>
              <w:pStyle w:val="TableContents"/>
              <w:bidi w:val="0"/>
              <w:spacing w:before="0" w:after="0"/>
              <w:jc w:val="left"/>
              <w:rPr>
                <w:color w:val="000000"/>
              </w:rPr>
            </w:pPr>
            <w:r>
              <w:rPr>
                <w:color w:val="000000"/>
              </w:rPr>
              <w:t> ☐</w:t>
            </w:r>
          </w:p>
        </w:tc>
        <w:tc>
          <w:tcPr>
            <w:tcW w:w="74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Confidential, for Use of the Commission Only (as permitted by Rule14a-6(e)(2))</w:t>
            </w:r>
            <w:r>
              <w:rPr>
                <w:rFonts w:ascii="Arial;Helvetica;sans-serif" w:hAnsi="Arial;Helvetica;sans-serif"/>
                <w:color w:val="000000"/>
                <w:sz w:val="20"/>
              </w:rPr>
              <w:t xml:space="preserve"> </w:t>
            </w:r>
          </w:p>
        </w:tc>
      </w:tr>
    </w:tbl>
    <w:tbl>
      <w:tblPr>
        <w:tblW w:w="2740" w:type="dxa"/>
        <w:jc w:val="left"/>
        <w:tblInd w:w="0" w:type="dxa"/>
        <w:tblLayout w:type="fixed"/>
        <w:tblCellMar>
          <w:top w:w="0" w:type="dxa"/>
          <w:left w:w="0" w:type="dxa"/>
          <w:bottom w:w="0" w:type="dxa"/>
          <w:right w:w="0" w:type="dxa"/>
        </w:tblCellMar>
      </w:tblPr>
      <w:tblGrid>
        <w:gridCol w:w="260"/>
        <w:gridCol w:w="2480"/>
      </w:tblGrid>
      <w:tr>
        <w:trPr/>
        <w:tc>
          <w:tcPr>
            <w:tcW w:w="260" w:type="dxa"/>
            <w:tcBorders/>
            <w:vAlign w:val="center"/>
          </w:tcPr>
          <w:p>
            <w:pPr>
              <w:pStyle w:val="TableContents"/>
              <w:bidi w:val="0"/>
              <w:spacing w:before="0" w:after="0"/>
              <w:jc w:val="left"/>
              <w:rPr>
                <w:color w:val="000000"/>
              </w:rPr>
            </w:pPr>
            <w:r>
              <w:rPr>
                <w:color w:val="000000"/>
              </w:rPr>
              <w:t>☒</w:t>
            </w:r>
          </w:p>
        </w:tc>
        <w:tc>
          <w:tcPr>
            <w:tcW w:w="24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Definitive Proxy Statement </w:t>
            </w:r>
          </w:p>
        </w:tc>
      </w:tr>
    </w:tbl>
    <w:tbl>
      <w:tblPr>
        <w:tblW w:w="3025" w:type="dxa"/>
        <w:jc w:val="left"/>
        <w:tblInd w:w="0" w:type="dxa"/>
        <w:tblLayout w:type="fixed"/>
        <w:tblCellMar>
          <w:top w:w="0" w:type="dxa"/>
          <w:left w:w="0" w:type="dxa"/>
          <w:bottom w:w="0" w:type="dxa"/>
          <w:right w:w="0" w:type="dxa"/>
        </w:tblCellMar>
      </w:tblPr>
      <w:tblGrid>
        <w:gridCol w:w="305"/>
        <w:gridCol w:w="2720"/>
      </w:tblGrid>
      <w:tr>
        <w:trPr/>
        <w:tc>
          <w:tcPr>
            <w:tcW w:w="305" w:type="dxa"/>
            <w:tcBorders/>
            <w:vAlign w:val="center"/>
          </w:tcPr>
          <w:p>
            <w:pPr>
              <w:pStyle w:val="TableContents"/>
              <w:bidi w:val="0"/>
              <w:spacing w:before="0" w:after="0"/>
              <w:jc w:val="left"/>
              <w:rPr>
                <w:color w:val="000000"/>
              </w:rPr>
            </w:pPr>
            <w:r>
              <w:rPr>
                <w:color w:val="000000"/>
              </w:rPr>
              <w:t> ☐</w:t>
            </w:r>
          </w:p>
        </w:tc>
        <w:tc>
          <w:tcPr>
            <w:tcW w:w="27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Definitive Additional Materials </w:t>
            </w:r>
          </w:p>
        </w:tc>
      </w:tr>
    </w:tbl>
    <w:tbl>
      <w:tblPr>
        <w:tblW w:w="3655" w:type="dxa"/>
        <w:jc w:val="left"/>
        <w:tblInd w:w="0" w:type="dxa"/>
        <w:tblLayout w:type="fixed"/>
        <w:tblCellMar>
          <w:top w:w="0" w:type="dxa"/>
          <w:left w:w="0" w:type="dxa"/>
          <w:bottom w:w="0" w:type="dxa"/>
          <w:right w:w="0" w:type="dxa"/>
        </w:tblCellMar>
      </w:tblPr>
      <w:tblGrid>
        <w:gridCol w:w="305"/>
        <w:gridCol w:w="3350"/>
      </w:tblGrid>
      <w:tr>
        <w:trPr/>
        <w:tc>
          <w:tcPr>
            <w:tcW w:w="305" w:type="dxa"/>
            <w:tcBorders/>
            <w:vAlign w:val="center"/>
          </w:tcPr>
          <w:p>
            <w:pPr>
              <w:pStyle w:val="TableContents"/>
              <w:bidi w:val="0"/>
              <w:spacing w:before="0" w:after="0"/>
              <w:jc w:val="left"/>
              <w:rPr>
                <w:color w:val="000000"/>
              </w:rPr>
            </w:pPr>
            <w:r>
              <w:rPr>
                <w:color w:val="000000"/>
              </w:rPr>
              <w:t> ☐</w:t>
            </w:r>
          </w:p>
        </w:tc>
        <w:tc>
          <w:tcPr>
            <w:tcW w:w="335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Soliciting Material under §240.14a-12 </w:t>
            </w:r>
          </w:p>
        </w:tc>
      </w:tr>
    </w:tbl>
    <w:tbl>
      <w:tblPr>
        <w:tblW w:w="6725" w:type="dxa"/>
        <w:jc w:val="left"/>
        <w:tblInd w:w="0" w:type="dxa"/>
        <w:tblLayout w:type="fixed"/>
        <w:tblCellMar>
          <w:top w:w="0" w:type="dxa"/>
          <w:left w:w="0" w:type="dxa"/>
          <w:bottom w:w="0" w:type="dxa"/>
          <w:right w:w="0" w:type="dxa"/>
        </w:tblCellMar>
      </w:tblPr>
      <w:tblGrid>
        <w:gridCol w:w="6725"/>
      </w:tblGrid>
      <w:tr>
        <w:trPr/>
        <w:tc>
          <w:tcPr>
            <w:tcW w:w="6725" w:type="dxa"/>
            <w:tcBorders/>
            <w:vAlign w:val="center"/>
          </w:tcPr>
          <w:p>
            <w:pPr>
              <w:pStyle w:val="TableContents"/>
              <w:bidi w:val="0"/>
              <w:spacing w:before="0" w:after="0"/>
              <w:jc w:val="left"/>
              <w:rPr/>
            </w:pPr>
            <w:r>
              <w:rPr/>
              <w:t> </w:t>
            </w:r>
          </w:p>
        </w:tc>
      </w:tr>
      <w:tr>
        <w:trPr/>
        <w:tc>
          <w:tcPr>
            <w:tcW w:w="672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36"/>
              </w:rPr>
            </w:pPr>
            <w:r>
              <w:rPr>
                <w:rFonts w:ascii="Arial;Helvetica;sans-serif" w:hAnsi="Arial;Helvetica;sans-serif"/>
                <w:b/>
                <w:color w:val="000000"/>
                <w:sz w:val="36"/>
              </w:rPr>
              <w:t xml:space="preserve">VIATRIS INC. </w:t>
            </w:r>
          </w:p>
        </w:tc>
      </w:tr>
      <w:tr>
        <w:trPr/>
        <w:tc>
          <w:tcPr>
            <w:tcW w:w="6725" w:type="dxa"/>
            <w:tcBorders/>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(Name of Registrant as Specified In Its Charter) </w:t>
            </w:r>
          </w:p>
        </w:tc>
      </w:tr>
      <w:tr>
        <w:trPr/>
        <w:tc>
          <w:tcPr>
            <w:tcW w:w="672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6725" w:type="dxa"/>
            <w:tcBorders/>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(Name of Person(s) Filing Proxy Statement, if other than the Registrant)</w:t>
            </w:r>
          </w:p>
        </w:tc>
      </w:tr>
      <w:tr>
        <w:trPr/>
        <w:tc>
          <w:tcPr>
            <w:tcW w:w="672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Payment of Filing Fee (Check all boxes that apply): </w:t>
      </w:r>
    </w:p>
    <w:tbl>
      <w:tblPr>
        <w:tblW w:w="9470" w:type="dxa"/>
        <w:jc w:val="left"/>
        <w:tblInd w:w="0" w:type="dxa"/>
        <w:tblLayout w:type="fixed"/>
        <w:tblCellMar>
          <w:top w:w="0" w:type="dxa"/>
          <w:left w:w="0" w:type="dxa"/>
          <w:bottom w:w="0" w:type="dxa"/>
          <w:right w:w="0" w:type="dxa"/>
        </w:tblCellMar>
      </w:tblPr>
      <w:tblGrid>
        <w:gridCol w:w="320"/>
        <w:gridCol w:w="170"/>
        <w:gridCol w:w="170"/>
        <w:gridCol w:w="8810"/>
      </w:tblGrid>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No fee required </w:t>
            </w:r>
          </w:p>
        </w:tc>
      </w:tr>
      <w:tr>
        <w:trPr/>
        <w:tc>
          <w:tcPr>
            <w:tcW w:w="3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vAlign w:val="center"/>
          </w:tcPr>
          <w:p>
            <w:pPr>
              <w:pStyle w:val="TableContents"/>
              <w:bidi w:val="0"/>
              <w:spacing w:before="0" w:after="0"/>
              <w:jc w:val="left"/>
              <w:rPr>
                <w:color w:val="000000"/>
              </w:rPr>
            </w:pPr>
            <w:r>
              <w:rPr>
                <w:color w:val="000000"/>
              </w:rPr>
              <w:t>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Fee paid previously with preliminary materials </w:t>
            </w:r>
          </w:p>
        </w:tc>
      </w:tr>
      <w:tr>
        <w:trPr/>
        <w:tc>
          <w:tcPr>
            <w:tcW w:w="3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vAlign w:val="center"/>
          </w:tcPr>
          <w:p>
            <w:pPr>
              <w:pStyle w:val="TableContents"/>
              <w:bidi w:val="0"/>
              <w:spacing w:before="0" w:after="0"/>
              <w:jc w:val="left"/>
              <w:rPr>
                <w:color w:val="000000"/>
              </w:rPr>
            </w:pPr>
            <w:r>
              <w:rPr>
                <w:color w:val="000000"/>
              </w:rPr>
              <w:t>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Fee computed on table in exhibit required by Item 25(b) per Exchange Act Rules 14a-6(i)(1) and 0-11</w:t>
            </w:r>
          </w:p>
        </w:tc>
      </w:tr>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 w:name="ny20055082x771_def14a_100-cov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0" w:after="283"/>
        <w:ind w:left="0" w:right="0" w:hanging="0"/>
        <w:jc w:val="center"/>
        <w:rPr>
          <w:color w:val="636466"/>
        </w:rPr>
      </w:pPr>
      <w:r>
        <w:rPr>
          <w:color w:val="636466"/>
        </w:rPr>
        <w:drawing>
          <wp:inline distT="0" distB="0" distL="0" distR="0">
            <wp:extent cx="8001000" cy="10287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01000" cy="10287000"/>
                    </a:xfrm>
                    <a:prstGeom prst="rect">
                      <a:avLst/>
                    </a:prstGeom>
                  </pic:spPr>
                </pic:pic>
              </a:graphicData>
            </a:graphic>
          </wp:inline>
        </w:drawing>
      </w:r>
    </w:p>
    <w:p>
      <w:pPr>
        <w:pStyle w:val="TextBody"/>
        <w:bidi w:val="0"/>
        <w:spacing w:before="0" w:after="283"/>
        <w:ind w:left="0" w:right="0" w:hanging="0"/>
        <w:jc w:val="left"/>
        <w:rPr>
          <w:color w:val="636466"/>
        </w:rPr>
      </w:pPr>
      <w:r>
        <w:rPr>
          <w:color w:val="636466"/>
        </w:rPr>
        <w:t> </w:t>
      </w:r>
    </w:p>
    <w:p>
      <w:pPr>
        <w:pStyle w:val="HorizontalLine"/>
        <w:bidi w:val="0"/>
        <w:spacing w:before="200" w:after="200"/>
        <w:jc w:val="left"/>
        <w:rPr/>
      </w:pPr>
      <w:r>
        <w:rPr/>
      </w:r>
    </w:p>
    <w:p>
      <w:pPr>
        <w:pStyle w:val="TextBody"/>
        <w:bidi w:val="0"/>
        <w:jc w:val="left"/>
        <w:rPr/>
      </w:pPr>
      <w:hyperlink w:anchor="TOC">
        <w:bookmarkStart w:id="4" w:name="ny20055082x771_def14a_101-letter1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8010525" cy="2486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10525" cy="2486025"/>
                    </a:xfrm>
                    <a:prstGeom prst="rect">
                      <a:avLst/>
                    </a:prstGeom>
                  </pic:spPr>
                </pic:pic>
              </a:graphicData>
            </a:graphic>
          </wp:inline>
        </w:drawing>
      </w:r>
    </w:p>
    <w:p>
      <w:pPr>
        <w:pStyle w:val="TextBody"/>
        <w:bidi w:val="0"/>
        <w:spacing w:before="115" w:after="283"/>
        <w:ind w:left="1060" w:right="0" w:hanging="0"/>
        <w:jc w:val="left"/>
        <w:rPr>
          <w:rFonts w:ascii="Arial;Helvetica;sans-serif" w:hAnsi="Arial;Helvetica;sans-serif"/>
          <w:color w:val="FFFFFF"/>
          <w:sz w:val="28"/>
        </w:rPr>
      </w:pPr>
      <w:r>
        <w:rPr>
          <w:rFonts w:ascii="Arial;Helvetica;sans-serif" w:hAnsi="Arial;Helvetica;sans-serif"/>
          <w:color w:val="FFFFFF"/>
          <w:sz w:val="28"/>
        </w:rPr>
        <w:t>Message from</w:t>
      </w:r>
    </w:p>
    <w:p>
      <w:pPr>
        <w:pStyle w:val="TextBody"/>
        <w:bidi w:val="0"/>
        <w:spacing w:before="80" w:after="283"/>
        <w:ind w:left="1060" w:right="0" w:hanging="0"/>
        <w:jc w:val="left"/>
        <w:rPr>
          <w:rFonts w:ascii="Arial;Helvetica;sans-serif" w:hAnsi="Arial;Helvetica;sans-serif"/>
          <w:color w:val="FFFFFF"/>
          <w:sz w:val="40"/>
        </w:rPr>
      </w:pPr>
      <w:r>
        <w:rPr>
          <w:rFonts w:ascii="Arial;Helvetica;sans-serif" w:hAnsi="Arial;Helvetica;sans-serif"/>
          <w:color w:val="FFFFFF"/>
          <w:sz w:val="40"/>
        </w:rPr>
        <w:t xml:space="preserve">the Chair of the Board, Melina Higgins </w:t>
      </w:r>
    </w:p>
    <w:p>
      <w:pPr>
        <w:pStyle w:val="TextBody"/>
        <w:bidi w:val="0"/>
        <w:spacing w:before="200" w:after="283"/>
        <w:ind w:left="1060" w:right="0" w:hanging="0"/>
        <w:jc w:val="left"/>
        <w:rPr>
          <w:rFonts w:ascii="Arial;Helvetica;sans-serif" w:hAnsi="Arial;Helvetica;sans-serif"/>
          <w:color w:val="1F1C6B"/>
          <w:sz w:val="30"/>
        </w:rPr>
      </w:pPr>
      <w:r>
        <w:rPr>
          <w:rFonts w:ascii="Arial;Helvetica;sans-serif" w:hAnsi="Arial;Helvetica;sans-serif"/>
          <w:color w:val="1F1C6B"/>
          <w:sz w:val="30"/>
        </w:rPr>
        <w:t xml:space="preserve">Dear Fellow Shareholders, </w:t>
      </w:r>
    </w:p>
    <w:p>
      <w:pPr>
        <w:pStyle w:val="TextBody"/>
        <w:bidi w:val="0"/>
        <w:spacing w:before="25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On behalf of the Board of Directors, I want to thank you for your continued investment and confidence in Viatris. It is a privilege to chair such a deeply committed Board and to work in partnership with our talented management team during this important period of transformation and growth for the Company.</w:t>
      </w:r>
    </w:p>
    <w:p>
      <w:pPr>
        <w:pStyle w:val="TextBody"/>
        <w:bidi w:val="0"/>
        <w:spacing w:before="180" w:after="283"/>
        <w:ind w:left="1060" w:right="0" w:hanging="0"/>
        <w:jc w:val="left"/>
        <w:rPr>
          <w:rFonts w:ascii="Arial;Helvetica;sans-serif" w:hAnsi="Arial;Helvetica;sans-serif"/>
          <w:b/>
          <w:color w:val="72288A"/>
          <w:sz w:val="18"/>
        </w:rPr>
      </w:pPr>
      <w:r>
        <w:rPr>
          <w:rFonts w:ascii="Arial;Helvetica;sans-serif" w:hAnsi="Arial;Helvetica;sans-serif"/>
          <w:b/>
          <w:color w:val="72288A"/>
          <w:sz w:val="18"/>
        </w:rPr>
        <w:t>2025 has been a pivotal year for Viatris</w:t>
      </w:r>
      <w:r>
        <w:rPr>
          <w:rFonts w:ascii="Arial;Helvetica;sans-serif" w:hAnsi="Arial;Helvetica;sans-serif"/>
          <w:b w:val="false"/>
          <w:color w:val="72288A"/>
          <w:sz w:val="18"/>
        </w:rPr>
        <w:t>,</w:t>
      </w:r>
      <w:r>
        <w:rPr>
          <w:rFonts w:ascii="Arial;Helvetica;sans-serif" w:hAnsi="Arial;Helvetica;sans-serif"/>
          <w:b/>
          <w:color w:val="636466"/>
          <w:sz w:val="18"/>
        </w:rPr>
        <w:t xml:space="preserve"> </w:t>
      </w:r>
      <w:r>
        <w:rPr>
          <w:rFonts w:ascii="Arial;Helvetica;sans-serif" w:hAnsi="Arial;Helvetica;sans-serif"/>
          <w:b w:val="false"/>
          <w:color w:val="636466"/>
          <w:sz w:val="18"/>
        </w:rPr>
        <w:t>one defined by disciplined execution, meaningful progress, and a clear focus on building a stronger, more agile Company for the future. Several significant milestones were achieved, from delivering strong operational performance and returning more than $630 million to shareholders through share repurchases and dividends in the first half of the year, to advancing our innovative pipeline with five positive Phase 3 readouts and the first global approval for sotagliflozin. These accomplishments demonstrate the Company’s ability to execute in the near term while positioning itself for long-term, durable growth.</w:t>
      </w:r>
    </w:p>
    <w:p>
      <w:pPr>
        <w:pStyle w:val="TextBody"/>
        <w:bidi w:val="0"/>
        <w:spacing w:before="18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Together with management, the Board has also overseen the continued advancement of Viatris’ strategic priorities, including the successful launch of an enterprise-wide strategic review designed to ensure the Company’s operating model, cost structure and organization are fit for purpose for our next stage of growth. </w:t>
      </w:r>
    </w:p>
    <w:p>
      <w:pPr>
        <w:pStyle w:val="TextBody"/>
        <w:bidi w:val="0"/>
        <w:spacing w:before="18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Our progress would not be possible without the continued effort of our colleagues around the globe. We are proud that Viatris was once again named to Forbes' list of World's Best Employers 2025. This is the fifth year in a row that Viatris has received this recognition. As Board members, we have taken the opportunity to meet with cross-functional teams from across the Company during the past year and have been impressed with their dedication to our mission and efforts to foster a high-performance environment.</w:t>
      </w:r>
    </w:p>
    <w:p>
      <w:pPr>
        <w:pStyle w:val="TextBody"/>
        <w:bidi w:val="0"/>
        <w:spacing w:before="180" w:after="283"/>
        <w:ind w:left="1060" w:right="0" w:hanging="0"/>
        <w:jc w:val="left"/>
        <w:rPr>
          <w:rFonts w:ascii="Arial;Helvetica;sans-serif" w:hAnsi="Arial;Helvetica;sans-serif"/>
          <w:b/>
          <w:color w:val="72288A"/>
          <w:sz w:val="18"/>
        </w:rPr>
      </w:pPr>
      <w:r>
        <w:rPr>
          <w:rFonts w:ascii="Arial;Helvetica;sans-serif" w:hAnsi="Arial;Helvetica;sans-serif"/>
          <w:b/>
          <w:color w:val="72288A"/>
          <w:sz w:val="18"/>
        </w:rPr>
        <w:t>Strong governance and thoughtful leadership remain central to our success</w:t>
      </w:r>
      <w:r>
        <w:rPr>
          <w:rFonts w:ascii="Arial;Helvetica;sans-serif" w:hAnsi="Arial;Helvetica;sans-serif"/>
          <w:b w:val="false"/>
          <w:color w:val="72288A"/>
          <w:sz w:val="18"/>
        </w:rPr>
        <w:t>.</w:t>
      </w:r>
      <w:r>
        <w:rPr>
          <w:rFonts w:ascii="Arial;Helvetica;sans-serif" w:hAnsi="Arial;Helvetica;sans-serif"/>
          <w:b/>
          <w:color w:val="636466"/>
          <w:sz w:val="18"/>
        </w:rPr>
        <w:t xml:space="preserve"> </w:t>
      </w:r>
      <w:r>
        <w:rPr>
          <w:rFonts w:ascii="Arial;Helvetica;sans-serif" w:hAnsi="Arial;Helvetica;sans-serif"/>
          <w:b w:val="false"/>
          <w:color w:val="636466"/>
          <w:sz w:val="18"/>
        </w:rPr>
        <w:t xml:space="preserve">I, and my fellow directors, continue to focus on ensuring that our Board has the right mix of skills, experience and perspectives to best support our Company’s future goals and our management team in achieving them. Since June 2024, we have welcomed four new directors with deep expertise in pharmaceutical leadership, finance, and innovation, while maintaining the continuity and institutional knowledge that have served the Company well. These efforts reflect our ongoing commitment to strong corporate governance and to ensuring that Viatris is guided by a Board that is independent, forward-looking and deeply engaged in guiding Viatris’ next chapter. </w:t>
      </w:r>
    </w:p>
    <w:p>
      <w:pPr>
        <w:pStyle w:val="TextBody"/>
        <w:bidi w:val="0"/>
        <w:spacing w:before="18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Management succession planning has been, and continues to be, among the Board’s top priorities. We are pleased with the continued success of our management development efforts as we have seamlessly integrated new leadership and fresh perspectives with long-standing Viatris colleagues. The partnership between the Board and management has never been stronger — anchored in a shared focus on execution, accountability and value creation. The successful completion of our management transition efforts positioned us to end the consulting arrangement with our Chairman Emeritus as of June 30, 2025, and establish what we anticipate is our long-term simplified management structure.</w:t>
      </w:r>
    </w:p>
    <w:p>
      <w:pPr>
        <w:pStyle w:val="TextBody"/>
        <w:bidi w:val="0"/>
        <w:spacing w:before="18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In closing, as the Company continues to evolve, the Board will remain steadfast in its oversight and commitment to advancing the Company’s ambitions for the future on behalf of our shareholders. We are proud of the work we have accomplished to date and we appreciate your continued investment and support.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Sincerely, </w:t>
      </w:r>
    </w:p>
    <w:p>
      <w:pPr>
        <w:pStyle w:val="TextBody"/>
        <w:bidi w:val="0"/>
        <w:spacing w:before="360" w:after="283"/>
        <w:ind w:left="1060" w:right="0" w:hanging="0"/>
        <w:jc w:val="left"/>
        <w:rPr>
          <w:color w:val="636466"/>
        </w:rPr>
      </w:pPr>
      <w:r>
        <w:rPr>
          <w:color w:val="636466"/>
        </w:rPr>
        <w:drawing>
          <wp:inline distT="0" distB="0" distL="0" distR="0">
            <wp:extent cx="1495425" cy="466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95425" cy="466725"/>
                    </a:xfrm>
                    <a:prstGeom prst="rect">
                      <a:avLst/>
                    </a:prstGeom>
                  </pic:spPr>
                </pic:pic>
              </a:graphicData>
            </a:graphic>
          </wp:inline>
        </w:drawing>
      </w:r>
    </w:p>
    <w:p>
      <w:pPr>
        <w:pStyle w:val="TextBody"/>
        <w:bidi w:val="0"/>
        <w:spacing w:before="0" w:after="283"/>
        <w:ind w:left="1060" w:right="0" w:hanging="0"/>
        <w:jc w:val="left"/>
        <w:rPr>
          <w:color w:val="636466"/>
        </w:rPr>
      </w:pPr>
      <w:r>
        <w:rPr>
          <w:color w:val="636466"/>
        </w:rPr>
        <w:t> </w:t>
      </w:r>
    </w:p>
    <w:p>
      <w:pPr>
        <w:pStyle w:val="TextBody"/>
        <w:bidi w:val="0"/>
        <w:spacing w:before="240" w:after="283"/>
        <w:ind w:left="1060" w:right="0" w:hanging="0"/>
        <w:jc w:val="left"/>
        <w:rPr>
          <w:rFonts w:ascii="Arial;Helvetica;sans-serif" w:hAnsi="Arial;Helvetica;sans-serif"/>
          <w:color w:val="8A58A0"/>
          <w:sz w:val="18"/>
        </w:rPr>
      </w:pPr>
      <w:r>
        <w:rPr>
          <w:rFonts w:ascii="Arial;Helvetica;sans-serif" w:hAnsi="Arial;Helvetica;sans-serif"/>
          <w:color w:val="8A58A0"/>
          <w:sz w:val="18"/>
        </w:rPr>
        <w:t>Melina Higgins</w:t>
      </w:r>
      <w:r>
        <w:rPr>
          <w:rFonts w:ascii="Arial;Helvetica;sans-serif" w:hAnsi="Arial;Helvetica;sans-serif"/>
          <w:color w:val="636466"/>
          <w:sz w:val="18"/>
        </w:rPr>
        <w:t xml:space="preserve"> </w:t>
      </w:r>
    </w:p>
    <w:p>
      <w:pPr>
        <w:pStyle w:val="TextBody"/>
        <w:bidi w:val="0"/>
        <w:spacing w:before="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Chair of the Board</w:t>
      </w:r>
    </w:p>
    <w:p>
      <w:pPr>
        <w:pStyle w:val="HorizontalLine"/>
        <w:bidi w:val="0"/>
        <w:spacing w:before="200" w:after="200"/>
        <w:jc w:val="left"/>
        <w:rPr/>
      </w:pPr>
      <w:r>
        <w:rPr/>
      </w:r>
    </w:p>
    <w:p>
      <w:pPr>
        <w:pStyle w:val="TextBody"/>
        <w:bidi w:val="0"/>
        <w:jc w:val="left"/>
        <w:rPr/>
      </w:pPr>
      <w:hyperlink w:anchor="TOC">
        <w:bookmarkStart w:id="5" w:name="ny20055082x771_def14a_102-letter2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8010525" cy="2486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010525" cy="2486025"/>
                    </a:xfrm>
                    <a:prstGeom prst="rect">
                      <a:avLst/>
                    </a:prstGeom>
                  </pic:spPr>
                </pic:pic>
              </a:graphicData>
            </a:graphic>
          </wp:inline>
        </w:drawing>
      </w:r>
    </w:p>
    <w:p>
      <w:pPr>
        <w:pStyle w:val="TextBody"/>
        <w:bidi w:val="0"/>
        <w:spacing w:before="115" w:after="283"/>
        <w:ind w:left="1060" w:right="0" w:hanging="0"/>
        <w:jc w:val="left"/>
        <w:rPr>
          <w:rFonts w:ascii="Arial;Helvetica;sans-serif" w:hAnsi="Arial;Helvetica;sans-serif"/>
          <w:color w:val="FFFFFF"/>
          <w:sz w:val="28"/>
        </w:rPr>
      </w:pPr>
      <w:r>
        <w:rPr>
          <w:rFonts w:ascii="Arial;Helvetica;sans-serif" w:hAnsi="Arial;Helvetica;sans-serif"/>
          <w:color w:val="FFFFFF"/>
          <w:sz w:val="28"/>
        </w:rPr>
        <w:t>Message from</w:t>
      </w:r>
    </w:p>
    <w:p>
      <w:pPr>
        <w:pStyle w:val="TextBody"/>
        <w:bidi w:val="0"/>
        <w:spacing w:before="80" w:after="283"/>
        <w:ind w:left="1060" w:right="0" w:hanging="0"/>
        <w:jc w:val="left"/>
        <w:rPr>
          <w:rFonts w:ascii="Arial;Helvetica;sans-serif" w:hAnsi="Arial;Helvetica;sans-serif"/>
          <w:color w:val="FFFFFF"/>
          <w:sz w:val="30"/>
        </w:rPr>
      </w:pPr>
      <w:r>
        <w:rPr>
          <w:rFonts w:ascii="Arial;Helvetica;sans-serif" w:hAnsi="Arial;Helvetica;sans-serif"/>
          <w:color w:val="FFFFFF"/>
          <w:sz w:val="30"/>
        </w:rPr>
        <w:t xml:space="preserve">Scott A. Smith, Chief Executive Officer </w:t>
      </w:r>
    </w:p>
    <w:p>
      <w:pPr>
        <w:pStyle w:val="TextBody"/>
        <w:bidi w:val="0"/>
        <w:spacing w:before="200" w:after="283"/>
        <w:ind w:left="1060" w:right="0" w:hanging="0"/>
        <w:jc w:val="left"/>
        <w:rPr>
          <w:rFonts w:ascii="Arial;Helvetica;sans-serif" w:hAnsi="Arial;Helvetica;sans-serif"/>
          <w:color w:val="1F1C6B"/>
          <w:sz w:val="30"/>
        </w:rPr>
      </w:pPr>
      <w:r>
        <w:rPr>
          <w:rFonts w:ascii="Arial;Helvetica;sans-serif" w:hAnsi="Arial;Helvetica;sans-serif"/>
          <w:color w:val="1F1C6B"/>
          <w:sz w:val="30"/>
        </w:rPr>
        <w:t xml:space="preserve">Dear Viatris Shareholders,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As I reflect on the past year, I am both proud of the significant progress we have made together and excited about the transformative path we continue to chart for our future. Viatris has been built with resilience and diversification at its core. Since our launch in 2020, we have reshaped the company through bold actions that strengthened our foundation, expanded our capabilities, and positioned us for long-term sustainable and profitable growth. </w:t>
      </w:r>
    </w:p>
    <w:p>
      <w:pPr>
        <w:pStyle w:val="TextBody"/>
        <w:bidi w:val="0"/>
        <w:spacing w:before="250" w:after="283"/>
        <w:ind w:left="1060" w:right="0" w:hanging="0"/>
        <w:jc w:val="left"/>
        <w:rPr>
          <w:rFonts w:ascii="Arial;Helvetica;sans-serif" w:hAnsi="Arial;Helvetica;sans-serif"/>
          <w:color w:val="1F1C6B"/>
          <w:sz w:val="24"/>
        </w:rPr>
      </w:pPr>
      <w:r>
        <w:rPr>
          <w:rFonts w:ascii="Arial;Helvetica;sans-serif" w:hAnsi="Arial;Helvetica;sans-serif"/>
          <w:color w:val="1F1C6B"/>
          <w:sz w:val="24"/>
        </w:rPr>
        <w:t>A Year of Transformation and Execution</w:t>
      </w:r>
    </w:p>
    <w:p>
      <w:pPr>
        <w:pStyle w:val="TextBody"/>
        <w:bidi w:val="0"/>
        <w:spacing w:before="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2025 has been a pivotal year. We continued to reshape our business while delivering meaningful progress for shareholders, patients, and employees alike. Among this year’s achievements: </w:t>
      </w:r>
    </w:p>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b/>
                <w:color w:val="72288A"/>
                <w:sz w:val="18"/>
              </w:rPr>
              <w:t>Focus on Growth</w:t>
            </w:r>
            <w:r>
              <w:rPr>
                <w:rFonts w:ascii="Arial;Helvetica;sans-serif" w:hAnsi="Arial;Helvetica;sans-serif"/>
                <w:color w:val="72288A"/>
                <w:sz w:val="18"/>
              </w:rPr>
              <w:t>:</w:t>
            </w:r>
            <w:r>
              <w:rPr>
                <w:rFonts w:ascii="Arial;Helvetica;sans-serif" w:hAnsi="Arial;Helvetica;sans-serif"/>
                <w:color w:val="636466"/>
                <w:sz w:val="18"/>
              </w:rPr>
              <w:t xml:space="preserve"> We reported second quarter 2025 total revenues of $3.6 billion representing divestiture-adjusted operational revenue growth of 3%, excluding the impact of Indore</w:t>
            </w:r>
            <w:r>
              <w:rPr>
                <w:rFonts w:ascii="Arial;Helvetica;sans-serif" w:hAnsi="Arial;Helvetica;sans-serif"/>
                <w:color w:val="636466"/>
                <w:position w:val="6"/>
                <w:sz w:val="14"/>
                <w:sz w:val="18"/>
              </w:rPr>
              <w:t>1</w:t>
            </w:r>
            <w:r>
              <w:rPr>
                <w:rFonts w:ascii="Arial;Helvetica;sans-serif" w:hAnsi="Arial;Helvetica;sans-serif"/>
                <w:color w:val="636466"/>
                <w:sz w:val="18"/>
              </w:rPr>
              <w:t xml:space="preserve">, demonstrating renewed momentum in our base business. </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b/>
                <w:color w:val="72288A"/>
                <w:sz w:val="18"/>
              </w:rPr>
              <w:t>Pipeline Progress</w:t>
            </w:r>
            <w:r>
              <w:rPr>
                <w:rFonts w:ascii="Arial;Helvetica;sans-serif" w:hAnsi="Arial;Helvetica;sans-serif"/>
                <w:color w:val="72288A"/>
                <w:sz w:val="18"/>
              </w:rPr>
              <w:t>:</w:t>
            </w:r>
            <w:r>
              <w:rPr>
                <w:rFonts w:ascii="Arial;Helvetica;sans-serif" w:hAnsi="Arial;Helvetica;sans-serif"/>
                <w:color w:val="636466"/>
                <w:sz w:val="18"/>
              </w:rPr>
              <w:t xml:space="preserve"> We advanced our innovative pipeline with five positive Phase 3 data readouts, additionally enrollment for selatogrel and cenerimod remains on track. We also received the first global approval for sotagliflozin in the UAE — an important milestone in our innovative brands strategy. </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b/>
                <w:color w:val="72288A"/>
                <w:sz w:val="18"/>
              </w:rPr>
              <w:t>Capital Return</w:t>
            </w:r>
            <w:r>
              <w:rPr>
                <w:rFonts w:ascii="Arial;Helvetica;sans-serif" w:hAnsi="Arial;Helvetica;sans-serif"/>
                <w:color w:val="72288A"/>
                <w:sz w:val="18"/>
              </w:rPr>
              <w:t>:</w:t>
            </w:r>
            <w:r>
              <w:rPr>
                <w:rFonts w:ascii="Arial;Helvetica;sans-serif" w:hAnsi="Arial;Helvetica;sans-serif"/>
                <w:color w:val="636466"/>
                <w:sz w:val="18"/>
              </w:rPr>
              <w:t xml:space="preserve"> As of the end of the second quarter of 2025, we returned more than $630 million of capital to shareholders, including approximately $350 million in share repurchases and $280 million in dividends. We have committed to returning more than $1 billion of capital to shareholders in 2025. </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b/>
                <w:color w:val="72288A"/>
                <w:sz w:val="18"/>
              </w:rPr>
              <w:t>Operational Resilience</w:t>
            </w:r>
            <w:r>
              <w:rPr>
                <w:rFonts w:ascii="Arial;Helvetica;sans-serif" w:hAnsi="Arial;Helvetica;sans-serif"/>
                <w:color w:val="72288A"/>
                <w:sz w:val="18"/>
              </w:rPr>
              <w:t>:</w:t>
            </w:r>
            <w:r>
              <w:rPr>
                <w:rFonts w:ascii="Arial;Helvetica;sans-serif" w:hAnsi="Arial;Helvetica;sans-serif"/>
                <w:color w:val="636466"/>
                <w:sz w:val="18"/>
              </w:rPr>
              <w:t xml:space="preserve"> We made strong progress on the remediation efforts at our Indore facility which are nearly complete and we have asked the U.S. FDA for a meeting to discuss the progress of our remediation efforts and the potential timing for reinspection of the facility. We expect to have that meeting by the end of this year. </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b/>
                <w:color w:val="72288A"/>
                <w:sz w:val="18"/>
              </w:rPr>
              <w:t>Strategic Review</w:t>
            </w:r>
            <w:r>
              <w:rPr>
                <w:rFonts w:ascii="Arial;Helvetica;sans-serif" w:hAnsi="Arial;Helvetica;sans-serif"/>
                <w:color w:val="72288A"/>
                <w:sz w:val="18"/>
              </w:rPr>
              <w:t>:</w:t>
            </w:r>
            <w:r>
              <w:rPr>
                <w:rFonts w:ascii="Arial;Helvetica;sans-serif" w:hAnsi="Arial;Helvetica;sans-serif"/>
                <w:color w:val="636466"/>
                <w:sz w:val="18"/>
              </w:rPr>
              <w:t xml:space="preserve"> We launched an enterprise-wide strategic review earlier this year. Our goal is to ensure our operating model is as effective, efficient, and as future-ready as possible. </w:t>
            </w:r>
          </w:p>
        </w:tc>
      </w:tr>
    </w:tbl>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These accomplishments reinforce the disciplined execution of our strategy and our ability to invest for the future while continuing to deliver value today. </w:t>
      </w:r>
    </w:p>
    <w:p>
      <w:pPr>
        <w:pStyle w:val="TextBody"/>
        <w:bidi w:val="0"/>
        <w:spacing w:before="240" w:after="283"/>
        <w:ind w:left="1060" w:right="0" w:hanging="0"/>
        <w:jc w:val="left"/>
        <w:rPr>
          <w:rFonts w:ascii="Arial;Helvetica;sans-serif" w:hAnsi="Arial;Helvetica;sans-serif"/>
          <w:color w:val="1F1C6B"/>
          <w:sz w:val="24"/>
        </w:rPr>
      </w:pPr>
      <w:r>
        <w:rPr>
          <w:rFonts w:ascii="Arial;Helvetica;sans-serif" w:hAnsi="Arial;Helvetica;sans-serif"/>
          <w:color w:val="1F1C6B"/>
          <w:sz w:val="24"/>
        </w:rPr>
        <w:t>Our Strategic Path Forward</w:t>
      </w:r>
    </w:p>
    <w:p>
      <w:pPr>
        <w:pStyle w:val="TextBody"/>
        <w:bidi w:val="0"/>
        <w:spacing w:before="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The work we have done over the past five years — strengthening our balance sheet, divesting non-core assets, and investing in innovation — has set the stage for the next natural step in our journey. Our future will be guided by four strategic pillars:</w:t>
      </w:r>
    </w:p>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b/>
                <w:color w:val="72288A"/>
                <w:sz w:val="18"/>
              </w:rPr>
              <w:t>Strengthen Our Core</w:t>
            </w:r>
            <w:r>
              <w:rPr>
                <w:rFonts w:ascii="Arial;Helvetica;sans-serif" w:hAnsi="Arial;Helvetica;sans-serif"/>
                <w:color w:val="636466"/>
                <w:sz w:val="18"/>
              </w:rPr>
              <w:t xml:space="preserve"> – Evolving our generics business by focusing on more profitable, higher-margin complex products, and building our global established brands business by adding brands that leverage our global capabilities.</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b/>
                <w:color w:val="72288A"/>
                <w:sz w:val="18"/>
              </w:rPr>
              <w:t>Fuel Innovation</w:t>
            </w:r>
            <w:r>
              <w:rPr>
                <w:rFonts w:ascii="Arial;Helvetica;sans-serif" w:hAnsi="Arial;Helvetica;sans-serif"/>
                <w:color w:val="636466"/>
                <w:sz w:val="18"/>
              </w:rPr>
              <w:t xml:space="preserve"> – Advancing a pipeline of best-in-class, patent-protected assets and growing our innovative brands business through strategic accretive in-market business development opportunities to accelerate growth in key areas.</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b/>
                <w:color w:val="72288A"/>
                <w:sz w:val="18"/>
              </w:rPr>
              <w:t>Optimize Our Global Structure</w:t>
            </w:r>
            <w:r>
              <w:rPr>
                <w:rFonts w:ascii="Arial;Helvetica;sans-serif" w:hAnsi="Arial;Helvetica;sans-serif"/>
                <w:color w:val="636466"/>
                <w:sz w:val="18"/>
              </w:rPr>
              <w:t xml:space="preserve"> – Simplifying our cost structure, improving resource allocation and achieving operational efficiency in line with the changing needs of our business so that we can ensure we’re building a company that is both competitive today and prepared for the future.</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1</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Second quarter 2025 total revenues were down 6% on a reported basis and down 2% on a divestiture-adjusted operational basis compared to second quarter 2024, primarily driven by the negative Indore Impact (as defined in Appendix B). The Indore Impact refers to the estimated negative financial impact on 2025 total revenues and (loss) earnings from operations versus the comparable 2024 periods as a result of the FDA issued warning letter and import alert related to our oral finished dose manufacturing facility in Indore, India. For the three months ended June 30, 2025, the estimated Indore Impact to total revenues was approximately $160 million. See Appendix B - “Reconciliations of Non-GAAP Financial Measures (Unaudited)” for more information. </w:t>
            </w:r>
          </w:p>
        </w:tc>
      </w:tr>
    </w:tbl>
    <w:p>
      <w:pPr>
        <w:pStyle w:val="HorizontalLine"/>
        <w:bidi w:val="0"/>
        <w:spacing w:before="200" w:after="200"/>
        <w:jc w:val="left"/>
        <w:rPr/>
      </w:pPr>
      <w:r>
        <w:rPr/>
      </w:r>
    </w:p>
    <w:p>
      <w:pPr>
        <w:pStyle w:val="TextBody"/>
        <w:bidi w:val="0"/>
        <w:jc w:val="left"/>
        <w:rPr/>
      </w:pPr>
      <w:hyperlink w:anchor="TOC">
        <w:bookmarkStart w:id="6" w:name="ny20055082x771_def14a_102-letter2_pg2"/>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8010525" cy="1952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010525" cy="1952625"/>
                    </a:xfrm>
                    <a:prstGeom prst="rect">
                      <a:avLst/>
                    </a:prstGeom>
                  </pic:spPr>
                </pic:pic>
              </a:graphicData>
            </a:graphic>
          </wp:inline>
        </w:drawing>
      </w:r>
    </w:p>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b/>
                <w:color w:val="72288A"/>
                <w:sz w:val="18"/>
              </w:rPr>
              <w:t>Invest for Growth</w:t>
            </w:r>
            <w:r>
              <w:rPr>
                <w:rFonts w:ascii="Arial;Helvetica;sans-serif" w:hAnsi="Arial;Helvetica;sans-serif"/>
                <w:color w:val="636466"/>
                <w:sz w:val="18"/>
              </w:rPr>
              <w:t xml:space="preserve"> – Building organizational capabilities, developing talent, and investing in digital tools needed to compete and win in a rapidly changing healthcare environment.</w:t>
            </w:r>
          </w:p>
        </w:tc>
      </w:tr>
    </w:tbl>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Fundamentally, we are positioning Viatris to be more agile, more innovative, and more aligned with the opportunities of tomorrow. We look forward to sharing more information at our Investor Day in early 2026.</w:t>
      </w:r>
    </w:p>
    <w:p>
      <w:pPr>
        <w:pStyle w:val="TextBody"/>
        <w:bidi w:val="0"/>
        <w:spacing w:before="240" w:after="283"/>
        <w:ind w:left="1060" w:right="0" w:hanging="0"/>
        <w:jc w:val="left"/>
        <w:rPr>
          <w:rFonts w:ascii="Arial;Helvetica;sans-serif" w:hAnsi="Arial;Helvetica;sans-serif"/>
          <w:color w:val="1F1C6B"/>
          <w:sz w:val="24"/>
        </w:rPr>
      </w:pPr>
      <w:r>
        <w:rPr>
          <w:rFonts w:ascii="Arial;Helvetica;sans-serif" w:hAnsi="Arial;Helvetica;sans-serif"/>
          <w:color w:val="1F1C6B"/>
          <w:sz w:val="24"/>
        </w:rPr>
        <w:t xml:space="preserve">Vision for the Future </w:t>
      </w:r>
    </w:p>
    <w:p>
      <w:pPr>
        <w:pStyle w:val="TextBody"/>
        <w:bidi w:val="0"/>
        <w:spacing w:before="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Looking ahead, we expect Viatris to evolve in meaningful ways. Today, approximately 59% of our portfolio is established brands, 40% is generics, and 1% is patent-protected innovative brands. In the future, that mix will be different. While we intend to sustain the strength of our core business of generics and established brands, we also intend to build a greater presence in innovative brands—patent-protected assets that will drive durable and more predictable profitable growth.</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We will remain disciplined in how we allocate capital — strengthening the portfolio, returning value to shareholders, and investing in innovation. Our mission will not change: to empower people worldwide to live healthier at every stage of life.</w:t>
      </w:r>
    </w:p>
    <w:p>
      <w:pPr>
        <w:pStyle w:val="TextBody"/>
        <w:bidi w:val="0"/>
        <w:spacing w:before="240" w:after="283"/>
        <w:ind w:left="1060" w:right="0" w:hanging="0"/>
        <w:jc w:val="left"/>
        <w:rPr>
          <w:rFonts w:ascii="Arial;Helvetica;sans-serif" w:hAnsi="Arial;Helvetica;sans-serif"/>
          <w:color w:val="1F1C6B"/>
          <w:sz w:val="24"/>
        </w:rPr>
      </w:pPr>
      <w:r>
        <w:rPr>
          <w:rFonts w:ascii="Arial;Helvetica;sans-serif" w:hAnsi="Arial;Helvetica;sans-serif"/>
          <w:color w:val="1F1C6B"/>
          <w:sz w:val="24"/>
        </w:rPr>
        <w:t xml:space="preserve">Closing </w:t>
      </w:r>
    </w:p>
    <w:p>
      <w:pPr>
        <w:pStyle w:val="TextBody"/>
        <w:bidi w:val="0"/>
        <w:spacing w:before="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I want to thank our more than 30,000 colleagues around the globe who have made the company what it is today. Their passion and dedication are what drive our ability to deliver for patients and shareholders every day.</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I am confident that Viatris has the right foundation, the right strategy, and the right vision for the future. Together, we are building a company that is stronger, leaner, and more innovative — a company positioned for sustainable success in 2026 and beyond.</w:t>
      </w:r>
    </w:p>
    <w:p>
      <w:pPr>
        <w:pStyle w:val="TextBody"/>
        <w:bidi w:val="0"/>
        <w:spacing w:before="30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Thank you for your continued trust and investment in Viatris.</w:t>
      </w:r>
    </w:p>
    <w:p>
      <w:pPr>
        <w:pStyle w:val="TextBody"/>
        <w:bidi w:val="0"/>
        <w:spacing w:before="30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Sincerely, </w:t>
      </w:r>
    </w:p>
    <w:p>
      <w:pPr>
        <w:pStyle w:val="TextBody"/>
        <w:bidi w:val="0"/>
        <w:spacing w:before="420" w:after="283"/>
        <w:ind w:left="1060" w:right="0" w:hanging="0"/>
        <w:jc w:val="left"/>
        <w:rPr>
          <w:color w:val="636466"/>
        </w:rPr>
      </w:pPr>
      <w:r>
        <w:rPr>
          <w:color w:val="636466"/>
        </w:rPr>
        <w:drawing>
          <wp:inline distT="0" distB="0" distL="0" distR="0">
            <wp:extent cx="952500" cy="4667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52500" cy="466725"/>
                    </a:xfrm>
                    <a:prstGeom prst="rect">
                      <a:avLst/>
                    </a:prstGeom>
                  </pic:spPr>
                </pic:pic>
              </a:graphicData>
            </a:graphic>
          </wp:inline>
        </w:drawing>
      </w:r>
    </w:p>
    <w:p>
      <w:pPr>
        <w:pStyle w:val="TextBody"/>
        <w:bidi w:val="0"/>
        <w:spacing w:before="0" w:after="283"/>
        <w:ind w:left="1060" w:right="0" w:hanging="0"/>
        <w:jc w:val="left"/>
        <w:rPr>
          <w:color w:val="636466"/>
        </w:rPr>
      </w:pPr>
      <w:r>
        <w:rPr>
          <w:color w:val="636466"/>
        </w:rPr>
        <w:t> </w:t>
      </w:r>
    </w:p>
    <w:p>
      <w:pPr>
        <w:pStyle w:val="TextBody"/>
        <w:bidi w:val="0"/>
        <w:spacing w:before="300" w:after="283"/>
        <w:ind w:left="1060" w:right="0" w:hanging="0"/>
        <w:jc w:val="left"/>
        <w:rPr>
          <w:rFonts w:ascii="Arial;Helvetica;sans-serif" w:hAnsi="Arial;Helvetica;sans-serif"/>
          <w:color w:val="8A58A0"/>
          <w:sz w:val="18"/>
        </w:rPr>
      </w:pPr>
      <w:r>
        <w:rPr>
          <w:rFonts w:ascii="Arial;Helvetica;sans-serif" w:hAnsi="Arial;Helvetica;sans-serif"/>
          <w:color w:val="8A58A0"/>
          <w:sz w:val="18"/>
        </w:rPr>
        <w:t>Scott A. Smith</w:t>
      </w:r>
      <w:r>
        <w:rPr>
          <w:rFonts w:ascii="Arial;Helvetica;sans-serif" w:hAnsi="Arial;Helvetica;sans-serif"/>
          <w:color w:val="636466"/>
          <w:sz w:val="18"/>
        </w:rPr>
        <w:t xml:space="preserve"> </w:t>
      </w:r>
    </w:p>
    <w:p>
      <w:pPr>
        <w:pStyle w:val="TextBody"/>
        <w:bidi w:val="0"/>
        <w:spacing w:before="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Chief Executive Officer </w:t>
      </w:r>
    </w:p>
    <w:p>
      <w:pPr>
        <w:pStyle w:val="HorizontalLine"/>
        <w:bidi w:val="0"/>
        <w:spacing w:before="200" w:after="200"/>
        <w:jc w:val="left"/>
        <w:rPr/>
      </w:pPr>
      <w:r>
        <w:rPr/>
      </w:r>
    </w:p>
    <w:p>
      <w:pPr>
        <w:pStyle w:val="TextBody"/>
        <w:bidi w:val="0"/>
        <w:jc w:val="left"/>
        <w:rPr/>
      </w:pPr>
      <w:hyperlink w:anchor="TOC">
        <w:bookmarkStart w:id="7" w:name="ny20055082x771_def14a_103-notice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1895475" cy="5048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895475" cy="504825"/>
                    </a:xfrm>
                    <a:prstGeom prst="rect">
                      <a:avLst/>
                    </a:prstGeom>
                  </pic:spPr>
                </pic:pic>
              </a:graphicData>
            </a:graphic>
          </wp:inline>
        </w:drawing>
      </w:r>
    </w:p>
    <w:p>
      <w:pPr>
        <w:pStyle w:val="TextBody"/>
        <w:bidi w:val="0"/>
        <w:spacing w:before="295" w:after="283"/>
        <w:ind w:left="0" w:right="0" w:hanging="0"/>
        <w:jc w:val="left"/>
        <w:rPr>
          <w:rFonts w:ascii="Arial;Helvetica;sans-serif" w:hAnsi="Arial;Helvetica;sans-serif"/>
          <w:color w:val="1F1C6B"/>
          <w:sz w:val="44"/>
        </w:rPr>
      </w:pPr>
      <w:r>
        <w:rPr>
          <w:rFonts w:ascii="Arial;Helvetica;sans-serif" w:hAnsi="Arial;Helvetica;sans-serif"/>
          <w:color w:val="1F1C6B"/>
          <w:sz w:val="44"/>
        </w:rPr>
        <w:t xml:space="preserve">Notice of 2025 Annual Meeting of Shareholders </w:t>
      </w:r>
    </w:p>
    <w:p>
      <w:pPr>
        <w:pStyle w:val="TextBody"/>
        <w:bidi w:val="0"/>
        <w:spacing w:before="200" w:after="283"/>
        <w:ind w:left="0" w:right="0" w:hanging="0"/>
        <w:jc w:val="left"/>
        <w:rPr>
          <w:rFonts w:ascii="Arial;Helvetica;sans-serif" w:hAnsi="Arial;Helvetica;sans-serif"/>
          <w:color w:val="1F1C6B"/>
          <w:sz w:val="30"/>
        </w:rPr>
      </w:pPr>
      <w:r>
        <w:rPr>
          <w:rFonts w:ascii="Arial;Helvetica;sans-serif" w:hAnsi="Arial;Helvetica;sans-serif"/>
          <w:color w:val="1F1C6B"/>
          <w:sz w:val="30"/>
        </w:rPr>
        <w:t xml:space="preserve">Dear Viatris Shareholders: </w:t>
      </w:r>
    </w:p>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olumn">
                  <wp:align>left</wp:align>
                </wp:positionH>
                <wp:positionV relativeFrom="line">
                  <wp:posOffset>635</wp:posOffset>
                </wp:positionV>
                <wp:extent cx="4038600" cy="1001395"/>
                <wp:effectExtent l="0" t="0" r="0" b="0"/>
                <wp:wrapSquare wrapText="right"/>
                <wp:docPr id="8" name="Frame1"/>
                <a:graphic xmlns:a="http://schemas.openxmlformats.org/drawingml/2006/main">
                  <a:graphicData uri="http://schemas.microsoft.com/office/word/2010/wordprocessingShape">
                    <wps:wsp>
                      <wps:cNvSpPr txBox="1"/>
                      <wps:spPr>
                        <a:xfrm>
                          <a:off x="0" y="0"/>
                          <a:ext cx="4038600" cy="1001395"/>
                        </a:xfrm>
                        <a:prstGeom prst="rect"/>
                        <a:solidFill>
                          <a:srgbClr val="FFFFFF"/>
                        </a:solidFill>
                      </wps:spPr>
                      <wps:txbx>
                        <w:txbxContent>
                          <w:p>
                            <w:pPr>
                              <w:pStyle w:val="TextBody"/>
                              <w:bidi w:val="0"/>
                              <w:spacing w:before="105"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You are cordially invited to attend the 2025 Annual Meeting of Shareholders (the “2025 Annual Meeting”) of Viatris Inc. (“Viatris” or the “Company”). The meeting will be held on Friday, December 5, 2025 at 11:00 a.m. Eastern Time at the DoubleTree Resort by Hilton Hollywood Beach, 4000 South Ocean Drive, Hollywood, FL 33019. At the meeting, holders of Viatris’ issued and outstanding common stock as of the close of business (5:00 p.m. Eastern Time) on October 10, 2025 (the “Record Date”) will be asked to consider and act upon the following items of business, which are more fully described in this Proxy Statement. </w:t>
                            </w:r>
                          </w:p>
                        </w:txbxContent>
                      </wps:txbx>
                      <wps:bodyPr anchor="t" lIns="0" tIns="0" rIns="0" bIns="0">
                        <a:noAutofit/>
                      </wps:bodyPr>
                    </wps:wsp>
                  </a:graphicData>
                </a:graphic>
              </wp:anchor>
            </w:drawing>
          </mc:Choice>
          <mc:Fallback>
            <w:pict>
              <v:rect style="position:absolute;rotation:-0;width:318pt;height:7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05"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You are cordially invited to attend the 2025 Annual Meeting of Shareholders (the “2025 Annual Meeting”) of Viatris Inc. (“Viatris” or the “Company”). The meeting will be held on Friday, December 5, 2025 at 11:00 a.m. Eastern Time at the DoubleTree Resort by Hilton Hollywood Beach, 4000 South Ocean Drive, Hollywood, FL 33019. At the meeting, holders of Viatris’ issued and outstanding common stock as of the close of business (5:00 p.m. Eastern Time) on October 10, 2025 (the “Record Date”) will be asked to consider and act upon the following items of business, which are more fully described in this Proxy Statement. </w:t>
                      </w:r>
                    </w:p>
                  </w:txbxContent>
                </v:textbox>
                <w10:wrap type="square" side="right"/>
              </v:rect>
            </w:pict>
          </mc:Fallback>
        </mc:AlternateContent>
      </w:r>
      <w:r>
        <mc:AlternateContent>
          <mc:Choice Requires="wps">
            <w:drawing>
              <wp:anchor behindDoc="0" distT="0" distB="0" distL="152400" distR="0" simplePos="0" locked="0" layoutInCell="1" allowOverlap="1" relativeHeight="298">
                <wp:simplePos x="0" y="0"/>
                <wp:positionH relativeFrom="column">
                  <wp:align>left</wp:align>
                </wp:positionH>
                <wp:positionV relativeFrom="line">
                  <wp:posOffset>635</wp:posOffset>
                </wp:positionV>
                <wp:extent cx="2438400" cy="2462530"/>
                <wp:effectExtent l="0" t="0" r="0" b="0"/>
                <wp:wrapSquare wrapText="right"/>
                <wp:docPr id="9" name="Frame2"/>
                <a:graphic xmlns:a="http://schemas.openxmlformats.org/drawingml/2006/main">
                  <a:graphicData uri="http://schemas.microsoft.com/office/word/2010/wordprocessingShape">
                    <wps:wsp>
                      <wps:cNvSpPr txBox="1"/>
                      <wps:spPr>
                        <a:xfrm>
                          <a:off x="0" y="0"/>
                          <a:ext cx="2438400" cy="2462530"/>
                        </a:xfrm>
                        <a:prstGeom prst="rect"/>
                        <a:solidFill>
                          <a:srgbClr val="FFFFFF"/>
                        </a:solidFill>
                      </wps:spPr>
                      <wps:txbx>
                        <w:txbxContent>
                          <w:tbl>
                            <w:tblPr>
                              <w:tblW w:w="3765" w:type="dxa"/>
                              <w:jc w:val="left"/>
                              <w:tblInd w:w="0" w:type="dxa"/>
                              <w:tblLayout w:type="fixed"/>
                              <w:tblCellMar>
                                <w:top w:w="0" w:type="dxa"/>
                                <w:left w:w="0" w:type="dxa"/>
                                <w:bottom w:w="0" w:type="dxa"/>
                                <w:right w:w="0" w:type="dxa"/>
                              </w:tblCellMar>
                            </w:tblPr>
                            <w:tblGrid>
                              <w:gridCol w:w="185"/>
                              <w:gridCol w:w="860"/>
                              <w:gridCol w:w="170"/>
                              <w:gridCol w:w="170"/>
                              <w:gridCol w:w="2165"/>
                              <w:gridCol w:w="215"/>
                            </w:tblGrid>
                            <w:tr>
                              <w:trPr/>
                              <w:tc>
                                <w:tcPr>
                                  <w:tcW w:w="185"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16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bottom w:val="single" w:sz="16" w:space="0" w:color="FFFFFF"/>
                                  </w:tcBorders>
                                  <w:shd w:fill="E7E0EF" w:val="clear"/>
                                  <w:tcMar>
                                    <w:bottom w:w="28" w:type="dxa"/>
                                  </w:tcMar>
                                  <w:vAlign w:val="center"/>
                                </w:tcPr>
                                <w:p>
                                  <w:pPr>
                                    <w:pStyle w:val="TableContents"/>
                                    <w:bidi w:val="0"/>
                                    <w:spacing w:before="0" w:after="0"/>
                                    <w:jc w:val="left"/>
                                    <w:rPr/>
                                  </w:pPr>
                                  <w:r>
                                    <w:rPr/>
                                    <w:t> </w:t>
                                  </w:r>
                                </w:p>
                              </w:tc>
                              <w:tc>
                                <w:tcPr>
                                  <w:tcW w:w="860" w:type="dxa"/>
                                  <w:tcBorders>
                                    <w:bottom w:val="single" w:sz="16" w:space="0" w:color="FFFFFF"/>
                                  </w:tcBorders>
                                  <w:shd w:fill="E7E0EF" w:val="clear"/>
                                  <w:tcMar>
                                    <w:bottom w:w="70" w:type="dxa"/>
                                  </w:tcMar>
                                  <w:vAlign w:val="center"/>
                                </w:tcPr>
                                <w:p>
                                  <w:pPr>
                                    <w:pStyle w:val="TableContents"/>
                                    <w:bidi w:val="0"/>
                                    <w:spacing w:before="0" w:after="283"/>
                                    <w:ind w:left="80" w:right="0" w:hanging="0"/>
                                    <w:jc w:val="left"/>
                                    <w:rPr>
                                      <w:rFonts w:ascii="Arial;Helvetica;sans-serif" w:hAnsi="Arial;Helvetica;sans-serif"/>
                                      <w:b/>
                                      <w:color w:val="8A58A0"/>
                                      <w:sz w:val="18"/>
                                    </w:rPr>
                                  </w:pPr>
                                  <w:r>
                                    <w:rPr>
                                      <w:rFonts w:ascii="Arial;Helvetica;sans-serif" w:hAnsi="Arial;Helvetica;sans-serif"/>
                                      <w:b/>
                                      <w:color w:val="8A58A0"/>
                                      <w:sz w:val="18"/>
                                    </w:rPr>
                                    <w:t xml:space="preserve">Date and </w:t>
                                  </w:r>
                                </w:p>
                                <w:p>
                                  <w:pPr>
                                    <w:pStyle w:val="TableContents"/>
                                    <w:bidi w:val="0"/>
                                    <w:spacing w:before="0" w:after="283"/>
                                    <w:ind w:left="80" w:right="0" w:hanging="0"/>
                                    <w:jc w:val="left"/>
                                    <w:rPr>
                                      <w:rFonts w:ascii="Arial;Helvetica;sans-serif" w:hAnsi="Arial;Helvetica;sans-serif"/>
                                      <w:b/>
                                      <w:color w:val="8A58A0"/>
                                      <w:sz w:val="18"/>
                                    </w:rPr>
                                  </w:pPr>
                                  <w:r>
                                    <w:rPr>
                                      <w:rFonts w:ascii="Arial;Helvetica;sans-serif" w:hAnsi="Arial;Helvetica;sans-serif"/>
                                      <w:b/>
                                      <w:color w:val="8A58A0"/>
                                      <w:sz w:val="18"/>
                                    </w:rPr>
                                    <w:t>Time:</w:t>
                                  </w:r>
                                </w:p>
                              </w:tc>
                              <w:tc>
                                <w:tcPr>
                                  <w:tcW w:w="170" w:type="dxa"/>
                                  <w:tcBorders>
                                    <w:bottom w:val="single" w:sz="16" w:space="0" w:color="FFFFFF"/>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7E0EF" w:val="clear"/>
                                  <w:tcMar>
                                    <w:bottom w:w="28" w:type="dxa"/>
                                  </w:tcMar>
                                  <w:vAlign w:val="center"/>
                                </w:tcPr>
                                <w:p>
                                  <w:pPr>
                                    <w:pStyle w:val="TableContents"/>
                                    <w:bidi w:val="0"/>
                                    <w:spacing w:before="0" w:after="0"/>
                                    <w:jc w:val="left"/>
                                    <w:rPr/>
                                  </w:pPr>
                                  <w:r>
                                    <w:rPr/>
                                    <w:t> </w:t>
                                  </w:r>
                                </w:p>
                              </w:tc>
                              <w:tc>
                                <w:tcPr>
                                  <w:tcW w:w="2165" w:type="dxa"/>
                                  <w:tcBorders>
                                    <w:bottom w:val="single" w:sz="16" w:space="0" w:color="FFFFFF"/>
                                  </w:tcBorders>
                                  <w:shd w:fill="E7E0EF" w:val="clear"/>
                                  <w:tcMar>
                                    <w:bottom w:w="70" w:type="dxa"/>
                                  </w:tcMar>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Friday, December 5, 2025</w:t>
                                  </w:r>
                                </w:p>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11:00 a.m. Eastern Time</w:t>
                                  </w:r>
                                </w:p>
                              </w:tc>
                              <w:tc>
                                <w:tcPr>
                                  <w:tcW w:w="215" w:type="dxa"/>
                                  <w:tcBorders>
                                    <w:bottom w:val="single" w:sz="16" w:space="0" w:color="FFFFFF"/>
                                  </w:tcBorders>
                                  <w:shd w:fill="E7E0EF" w:val="clear"/>
                                  <w:tcMar>
                                    <w:bottom w:w="28" w:type="dxa"/>
                                  </w:tcM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80" w:right="0" w:hanging="0"/>
                                    <w:jc w:val="left"/>
                                    <w:rPr>
                                      <w:rFonts w:ascii="Arial;Helvetica;sans-serif" w:hAnsi="Arial;Helvetica;sans-serif"/>
                                      <w:b/>
                                      <w:color w:val="8A58A0"/>
                                      <w:sz w:val="18"/>
                                    </w:rPr>
                                  </w:pPr>
                                  <w:r>
                                    <w:rPr>
                                      <w:rFonts w:ascii="Arial;Helvetica;sans-serif" w:hAnsi="Arial;Helvetica;sans-serif"/>
                                      <w:b/>
                                      <w:color w:val="8A58A0"/>
                                      <w:sz w:val="18"/>
                                    </w:rPr>
                                    <w:t>Location:</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16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 xml:space="preserve">DoubleTree Resort by </w:t>
                                  </w:r>
                                </w:p>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Hilton Hollywood Beach</w:t>
                                  </w:r>
                                </w:p>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4000 South Ocean Drive</w:t>
                                  </w:r>
                                </w:p>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Hollywood, FL 33019</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16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92pt;height:193.9pt;mso-wrap-distance-left:12pt;mso-wrap-distance-right:0pt;mso-wrap-distance-top:0pt;mso-wrap-distance-bottom:0pt;margin-top:0pt;mso-position-vertical:top;mso-position-vertical-relative:text;margin-left:330pt;mso-position-horizontal:left;mso-position-horizontal-relative:text">
                <v:textbox>
                  <w:txbxContent>
                    <w:tbl>
                      <w:tblPr>
                        <w:tblW w:w="3765" w:type="dxa"/>
                        <w:jc w:val="left"/>
                        <w:tblInd w:w="0" w:type="dxa"/>
                        <w:tblLayout w:type="fixed"/>
                        <w:tblCellMar>
                          <w:top w:w="0" w:type="dxa"/>
                          <w:left w:w="0" w:type="dxa"/>
                          <w:bottom w:w="0" w:type="dxa"/>
                          <w:right w:w="0" w:type="dxa"/>
                        </w:tblCellMar>
                      </w:tblPr>
                      <w:tblGrid>
                        <w:gridCol w:w="185"/>
                        <w:gridCol w:w="860"/>
                        <w:gridCol w:w="170"/>
                        <w:gridCol w:w="170"/>
                        <w:gridCol w:w="2165"/>
                        <w:gridCol w:w="215"/>
                      </w:tblGrid>
                      <w:tr>
                        <w:trPr/>
                        <w:tc>
                          <w:tcPr>
                            <w:tcW w:w="185"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16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bottom w:val="single" w:sz="16" w:space="0" w:color="FFFFFF"/>
                            </w:tcBorders>
                            <w:shd w:fill="E7E0EF" w:val="clear"/>
                            <w:tcMar>
                              <w:bottom w:w="28" w:type="dxa"/>
                            </w:tcMar>
                            <w:vAlign w:val="center"/>
                          </w:tcPr>
                          <w:p>
                            <w:pPr>
                              <w:pStyle w:val="TableContents"/>
                              <w:bidi w:val="0"/>
                              <w:spacing w:before="0" w:after="0"/>
                              <w:jc w:val="left"/>
                              <w:rPr/>
                            </w:pPr>
                            <w:r>
                              <w:rPr/>
                              <w:t> </w:t>
                            </w:r>
                          </w:p>
                        </w:tc>
                        <w:tc>
                          <w:tcPr>
                            <w:tcW w:w="860" w:type="dxa"/>
                            <w:tcBorders>
                              <w:bottom w:val="single" w:sz="16" w:space="0" w:color="FFFFFF"/>
                            </w:tcBorders>
                            <w:shd w:fill="E7E0EF" w:val="clear"/>
                            <w:tcMar>
                              <w:bottom w:w="70" w:type="dxa"/>
                            </w:tcMar>
                            <w:vAlign w:val="center"/>
                          </w:tcPr>
                          <w:p>
                            <w:pPr>
                              <w:pStyle w:val="TableContents"/>
                              <w:bidi w:val="0"/>
                              <w:spacing w:before="0" w:after="283"/>
                              <w:ind w:left="80" w:right="0" w:hanging="0"/>
                              <w:jc w:val="left"/>
                              <w:rPr>
                                <w:rFonts w:ascii="Arial;Helvetica;sans-serif" w:hAnsi="Arial;Helvetica;sans-serif"/>
                                <w:b/>
                                <w:color w:val="8A58A0"/>
                                <w:sz w:val="18"/>
                              </w:rPr>
                            </w:pPr>
                            <w:r>
                              <w:rPr>
                                <w:rFonts w:ascii="Arial;Helvetica;sans-serif" w:hAnsi="Arial;Helvetica;sans-serif"/>
                                <w:b/>
                                <w:color w:val="8A58A0"/>
                                <w:sz w:val="18"/>
                              </w:rPr>
                              <w:t xml:space="preserve">Date and </w:t>
                            </w:r>
                          </w:p>
                          <w:p>
                            <w:pPr>
                              <w:pStyle w:val="TableContents"/>
                              <w:bidi w:val="0"/>
                              <w:spacing w:before="0" w:after="283"/>
                              <w:ind w:left="80" w:right="0" w:hanging="0"/>
                              <w:jc w:val="left"/>
                              <w:rPr>
                                <w:rFonts w:ascii="Arial;Helvetica;sans-serif" w:hAnsi="Arial;Helvetica;sans-serif"/>
                                <w:b/>
                                <w:color w:val="8A58A0"/>
                                <w:sz w:val="18"/>
                              </w:rPr>
                            </w:pPr>
                            <w:r>
                              <w:rPr>
                                <w:rFonts w:ascii="Arial;Helvetica;sans-serif" w:hAnsi="Arial;Helvetica;sans-serif"/>
                                <w:b/>
                                <w:color w:val="8A58A0"/>
                                <w:sz w:val="18"/>
                              </w:rPr>
                              <w:t>Time:</w:t>
                            </w:r>
                          </w:p>
                        </w:tc>
                        <w:tc>
                          <w:tcPr>
                            <w:tcW w:w="170" w:type="dxa"/>
                            <w:tcBorders>
                              <w:bottom w:val="single" w:sz="16" w:space="0" w:color="FFFFFF"/>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7E0EF" w:val="clear"/>
                            <w:tcMar>
                              <w:bottom w:w="28" w:type="dxa"/>
                            </w:tcMar>
                            <w:vAlign w:val="center"/>
                          </w:tcPr>
                          <w:p>
                            <w:pPr>
                              <w:pStyle w:val="TableContents"/>
                              <w:bidi w:val="0"/>
                              <w:spacing w:before="0" w:after="0"/>
                              <w:jc w:val="left"/>
                              <w:rPr/>
                            </w:pPr>
                            <w:r>
                              <w:rPr/>
                              <w:t> </w:t>
                            </w:r>
                          </w:p>
                        </w:tc>
                        <w:tc>
                          <w:tcPr>
                            <w:tcW w:w="2165" w:type="dxa"/>
                            <w:tcBorders>
                              <w:bottom w:val="single" w:sz="16" w:space="0" w:color="FFFFFF"/>
                            </w:tcBorders>
                            <w:shd w:fill="E7E0EF" w:val="clear"/>
                            <w:tcMar>
                              <w:bottom w:w="70" w:type="dxa"/>
                            </w:tcMar>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Friday, December 5, 2025</w:t>
                            </w:r>
                          </w:p>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11:00 a.m. Eastern Time</w:t>
                            </w:r>
                          </w:p>
                        </w:tc>
                        <w:tc>
                          <w:tcPr>
                            <w:tcW w:w="215" w:type="dxa"/>
                            <w:tcBorders>
                              <w:bottom w:val="single" w:sz="16" w:space="0" w:color="FFFFFF"/>
                            </w:tcBorders>
                            <w:shd w:fill="E7E0EF" w:val="clear"/>
                            <w:tcMar>
                              <w:bottom w:w="28" w:type="dxa"/>
                            </w:tcM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80" w:right="0" w:hanging="0"/>
                              <w:jc w:val="left"/>
                              <w:rPr>
                                <w:rFonts w:ascii="Arial;Helvetica;sans-serif" w:hAnsi="Arial;Helvetica;sans-serif"/>
                                <w:b/>
                                <w:color w:val="8A58A0"/>
                                <w:sz w:val="18"/>
                              </w:rPr>
                            </w:pPr>
                            <w:r>
                              <w:rPr>
                                <w:rFonts w:ascii="Arial;Helvetica;sans-serif" w:hAnsi="Arial;Helvetica;sans-serif"/>
                                <w:b/>
                                <w:color w:val="8A58A0"/>
                                <w:sz w:val="18"/>
                              </w:rPr>
                              <w:t>Location:</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16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 xml:space="preserve">DoubleTree Resort by </w:t>
                            </w:r>
                          </w:p>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Hilton Hollywood Beach</w:t>
                            </w:r>
                          </w:p>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4000 South Ocean Drive</w:t>
                            </w:r>
                          </w:p>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Hollywood, FL 33019</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16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p>
                      <w:pPr>
                        <w:pStyle w:val="TextBody"/>
                        <w:bidi w:val="0"/>
                        <w:spacing w:before="0" w:after="283"/>
                        <w:jc w:val="left"/>
                        <w:rPr/>
                      </w:pPr>
                      <w:r>
                        <w:rPr/>
                      </w:r>
                    </w:p>
                  </w:txbxContent>
                </v:textbox>
                <w10:wrap type="square" side="right"/>
              </v:rect>
            </w:pict>
          </mc:Fallback>
        </mc:AlternateContent>
      </w:r>
    </w:p>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FFF1C7" w:val="clear"/>
            <w:vAlign w:val="center"/>
          </w:tcPr>
          <w:p>
            <w:pPr>
              <w:pStyle w:val="TableContents"/>
              <w:bidi w:val="0"/>
              <w:spacing w:before="0" w:after="0"/>
              <w:jc w:val="left"/>
              <w:rPr/>
            </w:pPr>
            <w:r>
              <w:rPr/>
              <w:t> </w:t>
            </w:r>
          </w:p>
        </w:tc>
        <w:tc>
          <w:tcPr>
            <w:tcW w:w="9805" w:type="dxa"/>
            <w:tcBorders/>
            <w:shd w:fill="FFF1C7" w:val="clear"/>
            <w:vAlign w:val="center"/>
          </w:tcPr>
          <w:p>
            <w:pPr>
              <w:pStyle w:val="TableContents"/>
              <w:bidi w:val="0"/>
              <w:spacing w:before="0" w:after="0"/>
              <w:jc w:val="left"/>
              <w:rPr/>
            </w:pPr>
            <w:r>
              <w:rPr/>
              <w:t> </w:t>
            </w:r>
          </w:p>
        </w:tc>
        <w:tc>
          <w:tcPr>
            <w:tcW w:w="215" w:type="dxa"/>
            <w:tcBorders/>
            <w:shd w:fill="FFF1C7" w:val="clear"/>
            <w:vAlign w:val="center"/>
          </w:tcPr>
          <w:p>
            <w:pPr>
              <w:pStyle w:val="TableContents"/>
              <w:bidi w:val="0"/>
              <w:spacing w:before="0" w:after="0"/>
              <w:jc w:val="left"/>
              <w:rPr/>
            </w:pPr>
            <w:r>
              <w:rPr/>
              <w:t> </w:t>
            </w:r>
          </w:p>
        </w:tc>
      </w:tr>
      <w:tr>
        <w:trPr/>
        <w:tc>
          <w:tcPr>
            <w:tcW w:w="185" w:type="dxa"/>
            <w:tcBorders/>
            <w:shd w:fill="FFF1C7" w:val="clear"/>
            <w:vAlign w:val="center"/>
          </w:tcPr>
          <w:p>
            <w:pPr>
              <w:pStyle w:val="TableContents"/>
              <w:bidi w:val="0"/>
              <w:spacing w:before="0" w:after="0"/>
              <w:jc w:val="left"/>
              <w:rPr/>
            </w:pPr>
            <w:r>
              <w:rPr/>
              <w:t> </w:t>
            </w:r>
          </w:p>
        </w:tc>
        <w:tc>
          <w:tcPr>
            <w:tcW w:w="9805" w:type="dxa"/>
            <w:tcBorders/>
            <w:shd w:fill="FFF1C7" w:val="clear"/>
            <w:vAlign w:val="center"/>
          </w:tcPr>
          <w:p>
            <w:pPr>
              <w:pStyle w:val="TableContents"/>
              <w:bidi w:val="0"/>
              <w:spacing w:lineRule="atLeast" w:line="220" w:before="0" w:after="283"/>
              <w:ind w:left="60" w:right="0" w:hanging="0"/>
              <w:jc w:val="left"/>
              <w:rPr/>
            </w:pPr>
            <w:r>
              <w:rPr>
                <w:rFonts w:ascii="Arial;Helvetica;sans-serif" w:hAnsi="Arial;Helvetica;sans-serif"/>
                <w:b/>
                <w:color w:val="72288A"/>
                <w:sz w:val="16"/>
              </w:rPr>
              <w:t>If you wish to attend the 2025 Annual Meeting (which is currently scheduled to be held in person), please so inform Viatris in writing by sending notice to the attention of Viatris’ Corporate Secretary at 1000 Mylan Blvd., Canonsburg, PA 15317 or by e-mail to corporatesecretary@viatris.com, in each case prior to 5:00 p.m. Eastern Time on December 4, 2025. See “Important Meeting Information” in this Notice and “How can I attend the 2025 Annual Meeting?” on page A-</w:t>
            </w:r>
            <w:hyperlink w:anchor="tHCI">
              <w:r>
                <w:rPr>
                  <w:rStyle w:val="InternetLink"/>
                  <w:rFonts w:ascii="Arial;Helvetica;sans-serif" w:hAnsi="Arial;Helvetica;sans-serif"/>
                  <w:b/>
                  <w:color w:val="000080"/>
                  <w:sz w:val="16"/>
                </w:rPr>
                <w:t>2</w:t>
              </w:r>
            </w:hyperlink>
            <w:r>
              <w:rPr>
                <w:rFonts w:ascii="Arial;Helvetica;sans-serif" w:hAnsi="Arial;Helvetica;sans-serif"/>
                <w:b/>
                <w:color w:val="72288A"/>
                <w:sz w:val="16"/>
              </w:rPr>
              <w:t xml:space="preserve"> for more information.</w:t>
            </w:r>
          </w:p>
        </w:tc>
        <w:tc>
          <w:tcPr>
            <w:tcW w:w="215" w:type="dxa"/>
            <w:tcBorders/>
            <w:shd w:fill="FFF1C7" w:val="clear"/>
            <w:vAlign w:val="center"/>
          </w:tcPr>
          <w:p>
            <w:pPr>
              <w:pStyle w:val="TableContents"/>
              <w:bidi w:val="0"/>
              <w:spacing w:before="0" w:after="0"/>
              <w:jc w:val="left"/>
              <w:rPr/>
            </w:pPr>
            <w:r>
              <w:rPr/>
              <w:t> </w:t>
            </w:r>
          </w:p>
        </w:tc>
      </w:tr>
      <w:tr>
        <w:trPr/>
        <w:tc>
          <w:tcPr>
            <w:tcW w:w="185" w:type="dxa"/>
            <w:tcBorders/>
            <w:shd w:fill="FFF1C7" w:val="clear"/>
            <w:vAlign w:val="center"/>
          </w:tcPr>
          <w:p>
            <w:pPr>
              <w:pStyle w:val="TableContents"/>
              <w:bidi w:val="0"/>
              <w:spacing w:before="0" w:after="0"/>
              <w:jc w:val="left"/>
              <w:rPr/>
            </w:pPr>
            <w:r>
              <w:rPr/>
              <w:t> </w:t>
            </w:r>
          </w:p>
        </w:tc>
        <w:tc>
          <w:tcPr>
            <w:tcW w:w="9805" w:type="dxa"/>
            <w:tcBorders/>
            <w:shd w:fill="FFF1C7" w:val="clear"/>
            <w:vAlign w:val="center"/>
          </w:tcPr>
          <w:p>
            <w:pPr>
              <w:pStyle w:val="TableContents"/>
              <w:bidi w:val="0"/>
              <w:spacing w:before="0" w:after="0"/>
              <w:jc w:val="left"/>
              <w:rPr/>
            </w:pPr>
            <w:r>
              <w:rPr/>
              <w:t> </w:t>
            </w:r>
          </w:p>
        </w:tc>
        <w:tc>
          <w:tcPr>
            <w:tcW w:w="215" w:type="dxa"/>
            <w:tcBorders/>
            <w:shd w:fill="FFF1C7"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Arial;Helvetica;sans-serif" w:hAnsi="Arial;Helvetica;sans-serif"/>
          <w:color w:val="1F1C6B"/>
          <w:sz w:val="24"/>
        </w:rPr>
      </w:pPr>
      <w:r>
        <w:rPr>
          <w:rFonts w:ascii="Arial;Helvetica;sans-serif" w:hAnsi="Arial;Helvetica;sans-serif"/>
          <w:color w:val="1F1C6B"/>
          <w:sz w:val="24"/>
        </w:rPr>
        <w:t>Items of Business</w:t>
      </w:r>
    </w:p>
    <w:tbl>
      <w:tblPr>
        <w:tblW w:w="10205" w:type="dxa"/>
        <w:jc w:val="left"/>
        <w:tblInd w:w="0" w:type="dxa"/>
        <w:tblLayout w:type="fixed"/>
        <w:tblCellMar>
          <w:top w:w="0" w:type="dxa"/>
          <w:left w:w="0" w:type="dxa"/>
          <w:bottom w:w="0" w:type="dxa"/>
          <w:right w:w="0" w:type="dxa"/>
        </w:tblCellMar>
      </w:tblPr>
      <w:tblGrid>
        <w:gridCol w:w="185"/>
        <w:gridCol w:w="211"/>
        <w:gridCol w:w="170"/>
        <w:gridCol w:w="170"/>
        <w:gridCol w:w="8473"/>
        <w:gridCol w:w="170"/>
        <w:gridCol w:w="170"/>
        <w:gridCol w:w="440"/>
        <w:gridCol w:w="216"/>
      </w:tblGrid>
      <w:tr>
        <w:trPr/>
        <w:tc>
          <w:tcPr>
            <w:tcW w:w="185" w:type="dxa"/>
            <w:tcBorders/>
            <w:shd w:fill="1F1C6B" w:val="clear"/>
            <w:vAlign w:val="center"/>
          </w:tcPr>
          <w:p>
            <w:pPr>
              <w:pStyle w:val="TableContents"/>
              <w:bidi w:val="0"/>
              <w:spacing w:before="0" w:after="0"/>
              <w:jc w:val="left"/>
              <w:rPr/>
            </w:pPr>
            <w:r>
              <w:rPr/>
              <w:t> </w:t>
            </w:r>
          </w:p>
        </w:tc>
        <w:tc>
          <w:tcPr>
            <w:tcW w:w="211"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473"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440" w:type="dxa"/>
            <w:tcBorders/>
            <w:shd w:fill="1F1C6B" w:val="clear"/>
            <w:vAlign w:val="center"/>
          </w:tcPr>
          <w:p>
            <w:pPr>
              <w:pStyle w:val="TableContents"/>
              <w:bidi w:val="0"/>
              <w:spacing w:before="0" w:after="0"/>
              <w:jc w:val="left"/>
              <w:rPr/>
            </w:pPr>
            <w:r>
              <w:rPr/>
              <w:t> </w:t>
            </w:r>
          </w:p>
        </w:tc>
        <w:tc>
          <w:tcPr>
            <w:tcW w:w="216"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211" w:type="dxa"/>
            <w:tcBorders/>
            <w:shd w:fill="1F1C6B" w:val="clear"/>
            <w:vAlign w:val="center"/>
          </w:tcPr>
          <w:p>
            <w:pPr>
              <w:pStyle w:val="TableContents"/>
              <w:bidi w:val="0"/>
              <w:spacing w:before="0" w:after="283"/>
              <w:ind w:left="30" w:right="0" w:hanging="0"/>
              <w:jc w:val="left"/>
              <w:rPr>
                <w:color w:val="FFFFFF"/>
              </w:rPr>
            </w:pPr>
            <w:r>
              <w:rPr>
                <w:color w:val="FFFFFF"/>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473" w:type="dxa"/>
            <w:tcBorders/>
            <w:shd w:fill="1F1C6B" w:val="clear"/>
            <w:vAlign w:val="center"/>
          </w:tcPr>
          <w:p>
            <w:pPr>
              <w:pStyle w:val="TableContents"/>
              <w:bidi w:val="0"/>
              <w:spacing w:before="0" w:after="283"/>
              <w:ind w:left="0" w:right="0" w:hanging="0"/>
              <w:jc w:val="left"/>
              <w:rPr>
                <w:color w:val="FFFFFF"/>
              </w:rPr>
            </w:pPr>
            <w:r>
              <w:rPr>
                <w:color w:val="FFFFFF"/>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440" w:type="dxa"/>
            <w:tcBorders/>
            <w:shd w:fill="1F1C6B"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Page</w:t>
            </w:r>
          </w:p>
        </w:tc>
        <w:tc>
          <w:tcPr>
            <w:tcW w:w="216"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1" w:type="dxa"/>
            <w:tcBorders/>
            <w:vAlign w:val="center"/>
          </w:tcPr>
          <w:p>
            <w:pPr>
              <w:pStyle w:val="TableContents"/>
              <w:bidi w:val="0"/>
              <w:spacing w:before="0" w:after="283"/>
              <w:ind w:left="30" w:right="0" w:hanging="0"/>
              <w:jc w:val="left"/>
              <w:rPr>
                <w:rFonts w:ascii="Arial;Helvetica;sans-serif" w:hAnsi="Arial;Helvetica;sans-serif"/>
                <w:b/>
                <w:color w:val="8A58A0"/>
                <w:sz w:val="16"/>
              </w:rPr>
            </w:pPr>
            <w:r>
              <w:rPr>
                <w:rFonts w:ascii="Arial;Helvetica;sans-serif" w:hAnsi="Arial;Helvetica;sans-serif"/>
                <w:b/>
                <w:color w:val="8A58A0"/>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73"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Election of 13 director nominees, each to hold office until the 2026 annual meeting of shareholders.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EOD">
              <w:r>
                <w:rPr>
                  <w:rStyle w:val="InternetLink"/>
                  <w:rFonts w:ascii="Arial;Helvetica;sans-serif" w:hAnsi="Arial;Helvetica;sans-serif"/>
                  <w:color w:val="636466"/>
                  <w:sz w:val="16"/>
                </w:rPr>
                <w:t>9</w:t>
              </w:r>
            </w:hyperlink>
          </w:p>
        </w:tc>
        <w:tc>
          <w:tcPr>
            <w:tcW w:w="216"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11" w:type="dxa"/>
            <w:tcBorders/>
            <w:shd w:fill="E7E0EF" w:val="clear"/>
            <w:vAlign w:val="center"/>
          </w:tcPr>
          <w:p>
            <w:pPr>
              <w:pStyle w:val="TableContents"/>
              <w:bidi w:val="0"/>
              <w:spacing w:before="0" w:after="283"/>
              <w:ind w:left="30" w:right="0" w:hanging="0"/>
              <w:jc w:val="left"/>
              <w:rPr>
                <w:rFonts w:ascii="Arial;Helvetica;sans-serif" w:hAnsi="Arial;Helvetica;sans-serif"/>
                <w:b/>
                <w:color w:val="8A58A0"/>
                <w:sz w:val="16"/>
              </w:rPr>
            </w:pPr>
            <w:r>
              <w:rPr>
                <w:rFonts w:ascii="Arial;Helvetica;sans-serif" w:hAnsi="Arial;Helvetica;sans-serif"/>
                <w:b/>
                <w:color w:val="8A58A0"/>
                <w:sz w:val="16"/>
              </w:rPr>
              <w:t>2.</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473"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Approval of, on a non-binding advisory basis, the 2024 compensation of the named executive officers of the Company.</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40" w:type="dxa"/>
            <w:tcBorders/>
            <w:shd w:fill="E7E0EF" w:val="clear"/>
            <w:vAlign w:val="center"/>
          </w:tcPr>
          <w:p>
            <w:pPr>
              <w:pStyle w:val="TableContents"/>
              <w:bidi w:val="0"/>
              <w:spacing w:before="0" w:after="283"/>
              <w:jc w:val="center"/>
              <w:rPr/>
            </w:pPr>
            <w:hyperlink w:anchor="tAVT2">
              <w:r>
                <w:rPr>
                  <w:rStyle w:val="InternetLink"/>
                  <w:rFonts w:ascii="Arial;Helvetica;sans-serif" w:hAnsi="Arial;Helvetica;sans-serif"/>
                  <w:color w:val="636466"/>
                  <w:sz w:val="16"/>
                </w:rPr>
                <w:t>42</w:t>
              </w:r>
            </w:hyperlink>
          </w:p>
        </w:tc>
        <w:tc>
          <w:tcPr>
            <w:tcW w:w="216"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1" w:type="dxa"/>
            <w:tcBorders/>
            <w:vAlign w:val="center"/>
          </w:tcPr>
          <w:p>
            <w:pPr>
              <w:pStyle w:val="TableContents"/>
              <w:bidi w:val="0"/>
              <w:spacing w:before="0" w:after="283"/>
              <w:ind w:left="30" w:right="0" w:hanging="0"/>
              <w:jc w:val="left"/>
              <w:rPr>
                <w:rFonts w:ascii="Arial;Helvetica;sans-serif" w:hAnsi="Arial;Helvetica;sans-serif"/>
                <w:b/>
                <w:color w:val="8A58A0"/>
                <w:sz w:val="16"/>
              </w:rPr>
            </w:pPr>
            <w:r>
              <w:rPr>
                <w:rFonts w:ascii="Arial;Helvetica;sans-serif" w:hAnsi="Arial;Helvetica;sans-serif"/>
                <w:b/>
                <w:color w:val="8A58A0"/>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73" w:type="dxa"/>
            <w:tcBorders/>
            <w:vAlign w:val="center"/>
          </w:tcPr>
          <w:p>
            <w:pPr>
              <w:pStyle w:val="TableContents"/>
              <w:bidi w:val="0"/>
              <w:spacing w:before="0" w:after="283"/>
              <w:ind w:left="0" w:right="0" w:hanging="0"/>
              <w:jc w:val="both"/>
              <w:rPr>
                <w:rFonts w:ascii="Arial;Helvetica;sans-serif" w:hAnsi="Arial;Helvetica;sans-serif"/>
                <w:color w:val="636466"/>
                <w:sz w:val="16"/>
              </w:rPr>
            </w:pPr>
            <w:r>
              <w:rPr>
                <w:rFonts w:ascii="Arial;Helvetica;sans-serif" w:hAnsi="Arial;Helvetica;sans-serif"/>
                <w:color w:val="636466"/>
                <w:sz w:val="16"/>
              </w:rPr>
              <w:t>Ratification of the selection of Deloitte &amp; Touche LLP as the Company’s independent registered public accounting firm for the fiscal year ending December 31, 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ROT3">
              <w:r>
                <w:rPr>
                  <w:rStyle w:val="InternetLink"/>
                  <w:rFonts w:ascii="Arial;Helvetica;sans-serif" w:hAnsi="Arial;Helvetica;sans-serif"/>
                  <w:color w:val="636466"/>
                  <w:sz w:val="16"/>
                </w:rPr>
                <w:t>72</w:t>
              </w:r>
            </w:hyperlink>
          </w:p>
        </w:tc>
        <w:tc>
          <w:tcPr>
            <w:tcW w:w="216"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11" w:type="dxa"/>
            <w:tcBorders/>
            <w:shd w:fill="E7E0EF" w:val="clear"/>
            <w:vAlign w:val="center"/>
          </w:tcPr>
          <w:p>
            <w:pPr>
              <w:pStyle w:val="TableContents"/>
              <w:bidi w:val="0"/>
              <w:spacing w:before="0" w:after="283"/>
              <w:ind w:left="30" w:right="0" w:hanging="0"/>
              <w:jc w:val="left"/>
              <w:rPr>
                <w:rFonts w:ascii="Arial;Helvetica;sans-serif" w:hAnsi="Arial;Helvetica;sans-serif"/>
                <w:b/>
                <w:color w:val="8A58A0"/>
                <w:sz w:val="16"/>
              </w:rPr>
            </w:pPr>
            <w:r>
              <w:rPr>
                <w:rFonts w:ascii="Arial;Helvetica;sans-serif" w:hAnsi="Arial;Helvetica;sans-serif"/>
                <w:b/>
                <w:color w:val="8A58A0"/>
                <w:sz w:val="16"/>
              </w:rPr>
              <w:t xml:space="preserve">4.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473" w:type="dxa"/>
            <w:tcBorders/>
            <w:shd w:fill="E7E0EF" w:val="clear"/>
            <w:vAlign w:val="center"/>
          </w:tcPr>
          <w:p>
            <w:pPr>
              <w:pStyle w:val="TableContents"/>
              <w:bidi w:val="0"/>
              <w:spacing w:before="0" w:after="283"/>
              <w:ind w:left="0" w:right="0" w:hanging="0"/>
              <w:jc w:val="left"/>
              <w:rPr>
                <w:color w:val="636466"/>
              </w:rPr>
            </w:pPr>
            <w:r>
              <w:rPr>
                <w:color w:val="636466"/>
              </w:rPr>
              <w:t>​</w:t>
            </w:r>
            <w:r>
              <w:rPr>
                <w:rFonts w:ascii="Arial;Helvetica;sans-serif" w:hAnsi="Arial;Helvetica;sans-serif"/>
                <w:color w:val="636466"/>
                <w:sz w:val="16"/>
              </w:rPr>
              <w:t>Such other business as may properly come before the meeting and any postponement or adjournment thereof.</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40" w:type="dxa"/>
            <w:tcBorders/>
            <w:shd w:fill="E7E0EF" w:val="clear"/>
            <w:vAlign w:val="center"/>
          </w:tcPr>
          <w:p>
            <w:pPr>
              <w:pStyle w:val="TableContents"/>
              <w:bidi w:val="0"/>
              <w:spacing w:before="0" w:after="283"/>
              <w:jc w:val="center"/>
              <w:rPr>
                <w:color w:val="636466"/>
              </w:rPr>
            </w:pPr>
            <w:r>
              <w:rPr>
                <w:color w:val="636466"/>
              </w:rPr>
              <w:t>​</w:t>
            </w:r>
          </w:p>
        </w:tc>
        <w:tc>
          <w:tcPr>
            <w:tcW w:w="216"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11"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473"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40" w:type="dxa"/>
            <w:tcBorders/>
            <w:shd w:fill="E7E0EF" w:val="clear"/>
            <w:vAlign w:val="center"/>
          </w:tcPr>
          <w:p>
            <w:pPr>
              <w:pStyle w:val="TableContents"/>
              <w:bidi w:val="0"/>
              <w:spacing w:before="0" w:after="0"/>
              <w:jc w:val="left"/>
              <w:rPr/>
            </w:pPr>
            <w:r>
              <w:rPr/>
              <w:t> </w:t>
            </w:r>
          </w:p>
        </w:tc>
        <w:tc>
          <w:tcPr>
            <w:tcW w:w="216" w:type="dxa"/>
            <w:tcBorders/>
            <w:shd w:fill="E7E0EF" w:val="clear"/>
            <w:vAlign w:val="center"/>
          </w:tcPr>
          <w:p>
            <w:pPr>
              <w:pStyle w:val="TableContents"/>
              <w:bidi w:val="0"/>
              <w:spacing w:before="0" w:after="0"/>
              <w:jc w:val="left"/>
              <w:rPr/>
            </w:pPr>
            <w:r>
              <w:rPr/>
              <w:t> </w:t>
            </w:r>
          </w:p>
        </w:tc>
      </w:tr>
    </w:tbl>
    <w:p>
      <w:pPr>
        <w:pStyle w:val="TextBody"/>
        <w:bidi w:val="0"/>
        <w:spacing w:before="160" w:after="283"/>
        <w:ind w:left="0" w:right="0" w:hanging="0"/>
        <w:jc w:val="left"/>
        <w:rPr/>
      </w:pPr>
      <w:r>
        <w:rPr>
          <w:rFonts w:ascii="Arial;Helvetica;sans-serif" w:hAnsi="Arial;Helvetica;sans-serif"/>
          <w:color w:val="636466"/>
          <w:sz w:val="16"/>
        </w:rPr>
        <w:t>Only shareholders of record as of the Record Date are entitled to receive notice of, participate in and to vote at the 2025 Annual Meeting and any postponements or adjournments thereof. On or about October 24, 2025, we mailed to Viatris shareholders as of the Record Date a Notice of Internet Availability of Proxy Materials (“Internet Notice”), which includes instructions on how to access our 2025 Proxy Statement and 2024 Annual Report on the Internet, and how to cast your vote. See “Why did I receive a notice in the mail regarding the Internet availability of proxy materials instead of a full set of proxy materials?” on page A-</w:t>
      </w:r>
      <w:hyperlink w:anchor="tWDI">
        <w:r>
          <w:rPr>
            <w:rStyle w:val="InternetLink"/>
          </w:rPr>
          <w:t>1</w:t>
        </w:r>
      </w:hyperlink>
      <w:r>
        <w:rPr>
          <w:rFonts w:ascii="Arial;Helvetica;sans-serif" w:hAnsi="Arial;Helvetica;sans-serif"/>
          <w:color w:val="636466"/>
          <w:sz w:val="16"/>
        </w:rPr>
        <w:t xml:space="preserve"> for more information. If you received your proxy materials for the 2025 Annual Meeting by mail, the Proxy Statement, the 2024 Annual Report and proxy card were enclosed. </w:t>
      </w:r>
    </w:p>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FFF1C7" w:val="clear"/>
            <w:vAlign w:val="center"/>
          </w:tcPr>
          <w:p>
            <w:pPr>
              <w:pStyle w:val="TableContents"/>
              <w:bidi w:val="0"/>
              <w:spacing w:before="0" w:after="0"/>
              <w:jc w:val="left"/>
              <w:rPr/>
            </w:pPr>
            <w:r>
              <w:rPr/>
              <w:t> </w:t>
            </w:r>
          </w:p>
        </w:tc>
        <w:tc>
          <w:tcPr>
            <w:tcW w:w="9805" w:type="dxa"/>
            <w:tcBorders/>
            <w:shd w:fill="FFF1C7" w:val="clear"/>
            <w:vAlign w:val="center"/>
          </w:tcPr>
          <w:p>
            <w:pPr>
              <w:pStyle w:val="TableContents"/>
              <w:bidi w:val="0"/>
              <w:spacing w:before="0" w:after="0"/>
              <w:jc w:val="left"/>
              <w:rPr/>
            </w:pPr>
            <w:r>
              <w:rPr/>
              <w:t> </w:t>
            </w:r>
          </w:p>
        </w:tc>
        <w:tc>
          <w:tcPr>
            <w:tcW w:w="215" w:type="dxa"/>
            <w:tcBorders/>
            <w:shd w:fill="FFF1C7" w:val="clear"/>
            <w:vAlign w:val="center"/>
          </w:tcPr>
          <w:p>
            <w:pPr>
              <w:pStyle w:val="TableContents"/>
              <w:bidi w:val="0"/>
              <w:spacing w:before="0" w:after="0"/>
              <w:jc w:val="left"/>
              <w:rPr/>
            </w:pPr>
            <w:r>
              <w:rPr/>
              <w:t> </w:t>
            </w:r>
          </w:p>
        </w:tc>
      </w:tr>
      <w:tr>
        <w:trPr/>
        <w:tc>
          <w:tcPr>
            <w:tcW w:w="185" w:type="dxa"/>
            <w:tcBorders/>
            <w:shd w:fill="FFF1C7" w:val="clear"/>
            <w:vAlign w:val="center"/>
          </w:tcPr>
          <w:p>
            <w:pPr>
              <w:pStyle w:val="TableContents"/>
              <w:bidi w:val="0"/>
              <w:spacing w:before="0" w:after="0"/>
              <w:jc w:val="left"/>
              <w:rPr/>
            </w:pPr>
            <w:r>
              <w:rPr/>
              <w:t> </w:t>
            </w:r>
          </w:p>
        </w:tc>
        <w:tc>
          <w:tcPr>
            <w:tcW w:w="9805" w:type="dxa"/>
            <w:tcBorders/>
            <w:shd w:fill="FFF1C7" w:val="clear"/>
            <w:vAlign w:val="center"/>
          </w:tcPr>
          <w:p>
            <w:pPr>
              <w:pStyle w:val="TableContents"/>
              <w:bidi w:val="0"/>
              <w:spacing w:lineRule="atLeast" w:line="200" w:before="0" w:after="283"/>
              <w:ind w:left="60" w:right="0" w:hanging="0"/>
              <w:jc w:val="left"/>
              <w:rPr>
                <w:rFonts w:ascii="Arial;Helvetica;sans-serif" w:hAnsi="Arial;Helvetica;sans-serif"/>
                <w:b/>
                <w:color w:val="72288A"/>
                <w:sz w:val="16"/>
              </w:rPr>
            </w:pPr>
            <w:r>
              <w:rPr>
                <w:rFonts w:ascii="Arial;Helvetica;sans-serif" w:hAnsi="Arial;Helvetica;sans-serif"/>
                <w:b/>
                <w:color w:val="72288A"/>
                <w:sz w:val="16"/>
              </w:rPr>
              <w:t>Please know that your vote is very important, and you are encouraged to vote promptly. Please carefully review the proxy materials for the 2025 Annual Meeting and follow the instructions below to cast your vote on all of the voting matters. Whether or not you expect to attend the 2025 Annual Meeting, we urge you to read the proxy statement and vote your shares as soon as possible using any of the following methods.</w:t>
            </w:r>
          </w:p>
        </w:tc>
        <w:tc>
          <w:tcPr>
            <w:tcW w:w="215" w:type="dxa"/>
            <w:tcBorders/>
            <w:shd w:fill="FFF1C7" w:val="clear"/>
            <w:vAlign w:val="center"/>
          </w:tcPr>
          <w:p>
            <w:pPr>
              <w:pStyle w:val="TableContents"/>
              <w:bidi w:val="0"/>
              <w:spacing w:before="0" w:after="0"/>
              <w:jc w:val="left"/>
              <w:rPr/>
            </w:pPr>
            <w:r>
              <w:rPr/>
              <w:t> </w:t>
            </w:r>
          </w:p>
        </w:tc>
      </w:tr>
      <w:tr>
        <w:trPr/>
        <w:tc>
          <w:tcPr>
            <w:tcW w:w="185" w:type="dxa"/>
            <w:tcBorders/>
            <w:shd w:fill="FFF1C7" w:val="clear"/>
            <w:vAlign w:val="center"/>
          </w:tcPr>
          <w:p>
            <w:pPr>
              <w:pStyle w:val="TableContents"/>
              <w:bidi w:val="0"/>
              <w:spacing w:before="0" w:after="0"/>
              <w:jc w:val="left"/>
              <w:rPr/>
            </w:pPr>
            <w:r>
              <w:rPr/>
              <w:t> </w:t>
            </w:r>
          </w:p>
        </w:tc>
        <w:tc>
          <w:tcPr>
            <w:tcW w:w="9805" w:type="dxa"/>
            <w:tcBorders/>
            <w:shd w:fill="FFF1C7" w:val="clear"/>
            <w:vAlign w:val="center"/>
          </w:tcPr>
          <w:p>
            <w:pPr>
              <w:pStyle w:val="TableContents"/>
              <w:bidi w:val="0"/>
              <w:spacing w:before="0" w:after="0"/>
              <w:jc w:val="left"/>
              <w:rPr/>
            </w:pPr>
            <w:r>
              <w:rPr/>
              <w:t> </w:t>
            </w:r>
          </w:p>
        </w:tc>
        <w:tc>
          <w:tcPr>
            <w:tcW w:w="215" w:type="dxa"/>
            <w:tcBorders/>
            <w:shd w:fill="FFF1C7" w:val="clear"/>
            <w:vAlign w:val="center"/>
          </w:tcPr>
          <w:p>
            <w:pPr>
              <w:pStyle w:val="TableContents"/>
              <w:bidi w:val="0"/>
              <w:spacing w:before="0" w:after="0"/>
              <w:jc w:val="left"/>
              <w:rPr/>
            </w:pPr>
            <w:r>
              <w:rPr/>
              <w:t> </w:t>
            </w:r>
          </w:p>
        </w:tc>
      </w:tr>
    </w:tbl>
    <w:p>
      <w:pPr>
        <w:pStyle w:val="TextBody"/>
        <w:bidi w:val="0"/>
        <w:spacing w:before="105" w:after="283"/>
        <w:ind w:left="0" w:right="0" w:hanging="0"/>
        <w:jc w:val="left"/>
        <w:rPr/>
      </w:pPr>
      <w:r>
        <w:rPr>
          <w:rFonts w:ascii="Arial;Helvetica;sans-serif" w:hAnsi="Arial;Helvetica;sans-serif"/>
          <w:color w:val="8A58A0"/>
          <w:sz w:val="16"/>
        </w:rPr>
        <w:t>All shareholders of record may vote in person at the 2025 Annual Meeting. Beneficial owners may vote in person at the 2025 Annual Meeting if they have a legal proxy, and follow the instructions described in the response to the question titled “How do I vote if I am a beneficial owner of shares of Viatris common stock and hold them in street name?” on page A-</w:t>
      </w:r>
      <w:hyperlink w:anchor="tHDI">
        <w:r>
          <w:rPr>
            <w:rStyle w:val="InternetLink"/>
          </w:rPr>
          <w:t>4</w:t>
        </w:r>
      </w:hyperlink>
      <w:r>
        <w:rPr>
          <w:rFonts w:ascii="Arial;Helvetica;sans-serif" w:hAnsi="Arial;Helvetica;sans-serif"/>
          <w:color w:val="8A58A0"/>
          <w:sz w:val="16"/>
        </w:rPr>
        <w:t>. See “Important Meeting Information” below on how to attend the 2025 Annual Meeting.</w:t>
      </w:r>
      <w:r>
        <mc:AlternateContent>
          <mc:Choice Requires="wps">
            <w:drawing>
              <wp:anchor behindDoc="0" distT="0" distB="0" distL="152400" distR="0" simplePos="0" locked="0" layoutInCell="1" allowOverlap="1" relativeHeight="191">
                <wp:simplePos x="0" y="0"/>
                <wp:positionH relativeFrom="column">
                  <wp:align>left</wp:align>
                </wp:positionH>
                <wp:positionV relativeFrom="line">
                  <wp:posOffset>635</wp:posOffset>
                </wp:positionV>
                <wp:extent cx="4749800" cy="3745230"/>
                <wp:effectExtent l="0" t="0" r="0" b="0"/>
                <wp:wrapSquare wrapText="right"/>
                <wp:docPr id="10" name="Frame4"/>
                <a:graphic xmlns:a="http://schemas.openxmlformats.org/drawingml/2006/main">
                  <a:graphicData uri="http://schemas.microsoft.com/office/word/2010/wordprocessingShape">
                    <wps:wsp>
                      <wps:cNvSpPr txBox="1"/>
                      <wps:spPr>
                        <a:xfrm>
                          <a:off x="0" y="0"/>
                          <a:ext cx="4749800" cy="374523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85"/>
                              <w:gridCol w:w="1967"/>
                              <w:gridCol w:w="170"/>
                              <w:gridCol w:w="170"/>
                              <w:gridCol w:w="345"/>
                              <w:gridCol w:w="170"/>
                              <w:gridCol w:w="170"/>
                              <w:gridCol w:w="2384"/>
                              <w:gridCol w:w="170"/>
                              <w:gridCol w:w="170"/>
                              <w:gridCol w:w="359"/>
                              <w:gridCol w:w="170"/>
                              <w:gridCol w:w="170"/>
                              <w:gridCol w:w="3387"/>
                              <w:gridCol w:w="218"/>
                            </w:tblGrid>
                            <w:tr>
                              <w:trPr/>
                              <w:tc>
                                <w:tcPr>
                                  <w:tcW w:w="185" w:type="dxa"/>
                                  <w:tcBorders/>
                                  <w:shd w:fill="E7E0EF" w:val="clear"/>
                                  <w:vAlign w:val="center"/>
                                </w:tcPr>
                                <w:p>
                                  <w:pPr>
                                    <w:pStyle w:val="TableContents"/>
                                    <w:bidi w:val="0"/>
                                    <w:spacing w:before="0" w:after="0"/>
                                    <w:jc w:val="left"/>
                                    <w:rPr/>
                                  </w:pPr>
                                  <w:r>
                                    <w:rPr/>
                                    <w:t> </w:t>
                                  </w:r>
                                </w:p>
                              </w:tc>
                              <w:tc>
                                <w:tcPr>
                                  <w:tcW w:w="1967"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4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384"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59"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387" w:type="dxa"/>
                                  <w:tcBorders/>
                                  <w:shd w:fill="E7E0EF" w:val="clear"/>
                                  <w:vAlign w:val="center"/>
                                </w:tcPr>
                                <w:p>
                                  <w:pPr>
                                    <w:pStyle w:val="TableContents"/>
                                    <w:bidi w:val="0"/>
                                    <w:spacing w:before="0" w:after="0"/>
                                    <w:jc w:val="left"/>
                                    <w:rPr/>
                                  </w:pPr>
                                  <w:r>
                                    <w:rPr/>
                                    <w:t> </w:t>
                                  </w:r>
                                </w:p>
                              </w:tc>
                              <w:tc>
                                <w:tcPr>
                                  <w:tcW w:w="218" w:type="dxa"/>
                                  <w:tcBorders/>
                                  <w:shd w:fill="E7E0EF" w:val="clear"/>
                                  <w:vAlign w:val="center"/>
                                </w:tcPr>
                                <w:p>
                                  <w:pPr>
                                    <w:pStyle w:val="TableContents"/>
                                    <w:bidi w:val="0"/>
                                    <w:spacing w:before="0" w:after="0"/>
                                    <w:jc w:val="left"/>
                                    <w:rPr/>
                                  </w:pPr>
                                  <w:r>
                                    <w:rPr/>
                                    <w:t> </w:t>
                                  </w:r>
                                </w:p>
                              </w:tc>
                            </w:tr>
                            <w:tr>
                              <w:trPr/>
                              <w:tc>
                                <w:tcPr>
                                  <w:tcW w:w="185" w:type="dxa"/>
                                  <w:vMerge w:val="restart"/>
                                  <w:tcBorders/>
                                  <w:shd w:fill="E7E0EF" w:val="clear"/>
                                  <w:vAlign w:val="center"/>
                                </w:tcPr>
                                <w:p>
                                  <w:pPr>
                                    <w:pStyle w:val="TableContents"/>
                                    <w:bidi w:val="0"/>
                                    <w:spacing w:before="0" w:after="0"/>
                                    <w:jc w:val="left"/>
                                    <w:rPr/>
                                  </w:pPr>
                                  <w:r>
                                    <w:rPr/>
                                    <w:t> </w:t>
                                  </w:r>
                                </w:p>
                              </w:tc>
                              <w:tc>
                                <w:tcPr>
                                  <w:tcW w:w="1967" w:type="dxa"/>
                                  <w:vMerge w:val="restart"/>
                                  <w:tcBorders/>
                                  <w:shd w:fill="E7E0EF" w:val="clear"/>
                                  <w:vAlign w:val="center"/>
                                </w:tcPr>
                                <w:p>
                                  <w:pPr>
                                    <w:pStyle w:val="TableContents"/>
                                    <w:bidi w:val="0"/>
                                    <w:spacing w:before="0" w:after="283"/>
                                    <w:ind w:left="60" w:right="0" w:hanging="0"/>
                                    <w:jc w:val="left"/>
                                    <w:rPr>
                                      <w:rFonts w:ascii="Arial;Helvetica;sans-serif" w:hAnsi="Arial;Helvetica;sans-serif"/>
                                      <w:b/>
                                      <w:color w:val="72288A"/>
                                      <w:sz w:val="16"/>
                                    </w:rPr>
                                  </w:pPr>
                                  <w:r>
                                    <w:rPr>
                                      <w:rFonts w:ascii="Arial;Helvetica;sans-serif" w:hAnsi="Arial;Helvetica;sans-serif"/>
                                      <w:b/>
                                      <w:color w:val="72288A"/>
                                      <w:sz w:val="16"/>
                                    </w:rPr>
                                    <w:t>Shareholders of Record</w:t>
                                  </w:r>
                                </w:p>
                                <w:p>
                                  <w:pPr>
                                    <w:pStyle w:val="TableContents"/>
                                    <w:bidi w:val="0"/>
                                    <w:spacing w:lineRule="atLeast" w:line="160" w:before="0" w:after="283"/>
                                    <w:ind w:left="60" w:right="0" w:hanging="0"/>
                                    <w:jc w:val="left"/>
                                    <w:rPr>
                                      <w:rFonts w:ascii="Arial;Helvetica;sans-serif" w:hAnsi="Arial;Helvetica;sans-serif"/>
                                      <w:b w:val="false"/>
                                      <w:color w:val="636466"/>
                                      <w:sz w:val="14"/>
                                    </w:rPr>
                                  </w:pPr>
                                  <w:r>
                                    <w:rPr>
                                      <w:rFonts w:ascii="Arial;Helvetica;sans-serif" w:hAnsi="Arial;Helvetica;sans-serif"/>
                                      <w:b w:val="false"/>
                                      <w:color w:val="636466"/>
                                      <w:sz w:val="14"/>
                                    </w:rPr>
                                    <w:t>(shares registered on the books of the Company via Equiniti Trust Company)</w:t>
                                  </w:r>
                                </w:p>
                              </w:tc>
                              <w:tc>
                                <w:tcPr>
                                  <w:tcW w:w="170" w:type="dxa"/>
                                  <w:vMerge w:val="restart"/>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45" w:type="dxa"/>
                                  <w:tcBorders/>
                                  <w:shd w:fill="E7E0EF" w:val="clear"/>
                                  <w:vAlign w:val="center"/>
                                </w:tcPr>
                                <w:p>
                                  <w:pPr>
                                    <w:pStyle w:val="TableContents"/>
                                    <w:bidi w:val="0"/>
                                    <w:spacing w:before="0" w:after="283"/>
                                    <w:ind w:left="0" w:right="0" w:hanging="0"/>
                                    <w:jc w:val="left"/>
                                    <w:rPr>
                                      <w:color w:val="636466"/>
                                    </w:rPr>
                                  </w:pPr>
                                  <w:r>
                                    <w:rPr>
                                      <w:color w:val="636466"/>
                                    </w:rPr>
                                    <w:drawing>
                                      <wp:inline distT="0" distB="0" distL="0" distR="0">
                                        <wp:extent cx="180975" cy="18097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80975" cy="180975"/>
                                                </a:xfrm>
                                                <a:prstGeom prst="rect">
                                                  <a:avLst/>
                                                </a:prstGeom>
                                              </pic:spPr>
                                            </pic:pic>
                                          </a:graphicData>
                                        </a:graphic>
                                      </wp:inline>
                                    </w:drawing>
                                  </w: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384" w:type="dxa"/>
                                  <w:tcBorders/>
                                  <w:shd w:fill="E7E0EF" w:val="clear"/>
                                  <w:vAlign w:val="center"/>
                                </w:tcPr>
                                <w:p>
                                  <w:pPr>
                                    <w:pStyle w:val="TableContents"/>
                                    <w:bidi w:val="0"/>
                                    <w:spacing w:before="0" w:after="283"/>
                                    <w:ind w:left="0" w:right="0" w:hanging="0"/>
                                    <w:jc w:val="left"/>
                                    <w:rPr>
                                      <w:rFonts w:ascii="Arial;Helvetica;sans-serif" w:hAnsi="Arial;Helvetica;sans-serif"/>
                                      <w:b/>
                                      <w:color w:val="72288A"/>
                                      <w:sz w:val="16"/>
                                    </w:rPr>
                                  </w:pPr>
                                  <w:r>
                                    <w:rPr>
                                      <w:rFonts w:ascii="Arial;Helvetica;sans-serif" w:hAnsi="Arial;Helvetica;sans-serif"/>
                                      <w:b/>
                                      <w:color w:val="72288A"/>
                                      <w:sz w:val="16"/>
                                    </w:rPr>
                                    <w:t>Via Internet</w:t>
                                  </w:r>
                                </w:p>
                                <w:p>
                                  <w:pPr>
                                    <w:pStyle w:val="TableContents"/>
                                    <w:bidi w:val="0"/>
                                    <w:spacing w:before="0" w:after="283"/>
                                    <w:ind w:left="0" w:right="0" w:hanging="0"/>
                                    <w:jc w:val="left"/>
                                    <w:rPr>
                                      <w:rFonts w:ascii="Arial;Helvetica;sans-serif" w:hAnsi="Arial;Helvetica;sans-serif"/>
                                      <w:b/>
                                      <w:color w:val="72288A"/>
                                      <w:sz w:val="14"/>
                                    </w:rPr>
                                  </w:pPr>
                                  <w:r>
                                    <w:rPr>
                                      <w:rFonts w:ascii="Arial;Helvetica;sans-serif" w:hAnsi="Arial;Helvetica;sans-serif"/>
                                      <w:b w:val="false"/>
                                      <w:color w:val="636466"/>
                                      <w:sz w:val="14"/>
                                    </w:rPr>
                                    <w:t xml:space="preserve">Visit </w:t>
                                  </w:r>
                                  <w:r>
                                    <w:rPr>
                                      <w:rFonts w:ascii="Arial;Helvetica;sans-serif" w:hAnsi="Arial;Helvetica;sans-serif"/>
                                      <w:b/>
                                      <w:color w:val="72288A"/>
                                      <w:sz w:val="14"/>
                                    </w:rPr>
                                    <w:t>www.proxyvote.com</w:t>
                                  </w:r>
                                  <w:r>
                                    <w:rPr>
                                      <w:rFonts w:ascii="Arial;Helvetica;sans-serif" w:hAnsi="Arial;Helvetica;sans-serif"/>
                                      <w:b/>
                                      <w:color w:val="636466"/>
                                      <w:sz w:val="14"/>
                                    </w:rPr>
                                    <w:t xml:space="preserve"> </w:t>
                                  </w:r>
                                  <w:r>
                                    <w:rPr>
                                      <w:rFonts w:ascii="Arial;Helvetica;sans-serif" w:hAnsi="Arial;Helvetica;sans-serif"/>
                                      <w:b w:val="false"/>
                                      <w:color w:val="636466"/>
                                      <w:sz w:val="14"/>
                                    </w:rPr>
                                    <w:t xml:space="preserve">or scan the QR Barcode (the QR code will be on the proxy card) </w:t>
                                  </w:r>
                                </w:p>
                              </w:tc>
                              <w:tc>
                                <w:tcPr>
                                  <w:tcW w:w="170" w:type="dxa"/>
                                  <w:tcBorders/>
                                  <w:shd w:fill="E7E0EF" w:val="clear"/>
                                  <w:vAlign w:val="center"/>
                                </w:tcPr>
                                <w:p>
                                  <w:pPr>
                                    <w:pStyle w:val="TableContents"/>
                                    <w:bidi w:val="0"/>
                                    <w:spacing w:before="0" w:after="0"/>
                                    <w:jc w:val="left"/>
                                    <w:rPr/>
                                  </w:pPr>
                                  <w:r>
                                    <w:rPr/>
                                    <w:t> </w:t>
                                  </w:r>
                                </w:p>
                              </w:tc>
                              <w:tc>
                                <w:tcPr>
                                  <w:tcW w:w="170" w:type="dxa"/>
                                  <w:vMerge w:val="restart"/>
                                  <w:tcBorders/>
                                  <w:shd w:fill="E7E0EF" w:val="clear"/>
                                  <w:vAlign w:val="center"/>
                                </w:tcPr>
                                <w:p>
                                  <w:pPr>
                                    <w:pStyle w:val="TableContents"/>
                                    <w:bidi w:val="0"/>
                                    <w:spacing w:before="0" w:after="0"/>
                                    <w:jc w:val="left"/>
                                    <w:rPr/>
                                  </w:pPr>
                                  <w:r>
                                    <w:rPr/>
                                    <w:t> </w:t>
                                  </w:r>
                                </w:p>
                              </w:tc>
                              <w:tc>
                                <w:tcPr>
                                  <w:tcW w:w="359" w:type="dxa"/>
                                  <w:vMerge w:val="restart"/>
                                  <w:tcBorders/>
                                  <w:shd w:fill="E7E0EF" w:val="clear"/>
                                  <w:vAlign w:val="center"/>
                                </w:tcPr>
                                <w:p>
                                  <w:pPr>
                                    <w:pStyle w:val="TableContents"/>
                                    <w:bidi w:val="0"/>
                                    <w:spacing w:before="0" w:after="283"/>
                                    <w:ind w:left="0" w:right="0" w:hanging="0"/>
                                    <w:jc w:val="left"/>
                                    <w:rPr>
                                      <w:color w:val="636466"/>
                                    </w:rPr>
                                  </w:pPr>
                                  <w:r>
                                    <w:rPr>
                                      <w:color w:val="636466"/>
                                    </w:rPr>
                                    <w:drawing>
                                      <wp:inline distT="0" distB="0" distL="0" distR="0">
                                        <wp:extent cx="180975" cy="1238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80975" cy="123825"/>
                                                </a:xfrm>
                                                <a:prstGeom prst="rect">
                                                  <a:avLst/>
                                                </a:prstGeom>
                                              </pic:spPr>
                                            </pic:pic>
                                          </a:graphicData>
                                        </a:graphic>
                                      </wp:inline>
                                    </w:drawing>
                                  </w:r>
                                  <w:r>
                                    <w:rPr>
                                      <w:color w:val="636466"/>
                                    </w:rPr>
                                    <w:t> </w:t>
                                  </w:r>
                                  <w:r>
                                    <w:rPr>
                                      <w:color w:val="636466"/>
                                    </w:rPr>
                                    <w:t xml:space="preserve"> </w:t>
                                  </w:r>
                                </w:p>
                              </w:tc>
                              <w:tc>
                                <w:tcPr>
                                  <w:tcW w:w="170" w:type="dxa"/>
                                  <w:vMerge w:val="restart"/>
                                  <w:tcBorders/>
                                  <w:shd w:fill="E7E0EF" w:val="clear"/>
                                  <w:vAlign w:val="center"/>
                                </w:tcPr>
                                <w:p>
                                  <w:pPr>
                                    <w:pStyle w:val="TableContents"/>
                                    <w:bidi w:val="0"/>
                                    <w:spacing w:before="0" w:after="0"/>
                                    <w:jc w:val="left"/>
                                    <w:rPr/>
                                  </w:pPr>
                                  <w:r>
                                    <w:rPr/>
                                    <w:t> </w:t>
                                  </w:r>
                                </w:p>
                              </w:tc>
                              <w:tc>
                                <w:tcPr>
                                  <w:tcW w:w="170" w:type="dxa"/>
                                  <w:vMerge w:val="restart"/>
                                  <w:tcBorders/>
                                  <w:shd w:fill="E7E0EF" w:val="clear"/>
                                  <w:vAlign w:val="center"/>
                                </w:tcPr>
                                <w:p>
                                  <w:pPr>
                                    <w:pStyle w:val="TableContents"/>
                                    <w:bidi w:val="0"/>
                                    <w:spacing w:before="0" w:after="0"/>
                                    <w:jc w:val="left"/>
                                    <w:rPr/>
                                  </w:pPr>
                                  <w:r>
                                    <w:rPr/>
                                    <w:t> </w:t>
                                  </w:r>
                                </w:p>
                              </w:tc>
                              <w:tc>
                                <w:tcPr>
                                  <w:tcW w:w="3387" w:type="dxa"/>
                                  <w:vMerge w:val="restart"/>
                                  <w:tcBorders/>
                                  <w:shd w:fill="E7E0EF" w:val="clear"/>
                                  <w:vAlign w:val="center"/>
                                </w:tcPr>
                                <w:p>
                                  <w:pPr>
                                    <w:pStyle w:val="TableContents"/>
                                    <w:bidi w:val="0"/>
                                    <w:spacing w:before="0" w:after="283"/>
                                    <w:ind w:left="0" w:right="0" w:hanging="0"/>
                                    <w:jc w:val="left"/>
                                    <w:rPr>
                                      <w:rFonts w:ascii="Arial;Helvetica;sans-serif" w:hAnsi="Arial;Helvetica;sans-serif"/>
                                      <w:b/>
                                      <w:color w:val="72288A"/>
                                      <w:sz w:val="16"/>
                                    </w:rPr>
                                  </w:pPr>
                                  <w:r>
                                    <w:rPr>
                                      <w:rFonts w:ascii="Arial;Helvetica;sans-serif" w:hAnsi="Arial;Helvetica;sans-serif"/>
                                      <w:b/>
                                      <w:color w:val="72288A"/>
                                      <w:sz w:val="16"/>
                                    </w:rPr>
                                    <w:t>By mail</w:t>
                                  </w:r>
                                </w:p>
                                <w:p>
                                  <w:pPr>
                                    <w:pStyle w:val="TableContents"/>
                                    <w:bidi w:val="0"/>
                                    <w:spacing w:lineRule="atLeast" w:line="150" w:before="0" w:after="283"/>
                                    <w:ind w:left="0" w:right="0" w:hanging="0"/>
                                    <w:jc w:val="left"/>
                                    <w:rPr>
                                      <w:rFonts w:ascii="Arial;Helvetica;sans-serif" w:hAnsi="Arial;Helvetica;sans-serif"/>
                                      <w:b w:val="false"/>
                                      <w:color w:val="636466"/>
                                      <w:sz w:val="14"/>
                                    </w:rPr>
                                  </w:pPr>
                                  <w:r>
                                    <w:rPr>
                                      <w:rFonts w:ascii="Arial;Helvetica;sans-serif" w:hAnsi="Arial;Helvetica;sans-serif"/>
                                      <w:b w:val="false"/>
                                      <w:color w:val="636466"/>
                                      <w:sz w:val="14"/>
                                    </w:rPr>
                                    <w:t xml:space="preserve">Mark, sign and date your proxy card and return it in the postage-paid envelope we have provided or return it to Vote Processing, c/o Broadridge, 51 Mercedes Way, Edgewood, NY 11717. </w:t>
                                  </w:r>
                                </w:p>
                              </w:tc>
                              <w:tc>
                                <w:tcPr>
                                  <w:tcW w:w="218" w:type="dxa"/>
                                  <w:vMerge w:val="restart"/>
                                  <w:tcBorders/>
                                  <w:shd w:fill="E7E0EF" w:val="clear"/>
                                  <w:vAlign w:val="center"/>
                                </w:tcPr>
                                <w:p>
                                  <w:pPr>
                                    <w:pStyle w:val="TableContents"/>
                                    <w:bidi w:val="0"/>
                                    <w:spacing w:before="0" w:after="0"/>
                                    <w:jc w:val="left"/>
                                    <w:rPr/>
                                  </w:pPr>
                                  <w:r>
                                    <w:rPr/>
                                    <w:t> </w:t>
                                  </w:r>
                                </w:p>
                              </w:tc>
                            </w:tr>
                            <w:tr>
                              <w:trPr/>
                              <w:tc>
                                <w:tcPr>
                                  <w:tcW w:w="185" w:type="dxa"/>
                                  <w:vMerge w:val="continue"/>
                                  <w:tcBorders/>
                                  <w:shd w:fill="E7E0EF" w:val="clear"/>
                                  <w:vAlign w:val="center"/>
                                </w:tcPr>
                                <w:p>
                                  <w:pPr>
                                    <w:pStyle w:val="Normal"/>
                                    <w:bidi w:val="0"/>
                                    <w:jc w:val="left"/>
                                    <w:rPr/>
                                  </w:pPr>
                                  <w:r>
                                    <w:rPr/>
                                  </w:r>
                                </w:p>
                              </w:tc>
                              <w:tc>
                                <w:tcPr>
                                  <w:tcW w:w="1967" w:type="dxa"/>
                                  <w:vMerge w:val="continue"/>
                                  <w:tcBorders/>
                                  <w:shd w:fill="E7E0EF" w:val="clear"/>
                                  <w:vAlign w:val="center"/>
                                </w:tcPr>
                                <w:p>
                                  <w:pPr>
                                    <w:pStyle w:val="Normal"/>
                                    <w:bidi w:val="0"/>
                                    <w:jc w:val="left"/>
                                    <w:rPr/>
                                  </w:pPr>
                                  <w:r>
                                    <w:rPr/>
                                  </w:r>
                                </w:p>
                              </w:tc>
                              <w:tc>
                                <w:tcPr>
                                  <w:tcW w:w="170" w:type="dxa"/>
                                  <w:vMerge w:val="continue"/>
                                  <w:tcBorders/>
                                  <w:shd w:fill="E7E0EF" w:val="clear"/>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345" w:type="dxa"/>
                                  <w:tcBorders/>
                                  <w:shd w:fill="E7E0EF" w:val="clear"/>
                                  <w:vAlign w:val="center"/>
                                </w:tcPr>
                                <w:p>
                                  <w:pPr>
                                    <w:pStyle w:val="TableContents"/>
                                    <w:bidi w:val="0"/>
                                    <w:spacing w:before="0" w:after="283"/>
                                    <w:jc w:val="center"/>
                                    <w:rPr>
                                      <w:color w:val="636466"/>
                                    </w:rPr>
                                  </w:pPr>
                                  <w:r>
                                    <w:rPr>
                                      <w:color w:val="636466"/>
                                    </w:rPr>
                                    <w:drawing>
                                      <wp:inline distT="0" distB="0" distL="0" distR="0">
                                        <wp:extent cx="152400" cy="21907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52400" cy="219075"/>
                                                </a:xfrm>
                                                <a:prstGeom prst="rect">
                                                  <a:avLst/>
                                                </a:prstGeom>
                                              </pic:spPr>
                                            </pic:pic>
                                          </a:graphicData>
                                        </a:graphic>
                                      </wp:inline>
                                    </w:drawing>
                                  </w:r>
                                </w:p>
                                <w:p>
                                  <w:pPr>
                                    <w:pStyle w:val="TableContents"/>
                                    <w:bidi w:val="0"/>
                                    <w:spacing w:before="0" w:after="283"/>
                                    <w:ind w:left="0" w:right="0" w:hanging="0"/>
                                    <w:jc w:val="left"/>
                                    <w:rPr>
                                      <w:color w:val="636466"/>
                                    </w:rPr>
                                  </w:pP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384" w:type="dxa"/>
                                  <w:tcBorders/>
                                  <w:shd w:fill="E7E0EF" w:val="clear"/>
                                  <w:vAlign w:val="center"/>
                                </w:tcPr>
                                <w:p>
                                  <w:pPr>
                                    <w:pStyle w:val="TableContents"/>
                                    <w:bidi w:val="0"/>
                                    <w:spacing w:before="0" w:after="283"/>
                                    <w:ind w:left="0" w:right="0" w:hanging="0"/>
                                    <w:jc w:val="left"/>
                                    <w:rPr>
                                      <w:rFonts w:ascii="Arial;Helvetica;sans-serif" w:hAnsi="Arial;Helvetica;sans-serif"/>
                                      <w:b/>
                                      <w:color w:val="72288A"/>
                                      <w:sz w:val="16"/>
                                    </w:rPr>
                                  </w:pPr>
                                  <w:r>
                                    <w:rPr>
                                      <w:rFonts w:ascii="Arial;Helvetica;sans-serif" w:hAnsi="Arial;Helvetica;sans-serif"/>
                                      <w:b/>
                                      <w:color w:val="72288A"/>
                                      <w:sz w:val="16"/>
                                    </w:rPr>
                                    <w:t>By phone</w:t>
                                  </w:r>
                                </w:p>
                                <w:p>
                                  <w:pPr>
                                    <w:pStyle w:val="TableContents"/>
                                    <w:bidi w:val="0"/>
                                    <w:spacing w:lineRule="atLeast" w:line="142" w:before="0" w:after="283"/>
                                    <w:ind w:left="0" w:right="0" w:hanging="0"/>
                                    <w:jc w:val="left"/>
                                    <w:rPr>
                                      <w:rFonts w:ascii="Arial;Helvetica;sans-serif" w:hAnsi="Arial;Helvetica;sans-serif"/>
                                      <w:b w:val="false"/>
                                      <w:color w:val="636466"/>
                                      <w:sz w:val="14"/>
                                    </w:rPr>
                                  </w:pPr>
                                  <w:r>
                                    <w:rPr>
                                      <w:rFonts w:ascii="Arial;Helvetica;sans-serif" w:hAnsi="Arial;Helvetica;sans-serif"/>
                                      <w:b w:val="false"/>
                                      <w:color w:val="636466"/>
                                      <w:sz w:val="14"/>
                                    </w:rPr>
                                    <w:t>Call 1-800-690-6903 or the telephone number on your proxy card</w:t>
                                  </w:r>
                                </w:p>
                              </w:tc>
                              <w:tc>
                                <w:tcPr>
                                  <w:tcW w:w="170" w:type="dxa"/>
                                  <w:tcBorders/>
                                  <w:shd w:fill="E7E0EF" w:val="clear"/>
                                  <w:vAlign w:val="center"/>
                                </w:tcPr>
                                <w:p>
                                  <w:pPr>
                                    <w:pStyle w:val="TableContents"/>
                                    <w:bidi w:val="0"/>
                                    <w:spacing w:before="0" w:after="0"/>
                                    <w:jc w:val="left"/>
                                    <w:rPr/>
                                  </w:pPr>
                                  <w:r>
                                    <w:rPr/>
                                    <w:t> </w:t>
                                  </w:r>
                                </w:p>
                              </w:tc>
                              <w:tc>
                                <w:tcPr>
                                  <w:tcW w:w="170" w:type="dxa"/>
                                  <w:vMerge w:val="continue"/>
                                  <w:tcBorders/>
                                  <w:shd w:fill="E7E0EF" w:val="clear"/>
                                  <w:vAlign w:val="center"/>
                                </w:tcPr>
                                <w:p>
                                  <w:pPr>
                                    <w:pStyle w:val="Normal"/>
                                    <w:bidi w:val="0"/>
                                    <w:jc w:val="left"/>
                                    <w:rPr/>
                                  </w:pPr>
                                  <w:r>
                                    <w:rPr/>
                                  </w:r>
                                </w:p>
                              </w:tc>
                              <w:tc>
                                <w:tcPr>
                                  <w:tcW w:w="359" w:type="dxa"/>
                                  <w:vMerge w:val="continue"/>
                                  <w:tcBorders/>
                                  <w:shd w:fill="E7E0EF" w:val="clear"/>
                                  <w:vAlign w:val="center"/>
                                </w:tcPr>
                                <w:p>
                                  <w:pPr>
                                    <w:pStyle w:val="Normal"/>
                                    <w:bidi w:val="0"/>
                                    <w:jc w:val="left"/>
                                    <w:rPr/>
                                  </w:pPr>
                                  <w:r>
                                    <w:rPr/>
                                  </w:r>
                                </w:p>
                              </w:tc>
                              <w:tc>
                                <w:tcPr>
                                  <w:tcW w:w="170" w:type="dxa"/>
                                  <w:vMerge w:val="continue"/>
                                  <w:tcBorders/>
                                  <w:shd w:fill="E7E0EF" w:val="clear"/>
                                  <w:vAlign w:val="center"/>
                                </w:tcPr>
                                <w:p>
                                  <w:pPr>
                                    <w:pStyle w:val="Normal"/>
                                    <w:bidi w:val="0"/>
                                    <w:jc w:val="left"/>
                                    <w:rPr/>
                                  </w:pPr>
                                  <w:r>
                                    <w:rPr/>
                                  </w:r>
                                </w:p>
                              </w:tc>
                              <w:tc>
                                <w:tcPr>
                                  <w:tcW w:w="170" w:type="dxa"/>
                                  <w:vMerge w:val="continue"/>
                                  <w:tcBorders/>
                                  <w:shd w:fill="E7E0EF" w:val="clear"/>
                                  <w:vAlign w:val="center"/>
                                </w:tcPr>
                                <w:p>
                                  <w:pPr>
                                    <w:pStyle w:val="Normal"/>
                                    <w:bidi w:val="0"/>
                                    <w:jc w:val="left"/>
                                    <w:rPr/>
                                  </w:pPr>
                                  <w:r>
                                    <w:rPr/>
                                  </w:r>
                                </w:p>
                              </w:tc>
                              <w:tc>
                                <w:tcPr>
                                  <w:tcW w:w="3387" w:type="dxa"/>
                                  <w:vMerge w:val="continue"/>
                                  <w:tcBorders/>
                                  <w:shd w:fill="E7E0EF" w:val="clear"/>
                                  <w:vAlign w:val="center"/>
                                </w:tcPr>
                                <w:p>
                                  <w:pPr>
                                    <w:pStyle w:val="Normal"/>
                                    <w:bidi w:val="0"/>
                                    <w:jc w:val="left"/>
                                    <w:rPr/>
                                  </w:pPr>
                                  <w:r>
                                    <w:rPr/>
                                  </w:r>
                                </w:p>
                              </w:tc>
                              <w:tc>
                                <w:tcPr>
                                  <w:tcW w:w="218" w:type="dxa"/>
                                  <w:vMerge w:val="continue"/>
                                  <w:tcBorders/>
                                  <w:shd w:fill="E7E0EF" w:val="clear"/>
                                  <w:vAlign w:val="center"/>
                                </w:tcPr>
                                <w:p>
                                  <w:pPr>
                                    <w:pStyle w:val="Normal"/>
                                    <w:bidi w:val="0"/>
                                    <w:jc w:val="left"/>
                                    <w:rPr/>
                                  </w:pPr>
                                  <w:r>
                                    <w:rPr/>
                                  </w:r>
                                </w:p>
                              </w:tc>
                            </w:tr>
                            <w:tr>
                              <w:trPr/>
                              <w:tc>
                                <w:tcPr>
                                  <w:tcW w:w="185" w:type="dxa"/>
                                  <w:tcBorders/>
                                  <w:shd w:fill="E7E0EF" w:val="clear"/>
                                  <w:vAlign w:val="center"/>
                                </w:tcPr>
                                <w:p>
                                  <w:pPr>
                                    <w:pStyle w:val="TableContents"/>
                                    <w:bidi w:val="0"/>
                                    <w:spacing w:before="0" w:after="0"/>
                                    <w:jc w:val="left"/>
                                    <w:rPr/>
                                  </w:pPr>
                                  <w:r>
                                    <w:rPr/>
                                    <w:t> </w:t>
                                  </w:r>
                                </w:p>
                              </w:tc>
                              <w:tc>
                                <w:tcPr>
                                  <w:tcW w:w="1967"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4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384"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59"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387" w:type="dxa"/>
                                  <w:tcBorders/>
                                  <w:shd w:fill="E7E0EF" w:val="clear"/>
                                  <w:vAlign w:val="center"/>
                                </w:tcPr>
                                <w:p>
                                  <w:pPr>
                                    <w:pStyle w:val="TableContents"/>
                                    <w:bidi w:val="0"/>
                                    <w:spacing w:before="0" w:after="0"/>
                                    <w:jc w:val="left"/>
                                    <w:rPr/>
                                  </w:pPr>
                                  <w:r>
                                    <w:rPr/>
                                    <w:t> </w:t>
                                  </w:r>
                                </w:p>
                              </w:tc>
                              <w:tc>
                                <w:tcPr>
                                  <w:tcW w:w="218" w:type="dxa"/>
                                  <w:tcBorders/>
                                  <w:shd w:fill="E7E0E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2150"/>
                              <w:gridCol w:w="170"/>
                              <w:gridCol w:w="170"/>
                              <w:gridCol w:w="358"/>
                              <w:gridCol w:w="170"/>
                              <w:gridCol w:w="170"/>
                              <w:gridCol w:w="3108"/>
                              <w:gridCol w:w="170"/>
                              <w:gridCol w:w="170"/>
                              <w:gridCol w:w="389"/>
                              <w:gridCol w:w="170"/>
                              <w:gridCol w:w="170"/>
                              <w:gridCol w:w="2438"/>
                              <w:gridCol w:w="217"/>
                            </w:tblGrid>
                            <w:tr>
                              <w:trPr/>
                              <w:tc>
                                <w:tcPr>
                                  <w:tcW w:w="185" w:type="dxa"/>
                                  <w:tcBorders/>
                                  <w:shd w:fill="E7E0EF" w:val="clear"/>
                                  <w:vAlign w:val="center"/>
                                </w:tcPr>
                                <w:p>
                                  <w:pPr>
                                    <w:pStyle w:val="TableContents"/>
                                    <w:bidi w:val="0"/>
                                    <w:spacing w:before="0" w:after="0"/>
                                    <w:jc w:val="left"/>
                                    <w:rPr/>
                                  </w:pPr>
                                  <w:r>
                                    <w:rPr/>
                                    <w:t> </w:t>
                                  </w:r>
                                </w:p>
                              </w:tc>
                              <w:tc>
                                <w:tcPr>
                                  <w:tcW w:w="215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58"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108"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89"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438" w:type="dxa"/>
                                  <w:tcBorders/>
                                  <w:shd w:fill="E7E0EF" w:val="clear"/>
                                  <w:vAlign w:val="center"/>
                                </w:tcPr>
                                <w:p>
                                  <w:pPr>
                                    <w:pStyle w:val="TableContents"/>
                                    <w:bidi w:val="0"/>
                                    <w:spacing w:before="0" w:after="0"/>
                                    <w:jc w:val="left"/>
                                    <w:rPr/>
                                  </w:pPr>
                                  <w:r>
                                    <w:rPr/>
                                    <w:t> </w:t>
                                  </w:r>
                                </w:p>
                              </w:tc>
                              <w:tc>
                                <w:tcPr>
                                  <w:tcW w:w="217" w:type="dxa"/>
                                  <w:tcBorders/>
                                  <w:shd w:fill="E7E0EF" w:val="clear"/>
                                  <w:vAlign w:val="center"/>
                                </w:tcPr>
                                <w:p>
                                  <w:pPr>
                                    <w:pStyle w:val="TableContents"/>
                                    <w:bidi w:val="0"/>
                                    <w:spacing w:before="0" w:after="0"/>
                                    <w:jc w:val="left"/>
                                    <w:rPr/>
                                  </w:pPr>
                                  <w:r>
                                    <w:rPr/>
                                    <w:t> </w:t>
                                  </w:r>
                                </w:p>
                              </w:tc>
                            </w:tr>
                            <w:tr>
                              <w:trPr/>
                              <w:tc>
                                <w:tcPr>
                                  <w:tcW w:w="185" w:type="dxa"/>
                                  <w:vMerge w:val="restart"/>
                                  <w:tcBorders/>
                                  <w:shd w:fill="E7E0EF" w:val="clear"/>
                                  <w:vAlign w:val="center"/>
                                </w:tcPr>
                                <w:p>
                                  <w:pPr>
                                    <w:pStyle w:val="TableContents"/>
                                    <w:bidi w:val="0"/>
                                    <w:spacing w:before="0" w:after="0"/>
                                    <w:jc w:val="left"/>
                                    <w:rPr/>
                                  </w:pPr>
                                  <w:r>
                                    <w:rPr/>
                                    <w:t> </w:t>
                                  </w:r>
                                </w:p>
                              </w:tc>
                              <w:tc>
                                <w:tcPr>
                                  <w:tcW w:w="2150" w:type="dxa"/>
                                  <w:vMerge w:val="restart"/>
                                  <w:tcBorders/>
                                  <w:shd w:fill="E7E0EF" w:val="clear"/>
                                  <w:vAlign w:val="center"/>
                                </w:tcPr>
                                <w:p>
                                  <w:pPr>
                                    <w:pStyle w:val="TableContents"/>
                                    <w:bidi w:val="0"/>
                                    <w:spacing w:before="0" w:after="283"/>
                                    <w:ind w:left="60" w:right="0" w:hanging="0"/>
                                    <w:jc w:val="left"/>
                                    <w:rPr>
                                      <w:rFonts w:ascii="Arial;Helvetica;sans-serif" w:hAnsi="Arial;Helvetica;sans-serif"/>
                                      <w:b/>
                                      <w:color w:val="72288A"/>
                                      <w:sz w:val="16"/>
                                    </w:rPr>
                                  </w:pPr>
                                  <w:r>
                                    <w:rPr>
                                      <w:rFonts w:ascii="Arial;Helvetica;sans-serif" w:hAnsi="Arial;Helvetica;sans-serif"/>
                                      <w:b/>
                                      <w:color w:val="72288A"/>
                                      <w:sz w:val="16"/>
                                    </w:rPr>
                                    <w:t>Beneficial Owners</w:t>
                                  </w:r>
                                </w:p>
                                <w:p>
                                  <w:pPr>
                                    <w:pStyle w:val="TableContents"/>
                                    <w:bidi w:val="0"/>
                                    <w:spacing w:lineRule="atLeast" w:line="160" w:before="0" w:after="283"/>
                                    <w:ind w:left="60" w:right="0" w:hanging="0"/>
                                    <w:jc w:val="left"/>
                                    <w:rPr>
                                      <w:rFonts w:ascii="Arial;Helvetica;sans-serif" w:hAnsi="Arial;Helvetica;sans-serif"/>
                                      <w:b w:val="false"/>
                                      <w:color w:val="636466"/>
                                      <w:sz w:val="14"/>
                                    </w:rPr>
                                  </w:pPr>
                                  <w:r>
                                    <w:rPr>
                                      <w:rFonts w:ascii="Arial;Helvetica;sans-serif" w:hAnsi="Arial;Helvetica;sans-serif"/>
                                      <w:b w:val="false"/>
                                      <w:color w:val="636466"/>
                                      <w:sz w:val="14"/>
                                    </w:rPr>
                                    <w:t>(shares held through your bank or brokerage account)</w:t>
                                  </w:r>
                                </w:p>
                              </w:tc>
                              <w:tc>
                                <w:tcPr>
                                  <w:tcW w:w="170" w:type="dxa"/>
                                  <w:vMerge w:val="restart"/>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58" w:type="dxa"/>
                                  <w:tcBorders/>
                                  <w:shd w:fill="E7E0EF" w:val="clear"/>
                                  <w:vAlign w:val="center"/>
                                </w:tcPr>
                                <w:p>
                                  <w:pPr>
                                    <w:pStyle w:val="TableContents"/>
                                    <w:bidi w:val="0"/>
                                    <w:spacing w:before="0" w:after="283"/>
                                    <w:ind w:left="0" w:right="0" w:hanging="0"/>
                                    <w:jc w:val="left"/>
                                    <w:rPr>
                                      <w:color w:val="636466"/>
                                    </w:rPr>
                                  </w:pPr>
                                  <w:r>
                                    <w:rPr>
                                      <w:color w:val="636466"/>
                                    </w:rPr>
                                    <w:drawing>
                                      <wp:inline distT="0" distB="0" distL="0" distR="0">
                                        <wp:extent cx="180975" cy="18097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80975" cy="180975"/>
                                                </a:xfrm>
                                                <a:prstGeom prst="rect">
                                                  <a:avLst/>
                                                </a:prstGeom>
                                              </pic:spPr>
                                            </pic:pic>
                                          </a:graphicData>
                                        </a:graphic>
                                      </wp:inline>
                                    </w:drawing>
                                  </w: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108" w:type="dxa"/>
                                  <w:tcBorders/>
                                  <w:shd w:fill="E7E0EF" w:val="clear"/>
                                  <w:vAlign w:val="center"/>
                                </w:tcPr>
                                <w:p>
                                  <w:pPr>
                                    <w:pStyle w:val="TableContents"/>
                                    <w:bidi w:val="0"/>
                                    <w:spacing w:before="0" w:after="283"/>
                                    <w:ind w:left="0" w:right="0" w:hanging="0"/>
                                    <w:jc w:val="left"/>
                                    <w:rPr>
                                      <w:rFonts w:ascii="Arial;Helvetica;sans-serif" w:hAnsi="Arial;Helvetica;sans-serif"/>
                                      <w:b/>
                                      <w:color w:val="72288A"/>
                                      <w:sz w:val="16"/>
                                    </w:rPr>
                                  </w:pPr>
                                  <w:r>
                                    <w:rPr>
                                      <w:rFonts w:ascii="Arial;Helvetica;sans-serif" w:hAnsi="Arial;Helvetica;sans-serif"/>
                                      <w:b/>
                                      <w:color w:val="72288A"/>
                                      <w:sz w:val="16"/>
                                    </w:rPr>
                                    <w:t>Via Internet</w:t>
                                  </w:r>
                                </w:p>
                                <w:p>
                                  <w:pPr>
                                    <w:pStyle w:val="TableContents"/>
                                    <w:bidi w:val="0"/>
                                    <w:spacing w:before="0" w:after="283"/>
                                    <w:ind w:left="0" w:right="0" w:hanging="0"/>
                                    <w:jc w:val="left"/>
                                    <w:rPr>
                                      <w:rFonts w:ascii="Arial;Helvetica;sans-serif" w:hAnsi="Arial;Helvetica;sans-serif"/>
                                      <w:b/>
                                      <w:color w:val="72288A"/>
                                      <w:sz w:val="14"/>
                                    </w:rPr>
                                  </w:pPr>
                                  <w:r>
                                    <w:rPr>
                                      <w:rFonts w:ascii="Arial;Helvetica;sans-serif" w:hAnsi="Arial;Helvetica;sans-serif"/>
                                      <w:b w:val="false"/>
                                      <w:color w:val="636466"/>
                                      <w:sz w:val="14"/>
                                    </w:rPr>
                                    <w:t xml:space="preserve">Visit </w:t>
                                  </w:r>
                                  <w:r>
                                    <w:rPr>
                                      <w:rFonts w:ascii="Arial;Helvetica;sans-serif" w:hAnsi="Arial;Helvetica;sans-serif"/>
                                      <w:b/>
                                      <w:color w:val="72288A"/>
                                      <w:sz w:val="14"/>
                                    </w:rPr>
                                    <w:t>www.proxyvote.com</w:t>
                                  </w:r>
                                  <w:r>
                                    <w:rPr>
                                      <w:rFonts w:ascii="Arial;Helvetica;sans-serif" w:hAnsi="Arial;Helvetica;sans-serif"/>
                                      <w:b/>
                                      <w:color w:val="636466"/>
                                      <w:sz w:val="14"/>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vMerge w:val="restart"/>
                                  <w:tcBorders/>
                                  <w:shd w:fill="E7E0EF" w:val="clear"/>
                                  <w:vAlign w:val="center"/>
                                </w:tcPr>
                                <w:p>
                                  <w:pPr>
                                    <w:pStyle w:val="TableContents"/>
                                    <w:bidi w:val="0"/>
                                    <w:spacing w:before="0" w:after="0"/>
                                    <w:jc w:val="left"/>
                                    <w:rPr/>
                                  </w:pPr>
                                  <w:r>
                                    <w:rPr/>
                                    <w:t> </w:t>
                                  </w:r>
                                </w:p>
                              </w:tc>
                              <w:tc>
                                <w:tcPr>
                                  <w:tcW w:w="389" w:type="dxa"/>
                                  <w:vMerge w:val="restart"/>
                                  <w:tcBorders/>
                                  <w:shd w:fill="E7E0EF" w:val="clear"/>
                                  <w:vAlign w:val="center"/>
                                </w:tcPr>
                                <w:p>
                                  <w:pPr>
                                    <w:pStyle w:val="TableContents"/>
                                    <w:bidi w:val="0"/>
                                    <w:spacing w:before="0" w:after="283"/>
                                    <w:ind w:left="0" w:right="0" w:hanging="0"/>
                                    <w:jc w:val="left"/>
                                    <w:rPr>
                                      <w:color w:val="636466"/>
                                    </w:rPr>
                                  </w:pPr>
                                  <w:r>
                                    <w:rPr>
                                      <w:color w:val="636466"/>
                                    </w:rPr>
                                    <w:drawing>
                                      <wp:inline distT="0" distB="0" distL="0" distR="0">
                                        <wp:extent cx="180975" cy="1238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80975" cy="123825"/>
                                                </a:xfrm>
                                                <a:prstGeom prst="rect">
                                                  <a:avLst/>
                                                </a:prstGeom>
                                              </pic:spPr>
                                            </pic:pic>
                                          </a:graphicData>
                                        </a:graphic>
                                      </wp:inline>
                                    </w:drawing>
                                  </w:r>
                                  <w:r>
                                    <w:rPr>
                                      <w:color w:val="636466"/>
                                    </w:rPr>
                                    <w:t> </w:t>
                                  </w:r>
                                  <w:r>
                                    <w:rPr>
                                      <w:color w:val="636466"/>
                                    </w:rPr>
                                    <w:t xml:space="preserve"> </w:t>
                                  </w:r>
                                </w:p>
                              </w:tc>
                              <w:tc>
                                <w:tcPr>
                                  <w:tcW w:w="170" w:type="dxa"/>
                                  <w:vMerge w:val="restart"/>
                                  <w:tcBorders/>
                                  <w:shd w:fill="E7E0EF" w:val="clear"/>
                                  <w:vAlign w:val="center"/>
                                </w:tcPr>
                                <w:p>
                                  <w:pPr>
                                    <w:pStyle w:val="TableContents"/>
                                    <w:bidi w:val="0"/>
                                    <w:spacing w:before="0" w:after="0"/>
                                    <w:jc w:val="left"/>
                                    <w:rPr/>
                                  </w:pPr>
                                  <w:r>
                                    <w:rPr/>
                                    <w:t> </w:t>
                                  </w:r>
                                </w:p>
                              </w:tc>
                              <w:tc>
                                <w:tcPr>
                                  <w:tcW w:w="170" w:type="dxa"/>
                                  <w:vMerge w:val="restart"/>
                                  <w:tcBorders/>
                                  <w:shd w:fill="E7E0EF" w:val="clear"/>
                                  <w:vAlign w:val="center"/>
                                </w:tcPr>
                                <w:p>
                                  <w:pPr>
                                    <w:pStyle w:val="TableContents"/>
                                    <w:bidi w:val="0"/>
                                    <w:spacing w:before="0" w:after="0"/>
                                    <w:jc w:val="left"/>
                                    <w:rPr/>
                                  </w:pPr>
                                  <w:r>
                                    <w:rPr/>
                                    <w:t> </w:t>
                                  </w:r>
                                </w:p>
                              </w:tc>
                              <w:tc>
                                <w:tcPr>
                                  <w:tcW w:w="2438" w:type="dxa"/>
                                  <w:vMerge w:val="restart"/>
                                  <w:tcBorders/>
                                  <w:shd w:fill="E7E0EF" w:val="clear"/>
                                  <w:vAlign w:val="center"/>
                                </w:tcPr>
                                <w:p>
                                  <w:pPr>
                                    <w:pStyle w:val="TableContents"/>
                                    <w:bidi w:val="0"/>
                                    <w:spacing w:before="0" w:after="283"/>
                                    <w:ind w:left="0" w:right="0" w:hanging="0"/>
                                    <w:jc w:val="left"/>
                                    <w:rPr>
                                      <w:rFonts w:ascii="Arial;Helvetica;sans-serif" w:hAnsi="Arial;Helvetica;sans-serif"/>
                                      <w:b/>
                                      <w:color w:val="72288A"/>
                                      <w:sz w:val="16"/>
                                    </w:rPr>
                                  </w:pPr>
                                  <w:r>
                                    <w:rPr>
                                      <w:rFonts w:ascii="Arial;Helvetica;sans-serif" w:hAnsi="Arial;Helvetica;sans-serif"/>
                                      <w:b/>
                                      <w:color w:val="72288A"/>
                                      <w:sz w:val="16"/>
                                    </w:rPr>
                                    <w:t>By mail</w:t>
                                  </w:r>
                                </w:p>
                                <w:p>
                                  <w:pPr>
                                    <w:pStyle w:val="TableContents"/>
                                    <w:bidi w:val="0"/>
                                    <w:spacing w:before="0" w:after="283"/>
                                    <w:ind w:left="0" w:right="0" w:hanging="0"/>
                                    <w:jc w:val="left"/>
                                    <w:rPr>
                                      <w:rFonts w:ascii="Arial;Helvetica;sans-serif" w:hAnsi="Arial;Helvetica;sans-serif"/>
                                      <w:b w:val="false"/>
                                      <w:color w:val="636466"/>
                                      <w:sz w:val="14"/>
                                    </w:rPr>
                                  </w:pPr>
                                  <w:r>
                                    <w:rPr>
                                      <w:rFonts w:ascii="Arial;Helvetica;sans-serif" w:hAnsi="Arial;Helvetica;sans-serif"/>
                                      <w:b w:val="false"/>
                                      <w:color w:val="636466"/>
                                      <w:sz w:val="14"/>
                                    </w:rPr>
                                    <w:t>Sign, date and return</w:t>
                                  </w:r>
                                </w:p>
                                <w:p>
                                  <w:pPr>
                                    <w:pStyle w:val="TableContents"/>
                                    <w:bidi w:val="0"/>
                                    <w:spacing w:lineRule="atLeast" w:line="142" w:before="0" w:after="283"/>
                                    <w:ind w:left="0" w:right="0" w:hanging="0"/>
                                    <w:jc w:val="left"/>
                                    <w:rPr>
                                      <w:rFonts w:ascii="Arial;Helvetica;sans-serif" w:hAnsi="Arial;Helvetica;sans-serif"/>
                                      <w:b w:val="false"/>
                                      <w:color w:val="636466"/>
                                      <w:sz w:val="14"/>
                                    </w:rPr>
                                  </w:pPr>
                                  <w:r>
                                    <w:rPr>
                                      <w:rFonts w:ascii="Arial;Helvetica;sans-serif" w:hAnsi="Arial;Helvetica;sans-serif"/>
                                      <w:b w:val="false"/>
                                      <w:color w:val="636466"/>
                                      <w:sz w:val="14"/>
                                    </w:rPr>
                                    <w:t xml:space="preserve">your voting instruction form pursuant to the instructions therein </w:t>
                                  </w:r>
                                </w:p>
                              </w:tc>
                              <w:tc>
                                <w:tcPr>
                                  <w:tcW w:w="217" w:type="dxa"/>
                                  <w:vMerge w:val="restart"/>
                                  <w:tcBorders/>
                                  <w:shd w:fill="E7E0EF" w:val="clear"/>
                                  <w:vAlign w:val="center"/>
                                </w:tcPr>
                                <w:p>
                                  <w:pPr>
                                    <w:pStyle w:val="TableContents"/>
                                    <w:bidi w:val="0"/>
                                    <w:spacing w:before="0" w:after="0"/>
                                    <w:jc w:val="left"/>
                                    <w:rPr/>
                                  </w:pPr>
                                  <w:r>
                                    <w:rPr/>
                                    <w:t> </w:t>
                                  </w:r>
                                </w:p>
                              </w:tc>
                            </w:tr>
                            <w:tr>
                              <w:trPr/>
                              <w:tc>
                                <w:tcPr>
                                  <w:tcW w:w="185" w:type="dxa"/>
                                  <w:vMerge w:val="continue"/>
                                  <w:tcBorders/>
                                  <w:shd w:fill="E7E0EF" w:val="clear"/>
                                  <w:vAlign w:val="center"/>
                                </w:tcPr>
                                <w:p>
                                  <w:pPr>
                                    <w:pStyle w:val="Normal"/>
                                    <w:bidi w:val="0"/>
                                    <w:jc w:val="left"/>
                                    <w:rPr/>
                                  </w:pPr>
                                  <w:r>
                                    <w:rPr/>
                                  </w:r>
                                </w:p>
                              </w:tc>
                              <w:tc>
                                <w:tcPr>
                                  <w:tcW w:w="2150" w:type="dxa"/>
                                  <w:vMerge w:val="continue"/>
                                  <w:tcBorders/>
                                  <w:shd w:fill="E7E0EF" w:val="clear"/>
                                  <w:vAlign w:val="center"/>
                                </w:tcPr>
                                <w:p>
                                  <w:pPr>
                                    <w:pStyle w:val="Normal"/>
                                    <w:bidi w:val="0"/>
                                    <w:jc w:val="left"/>
                                    <w:rPr/>
                                  </w:pPr>
                                  <w:r>
                                    <w:rPr/>
                                  </w:r>
                                </w:p>
                              </w:tc>
                              <w:tc>
                                <w:tcPr>
                                  <w:tcW w:w="170" w:type="dxa"/>
                                  <w:vMerge w:val="continue"/>
                                  <w:tcBorders/>
                                  <w:shd w:fill="E7E0EF" w:val="clear"/>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358" w:type="dxa"/>
                                  <w:tcBorders/>
                                  <w:shd w:fill="E7E0EF" w:val="clear"/>
                                  <w:vAlign w:val="center"/>
                                </w:tcPr>
                                <w:p>
                                  <w:pPr>
                                    <w:pStyle w:val="TableContents"/>
                                    <w:bidi w:val="0"/>
                                    <w:spacing w:before="0" w:after="283"/>
                                    <w:jc w:val="center"/>
                                    <w:rPr>
                                      <w:color w:val="636466"/>
                                    </w:rPr>
                                  </w:pPr>
                                  <w:r>
                                    <w:rPr>
                                      <w:color w:val="636466"/>
                                    </w:rPr>
                                    <w:drawing>
                                      <wp:inline distT="0" distB="0" distL="0" distR="0">
                                        <wp:extent cx="152400" cy="21907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52400" cy="219075"/>
                                                </a:xfrm>
                                                <a:prstGeom prst="rect">
                                                  <a:avLst/>
                                                </a:prstGeom>
                                              </pic:spPr>
                                            </pic:pic>
                                          </a:graphicData>
                                        </a:graphic>
                                      </wp:inline>
                                    </w:drawing>
                                  </w:r>
                                </w:p>
                                <w:p>
                                  <w:pPr>
                                    <w:pStyle w:val="TableContents"/>
                                    <w:bidi w:val="0"/>
                                    <w:spacing w:before="0" w:after="283"/>
                                    <w:ind w:left="0"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108" w:type="dxa"/>
                                  <w:tcBorders/>
                                  <w:shd w:fill="E7E0EF" w:val="clear"/>
                                  <w:vAlign w:val="center"/>
                                </w:tcPr>
                                <w:p>
                                  <w:pPr>
                                    <w:pStyle w:val="TableContents"/>
                                    <w:bidi w:val="0"/>
                                    <w:spacing w:before="0" w:after="283"/>
                                    <w:ind w:left="0" w:right="0" w:hanging="0"/>
                                    <w:jc w:val="left"/>
                                    <w:rPr>
                                      <w:rFonts w:ascii="Arial;Helvetica;sans-serif" w:hAnsi="Arial;Helvetica;sans-serif"/>
                                      <w:b/>
                                      <w:color w:val="72288A"/>
                                      <w:sz w:val="16"/>
                                    </w:rPr>
                                  </w:pPr>
                                  <w:r>
                                    <w:rPr>
                                      <w:rFonts w:ascii="Arial;Helvetica;sans-serif" w:hAnsi="Arial;Helvetica;sans-serif"/>
                                      <w:b/>
                                      <w:color w:val="72288A"/>
                                      <w:sz w:val="16"/>
                                    </w:rPr>
                                    <w:t>By phone</w:t>
                                  </w:r>
                                </w:p>
                                <w:p>
                                  <w:pPr>
                                    <w:pStyle w:val="TableContents"/>
                                    <w:bidi w:val="0"/>
                                    <w:spacing w:lineRule="atLeast" w:line="142" w:before="0" w:after="283"/>
                                    <w:ind w:left="0" w:right="0" w:hanging="0"/>
                                    <w:jc w:val="left"/>
                                    <w:rPr>
                                      <w:rFonts w:ascii="Arial;Helvetica;sans-serif" w:hAnsi="Arial;Helvetica;sans-serif"/>
                                      <w:b w:val="false"/>
                                      <w:color w:val="636466"/>
                                      <w:sz w:val="14"/>
                                    </w:rPr>
                                  </w:pPr>
                                  <w:r>
                                    <w:rPr>
                                      <w:rFonts w:ascii="Arial;Helvetica;sans-serif" w:hAnsi="Arial;Helvetica;sans-serif"/>
                                      <w:b w:val="false"/>
                                      <w:color w:val="636466"/>
                                      <w:sz w:val="14"/>
                                    </w:rPr>
                                    <w:t>Call 1-800-454-8683 or the telephone number on your voting instruction form</w:t>
                                  </w:r>
                                </w:p>
                              </w:tc>
                              <w:tc>
                                <w:tcPr>
                                  <w:tcW w:w="170" w:type="dxa"/>
                                  <w:tcBorders/>
                                  <w:shd w:fill="E7E0EF" w:val="clear"/>
                                  <w:vAlign w:val="center"/>
                                </w:tcPr>
                                <w:p>
                                  <w:pPr>
                                    <w:pStyle w:val="TableContents"/>
                                    <w:bidi w:val="0"/>
                                    <w:spacing w:before="0" w:after="0"/>
                                    <w:jc w:val="left"/>
                                    <w:rPr/>
                                  </w:pPr>
                                  <w:r>
                                    <w:rPr/>
                                    <w:t> </w:t>
                                  </w:r>
                                </w:p>
                              </w:tc>
                              <w:tc>
                                <w:tcPr>
                                  <w:tcW w:w="170" w:type="dxa"/>
                                  <w:vMerge w:val="continue"/>
                                  <w:tcBorders/>
                                  <w:shd w:fill="E7E0EF" w:val="clear"/>
                                  <w:vAlign w:val="center"/>
                                </w:tcPr>
                                <w:p>
                                  <w:pPr>
                                    <w:pStyle w:val="Normal"/>
                                    <w:bidi w:val="0"/>
                                    <w:jc w:val="left"/>
                                    <w:rPr/>
                                  </w:pPr>
                                  <w:r>
                                    <w:rPr/>
                                  </w:r>
                                </w:p>
                              </w:tc>
                              <w:tc>
                                <w:tcPr>
                                  <w:tcW w:w="389" w:type="dxa"/>
                                  <w:vMerge w:val="continue"/>
                                  <w:tcBorders/>
                                  <w:shd w:fill="E7E0EF" w:val="clear"/>
                                  <w:vAlign w:val="center"/>
                                </w:tcPr>
                                <w:p>
                                  <w:pPr>
                                    <w:pStyle w:val="Normal"/>
                                    <w:bidi w:val="0"/>
                                    <w:jc w:val="left"/>
                                    <w:rPr/>
                                  </w:pPr>
                                  <w:r>
                                    <w:rPr/>
                                  </w:r>
                                </w:p>
                              </w:tc>
                              <w:tc>
                                <w:tcPr>
                                  <w:tcW w:w="170" w:type="dxa"/>
                                  <w:vMerge w:val="continue"/>
                                  <w:tcBorders/>
                                  <w:shd w:fill="E7E0EF" w:val="clear"/>
                                  <w:vAlign w:val="center"/>
                                </w:tcPr>
                                <w:p>
                                  <w:pPr>
                                    <w:pStyle w:val="Normal"/>
                                    <w:bidi w:val="0"/>
                                    <w:jc w:val="left"/>
                                    <w:rPr/>
                                  </w:pPr>
                                  <w:r>
                                    <w:rPr/>
                                  </w:r>
                                </w:p>
                              </w:tc>
                              <w:tc>
                                <w:tcPr>
                                  <w:tcW w:w="170" w:type="dxa"/>
                                  <w:vMerge w:val="continue"/>
                                  <w:tcBorders/>
                                  <w:shd w:fill="E7E0EF" w:val="clear"/>
                                  <w:vAlign w:val="center"/>
                                </w:tcPr>
                                <w:p>
                                  <w:pPr>
                                    <w:pStyle w:val="Normal"/>
                                    <w:bidi w:val="0"/>
                                    <w:jc w:val="left"/>
                                    <w:rPr/>
                                  </w:pPr>
                                  <w:r>
                                    <w:rPr/>
                                  </w:r>
                                </w:p>
                              </w:tc>
                              <w:tc>
                                <w:tcPr>
                                  <w:tcW w:w="2438" w:type="dxa"/>
                                  <w:vMerge w:val="continue"/>
                                  <w:tcBorders/>
                                  <w:shd w:fill="E7E0EF" w:val="clear"/>
                                  <w:vAlign w:val="center"/>
                                </w:tcPr>
                                <w:p>
                                  <w:pPr>
                                    <w:pStyle w:val="Normal"/>
                                    <w:bidi w:val="0"/>
                                    <w:jc w:val="left"/>
                                    <w:rPr/>
                                  </w:pPr>
                                  <w:r>
                                    <w:rPr/>
                                  </w:r>
                                </w:p>
                              </w:tc>
                              <w:tc>
                                <w:tcPr>
                                  <w:tcW w:w="217" w:type="dxa"/>
                                  <w:vMerge w:val="continue"/>
                                  <w:tcBorders/>
                                  <w:shd w:fill="E7E0EF" w:val="clear"/>
                                  <w:vAlign w:val="center"/>
                                </w:tcPr>
                                <w:p>
                                  <w:pPr>
                                    <w:pStyle w:val="Normal"/>
                                    <w:bidi w:val="0"/>
                                    <w:jc w:val="left"/>
                                    <w:rPr/>
                                  </w:pPr>
                                  <w:r>
                                    <w:rPr/>
                                  </w:r>
                                </w:p>
                              </w:tc>
                            </w:tr>
                            <w:tr>
                              <w:trPr/>
                              <w:tc>
                                <w:tcPr>
                                  <w:tcW w:w="185" w:type="dxa"/>
                                  <w:tcBorders/>
                                  <w:shd w:fill="E7E0EF" w:val="clear"/>
                                  <w:vAlign w:val="center"/>
                                </w:tcPr>
                                <w:p>
                                  <w:pPr>
                                    <w:pStyle w:val="TableContents"/>
                                    <w:bidi w:val="0"/>
                                    <w:spacing w:before="0" w:after="0"/>
                                    <w:jc w:val="left"/>
                                    <w:rPr/>
                                  </w:pPr>
                                  <w:r>
                                    <w:rPr/>
                                    <w:t> </w:t>
                                  </w:r>
                                </w:p>
                              </w:tc>
                              <w:tc>
                                <w:tcPr>
                                  <w:tcW w:w="215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58"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108"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89"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438" w:type="dxa"/>
                                  <w:tcBorders/>
                                  <w:shd w:fill="E7E0EF" w:val="clear"/>
                                  <w:vAlign w:val="center"/>
                                </w:tcPr>
                                <w:p>
                                  <w:pPr>
                                    <w:pStyle w:val="TableContents"/>
                                    <w:bidi w:val="0"/>
                                    <w:spacing w:before="0" w:after="0"/>
                                    <w:jc w:val="left"/>
                                    <w:rPr/>
                                  </w:pPr>
                                  <w:r>
                                    <w:rPr/>
                                    <w:t> </w:t>
                                  </w:r>
                                </w:p>
                              </w:tc>
                              <w:tc>
                                <w:tcPr>
                                  <w:tcW w:w="217" w:type="dxa"/>
                                  <w:tcBorders/>
                                  <w:shd w:fill="E7E0EF" w:val="clear"/>
                                  <w:vAlign w:val="center"/>
                                </w:tcPr>
                                <w:p>
                                  <w:pPr>
                                    <w:pStyle w:val="TableContents"/>
                                    <w:bidi w:val="0"/>
                                    <w:spacing w:before="0" w:after="0"/>
                                    <w:jc w:val="left"/>
                                    <w:rPr/>
                                  </w:pPr>
                                  <w:r>
                                    <w:rPr/>
                                    <w:t>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74pt;height:294.9pt;mso-wrap-distance-left:12pt;mso-wrap-distance-right:0pt;mso-wrap-distance-top:0pt;mso-wrap-distance-bottom:0pt;margin-top:0pt;mso-position-vertical:top;mso-position-vertical-relative:text;margin-left:12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85"/>
                        <w:gridCol w:w="1967"/>
                        <w:gridCol w:w="170"/>
                        <w:gridCol w:w="170"/>
                        <w:gridCol w:w="345"/>
                        <w:gridCol w:w="170"/>
                        <w:gridCol w:w="170"/>
                        <w:gridCol w:w="2384"/>
                        <w:gridCol w:w="170"/>
                        <w:gridCol w:w="170"/>
                        <w:gridCol w:w="359"/>
                        <w:gridCol w:w="170"/>
                        <w:gridCol w:w="170"/>
                        <w:gridCol w:w="3387"/>
                        <w:gridCol w:w="218"/>
                      </w:tblGrid>
                      <w:tr>
                        <w:trPr/>
                        <w:tc>
                          <w:tcPr>
                            <w:tcW w:w="185" w:type="dxa"/>
                            <w:tcBorders/>
                            <w:shd w:fill="E7E0EF" w:val="clear"/>
                            <w:vAlign w:val="center"/>
                          </w:tcPr>
                          <w:p>
                            <w:pPr>
                              <w:pStyle w:val="TableContents"/>
                              <w:bidi w:val="0"/>
                              <w:spacing w:before="0" w:after="0"/>
                              <w:jc w:val="left"/>
                              <w:rPr/>
                            </w:pPr>
                            <w:r>
                              <w:rPr/>
                              <w:t> </w:t>
                            </w:r>
                          </w:p>
                        </w:tc>
                        <w:tc>
                          <w:tcPr>
                            <w:tcW w:w="1967"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4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384"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59"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387" w:type="dxa"/>
                            <w:tcBorders/>
                            <w:shd w:fill="E7E0EF" w:val="clear"/>
                            <w:vAlign w:val="center"/>
                          </w:tcPr>
                          <w:p>
                            <w:pPr>
                              <w:pStyle w:val="TableContents"/>
                              <w:bidi w:val="0"/>
                              <w:spacing w:before="0" w:after="0"/>
                              <w:jc w:val="left"/>
                              <w:rPr/>
                            </w:pPr>
                            <w:r>
                              <w:rPr/>
                              <w:t> </w:t>
                            </w:r>
                          </w:p>
                        </w:tc>
                        <w:tc>
                          <w:tcPr>
                            <w:tcW w:w="218" w:type="dxa"/>
                            <w:tcBorders/>
                            <w:shd w:fill="E7E0EF" w:val="clear"/>
                            <w:vAlign w:val="center"/>
                          </w:tcPr>
                          <w:p>
                            <w:pPr>
                              <w:pStyle w:val="TableContents"/>
                              <w:bidi w:val="0"/>
                              <w:spacing w:before="0" w:after="0"/>
                              <w:jc w:val="left"/>
                              <w:rPr/>
                            </w:pPr>
                            <w:r>
                              <w:rPr/>
                              <w:t> </w:t>
                            </w:r>
                          </w:p>
                        </w:tc>
                      </w:tr>
                      <w:tr>
                        <w:trPr/>
                        <w:tc>
                          <w:tcPr>
                            <w:tcW w:w="185" w:type="dxa"/>
                            <w:vMerge w:val="restart"/>
                            <w:tcBorders/>
                            <w:shd w:fill="E7E0EF" w:val="clear"/>
                            <w:vAlign w:val="center"/>
                          </w:tcPr>
                          <w:p>
                            <w:pPr>
                              <w:pStyle w:val="TableContents"/>
                              <w:bidi w:val="0"/>
                              <w:spacing w:before="0" w:after="0"/>
                              <w:jc w:val="left"/>
                              <w:rPr/>
                            </w:pPr>
                            <w:r>
                              <w:rPr/>
                              <w:t> </w:t>
                            </w:r>
                          </w:p>
                        </w:tc>
                        <w:tc>
                          <w:tcPr>
                            <w:tcW w:w="1967" w:type="dxa"/>
                            <w:vMerge w:val="restart"/>
                            <w:tcBorders/>
                            <w:shd w:fill="E7E0EF" w:val="clear"/>
                            <w:vAlign w:val="center"/>
                          </w:tcPr>
                          <w:p>
                            <w:pPr>
                              <w:pStyle w:val="TableContents"/>
                              <w:bidi w:val="0"/>
                              <w:spacing w:before="0" w:after="283"/>
                              <w:ind w:left="60" w:right="0" w:hanging="0"/>
                              <w:jc w:val="left"/>
                              <w:rPr>
                                <w:rFonts w:ascii="Arial;Helvetica;sans-serif" w:hAnsi="Arial;Helvetica;sans-serif"/>
                                <w:b/>
                                <w:color w:val="72288A"/>
                                <w:sz w:val="16"/>
                              </w:rPr>
                            </w:pPr>
                            <w:r>
                              <w:rPr>
                                <w:rFonts w:ascii="Arial;Helvetica;sans-serif" w:hAnsi="Arial;Helvetica;sans-serif"/>
                                <w:b/>
                                <w:color w:val="72288A"/>
                                <w:sz w:val="16"/>
                              </w:rPr>
                              <w:t>Shareholders of Record</w:t>
                            </w:r>
                          </w:p>
                          <w:p>
                            <w:pPr>
                              <w:pStyle w:val="TableContents"/>
                              <w:bidi w:val="0"/>
                              <w:spacing w:lineRule="atLeast" w:line="160" w:before="0" w:after="283"/>
                              <w:ind w:left="60" w:right="0" w:hanging="0"/>
                              <w:jc w:val="left"/>
                              <w:rPr>
                                <w:rFonts w:ascii="Arial;Helvetica;sans-serif" w:hAnsi="Arial;Helvetica;sans-serif"/>
                                <w:b w:val="false"/>
                                <w:color w:val="636466"/>
                                <w:sz w:val="14"/>
                              </w:rPr>
                            </w:pPr>
                            <w:r>
                              <w:rPr>
                                <w:rFonts w:ascii="Arial;Helvetica;sans-serif" w:hAnsi="Arial;Helvetica;sans-serif"/>
                                <w:b w:val="false"/>
                                <w:color w:val="636466"/>
                                <w:sz w:val="14"/>
                              </w:rPr>
                              <w:t>(shares registered on the books of the Company via Equiniti Trust Company)</w:t>
                            </w:r>
                          </w:p>
                        </w:tc>
                        <w:tc>
                          <w:tcPr>
                            <w:tcW w:w="170" w:type="dxa"/>
                            <w:vMerge w:val="restart"/>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45" w:type="dxa"/>
                            <w:tcBorders/>
                            <w:shd w:fill="E7E0EF" w:val="clear"/>
                            <w:vAlign w:val="center"/>
                          </w:tcPr>
                          <w:p>
                            <w:pPr>
                              <w:pStyle w:val="TableContents"/>
                              <w:bidi w:val="0"/>
                              <w:spacing w:before="0" w:after="283"/>
                              <w:ind w:left="0" w:right="0" w:hanging="0"/>
                              <w:jc w:val="left"/>
                              <w:rPr>
                                <w:color w:val="636466"/>
                              </w:rPr>
                            </w:pPr>
                            <w:r>
                              <w:rPr>
                                <w:color w:val="636466"/>
                              </w:rPr>
                              <w:drawing>
                                <wp:inline distT="0" distB="0" distL="0" distR="0">
                                  <wp:extent cx="180975" cy="180975"/>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15"/>
                                          <a:stretch>
                                            <a:fillRect/>
                                          </a:stretch>
                                        </pic:blipFill>
                                        <pic:spPr bwMode="auto">
                                          <a:xfrm>
                                            <a:off x="0" y="0"/>
                                            <a:ext cx="180975" cy="180975"/>
                                          </a:xfrm>
                                          <a:prstGeom prst="rect">
                                            <a:avLst/>
                                          </a:prstGeom>
                                        </pic:spPr>
                                      </pic:pic>
                                    </a:graphicData>
                                  </a:graphic>
                                </wp:inline>
                              </w:drawing>
                            </w: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384" w:type="dxa"/>
                            <w:tcBorders/>
                            <w:shd w:fill="E7E0EF" w:val="clear"/>
                            <w:vAlign w:val="center"/>
                          </w:tcPr>
                          <w:p>
                            <w:pPr>
                              <w:pStyle w:val="TableContents"/>
                              <w:bidi w:val="0"/>
                              <w:spacing w:before="0" w:after="283"/>
                              <w:ind w:left="0" w:right="0" w:hanging="0"/>
                              <w:jc w:val="left"/>
                              <w:rPr>
                                <w:rFonts w:ascii="Arial;Helvetica;sans-serif" w:hAnsi="Arial;Helvetica;sans-serif"/>
                                <w:b/>
                                <w:color w:val="72288A"/>
                                <w:sz w:val="16"/>
                              </w:rPr>
                            </w:pPr>
                            <w:r>
                              <w:rPr>
                                <w:rFonts w:ascii="Arial;Helvetica;sans-serif" w:hAnsi="Arial;Helvetica;sans-serif"/>
                                <w:b/>
                                <w:color w:val="72288A"/>
                                <w:sz w:val="16"/>
                              </w:rPr>
                              <w:t>Via Internet</w:t>
                            </w:r>
                          </w:p>
                          <w:p>
                            <w:pPr>
                              <w:pStyle w:val="TableContents"/>
                              <w:bidi w:val="0"/>
                              <w:spacing w:before="0" w:after="283"/>
                              <w:ind w:left="0" w:right="0" w:hanging="0"/>
                              <w:jc w:val="left"/>
                              <w:rPr>
                                <w:rFonts w:ascii="Arial;Helvetica;sans-serif" w:hAnsi="Arial;Helvetica;sans-serif"/>
                                <w:b/>
                                <w:color w:val="72288A"/>
                                <w:sz w:val="14"/>
                              </w:rPr>
                            </w:pPr>
                            <w:r>
                              <w:rPr>
                                <w:rFonts w:ascii="Arial;Helvetica;sans-serif" w:hAnsi="Arial;Helvetica;sans-serif"/>
                                <w:b w:val="false"/>
                                <w:color w:val="636466"/>
                                <w:sz w:val="14"/>
                              </w:rPr>
                              <w:t xml:space="preserve">Visit </w:t>
                            </w:r>
                            <w:r>
                              <w:rPr>
                                <w:rFonts w:ascii="Arial;Helvetica;sans-serif" w:hAnsi="Arial;Helvetica;sans-serif"/>
                                <w:b/>
                                <w:color w:val="72288A"/>
                                <w:sz w:val="14"/>
                              </w:rPr>
                              <w:t>www.proxyvote.com</w:t>
                            </w:r>
                            <w:r>
                              <w:rPr>
                                <w:rFonts w:ascii="Arial;Helvetica;sans-serif" w:hAnsi="Arial;Helvetica;sans-serif"/>
                                <w:b/>
                                <w:color w:val="636466"/>
                                <w:sz w:val="14"/>
                              </w:rPr>
                              <w:t xml:space="preserve"> </w:t>
                            </w:r>
                            <w:r>
                              <w:rPr>
                                <w:rFonts w:ascii="Arial;Helvetica;sans-serif" w:hAnsi="Arial;Helvetica;sans-serif"/>
                                <w:b w:val="false"/>
                                <w:color w:val="636466"/>
                                <w:sz w:val="14"/>
                              </w:rPr>
                              <w:t xml:space="preserve">or scan the QR Barcode (the QR code will be on the proxy card) </w:t>
                            </w:r>
                          </w:p>
                        </w:tc>
                        <w:tc>
                          <w:tcPr>
                            <w:tcW w:w="170" w:type="dxa"/>
                            <w:tcBorders/>
                            <w:shd w:fill="E7E0EF" w:val="clear"/>
                            <w:vAlign w:val="center"/>
                          </w:tcPr>
                          <w:p>
                            <w:pPr>
                              <w:pStyle w:val="TableContents"/>
                              <w:bidi w:val="0"/>
                              <w:spacing w:before="0" w:after="0"/>
                              <w:jc w:val="left"/>
                              <w:rPr/>
                            </w:pPr>
                            <w:r>
                              <w:rPr/>
                              <w:t> </w:t>
                            </w:r>
                          </w:p>
                        </w:tc>
                        <w:tc>
                          <w:tcPr>
                            <w:tcW w:w="170" w:type="dxa"/>
                            <w:vMerge w:val="restart"/>
                            <w:tcBorders/>
                            <w:shd w:fill="E7E0EF" w:val="clear"/>
                            <w:vAlign w:val="center"/>
                          </w:tcPr>
                          <w:p>
                            <w:pPr>
                              <w:pStyle w:val="TableContents"/>
                              <w:bidi w:val="0"/>
                              <w:spacing w:before="0" w:after="0"/>
                              <w:jc w:val="left"/>
                              <w:rPr/>
                            </w:pPr>
                            <w:r>
                              <w:rPr/>
                              <w:t> </w:t>
                            </w:r>
                          </w:p>
                        </w:tc>
                        <w:tc>
                          <w:tcPr>
                            <w:tcW w:w="359" w:type="dxa"/>
                            <w:vMerge w:val="restart"/>
                            <w:tcBorders/>
                            <w:shd w:fill="E7E0EF" w:val="clear"/>
                            <w:vAlign w:val="center"/>
                          </w:tcPr>
                          <w:p>
                            <w:pPr>
                              <w:pStyle w:val="TableContents"/>
                              <w:bidi w:val="0"/>
                              <w:spacing w:before="0" w:after="283"/>
                              <w:ind w:left="0" w:right="0" w:hanging="0"/>
                              <w:jc w:val="left"/>
                              <w:rPr>
                                <w:color w:val="636466"/>
                              </w:rPr>
                            </w:pPr>
                            <w:r>
                              <w:rPr>
                                <w:color w:val="636466"/>
                              </w:rPr>
                              <w:drawing>
                                <wp:inline distT="0" distB="0" distL="0" distR="0">
                                  <wp:extent cx="180975" cy="123825"/>
                                  <wp:effectExtent l="0" t="0" r="0" b="0"/>
                                  <wp:docPr id="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 descr=""/>
                                          <pic:cNvPicPr>
                                            <a:picLocks noChangeAspect="1" noChangeArrowheads="1"/>
                                          </pic:cNvPicPr>
                                        </pic:nvPicPr>
                                        <pic:blipFill>
                                          <a:blip r:embed="rId16"/>
                                          <a:stretch>
                                            <a:fillRect/>
                                          </a:stretch>
                                        </pic:blipFill>
                                        <pic:spPr bwMode="auto">
                                          <a:xfrm>
                                            <a:off x="0" y="0"/>
                                            <a:ext cx="180975" cy="123825"/>
                                          </a:xfrm>
                                          <a:prstGeom prst="rect">
                                            <a:avLst/>
                                          </a:prstGeom>
                                        </pic:spPr>
                                      </pic:pic>
                                    </a:graphicData>
                                  </a:graphic>
                                </wp:inline>
                              </w:drawing>
                            </w:r>
                            <w:r>
                              <w:rPr>
                                <w:color w:val="636466"/>
                              </w:rPr>
                              <w:t> </w:t>
                            </w:r>
                            <w:r>
                              <w:rPr>
                                <w:color w:val="636466"/>
                              </w:rPr>
                              <w:t xml:space="preserve"> </w:t>
                            </w:r>
                          </w:p>
                        </w:tc>
                        <w:tc>
                          <w:tcPr>
                            <w:tcW w:w="170" w:type="dxa"/>
                            <w:vMerge w:val="restart"/>
                            <w:tcBorders/>
                            <w:shd w:fill="E7E0EF" w:val="clear"/>
                            <w:vAlign w:val="center"/>
                          </w:tcPr>
                          <w:p>
                            <w:pPr>
                              <w:pStyle w:val="TableContents"/>
                              <w:bidi w:val="0"/>
                              <w:spacing w:before="0" w:after="0"/>
                              <w:jc w:val="left"/>
                              <w:rPr/>
                            </w:pPr>
                            <w:r>
                              <w:rPr/>
                              <w:t> </w:t>
                            </w:r>
                          </w:p>
                        </w:tc>
                        <w:tc>
                          <w:tcPr>
                            <w:tcW w:w="170" w:type="dxa"/>
                            <w:vMerge w:val="restart"/>
                            <w:tcBorders/>
                            <w:shd w:fill="E7E0EF" w:val="clear"/>
                            <w:vAlign w:val="center"/>
                          </w:tcPr>
                          <w:p>
                            <w:pPr>
                              <w:pStyle w:val="TableContents"/>
                              <w:bidi w:val="0"/>
                              <w:spacing w:before="0" w:after="0"/>
                              <w:jc w:val="left"/>
                              <w:rPr/>
                            </w:pPr>
                            <w:r>
                              <w:rPr/>
                              <w:t> </w:t>
                            </w:r>
                          </w:p>
                        </w:tc>
                        <w:tc>
                          <w:tcPr>
                            <w:tcW w:w="3387" w:type="dxa"/>
                            <w:vMerge w:val="restart"/>
                            <w:tcBorders/>
                            <w:shd w:fill="E7E0EF" w:val="clear"/>
                            <w:vAlign w:val="center"/>
                          </w:tcPr>
                          <w:p>
                            <w:pPr>
                              <w:pStyle w:val="TableContents"/>
                              <w:bidi w:val="0"/>
                              <w:spacing w:before="0" w:after="283"/>
                              <w:ind w:left="0" w:right="0" w:hanging="0"/>
                              <w:jc w:val="left"/>
                              <w:rPr>
                                <w:rFonts w:ascii="Arial;Helvetica;sans-serif" w:hAnsi="Arial;Helvetica;sans-serif"/>
                                <w:b/>
                                <w:color w:val="72288A"/>
                                <w:sz w:val="16"/>
                              </w:rPr>
                            </w:pPr>
                            <w:r>
                              <w:rPr>
                                <w:rFonts w:ascii="Arial;Helvetica;sans-serif" w:hAnsi="Arial;Helvetica;sans-serif"/>
                                <w:b/>
                                <w:color w:val="72288A"/>
                                <w:sz w:val="16"/>
                              </w:rPr>
                              <w:t>By mail</w:t>
                            </w:r>
                          </w:p>
                          <w:p>
                            <w:pPr>
                              <w:pStyle w:val="TableContents"/>
                              <w:bidi w:val="0"/>
                              <w:spacing w:lineRule="atLeast" w:line="150" w:before="0" w:after="283"/>
                              <w:ind w:left="0" w:right="0" w:hanging="0"/>
                              <w:jc w:val="left"/>
                              <w:rPr>
                                <w:rFonts w:ascii="Arial;Helvetica;sans-serif" w:hAnsi="Arial;Helvetica;sans-serif"/>
                                <w:b w:val="false"/>
                                <w:color w:val="636466"/>
                                <w:sz w:val="14"/>
                              </w:rPr>
                            </w:pPr>
                            <w:r>
                              <w:rPr>
                                <w:rFonts w:ascii="Arial;Helvetica;sans-serif" w:hAnsi="Arial;Helvetica;sans-serif"/>
                                <w:b w:val="false"/>
                                <w:color w:val="636466"/>
                                <w:sz w:val="14"/>
                              </w:rPr>
                              <w:t xml:space="preserve">Mark, sign and date your proxy card and return it in the postage-paid envelope we have provided or return it to Vote Processing, c/o Broadridge, 51 Mercedes Way, Edgewood, NY 11717. </w:t>
                            </w:r>
                          </w:p>
                        </w:tc>
                        <w:tc>
                          <w:tcPr>
                            <w:tcW w:w="218" w:type="dxa"/>
                            <w:vMerge w:val="restart"/>
                            <w:tcBorders/>
                            <w:shd w:fill="E7E0EF" w:val="clear"/>
                            <w:vAlign w:val="center"/>
                          </w:tcPr>
                          <w:p>
                            <w:pPr>
                              <w:pStyle w:val="TableContents"/>
                              <w:bidi w:val="0"/>
                              <w:spacing w:before="0" w:after="0"/>
                              <w:jc w:val="left"/>
                              <w:rPr/>
                            </w:pPr>
                            <w:r>
                              <w:rPr/>
                              <w:t> </w:t>
                            </w:r>
                          </w:p>
                        </w:tc>
                      </w:tr>
                      <w:tr>
                        <w:trPr/>
                        <w:tc>
                          <w:tcPr>
                            <w:tcW w:w="185" w:type="dxa"/>
                            <w:vMerge w:val="continue"/>
                            <w:tcBorders/>
                            <w:shd w:fill="E7E0EF" w:val="clear"/>
                            <w:vAlign w:val="center"/>
                          </w:tcPr>
                          <w:p>
                            <w:pPr>
                              <w:pStyle w:val="Normal"/>
                              <w:bidi w:val="0"/>
                              <w:jc w:val="left"/>
                              <w:rPr/>
                            </w:pPr>
                            <w:r>
                              <w:rPr/>
                            </w:r>
                          </w:p>
                        </w:tc>
                        <w:tc>
                          <w:tcPr>
                            <w:tcW w:w="1967" w:type="dxa"/>
                            <w:vMerge w:val="continue"/>
                            <w:tcBorders/>
                            <w:shd w:fill="E7E0EF" w:val="clear"/>
                            <w:vAlign w:val="center"/>
                          </w:tcPr>
                          <w:p>
                            <w:pPr>
                              <w:pStyle w:val="Normal"/>
                              <w:bidi w:val="0"/>
                              <w:jc w:val="left"/>
                              <w:rPr/>
                            </w:pPr>
                            <w:r>
                              <w:rPr/>
                            </w:r>
                          </w:p>
                        </w:tc>
                        <w:tc>
                          <w:tcPr>
                            <w:tcW w:w="170" w:type="dxa"/>
                            <w:vMerge w:val="continue"/>
                            <w:tcBorders/>
                            <w:shd w:fill="E7E0EF" w:val="clear"/>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345" w:type="dxa"/>
                            <w:tcBorders/>
                            <w:shd w:fill="E7E0EF" w:val="clear"/>
                            <w:vAlign w:val="center"/>
                          </w:tcPr>
                          <w:p>
                            <w:pPr>
                              <w:pStyle w:val="TableContents"/>
                              <w:bidi w:val="0"/>
                              <w:spacing w:before="0" w:after="283"/>
                              <w:jc w:val="center"/>
                              <w:rPr>
                                <w:color w:val="636466"/>
                              </w:rPr>
                            </w:pPr>
                            <w:r>
                              <w:rPr>
                                <w:color w:val="636466"/>
                              </w:rPr>
                              <w:drawing>
                                <wp:inline distT="0" distB="0" distL="0" distR="0">
                                  <wp:extent cx="152400" cy="219075"/>
                                  <wp:effectExtent l="0" t="0" r="0" b="0"/>
                                  <wp:docPr id="1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 descr=""/>
                                          <pic:cNvPicPr>
                                            <a:picLocks noChangeAspect="1" noChangeArrowheads="1"/>
                                          </pic:cNvPicPr>
                                        </pic:nvPicPr>
                                        <pic:blipFill>
                                          <a:blip r:embed="rId17"/>
                                          <a:stretch>
                                            <a:fillRect/>
                                          </a:stretch>
                                        </pic:blipFill>
                                        <pic:spPr bwMode="auto">
                                          <a:xfrm>
                                            <a:off x="0" y="0"/>
                                            <a:ext cx="152400" cy="219075"/>
                                          </a:xfrm>
                                          <a:prstGeom prst="rect">
                                            <a:avLst/>
                                          </a:prstGeom>
                                        </pic:spPr>
                                      </pic:pic>
                                    </a:graphicData>
                                  </a:graphic>
                                </wp:inline>
                              </w:drawing>
                            </w:r>
                          </w:p>
                          <w:p>
                            <w:pPr>
                              <w:pStyle w:val="TableContents"/>
                              <w:bidi w:val="0"/>
                              <w:spacing w:before="0" w:after="283"/>
                              <w:ind w:left="0" w:right="0" w:hanging="0"/>
                              <w:jc w:val="left"/>
                              <w:rPr>
                                <w:color w:val="636466"/>
                              </w:rPr>
                            </w:pP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384" w:type="dxa"/>
                            <w:tcBorders/>
                            <w:shd w:fill="E7E0EF" w:val="clear"/>
                            <w:vAlign w:val="center"/>
                          </w:tcPr>
                          <w:p>
                            <w:pPr>
                              <w:pStyle w:val="TableContents"/>
                              <w:bidi w:val="0"/>
                              <w:spacing w:before="0" w:after="283"/>
                              <w:ind w:left="0" w:right="0" w:hanging="0"/>
                              <w:jc w:val="left"/>
                              <w:rPr>
                                <w:rFonts w:ascii="Arial;Helvetica;sans-serif" w:hAnsi="Arial;Helvetica;sans-serif"/>
                                <w:b/>
                                <w:color w:val="72288A"/>
                                <w:sz w:val="16"/>
                              </w:rPr>
                            </w:pPr>
                            <w:r>
                              <w:rPr>
                                <w:rFonts w:ascii="Arial;Helvetica;sans-serif" w:hAnsi="Arial;Helvetica;sans-serif"/>
                                <w:b/>
                                <w:color w:val="72288A"/>
                                <w:sz w:val="16"/>
                              </w:rPr>
                              <w:t>By phone</w:t>
                            </w:r>
                          </w:p>
                          <w:p>
                            <w:pPr>
                              <w:pStyle w:val="TableContents"/>
                              <w:bidi w:val="0"/>
                              <w:spacing w:lineRule="atLeast" w:line="142" w:before="0" w:after="283"/>
                              <w:ind w:left="0" w:right="0" w:hanging="0"/>
                              <w:jc w:val="left"/>
                              <w:rPr>
                                <w:rFonts w:ascii="Arial;Helvetica;sans-serif" w:hAnsi="Arial;Helvetica;sans-serif"/>
                                <w:b w:val="false"/>
                                <w:color w:val="636466"/>
                                <w:sz w:val="14"/>
                              </w:rPr>
                            </w:pPr>
                            <w:r>
                              <w:rPr>
                                <w:rFonts w:ascii="Arial;Helvetica;sans-serif" w:hAnsi="Arial;Helvetica;sans-serif"/>
                                <w:b w:val="false"/>
                                <w:color w:val="636466"/>
                                <w:sz w:val="14"/>
                              </w:rPr>
                              <w:t>Call 1-800-690-6903 or the telephone number on your proxy card</w:t>
                            </w:r>
                          </w:p>
                        </w:tc>
                        <w:tc>
                          <w:tcPr>
                            <w:tcW w:w="170" w:type="dxa"/>
                            <w:tcBorders/>
                            <w:shd w:fill="E7E0EF" w:val="clear"/>
                            <w:vAlign w:val="center"/>
                          </w:tcPr>
                          <w:p>
                            <w:pPr>
                              <w:pStyle w:val="TableContents"/>
                              <w:bidi w:val="0"/>
                              <w:spacing w:before="0" w:after="0"/>
                              <w:jc w:val="left"/>
                              <w:rPr/>
                            </w:pPr>
                            <w:r>
                              <w:rPr/>
                              <w:t> </w:t>
                            </w:r>
                          </w:p>
                        </w:tc>
                        <w:tc>
                          <w:tcPr>
                            <w:tcW w:w="170" w:type="dxa"/>
                            <w:vMerge w:val="continue"/>
                            <w:tcBorders/>
                            <w:shd w:fill="E7E0EF" w:val="clear"/>
                            <w:vAlign w:val="center"/>
                          </w:tcPr>
                          <w:p>
                            <w:pPr>
                              <w:pStyle w:val="Normal"/>
                              <w:bidi w:val="0"/>
                              <w:jc w:val="left"/>
                              <w:rPr/>
                            </w:pPr>
                            <w:r>
                              <w:rPr/>
                            </w:r>
                          </w:p>
                        </w:tc>
                        <w:tc>
                          <w:tcPr>
                            <w:tcW w:w="359" w:type="dxa"/>
                            <w:vMerge w:val="continue"/>
                            <w:tcBorders/>
                            <w:shd w:fill="E7E0EF" w:val="clear"/>
                            <w:vAlign w:val="center"/>
                          </w:tcPr>
                          <w:p>
                            <w:pPr>
                              <w:pStyle w:val="Normal"/>
                              <w:bidi w:val="0"/>
                              <w:jc w:val="left"/>
                              <w:rPr/>
                            </w:pPr>
                            <w:r>
                              <w:rPr/>
                            </w:r>
                          </w:p>
                        </w:tc>
                        <w:tc>
                          <w:tcPr>
                            <w:tcW w:w="170" w:type="dxa"/>
                            <w:vMerge w:val="continue"/>
                            <w:tcBorders/>
                            <w:shd w:fill="E7E0EF" w:val="clear"/>
                            <w:vAlign w:val="center"/>
                          </w:tcPr>
                          <w:p>
                            <w:pPr>
                              <w:pStyle w:val="Normal"/>
                              <w:bidi w:val="0"/>
                              <w:jc w:val="left"/>
                              <w:rPr/>
                            </w:pPr>
                            <w:r>
                              <w:rPr/>
                            </w:r>
                          </w:p>
                        </w:tc>
                        <w:tc>
                          <w:tcPr>
                            <w:tcW w:w="170" w:type="dxa"/>
                            <w:vMerge w:val="continue"/>
                            <w:tcBorders/>
                            <w:shd w:fill="E7E0EF" w:val="clear"/>
                            <w:vAlign w:val="center"/>
                          </w:tcPr>
                          <w:p>
                            <w:pPr>
                              <w:pStyle w:val="Normal"/>
                              <w:bidi w:val="0"/>
                              <w:jc w:val="left"/>
                              <w:rPr/>
                            </w:pPr>
                            <w:r>
                              <w:rPr/>
                            </w:r>
                          </w:p>
                        </w:tc>
                        <w:tc>
                          <w:tcPr>
                            <w:tcW w:w="3387" w:type="dxa"/>
                            <w:vMerge w:val="continue"/>
                            <w:tcBorders/>
                            <w:shd w:fill="E7E0EF" w:val="clear"/>
                            <w:vAlign w:val="center"/>
                          </w:tcPr>
                          <w:p>
                            <w:pPr>
                              <w:pStyle w:val="Normal"/>
                              <w:bidi w:val="0"/>
                              <w:jc w:val="left"/>
                              <w:rPr/>
                            </w:pPr>
                            <w:r>
                              <w:rPr/>
                            </w:r>
                          </w:p>
                        </w:tc>
                        <w:tc>
                          <w:tcPr>
                            <w:tcW w:w="218" w:type="dxa"/>
                            <w:vMerge w:val="continue"/>
                            <w:tcBorders/>
                            <w:shd w:fill="E7E0EF" w:val="clear"/>
                            <w:vAlign w:val="center"/>
                          </w:tcPr>
                          <w:p>
                            <w:pPr>
                              <w:pStyle w:val="Normal"/>
                              <w:bidi w:val="0"/>
                              <w:jc w:val="left"/>
                              <w:rPr/>
                            </w:pPr>
                            <w:r>
                              <w:rPr/>
                            </w:r>
                          </w:p>
                        </w:tc>
                      </w:tr>
                      <w:tr>
                        <w:trPr/>
                        <w:tc>
                          <w:tcPr>
                            <w:tcW w:w="185" w:type="dxa"/>
                            <w:tcBorders/>
                            <w:shd w:fill="E7E0EF" w:val="clear"/>
                            <w:vAlign w:val="center"/>
                          </w:tcPr>
                          <w:p>
                            <w:pPr>
                              <w:pStyle w:val="TableContents"/>
                              <w:bidi w:val="0"/>
                              <w:spacing w:before="0" w:after="0"/>
                              <w:jc w:val="left"/>
                              <w:rPr/>
                            </w:pPr>
                            <w:r>
                              <w:rPr/>
                              <w:t> </w:t>
                            </w:r>
                          </w:p>
                        </w:tc>
                        <w:tc>
                          <w:tcPr>
                            <w:tcW w:w="1967"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4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384"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59"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387" w:type="dxa"/>
                            <w:tcBorders/>
                            <w:shd w:fill="E7E0EF" w:val="clear"/>
                            <w:vAlign w:val="center"/>
                          </w:tcPr>
                          <w:p>
                            <w:pPr>
                              <w:pStyle w:val="TableContents"/>
                              <w:bidi w:val="0"/>
                              <w:spacing w:before="0" w:after="0"/>
                              <w:jc w:val="left"/>
                              <w:rPr/>
                            </w:pPr>
                            <w:r>
                              <w:rPr/>
                              <w:t> </w:t>
                            </w:r>
                          </w:p>
                        </w:tc>
                        <w:tc>
                          <w:tcPr>
                            <w:tcW w:w="218" w:type="dxa"/>
                            <w:tcBorders/>
                            <w:shd w:fill="E7E0E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2150"/>
                        <w:gridCol w:w="170"/>
                        <w:gridCol w:w="170"/>
                        <w:gridCol w:w="358"/>
                        <w:gridCol w:w="170"/>
                        <w:gridCol w:w="170"/>
                        <w:gridCol w:w="3108"/>
                        <w:gridCol w:w="170"/>
                        <w:gridCol w:w="170"/>
                        <w:gridCol w:w="389"/>
                        <w:gridCol w:w="170"/>
                        <w:gridCol w:w="170"/>
                        <w:gridCol w:w="2438"/>
                        <w:gridCol w:w="217"/>
                      </w:tblGrid>
                      <w:tr>
                        <w:trPr/>
                        <w:tc>
                          <w:tcPr>
                            <w:tcW w:w="185" w:type="dxa"/>
                            <w:tcBorders/>
                            <w:shd w:fill="E7E0EF" w:val="clear"/>
                            <w:vAlign w:val="center"/>
                          </w:tcPr>
                          <w:p>
                            <w:pPr>
                              <w:pStyle w:val="TableContents"/>
                              <w:bidi w:val="0"/>
                              <w:spacing w:before="0" w:after="0"/>
                              <w:jc w:val="left"/>
                              <w:rPr/>
                            </w:pPr>
                            <w:r>
                              <w:rPr/>
                              <w:t> </w:t>
                            </w:r>
                          </w:p>
                        </w:tc>
                        <w:tc>
                          <w:tcPr>
                            <w:tcW w:w="215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58"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108"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89"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438" w:type="dxa"/>
                            <w:tcBorders/>
                            <w:shd w:fill="E7E0EF" w:val="clear"/>
                            <w:vAlign w:val="center"/>
                          </w:tcPr>
                          <w:p>
                            <w:pPr>
                              <w:pStyle w:val="TableContents"/>
                              <w:bidi w:val="0"/>
                              <w:spacing w:before="0" w:after="0"/>
                              <w:jc w:val="left"/>
                              <w:rPr/>
                            </w:pPr>
                            <w:r>
                              <w:rPr/>
                              <w:t> </w:t>
                            </w:r>
                          </w:p>
                        </w:tc>
                        <w:tc>
                          <w:tcPr>
                            <w:tcW w:w="217" w:type="dxa"/>
                            <w:tcBorders/>
                            <w:shd w:fill="E7E0EF" w:val="clear"/>
                            <w:vAlign w:val="center"/>
                          </w:tcPr>
                          <w:p>
                            <w:pPr>
                              <w:pStyle w:val="TableContents"/>
                              <w:bidi w:val="0"/>
                              <w:spacing w:before="0" w:after="0"/>
                              <w:jc w:val="left"/>
                              <w:rPr/>
                            </w:pPr>
                            <w:r>
                              <w:rPr/>
                              <w:t> </w:t>
                            </w:r>
                          </w:p>
                        </w:tc>
                      </w:tr>
                      <w:tr>
                        <w:trPr/>
                        <w:tc>
                          <w:tcPr>
                            <w:tcW w:w="185" w:type="dxa"/>
                            <w:vMerge w:val="restart"/>
                            <w:tcBorders/>
                            <w:shd w:fill="E7E0EF" w:val="clear"/>
                            <w:vAlign w:val="center"/>
                          </w:tcPr>
                          <w:p>
                            <w:pPr>
                              <w:pStyle w:val="TableContents"/>
                              <w:bidi w:val="0"/>
                              <w:spacing w:before="0" w:after="0"/>
                              <w:jc w:val="left"/>
                              <w:rPr/>
                            </w:pPr>
                            <w:r>
                              <w:rPr/>
                              <w:t> </w:t>
                            </w:r>
                          </w:p>
                        </w:tc>
                        <w:tc>
                          <w:tcPr>
                            <w:tcW w:w="2150" w:type="dxa"/>
                            <w:vMerge w:val="restart"/>
                            <w:tcBorders/>
                            <w:shd w:fill="E7E0EF" w:val="clear"/>
                            <w:vAlign w:val="center"/>
                          </w:tcPr>
                          <w:p>
                            <w:pPr>
                              <w:pStyle w:val="TableContents"/>
                              <w:bidi w:val="0"/>
                              <w:spacing w:before="0" w:after="283"/>
                              <w:ind w:left="60" w:right="0" w:hanging="0"/>
                              <w:jc w:val="left"/>
                              <w:rPr>
                                <w:rFonts w:ascii="Arial;Helvetica;sans-serif" w:hAnsi="Arial;Helvetica;sans-serif"/>
                                <w:b/>
                                <w:color w:val="72288A"/>
                                <w:sz w:val="16"/>
                              </w:rPr>
                            </w:pPr>
                            <w:r>
                              <w:rPr>
                                <w:rFonts w:ascii="Arial;Helvetica;sans-serif" w:hAnsi="Arial;Helvetica;sans-serif"/>
                                <w:b/>
                                <w:color w:val="72288A"/>
                                <w:sz w:val="16"/>
                              </w:rPr>
                              <w:t>Beneficial Owners</w:t>
                            </w:r>
                          </w:p>
                          <w:p>
                            <w:pPr>
                              <w:pStyle w:val="TableContents"/>
                              <w:bidi w:val="0"/>
                              <w:spacing w:lineRule="atLeast" w:line="160" w:before="0" w:after="283"/>
                              <w:ind w:left="60" w:right="0" w:hanging="0"/>
                              <w:jc w:val="left"/>
                              <w:rPr>
                                <w:rFonts w:ascii="Arial;Helvetica;sans-serif" w:hAnsi="Arial;Helvetica;sans-serif"/>
                                <w:b w:val="false"/>
                                <w:color w:val="636466"/>
                                <w:sz w:val="14"/>
                              </w:rPr>
                            </w:pPr>
                            <w:r>
                              <w:rPr>
                                <w:rFonts w:ascii="Arial;Helvetica;sans-serif" w:hAnsi="Arial;Helvetica;sans-serif"/>
                                <w:b w:val="false"/>
                                <w:color w:val="636466"/>
                                <w:sz w:val="14"/>
                              </w:rPr>
                              <w:t>(shares held through your bank or brokerage account)</w:t>
                            </w:r>
                          </w:p>
                        </w:tc>
                        <w:tc>
                          <w:tcPr>
                            <w:tcW w:w="170" w:type="dxa"/>
                            <w:vMerge w:val="restart"/>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58" w:type="dxa"/>
                            <w:tcBorders/>
                            <w:shd w:fill="E7E0EF" w:val="clear"/>
                            <w:vAlign w:val="center"/>
                          </w:tcPr>
                          <w:p>
                            <w:pPr>
                              <w:pStyle w:val="TableContents"/>
                              <w:bidi w:val="0"/>
                              <w:spacing w:before="0" w:after="283"/>
                              <w:ind w:left="0" w:right="0" w:hanging="0"/>
                              <w:jc w:val="left"/>
                              <w:rPr>
                                <w:color w:val="636466"/>
                              </w:rPr>
                            </w:pPr>
                            <w:r>
                              <w:rPr>
                                <w:color w:val="636466"/>
                              </w:rPr>
                              <w:drawing>
                                <wp:inline distT="0" distB="0" distL="0" distR="0">
                                  <wp:extent cx="180975" cy="180975"/>
                                  <wp:effectExtent l="0" t="0" r="0" b="0"/>
                                  <wp:docPr id="2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 descr=""/>
                                          <pic:cNvPicPr>
                                            <a:picLocks noChangeAspect="1" noChangeArrowheads="1"/>
                                          </pic:cNvPicPr>
                                        </pic:nvPicPr>
                                        <pic:blipFill>
                                          <a:blip r:embed="rId18"/>
                                          <a:stretch>
                                            <a:fillRect/>
                                          </a:stretch>
                                        </pic:blipFill>
                                        <pic:spPr bwMode="auto">
                                          <a:xfrm>
                                            <a:off x="0" y="0"/>
                                            <a:ext cx="180975" cy="180975"/>
                                          </a:xfrm>
                                          <a:prstGeom prst="rect">
                                            <a:avLst/>
                                          </a:prstGeom>
                                        </pic:spPr>
                                      </pic:pic>
                                    </a:graphicData>
                                  </a:graphic>
                                </wp:inline>
                              </w:drawing>
                            </w: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108" w:type="dxa"/>
                            <w:tcBorders/>
                            <w:shd w:fill="E7E0EF" w:val="clear"/>
                            <w:vAlign w:val="center"/>
                          </w:tcPr>
                          <w:p>
                            <w:pPr>
                              <w:pStyle w:val="TableContents"/>
                              <w:bidi w:val="0"/>
                              <w:spacing w:before="0" w:after="283"/>
                              <w:ind w:left="0" w:right="0" w:hanging="0"/>
                              <w:jc w:val="left"/>
                              <w:rPr>
                                <w:rFonts w:ascii="Arial;Helvetica;sans-serif" w:hAnsi="Arial;Helvetica;sans-serif"/>
                                <w:b/>
                                <w:color w:val="72288A"/>
                                <w:sz w:val="16"/>
                              </w:rPr>
                            </w:pPr>
                            <w:r>
                              <w:rPr>
                                <w:rFonts w:ascii="Arial;Helvetica;sans-serif" w:hAnsi="Arial;Helvetica;sans-serif"/>
                                <w:b/>
                                <w:color w:val="72288A"/>
                                <w:sz w:val="16"/>
                              </w:rPr>
                              <w:t>Via Internet</w:t>
                            </w:r>
                          </w:p>
                          <w:p>
                            <w:pPr>
                              <w:pStyle w:val="TableContents"/>
                              <w:bidi w:val="0"/>
                              <w:spacing w:before="0" w:after="283"/>
                              <w:ind w:left="0" w:right="0" w:hanging="0"/>
                              <w:jc w:val="left"/>
                              <w:rPr>
                                <w:rFonts w:ascii="Arial;Helvetica;sans-serif" w:hAnsi="Arial;Helvetica;sans-serif"/>
                                <w:b/>
                                <w:color w:val="72288A"/>
                                <w:sz w:val="14"/>
                              </w:rPr>
                            </w:pPr>
                            <w:r>
                              <w:rPr>
                                <w:rFonts w:ascii="Arial;Helvetica;sans-serif" w:hAnsi="Arial;Helvetica;sans-serif"/>
                                <w:b w:val="false"/>
                                <w:color w:val="636466"/>
                                <w:sz w:val="14"/>
                              </w:rPr>
                              <w:t xml:space="preserve">Visit </w:t>
                            </w:r>
                            <w:r>
                              <w:rPr>
                                <w:rFonts w:ascii="Arial;Helvetica;sans-serif" w:hAnsi="Arial;Helvetica;sans-serif"/>
                                <w:b/>
                                <w:color w:val="72288A"/>
                                <w:sz w:val="14"/>
                              </w:rPr>
                              <w:t>www.proxyvote.com</w:t>
                            </w:r>
                            <w:r>
                              <w:rPr>
                                <w:rFonts w:ascii="Arial;Helvetica;sans-serif" w:hAnsi="Arial;Helvetica;sans-serif"/>
                                <w:b/>
                                <w:color w:val="636466"/>
                                <w:sz w:val="14"/>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vMerge w:val="restart"/>
                            <w:tcBorders/>
                            <w:shd w:fill="E7E0EF" w:val="clear"/>
                            <w:vAlign w:val="center"/>
                          </w:tcPr>
                          <w:p>
                            <w:pPr>
                              <w:pStyle w:val="TableContents"/>
                              <w:bidi w:val="0"/>
                              <w:spacing w:before="0" w:after="0"/>
                              <w:jc w:val="left"/>
                              <w:rPr/>
                            </w:pPr>
                            <w:r>
                              <w:rPr/>
                              <w:t> </w:t>
                            </w:r>
                          </w:p>
                        </w:tc>
                        <w:tc>
                          <w:tcPr>
                            <w:tcW w:w="389" w:type="dxa"/>
                            <w:vMerge w:val="restart"/>
                            <w:tcBorders/>
                            <w:shd w:fill="E7E0EF" w:val="clear"/>
                            <w:vAlign w:val="center"/>
                          </w:tcPr>
                          <w:p>
                            <w:pPr>
                              <w:pStyle w:val="TableContents"/>
                              <w:bidi w:val="0"/>
                              <w:spacing w:before="0" w:after="283"/>
                              <w:ind w:left="0" w:right="0" w:hanging="0"/>
                              <w:jc w:val="left"/>
                              <w:rPr>
                                <w:color w:val="636466"/>
                              </w:rPr>
                            </w:pPr>
                            <w:r>
                              <w:rPr>
                                <w:color w:val="636466"/>
                              </w:rPr>
                              <w:drawing>
                                <wp:inline distT="0" distB="0" distL="0" distR="0">
                                  <wp:extent cx="180975" cy="123825"/>
                                  <wp:effectExtent l="0" t="0" r="0" b="0"/>
                                  <wp:docPr id="2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2" descr=""/>
                                          <pic:cNvPicPr>
                                            <a:picLocks noChangeAspect="1" noChangeArrowheads="1"/>
                                          </pic:cNvPicPr>
                                        </pic:nvPicPr>
                                        <pic:blipFill>
                                          <a:blip r:embed="rId19"/>
                                          <a:stretch>
                                            <a:fillRect/>
                                          </a:stretch>
                                        </pic:blipFill>
                                        <pic:spPr bwMode="auto">
                                          <a:xfrm>
                                            <a:off x="0" y="0"/>
                                            <a:ext cx="180975" cy="123825"/>
                                          </a:xfrm>
                                          <a:prstGeom prst="rect">
                                            <a:avLst/>
                                          </a:prstGeom>
                                        </pic:spPr>
                                      </pic:pic>
                                    </a:graphicData>
                                  </a:graphic>
                                </wp:inline>
                              </w:drawing>
                            </w:r>
                            <w:r>
                              <w:rPr>
                                <w:color w:val="636466"/>
                              </w:rPr>
                              <w:t> </w:t>
                            </w:r>
                            <w:r>
                              <w:rPr>
                                <w:color w:val="636466"/>
                              </w:rPr>
                              <w:t xml:space="preserve"> </w:t>
                            </w:r>
                          </w:p>
                        </w:tc>
                        <w:tc>
                          <w:tcPr>
                            <w:tcW w:w="170" w:type="dxa"/>
                            <w:vMerge w:val="restart"/>
                            <w:tcBorders/>
                            <w:shd w:fill="E7E0EF" w:val="clear"/>
                            <w:vAlign w:val="center"/>
                          </w:tcPr>
                          <w:p>
                            <w:pPr>
                              <w:pStyle w:val="TableContents"/>
                              <w:bidi w:val="0"/>
                              <w:spacing w:before="0" w:after="0"/>
                              <w:jc w:val="left"/>
                              <w:rPr/>
                            </w:pPr>
                            <w:r>
                              <w:rPr/>
                              <w:t> </w:t>
                            </w:r>
                          </w:p>
                        </w:tc>
                        <w:tc>
                          <w:tcPr>
                            <w:tcW w:w="170" w:type="dxa"/>
                            <w:vMerge w:val="restart"/>
                            <w:tcBorders/>
                            <w:shd w:fill="E7E0EF" w:val="clear"/>
                            <w:vAlign w:val="center"/>
                          </w:tcPr>
                          <w:p>
                            <w:pPr>
                              <w:pStyle w:val="TableContents"/>
                              <w:bidi w:val="0"/>
                              <w:spacing w:before="0" w:after="0"/>
                              <w:jc w:val="left"/>
                              <w:rPr/>
                            </w:pPr>
                            <w:r>
                              <w:rPr/>
                              <w:t> </w:t>
                            </w:r>
                          </w:p>
                        </w:tc>
                        <w:tc>
                          <w:tcPr>
                            <w:tcW w:w="2438" w:type="dxa"/>
                            <w:vMerge w:val="restart"/>
                            <w:tcBorders/>
                            <w:shd w:fill="E7E0EF" w:val="clear"/>
                            <w:vAlign w:val="center"/>
                          </w:tcPr>
                          <w:p>
                            <w:pPr>
                              <w:pStyle w:val="TableContents"/>
                              <w:bidi w:val="0"/>
                              <w:spacing w:before="0" w:after="283"/>
                              <w:ind w:left="0" w:right="0" w:hanging="0"/>
                              <w:jc w:val="left"/>
                              <w:rPr>
                                <w:rFonts w:ascii="Arial;Helvetica;sans-serif" w:hAnsi="Arial;Helvetica;sans-serif"/>
                                <w:b/>
                                <w:color w:val="72288A"/>
                                <w:sz w:val="16"/>
                              </w:rPr>
                            </w:pPr>
                            <w:r>
                              <w:rPr>
                                <w:rFonts w:ascii="Arial;Helvetica;sans-serif" w:hAnsi="Arial;Helvetica;sans-serif"/>
                                <w:b/>
                                <w:color w:val="72288A"/>
                                <w:sz w:val="16"/>
                              </w:rPr>
                              <w:t>By mail</w:t>
                            </w:r>
                          </w:p>
                          <w:p>
                            <w:pPr>
                              <w:pStyle w:val="TableContents"/>
                              <w:bidi w:val="0"/>
                              <w:spacing w:before="0" w:after="283"/>
                              <w:ind w:left="0" w:right="0" w:hanging="0"/>
                              <w:jc w:val="left"/>
                              <w:rPr>
                                <w:rFonts w:ascii="Arial;Helvetica;sans-serif" w:hAnsi="Arial;Helvetica;sans-serif"/>
                                <w:b w:val="false"/>
                                <w:color w:val="636466"/>
                                <w:sz w:val="14"/>
                              </w:rPr>
                            </w:pPr>
                            <w:r>
                              <w:rPr>
                                <w:rFonts w:ascii="Arial;Helvetica;sans-serif" w:hAnsi="Arial;Helvetica;sans-serif"/>
                                <w:b w:val="false"/>
                                <w:color w:val="636466"/>
                                <w:sz w:val="14"/>
                              </w:rPr>
                              <w:t>Sign, date and return</w:t>
                            </w:r>
                          </w:p>
                          <w:p>
                            <w:pPr>
                              <w:pStyle w:val="TableContents"/>
                              <w:bidi w:val="0"/>
                              <w:spacing w:lineRule="atLeast" w:line="142" w:before="0" w:after="283"/>
                              <w:ind w:left="0" w:right="0" w:hanging="0"/>
                              <w:jc w:val="left"/>
                              <w:rPr>
                                <w:rFonts w:ascii="Arial;Helvetica;sans-serif" w:hAnsi="Arial;Helvetica;sans-serif"/>
                                <w:b w:val="false"/>
                                <w:color w:val="636466"/>
                                <w:sz w:val="14"/>
                              </w:rPr>
                            </w:pPr>
                            <w:r>
                              <w:rPr>
                                <w:rFonts w:ascii="Arial;Helvetica;sans-serif" w:hAnsi="Arial;Helvetica;sans-serif"/>
                                <w:b w:val="false"/>
                                <w:color w:val="636466"/>
                                <w:sz w:val="14"/>
                              </w:rPr>
                              <w:t xml:space="preserve">your voting instruction form pursuant to the instructions therein </w:t>
                            </w:r>
                          </w:p>
                        </w:tc>
                        <w:tc>
                          <w:tcPr>
                            <w:tcW w:w="217" w:type="dxa"/>
                            <w:vMerge w:val="restart"/>
                            <w:tcBorders/>
                            <w:shd w:fill="E7E0EF" w:val="clear"/>
                            <w:vAlign w:val="center"/>
                          </w:tcPr>
                          <w:p>
                            <w:pPr>
                              <w:pStyle w:val="TableContents"/>
                              <w:bidi w:val="0"/>
                              <w:spacing w:before="0" w:after="0"/>
                              <w:jc w:val="left"/>
                              <w:rPr/>
                            </w:pPr>
                            <w:r>
                              <w:rPr/>
                              <w:t> </w:t>
                            </w:r>
                          </w:p>
                        </w:tc>
                      </w:tr>
                      <w:tr>
                        <w:trPr/>
                        <w:tc>
                          <w:tcPr>
                            <w:tcW w:w="185" w:type="dxa"/>
                            <w:vMerge w:val="continue"/>
                            <w:tcBorders/>
                            <w:shd w:fill="E7E0EF" w:val="clear"/>
                            <w:vAlign w:val="center"/>
                          </w:tcPr>
                          <w:p>
                            <w:pPr>
                              <w:pStyle w:val="Normal"/>
                              <w:bidi w:val="0"/>
                              <w:jc w:val="left"/>
                              <w:rPr/>
                            </w:pPr>
                            <w:r>
                              <w:rPr/>
                            </w:r>
                          </w:p>
                        </w:tc>
                        <w:tc>
                          <w:tcPr>
                            <w:tcW w:w="2150" w:type="dxa"/>
                            <w:vMerge w:val="continue"/>
                            <w:tcBorders/>
                            <w:shd w:fill="E7E0EF" w:val="clear"/>
                            <w:vAlign w:val="center"/>
                          </w:tcPr>
                          <w:p>
                            <w:pPr>
                              <w:pStyle w:val="Normal"/>
                              <w:bidi w:val="0"/>
                              <w:jc w:val="left"/>
                              <w:rPr/>
                            </w:pPr>
                            <w:r>
                              <w:rPr/>
                            </w:r>
                          </w:p>
                        </w:tc>
                        <w:tc>
                          <w:tcPr>
                            <w:tcW w:w="170" w:type="dxa"/>
                            <w:vMerge w:val="continue"/>
                            <w:tcBorders/>
                            <w:shd w:fill="E7E0EF" w:val="clear"/>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358" w:type="dxa"/>
                            <w:tcBorders/>
                            <w:shd w:fill="E7E0EF" w:val="clear"/>
                            <w:vAlign w:val="center"/>
                          </w:tcPr>
                          <w:p>
                            <w:pPr>
                              <w:pStyle w:val="TableContents"/>
                              <w:bidi w:val="0"/>
                              <w:spacing w:before="0" w:after="283"/>
                              <w:jc w:val="center"/>
                              <w:rPr>
                                <w:color w:val="636466"/>
                              </w:rPr>
                            </w:pPr>
                            <w:r>
                              <w:rPr>
                                <w:color w:val="636466"/>
                              </w:rPr>
                              <w:drawing>
                                <wp:inline distT="0" distB="0" distL="0" distR="0">
                                  <wp:extent cx="152400" cy="219075"/>
                                  <wp:effectExtent l="0" t="0" r="0" b="0"/>
                                  <wp:docPr id="2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 descr=""/>
                                          <pic:cNvPicPr>
                                            <a:picLocks noChangeAspect="1" noChangeArrowheads="1"/>
                                          </pic:cNvPicPr>
                                        </pic:nvPicPr>
                                        <pic:blipFill>
                                          <a:blip r:embed="rId20"/>
                                          <a:stretch>
                                            <a:fillRect/>
                                          </a:stretch>
                                        </pic:blipFill>
                                        <pic:spPr bwMode="auto">
                                          <a:xfrm>
                                            <a:off x="0" y="0"/>
                                            <a:ext cx="152400" cy="219075"/>
                                          </a:xfrm>
                                          <a:prstGeom prst="rect">
                                            <a:avLst/>
                                          </a:prstGeom>
                                        </pic:spPr>
                                      </pic:pic>
                                    </a:graphicData>
                                  </a:graphic>
                                </wp:inline>
                              </w:drawing>
                            </w:r>
                          </w:p>
                          <w:p>
                            <w:pPr>
                              <w:pStyle w:val="TableContents"/>
                              <w:bidi w:val="0"/>
                              <w:spacing w:before="0" w:after="283"/>
                              <w:ind w:left="0"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108" w:type="dxa"/>
                            <w:tcBorders/>
                            <w:shd w:fill="E7E0EF" w:val="clear"/>
                            <w:vAlign w:val="center"/>
                          </w:tcPr>
                          <w:p>
                            <w:pPr>
                              <w:pStyle w:val="TableContents"/>
                              <w:bidi w:val="0"/>
                              <w:spacing w:before="0" w:after="283"/>
                              <w:ind w:left="0" w:right="0" w:hanging="0"/>
                              <w:jc w:val="left"/>
                              <w:rPr>
                                <w:rFonts w:ascii="Arial;Helvetica;sans-serif" w:hAnsi="Arial;Helvetica;sans-serif"/>
                                <w:b/>
                                <w:color w:val="72288A"/>
                                <w:sz w:val="16"/>
                              </w:rPr>
                            </w:pPr>
                            <w:r>
                              <w:rPr>
                                <w:rFonts w:ascii="Arial;Helvetica;sans-serif" w:hAnsi="Arial;Helvetica;sans-serif"/>
                                <w:b/>
                                <w:color w:val="72288A"/>
                                <w:sz w:val="16"/>
                              </w:rPr>
                              <w:t>By phone</w:t>
                            </w:r>
                          </w:p>
                          <w:p>
                            <w:pPr>
                              <w:pStyle w:val="TableContents"/>
                              <w:bidi w:val="0"/>
                              <w:spacing w:lineRule="atLeast" w:line="142" w:before="0" w:after="283"/>
                              <w:ind w:left="0" w:right="0" w:hanging="0"/>
                              <w:jc w:val="left"/>
                              <w:rPr>
                                <w:rFonts w:ascii="Arial;Helvetica;sans-serif" w:hAnsi="Arial;Helvetica;sans-serif"/>
                                <w:b w:val="false"/>
                                <w:color w:val="636466"/>
                                <w:sz w:val="14"/>
                              </w:rPr>
                            </w:pPr>
                            <w:r>
                              <w:rPr>
                                <w:rFonts w:ascii="Arial;Helvetica;sans-serif" w:hAnsi="Arial;Helvetica;sans-serif"/>
                                <w:b w:val="false"/>
                                <w:color w:val="636466"/>
                                <w:sz w:val="14"/>
                              </w:rPr>
                              <w:t>Call 1-800-454-8683 or the telephone number on your voting instruction form</w:t>
                            </w:r>
                          </w:p>
                        </w:tc>
                        <w:tc>
                          <w:tcPr>
                            <w:tcW w:w="170" w:type="dxa"/>
                            <w:tcBorders/>
                            <w:shd w:fill="E7E0EF" w:val="clear"/>
                            <w:vAlign w:val="center"/>
                          </w:tcPr>
                          <w:p>
                            <w:pPr>
                              <w:pStyle w:val="TableContents"/>
                              <w:bidi w:val="0"/>
                              <w:spacing w:before="0" w:after="0"/>
                              <w:jc w:val="left"/>
                              <w:rPr/>
                            </w:pPr>
                            <w:r>
                              <w:rPr/>
                              <w:t> </w:t>
                            </w:r>
                          </w:p>
                        </w:tc>
                        <w:tc>
                          <w:tcPr>
                            <w:tcW w:w="170" w:type="dxa"/>
                            <w:vMerge w:val="continue"/>
                            <w:tcBorders/>
                            <w:shd w:fill="E7E0EF" w:val="clear"/>
                            <w:vAlign w:val="center"/>
                          </w:tcPr>
                          <w:p>
                            <w:pPr>
                              <w:pStyle w:val="Normal"/>
                              <w:bidi w:val="0"/>
                              <w:jc w:val="left"/>
                              <w:rPr/>
                            </w:pPr>
                            <w:r>
                              <w:rPr/>
                            </w:r>
                          </w:p>
                        </w:tc>
                        <w:tc>
                          <w:tcPr>
                            <w:tcW w:w="389" w:type="dxa"/>
                            <w:vMerge w:val="continue"/>
                            <w:tcBorders/>
                            <w:shd w:fill="E7E0EF" w:val="clear"/>
                            <w:vAlign w:val="center"/>
                          </w:tcPr>
                          <w:p>
                            <w:pPr>
                              <w:pStyle w:val="Normal"/>
                              <w:bidi w:val="0"/>
                              <w:jc w:val="left"/>
                              <w:rPr/>
                            </w:pPr>
                            <w:r>
                              <w:rPr/>
                            </w:r>
                          </w:p>
                        </w:tc>
                        <w:tc>
                          <w:tcPr>
                            <w:tcW w:w="170" w:type="dxa"/>
                            <w:vMerge w:val="continue"/>
                            <w:tcBorders/>
                            <w:shd w:fill="E7E0EF" w:val="clear"/>
                            <w:vAlign w:val="center"/>
                          </w:tcPr>
                          <w:p>
                            <w:pPr>
                              <w:pStyle w:val="Normal"/>
                              <w:bidi w:val="0"/>
                              <w:jc w:val="left"/>
                              <w:rPr/>
                            </w:pPr>
                            <w:r>
                              <w:rPr/>
                            </w:r>
                          </w:p>
                        </w:tc>
                        <w:tc>
                          <w:tcPr>
                            <w:tcW w:w="170" w:type="dxa"/>
                            <w:vMerge w:val="continue"/>
                            <w:tcBorders/>
                            <w:shd w:fill="E7E0EF" w:val="clear"/>
                            <w:vAlign w:val="center"/>
                          </w:tcPr>
                          <w:p>
                            <w:pPr>
                              <w:pStyle w:val="Normal"/>
                              <w:bidi w:val="0"/>
                              <w:jc w:val="left"/>
                              <w:rPr/>
                            </w:pPr>
                            <w:r>
                              <w:rPr/>
                            </w:r>
                          </w:p>
                        </w:tc>
                        <w:tc>
                          <w:tcPr>
                            <w:tcW w:w="2438" w:type="dxa"/>
                            <w:vMerge w:val="continue"/>
                            <w:tcBorders/>
                            <w:shd w:fill="E7E0EF" w:val="clear"/>
                            <w:vAlign w:val="center"/>
                          </w:tcPr>
                          <w:p>
                            <w:pPr>
                              <w:pStyle w:val="Normal"/>
                              <w:bidi w:val="0"/>
                              <w:jc w:val="left"/>
                              <w:rPr/>
                            </w:pPr>
                            <w:r>
                              <w:rPr/>
                            </w:r>
                          </w:p>
                        </w:tc>
                        <w:tc>
                          <w:tcPr>
                            <w:tcW w:w="217" w:type="dxa"/>
                            <w:vMerge w:val="continue"/>
                            <w:tcBorders/>
                            <w:shd w:fill="E7E0EF" w:val="clear"/>
                            <w:vAlign w:val="center"/>
                          </w:tcPr>
                          <w:p>
                            <w:pPr>
                              <w:pStyle w:val="Normal"/>
                              <w:bidi w:val="0"/>
                              <w:jc w:val="left"/>
                              <w:rPr/>
                            </w:pPr>
                            <w:r>
                              <w:rPr/>
                            </w:r>
                          </w:p>
                        </w:tc>
                      </w:tr>
                      <w:tr>
                        <w:trPr/>
                        <w:tc>
                          <w:tcPr>
                            <w:tcW w:w="185" w:type="dxa"/>
                            <w:tcBorders/>
                            <w:shd w:fill="E7E0EF" w:val="clear"/>
                            <w:vAlign w:val="center"/>
                          </w:tcPr>
                          <w:p>
                            <w:pPr>
                              <w:pStyle w:val="TableContents"/>
                              <w:bidi w:val="0"/>
                              <w:spacing w:before="0" w:after="0"/>
                              <w:jc w:val="left"/>
                              <w:rPr/>
                            </w:pPr>
                            <w:r>
                              <w:rPr/>
                              <w:t> </w:t>
                            </w:r>
                          </w:p>
                        </w:tc>
                        <w:tc>
                          <w:tcPr>
                            <w:tcW w:w="215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58"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108"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89"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438" w:type="dxa"/>
                            <w:tcBorders/>
                            <w:shd w:fill="E7E0EF" w:val="clear"/>
                            <w:vAlign w:val="center"/>
                          </w:tcPr>
                          <w:p>
                            <w:pPr>
                              <w:pStyle w:val="TableContents"/>
                              <w:bidi w:val="0"/>
                              <w:spacing w:before="0" w:after="0"/>
                              <w:jc w:val="left"/>
                              <w:rPr/>
                            </w:pPr>
                            <w:r>
                              <w:rPr/>
                              <w:t> </w:t>
                            </w:r>
                          </w:p>
                        </w:tc>
                        <w:tc>
                          <w:tcPr>
                            <w:tcW w:w="217" w:type="dxa"/>
                            <w:tcBorders/>
                            <w:shd w:fill="E7E0EF" w:val="clear"/>
                            <w:vAlign w:val="center"/>
                          </w:tcPr>
                          <w:p>
                            <w:pPr>
                              <w:pStyle w:val="TableContents"/>
                              <w:bidi w:val="0"/>
                              <w:spacing w:before="0" w:after="0"/>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99">
                <wp:simplePos x="0" y="0"/>
                <wp:positionH relativeFrom="column">
                  <wp:align>left</wp:align>
                </wp:positionH>
                <wp:positionV relativeFrom="line">
                  <wp:posOffset>635</wp:posOffset>
                </wp:positionV>
                <wp:extent cx="1727200" cy="1633855"/>
                <wp:effectExtent l="0" t="0" r="0" b="0"/>
                <wp:wrapSquare wrapText="right"/>
                <wp:docPr id="23" name="Frame3"/>
                <a:graphic xmlns:a="http://schemas.openxmlformats.org/drawingml/2006/main">
                  <a:graphicData uri="http://schemas.microsoft.com/office/word/2010/wordprocessingShape">
                    <wps:wsp>
                      <wps:cNvSpPr txBox="1"/>
                      <wps:spPr>
                        <a:xfrm>
                          <a:off x="0" y="0"/>
                          <a:ext cx="1727200" cy="163385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E7E0EF" w:val="clear"/>
                                  <w:vAlign w:val="center"/>
                                </w:tcPr>
                                <w:p>
                                  <w:pPr>
                                    <w:pStyle w:val="TableContents"/>
                                    <w:bidi w:val="0"/>
                                    <w:spacing w:before="0" w:after="0"/>
                                    <w:jc w:val="left"/>
                                    <w:rPr/>
                                  </w:pPr>
                                  <w:r>
                                    <w:rPr/>
                                    <w:t> </w:t>
                                  </w:r>
                                </w:p>
                              </w:tc>
                              <w:tc>
                                <w:tcPr>
                                  <w:tcW w:w="980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9805" w:type="dxa"/>
                                  <w:tcBorders/>
                                  <w:shd w:fill="E7E0EF" w:val="clear"/>
                                  <w:vAlign w:val="center"/>
                                </w:tcPr>
                                <w:p>
                                  <w:pPr>
                                    <w:pStyle w:val="TableContents"/>
                                    <w:bidi w:val="0"/>
                                    <w:spacing w:before="0" w:after="283"/>
                                    <w:ind w:left="60" w:right="0" w:hanging="0"/>
                                    <w:jc w:val="left"/>
                                    <w:rPr>
                                      <w:rFonts w:ascii="Arial;Helvetica;sans-serif" w:hAnsi="Arial;Helvetica;sans-serif"/>
                                      <w:b/>
                                      <w:color w:val="72288A"/>
                                      <w:sz w:val="16"/>
                                    </w:rPr>
                                  </w:pPr>
                                  <w:r>
                                    <w:rPr>
                                      <w:rFonts w:ascii="Arial;Helvetica;sans-serif" w:hAnsi="Arial;Helvetica;sans-serif"/>
                                      <w:b/>
                                      <w:color w:val="72288A"/>
                                      <w:sz w:val="16"/>
                                    </w:rPr>
                                    <w:t xml:space="preserve">Voting Information </w:t>
                                  </w:r>
                                </w:p>
                                <w:p>
                                  <w:pPr>
                                    <w:pStyle w:val="TableContents"/>
                                    <w:bidi w:val="0"/>
                                    <w:spacing w:before="120" w:after="283"/>
                                    <w:ind w:left="60" w:right="0" w:hanging="0"/>
                                    <w:jc w:val="left"/>
                                    <w:rPr>
                                      <w:rFonts w:ascii="Arial;Helvetica;sans-serif" w:hAnsi="Arial;Helvetica;sans-serif"/>
                                      <w:b/>
                                      <w:color w:val="1F1C6B"/>
                                      <w:sz w:val="16"/>
                                    </w:rPr>
                                  </w:pPr>
                                  <w:r>
                                    <w:rPr>
                                      <w:rFonts w:ascii="Arial;Helvetica;sans-serif" w:hAnsi="Arial;Helvetica;sans-serif"/>
                                      <w:b/>
                                      <w:color w:val="1F1C6B"/>
                                      <w:sz w:val="16"/>
                                    </w:rPr>
                                    <w:t>How to Vote</w:t>
                                  </w:r>
                                </w:p>
                                <w:p>
                                  <w:pPr>
                                    <w:pStyle w:val="TableContents"/>
                                    <w:bidi w:val="0"/>
                                    <w:spacing w:lineRule="atLeast" w:line="180" w:before="40" w:after="283"/>
                                    <w:ind w:left="60" w:right="240" w:hanging="0"/>
                                    <w:jc w:val="left"/>
                                    <w:rPr>
                                      <w:rFonts w:ascii="Arial;Helvetica;sans-serif" w:hAnsi="Arial;Helvetica;sans-serif"/>
                                      <w:b w:val="false"/>
                                      <w:color w:val="636466"/>
                                      <w:sz w:val="16"/>
                                    </w:rPr>
                                  </w:pPr>
                                  <w:r>
                                    <w:rPr>
                                      <w:rFonts w:ascii="Arial;Helvetica;sans-serif" w:hAnsi="Arial;Helvetica;sans-serif"/>
                                      <w:b w:val="false"/>
                                      <w:color w:val="636466"/>
                                      <w:sz w:val="16"/>
                                    </w:rPr>
                                    <w:t>Please vote using one of the advance voting methods. In all cases, you should have your Internet Notice, or if you requested to receive printed proxy materials, your proxy card or voting instruction form, in hand and follow the instructions.</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980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p>
                            <w:pPr>
                              <w:pStyle w:val="TextBody"/>
                              <w:bidi w:val="0"/>
                              <w:spacing w:before="0" w:after="283"/>
                              <w:ind w:left="0" w:right="240" w:hanging="0"/>
                              <w:jc w:val="left"/>
                              <w:rPr/>
                            </w:pPr>
                            <w:r>
                              <w:rPr/>
                            </w:r>
                          </w:p>
                        </w:txbxContent>
                      </wps:txbx>
                      <wps:bodyPr anchor="t" lIns="0" tIns="0" rIns="0" bIns="0">
                        <a:noAutofit/>
                      </wps:bodyPr>
                    </wps:wsp>
                  </a:graphicData>
                </a:graphic>
              </wp:anchor>
            </w:drawing>
          </mc:Choice>
          <mc:Fallback>
            <w:pict>
              <v:rect style="position:absolute;rotation:-0;width:136pt;height:128.6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E7E0EF" w:val="clear"/>
                            <w:vAlign w:val="center"/>
                          </w:tcPr>
                          <w:p>
                            <w:pPr>
                              <w:pStyle w:val="TableContents"/>
                              <w:bidi w:val="0"/>
                              <w:spacing w:before="0" w:after="0"/>
                              <w:jc w:val="left"/>
                              <w:rPr/>
                            </w:pPr>
                            <w:r>
                              <w:rPr/>
                              <w:t> </w:t>
                            </w:r>
                          </w:p>
                        </w:tc>
                        <w:tc>
                          <w:tcPr>
                            <w:tcW w:w="980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9805" w:type="dxa"/>
                            <w:tcBorders/>
                            <w:shd w:fill="E7E0EF" w:val="clear"/>
                            <w:vAlign w:val="center"/>
                          </w:tcPr>
                          <w:p>
                            <w:pPr>
                              <w:pStyle w:val="TableContents"/>
                              <w:bidi w:val="0"/>
                              <w:spacing w:before="0" w:after="283"/>
                              <w:ind w:left="60" w:right="0" w:hanging="0"/>
                              <w:jc w:val="left"/>
                              <w:rPr>
                                <w:rFonts w:ascii="Arial;Helvetica;sans-serif" w:hAnsi="Arial;Helvetica;sans-serif"/>
                                <w:b/>
                                <w:color w:val="72288A"/>
                                <w:sz w:val="16"/>
                              </w:rPr>
                            </w:pPr>
                            <w:r>
                              <w:rPr>
                                <w:rFonts w:ascii="Arial;Helvetica;sans-serif" w:hAnsi="Arial;Helvetica;sans-serif"/>
                                <w:b/>
                                <w:color w:val="72288A"/>
                                <w:sz w:val="16"/>
                              </w:rPr>
                              <w:t xml:space="preserve">Voting Information </w:t>
                            </w:r>
                          </w:p>
                          <w:p>
                            <w:pPr>
                              <w:pStyle w:val="TableContents"/>
                              <w:bidi w:val="0"/>
                              <w:spacing w:before="120" w:after="283"/>
                              <w:ind w:left="60" w:right="0" w:hanging="0"/>
                              <w:jc w:val="left"/>
                              <w:rPr>
                                <w:rFonts w:ascii="Arial;Helvetica;sans-serif" w:hAnsi="Arial;Helvetica;sans-serif"/>
                                <w:b/>
                                <w:color w:val="1F1C6B"/>
                                <w:sz w:val="16"/>
                              </w:rPr>
                            </w:pPr>
                            <w:r>
                              <w:rPr>
                                <w:rFonts w:ascii="Arial;Helvetica;sans-serif" w:hAnsi="Arial;Helvetica;sans-serif"/>
                                <w:b/>
                                <w:color w:val="1F1C6B"/>
                                <w:sz w:val="16"/>
                              </w:rPr>
                              <w:t>How to Vote</w:t>
                            </w:r>
                          </w:p>
                          <w:p>
                            <w:pPr>
                              <w:pStyle w:val="TableContents"/>
                              <w:bidi w:val="0"/>
                              <w:spacing w:lineRule="atLeast" w:line="180" w:before="40" w:after="283"/>
                              <w:ind w:left="60" w:right="240" w:hanging="0"/>
                              <w:jc w:val="left"/>
                              <w:rPr>
                                <w:rFonts w:ascii="Arial;Helvetica;sans-serif" w:hAnsi="Arial;Helvetica;sans-serif"/>
                                <w:b w:val="false"/>
                                <w:color w:val="636466"/>
                                <w:sz w:val="16"/>
                              </w:rPr>
                            </w:pPr>
                            <w:r>
                              <w:rPr>
                                <w:rFonts w:ascii="Arial;Helvetica;sans-serif" w:hAnsi="Arial;Helvetica;sans-serif"/>
                                <w:b w:val="false"/>
                                <w:color w:val="636466"/>
                                <w:sz w:val="16"/>
                              </w:rPr>
                              <w:t>Please vote using one of the advance voting methods. In all cases, you should have your Internet Notice, or if you requested to receive printed proxy materials, your proxy card or voting instruction form, in hand and follow the instructions.</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980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p>
                      <w:pPr>
                        <w:pStyle w:val="TextBody"/>
                        <w:bidi w:val="0"/>
                        <w:spacing w:before="0" w:after="283"/>
                        <w:ind w:left="0" w:right="240" w:hanging="0"/>
                        <w:jc w:val="left"/>
                        <w:rPr/>
                      </w:pPr>
                      <w:r>
                        <w:rPr/>
                      </w:r>
                    </w:p>
                  </w:txbxContent>
                </v:textbox>
                <w10:wrap type="square" side="right"/>
              </v:rect>
            </w:pict>
          </mc:Fallback>
        </mc:AlternateContent>
      </w:r>
    </w:p>
    <w:p>
      <w:pPr>
        <w:pStyle w:val="HorizontalLine"/>
        <w:bidi w:val="0"/>
        <w:spacing w:before="200" w:after="200"/>
        <w:jc w:val="left"/>
        <w:rPr/>
      </w:pPr>
      <w:r>
        <w:rPr/>
      </w:r>
    </w:p>
    <w:p>
      <w:pPr>
        <w:pStyle w:val="TextBody"/>
        <w:bidi w:val="0"/>
        <w:jc w:val="left"/>
        <w:rPr/>
      </w:pPr>
      <w:hyperlink w:anchor="TOC">
        <w:bookmarkStart w:id="8" w:name="ny20055082x771_def14a_103-notice_pg2"/>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1895475" cy="504825"/>
            <wp:effectExtent l="0" t="0" r="0" b="0"/>
            <wp:docPr id="2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4" descr=""/>
                    <pic:cNvPicPr>
                      <a:picLocks noChangeAspect="1" noChangeArrowheads="1"/>
                    </pic:cNvPicPr>
                  </pic:nvPicPr>
                  <pic:blipFill>
                    <a:blip r:embed="rId21"/>
                    <a:stretch>
                      <a:fillRect/>
                    </a:stretch>
                  </pic:blipFill>
                  <pic:spPr bwMode="auto">
                    <a:xfrm>
                      <a:off x="0" y="0"/>
                      <a:ext cx="1895475" cy="504825"/>
                    </a:xfrm>
                    <a:prstGeom prst="rect">
                      <a:avLst/>
                    </a:prstGeom>
                  </pic:spPr>
                </pic:pic>
              </a:graphicData>
            </a:graphic>
          </wp:inline>
        </w:drawing>
      </w:r>
    </w:p>
    <w:p>
      <w:pPr>
        <w:pStyle w:val="HorizontalLine"/>
        <w:bidi w:val="0"/>
        <w:spacing w:before="200" w:after="200"/>
        <w:jc w:val="left"/>
        <w:rPr/>
      </w:pPr>
      <w:r>
        <w:rPr/>
      </w:r>
      <w:r>
        <mc:AlternateContent>
          <mc:Choice Requires="wps">
            <w:drawing>
              <wp:anchor behindDoc="0" distT="0" distB="0" distL="0" distR="0" simplePos="0" locked="0" layoutInCell="1" allowOverlap="1" relativeHeight="196">
                <wp:simplePos x="0" y="0"/>
                <wp:positionH relativeFrom="column">
                  <wp:align>left</wp:align>
                </wp:positionH>
                <wp:positionV relativeFrom="line">
                  <wp:posOffset>635</wp:posOffset>
                </wp:positionV>
                <wp:extent cx="3670300" cy="4799330"/>
                <wp:effectExtent l="0" t="0" r="0" b="0"/>
                <wp:wrapSquare wrapText="right"/>
                <wp:docPr id="25" name="Frame5"/>
                <a:graphic xmlns:a="http://schemas.openxmlformats.org/drawingml/2006/main">
                  <a:graphicData uri="http://schemas.microsoft.com/office/word/2010/wordprocessingShape">
                    <wps:wsp>
                      <wps:cNvSpPr txBox="1"/>
                      <wps:spPr>
                        <a:xfrm>
                          <a:off x="0" y="0"/>
                          <a:ext cx="3670300" cy="4799330"/>
                        </a:xfrm>
                        <a:prstGeom prst="rect"/>
                        <a:solidFill>
                          <a:srgbClr val="FFFFFF"/>
                        </a:solidFill>
                      </wps:spPr>
                      <wps:txbx>
                        <w:txbxContent>
                          <w:p>
                            <w:pPr>
                              <w:pStyle w:val="TextBody"/>
                              <w:bidi w:val="0"/>
                              <w:spacing w:before="200" w:after="283"/>
                              <w:ind w:left="0" w:right="0" w:hanging="0"/>
                              <w:jc w:val="left"/>
                              <w:rPr>
                                <w:rFonts w:ascii="Arial;Helvetica;sans-serif" w:hAnsi="Arial;Helvetica;sans-serif"/>
                                <w:color w:val="1F1C6B"/>
                                <w:sz w:val="24"/>
                              </w:rPr>
                            </w:pPr>
                            <w:r>
                              <w:rPr>
                                <w:rFonts w:ascii="Arial;Helvetica;sans-serif" w:hAnsi="Arial;Helvetica;sans-serif"/>
                                <w:color w:val="1F1C6B"/>
                                <w:sz w:val="24"/>
                              </w:rPr>
                              <w:t xml:space="preserve">Important Meeting Information </w:t>
                            </w:r>
                          </w:p>
                          <w:p>
                            <w:pPr>
                              <w:pStyle w:val="TextBody"/>
                              <w:bidi w:val="0"/>
                              <w:spacing w:before="120" w:after="283"/>
                              <w:ind w:left="0" w:right="0" w:hanging="0"/>
                              <w:jc w:val="left"/>
                              <w:rPr/>
                            </w:pPr>
                            <w:r>
                              <w:rPr>
                                <w:rFonts w:ascii="Arial;Helvetica;sans-serif" w:hAnsi="Arial;Helvetica;sans-serif"/>
                                <w:b/>
                                <w:color w:val="72288A"/>
                                <w:sz w:val="18"/>
                              </w:rPr>
                              <w:t>If you plan to attend the 2025 Annual Meeting in person, you must register in advance. See the question titled “How can I attend the 2025 Annual Meeting?” on page A-</w:t>
                            </w:r>
                            <w:hyperlink w:anchor="tHCI">
                              <w:r>
                                <w:rPr>
                                  <w:rStyle w:val="InternetLink"/>
                                  <w:rFonts w:ascii="Arial;Helvetica;sans-serif" w:hAnsi="Arial;Helvetica;sans-serif"/>
                                  <w:b/>
                                  <w:color w:val="000080"/>
                                  <w:sz w:val="18"/>
                                </w:rPr>
                                <w:t>2</w:t>
                              </w:r>
                            </w:hyperlink>
                            <w:r>
                              <w:rPr>
                                <w:rFonts w:ascii="Arial;Helvetica;sans-serif" w:hAnsi="Arial;Helvetica;sans-serif"/>
                                <w:b/>
                                <w:color w:val="72288A"/>
                                <w:sz w:val="18"/>
                              </w:rPr>
                              <w:t xml:space="preserve"> for information about the location, format and how to register to attend the meeting.</w:t>
                            </w:r>
                            <w:r>
                              <w:rPr>
                                <w:rFonts w:ascii="Arial;Helvetica;sans-serif" w:hAnsi="Arial;Helvetica;sans-serif"/>
                                <w:b/>
                                <w:color w:val="636466"/>
                                <w:sz w:val="18"/>
                              </w:rPr>
                              <w:t xml:space="preserve"> </w:t>
                            </w:r>
                          </w:p>
                          <w:p>
                            <w:pPr>
                              <w:pStyle w:val="TextBody"/>
                              <w:bidi w:val="0"/>
                              <w:spacing w:before="240" w:after="283"/>
                              <w:ind w:left="0" w:right="0" w:hanging="0"/>
                              <w:jc w:val="left"/>
                              <w:rPr/>
                            </w:pPr>
                            <w:r>
                              <w:rPr>
                                <w:rFonts w:ascii="Arial;Helvetica;sans-serif" w:hAnsi="Arial;Helvetica;sans-serif"/>
                                <w:b/>
                                <w:color w:val="636466"/>
                                <w:sz w:val="18"/>
                              </w:rPr>
                              <w:t>For important information concerning the 2025 Annual Meeting, voting and other matters, please refer to Appendix A – Questions and Answers, beginning on page A-</w:t>
                            </w:r>
                            <w:hyperlink w:anchor="tQAA">
                              <w:r>
                                <w:rPr>
                                  <w:rStyle w:val="InternetLink"/>
                                  <w:rFonts w:ascii="Arial;Helvetica;sans-serif" w:hAnsi="Arial;Helvetica;sans-serif"/>
                                  <w:b/>
                                  <w:color w:val="000080"/>
                                  <w:sz w:val="18"/>
                                </w:rPr>
                                <w:t>1</w:t>
                              </w:r>
                            </w:hyperlink>
                            <w:r>
                              <w:rPr>
                                <w:rFonts w:ascii="Arial;Helvetica;sans-serif" w:hAnsi="Arial;Helvetica;sans-serif"/>
                                <w:b/>
                                <w:color w:val="636466"/>
                                <w:sz w:val="18"/>
                              </w:rPr>
                              <w:t xml:space="preserve">. </w:t>
                            </w:r>
                          </w:p>
                          <w:p>
                            <w:pPr>
                              <w:pStyle w:val="TextBody"/>
                              <w:bidi w:val="0"/>
                              <w:spacing w:before="300" w:after="283"/>
                              <w:ind w:left="0" w:right="0" w:hanging="0"/>
                              <w:jc w:val="left"/>
                              <w:rPr>
                                <w:rFonts w:ascii="Arial;Helvetica;sans-serif" w:hAnsi="Arial;Helvetica;sans-serif"/>
                                <w:color w:val="636466"/>
                                <w:sz w:val="18"/>
                              </w:rPr>
                            </w:pPr>
                            <w:r>
                              <w:rPr>
                                <w:rFonts w:ascii="Arial;Helvetica;sans-serif" w:hAnsi="Arial;Helvetica;sans-serif"/>
                                <w:color w:val="636466"/>
                                <w:sz w:val="18"/>
                              </w:rPr>
                              <w:t xml:space="preserve">By Order of the Viatris Inc. Board of Directors, </w:t>
                            </w:r>
                          </w:p>
                          <w:p>
                            <w:pPr>
                              <w:pStyle w:val="TextBody"/>
                              <w:bidi w:val="0"/>
                              <w:spacing w:before="420" w:after="283"/>
                              <w:ind w:left="0" w:right="0" w:hanging="0"/>
                              <w:jc w:val="left"/>
                              <w:rPr>
                                <w:color w:val="636466"/>
                              </w:rPr>
                            </w:pPr>
                            <w:r>
                              <w:rPr>
                                <w:color w:val="636466"/>
                              </w:rPr>
                              <w:drawing>
                                <wp:inline distT="0" distB="0" distL="0" distR="0">
                                  <wp:extent cx="1514475" cy="371475"/>
                                  <wp:effectExtent l="0" t="0" r="0" b="0"/>
                                  <wp:docPr id="2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5" descr=""/>
                                          <pic:cNvPicPr>
                                            <a:picLocks noChangeAspect="1" noChangeArrowheads="1"/>
                                          </pic:cNvPicPr>
                                        </pic:nvPicPr>
                                        <pic:blipFill>
                                          <a:blip r:embed="rId22"/>
                                          <a:stretch>
                                            <a:fillRect/>
                                          </a:stretch>
                                        </pic:blipFill>
                                        <pic:spPr bwMode="auto">
                                          <a:xfrm>
                                            <a:off x="0" y="0"/>
                                            <a:ext cx="1514475" cy="371475"/>
                                          </a:xfrm>
                                          <a:prstGeom prst="rect">
                                            <a:avLst/>
                                          </a:prstGeom>
                                        </pic:spPr>
                                      </pic:pic>
                                    </a:graphicData>
                                  </a:graphic>
                                </wp:inline>
                              </w:drawing>
                            </w:r>
                          </w:p>
                          <w:p>
                            <w:pPr>
                              <w:pStyle w:val="TextBody"/>
                              <w:bidi w:val="0"/>
                              <w:spacing w:before="0" w:after="283"/>
                              <w:ind w:left="0" w:right="0" w:hanging="0"/>
                              <w:jc w:val="left"/>
                              <w:rPr>
                                <w:color w:val="636466"/>
                              </w:rPr>
                            </w:pPr>
                            <w:r>
                              <w:rPr>
                                <w:color w:val="636466"/>
                              </w:rPr>
                              <w:t> </w:t>
                            </w:r>
                          </w:p>
                          <w:p>
                            <w:pPr>
                              <w:pStyle w:val="TextBody"/>
                              <w:bidi w:val="0"/>
                              <w:spacing w:before="300" w:after="283"/>
                              <w:ind w:left="0" w:right="0" w:hanging="0"/>
                              <w:jc w:val="left"/>
                              <w:rPr>
                                <w:rFonts w:ascii="Arial;Helvetica;sans-serif" w:hAnsi="Arial;Helvetica;sans-serif"/>
                                <w:color w:val="8A58A0"/>
                                <w:sz w:val="18"/>
                              </w:rPr>
                            </w:pPr>
                            <w:r>
                              <w:rPr>
                                <w:rFonts w:ascii="Arial;Helvetica;sans-serif" w:hAnsi="Arial;Helvetica;sans-serif"/>
                                <w:color w:val="8A58A0"/>
                                <w:sz w:val="18"/>
                              </w:rPr>
                              <w:t>Burt Park</w:t>
                            </w:r>
                            <w:r>
                              <w:rPr>
                                <w:rFonts w:ascii="Arial;Helvetica;sans-serif" w:hAnsi="Arial;Helvetica;sans-serif"/>
                                <w:color w:val="636466"/>
                                <w:sz w:val="18"/>
                              </w:rPr>
                              <w:t xml:space="preserve"> </w:t>
                            </w:r>
                          </w:p>
                          <w:p>
                            <w:pPr>
                              <w:pStyle w:val="TextBody"/>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 xml:space="preserve">Chief Governance Counsel and Corporate Secretary </w:t>
                            </w:r>
                          </w:p>
                          <w:p>
                            <w:pPr>
                              <w:pStyle w:val="TextBody"/>
                              <w:bidi w:val="0"/>
                              <w:spacing w:before="300" w:after="283"/>
                              <w:ind w:left="0" w:right="0" w:hanging="0"/>
                              <w:jc w:val="left"/>
                              <w:rPr>
                                <w:rFonts w:ascii="Arial;Helvetica;sans-serif" w:hAnsi="Arial;Helvetica;sans-serif"/>
                                <w:color w:val="636466"/>
                                <w:sz w:val="18"/>
                              </w:rPr>
                            </w:pPr>
                            <w:r>
                              <w:rPr>
                                <w:rFonts w:ascii="Arial;Helvetica;sans-serif" w:hAnsi="Arial;Helvetica;sans-serif"/>
                                <w:color w:val="636466"/>
                                <w:sz w:val="18"/>
                              </w:rPr>
                              <w:t xml:space="preserve">October 24, 2025 </w:t>
                            </w:r>
                          </w:p>
                        </w:txbxContent>
                      </wps:txbx>
                      <wps:bodyPr anchor="t" lIns="0" tIns="0" rIns="0" bIns="0">
                        <a:noAutofit/>
                      </wps:bodyPr>
                    </wps:wsp>
                  </a:graphicData>
                </a:graphic>
              </wp:anchor>
            </w:drawing>
          </mc:Choice>
          <mc:Fallback>
            <w:pict>
              <v:rect style="position:absolute;rotation:-0;width:289pt;height:377.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ind w:left="0" w:right="0" w:hanging="0"/>
                        <w:jc w:val="left"/>
                        <w:rPr>
                          <w:rFonts w:ascii="Arial;Helvetica;sans-serif" w:hAnsi="Arial;Helvetica;sans-serif"/>
                          <w:color w:val="1F1C6B"/>
                          <w:sz w:val="24"/>
                        </w:rPr>
                      </w:pPr>
                      <w:r>
                        <w:rPr>
                          <w:rFonts w:ascii="Arial;Helvetica;sans-serif" w:hAnsi="Arial;Helvetica;sans-serif"/>
                          <w:color w:val="1F1C6B"/>
                          <w:sz w:val="24"/>
                        </w:rPr>
                        <w:t xml:space="preserve">Important Meeting Information </w:t>
                      </w:r>
                    </w:p>
                    <w:p>
                      <w:pPr>
                        <w:pStyle w:val="TextBody"/>
                        <w:bidi w:val="0"/>
                        <w:spacing w:before="120" w:after="283"/>
                        <w:ind w:left="0" w:right="0" w:hanging="0"/>
                        <w:jc w:val="left"/>
                        <w:rPr/>
                      </w:pPr>
                      <w:r>
                        <w:rPr>
                          <w:rFonts w:ascii="Arial;Helvetica;sans-serif" w:hAnsi="Arial;Helvetica;sans-serif"/>
                          <w:b/>
                          <w:color w:val="72288A"/>
                          <w:sz w:val="18"/>
                        </w:rPr>
                        <w:t>If you plan to attend the 2025 Annual Meeting in person, you must register in advance. See the question titled “How can I attend the 2025 Annual Meeting?” on page A-</w:t>
                      </w:r>
                      <w:hyperlink w:anchor="tHCI">
                        <w:r>
                          <w:rPr>
                            <w:rStyle w:val="InternetLink"/>
                            <w:rFonts w:ascii="Arial;Helvetica;sans-serif" w:hAnsi="Arial;Helvetica;sans-serif"/>
                            <w:b/>
                            <w:color w:val="000080"/>
                            <w:sz w:val="18"/>
                          </w:rPr>
                          <w:t>2</w:t>
                        </w:r>
                      </w:hyperlink>
                      <w:r>
                        <w:rPr>
                          <w:rFonts w:ascii="Arial;Helvetica;sans-serif" w:hAnsi="Arial;Helvetica;sans-serif"/>
                          <w:b/>
                          <w:color w:val="72288A"/>
                          <w:sz w:val="18"/>
                        </w:rPr>
                        <w:t xml:space="preserve"> for information about the location, format and how to register to attend the meeting.</w:t>
                      </w:r>
                      <w:r>
                        <w:rPr>
                          <w:rFonts w:ascii="Arial;Helvetica;sans-serif" w:hAnsi="Arial;Helvetica;sans-serif"/>
                          <w:b/>
                          <w:color w:val="636466"/>
                          <w:sz w:val="18"/>
                        </w:rPr>
                        <w:t xml:space="preserve"> </w:t>
                      </w:r>
                    </w:p>
                    <w:p>
                      <w:pPr>
                        <w:pStyle w:val="TextBody"/>
                        <w:bidi w:val="0"/>
                        <w:spacing w:before="240" w:after="283"/>
                        <w:ind w:left="0" w:right="0" w:hanging="0"/>
                        <w:jc w:val="left"/>
                        <w:rPr/>
                      </w:pPr>
                      <w:r>
                        <w:rPr>
                          <w:rFonts w:ascii="Arial;Helvetica;sans-serif" w:hAnsi="Arial;Helvetica;sans-serif"/>
                          <w:b/>
                          <w:color w:val="636466"/>
                          <w:sz w:val="18"/>
                        </w:rPr>
                        <w:t>For important information concerning the 2025 Annual Meeting, voting and other matters, please refer to Appendix A – Questions and Answers, beginning on page A-</w:t>
                      </w:r>
                      <w:hyperlink w:anchor="tQAA">
                        <w:r>
                          <w:rPr>
                            <w:rStyle w:val="InternetLink"/>
                            <w:rFonts w:ascii="Arial;Helvetica;sans-serif" w:hAnsi="Arial;Helvetica;sans-serif"/>
                            <w:b/>
                            <w:color w:val="000080"/>
                            <w:sz w:val="18"/>
                          </w:rPr>
                          <w:t>1</w:t>
                        </w:r>
                      </w:hyperlink>
                      <w:r>
                        <w:rPr>
                          <w:rFonts w:ascii="Arial;Helvetica;sans-serif" w:hAnsi="Arial;Helvetica;sans-serif"/>
                          <w:b/>
                          <w:color w:val="636466"/>
                          <w:sz w:val="18"/>
                        </w:rPr>
                        <w:t xml:space="preserve">. </w:t>
                      </w:r>
                    </w:p>
                    <w:p>
                      <w:pPr>
                        <w:pStyle w:val="TextBody"/>
                        <w:bidi w:val="0"/>
                        <w:spacing w:before="300" w:after="283"/>
                        <w:ind w:left="0" w:right="0" w:hanging="0"/>
                        <w:jc w:val="left"/>
                        <w:rPr>
                          <w:rFonts w:ascii="Arial;Helvetica;sans-serif" w:hAnsi="Arial;Helvetica;sans-serif"/>
                          <w:color w:val="636466"/>
                          <w:sz w:val="18"/>
                        </w:rPr>
                      </w:pPr>
                      <w:r>
                        <w:rPr>
                          <w:rFonts w:ascii="Arial;Helvetica;sans-serif" w:hAnsi="Arial;Helvetica;sans-serif"/>
                          <w:color w:val="636466"/>
                          <w:sz w:val="18"/>
                        </w:rPr>
                        <w:t xml:space="preserve">By Order of the Viatris Inc. Board of Directors, </w:t>
                      </w:r>
                    </w:p>
                    <w:p>
                      <w:pPr>
                        <w:pStyle w:val="TextBody"/>
                        <w:bidi w:val="0"/>
                        <w:spacing w:before="420" w:after="283"/>
                        <w:ind w:left="0" w:right="0" w:hanging="0"/>
                        <w:jc w:val="left"/>
                        <w:rPr>
                          <w:color w:val="636466"/>
                        </w:rPr>
                      </w:pPr>
                      <w:r>
                        <w:rPr>
                          <w:color w:val="636466"/>
                        </w:rPr>
                        <w:drawing>
                          <wp:inline distT="0" distB="0" distL="0" distR="0">
                            <wp:extent cx="1514475" cy="371475"/>
                            <wp:effectExtent l="0" t="0" r="0" b="0"/>
                            <wp:docPr id="2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5" descr=""/>
                                    <pic:cNvPicPr>
                                      <a:picLocks noChangeAspect="1" noChangeArrowheads="1"/>
                                    </pic:cNvPicPr>
                                  </pic:nvPicPr>
                                  <pic:blipFill>
                                    <a:blip r:embed="rId23"/>
                                    <a:stretch>
                                      <a:fillRect/>
                                    </a:stretch>
                                  </pic:blipFill>
                                  <pic:spPr bwMode="auto">
                                    <a:xfrm>
                                      <a:off x="0" y="0"/>
                                      <a:ext cx="1514475" cy="371475"/>
                                    </a:xfrm>
                                    <a:prstGeom prst="rect">
                                      <a:avLst/>
                                    </a:prstGeom>
                                  </pic:spPr>
                                </pic:pic>
                              </a:graphicData>
                            </a:graphic>
                          </wp:inline>
                        </w:drawing>
                      </w:r>
                    </w:p>
                    <w:p>
                      <w:pPr>
                        <w:pStyle w:val="TextBody"/>
                        <w:bidi w:val="0"/>
                        <w:spacing w:before="0" w:after="283"/>
                        <w:ind w:left="0" w:right="0" w:hanging="0"/>
                        <w:jc w:val="left"/>
                        <w:rPr>
                          <w:color w:val="636466"/>
                        </w:rPr>
                      </w:pPr>
                      <w:r>
                        <w:rPr>
                          <w:color w:val="636466"/>
                        </w:rPr>
                        <w:t> </w:t>
                      </w:r>
                    </w:p>
                    <w:p>
                      <w:pPr>
                        <w:pStyle w:val="TextBody"/>
                        <w:bidi w:val="0"/>
                        <w:spacing w:before="300" w:after="283"/>
                        <w:ind w:left="0" w:right="0" w:hanging="0"/>
                        <w:jc w:val="left"/>
                        <w:rPr>
                          <w:rFonts w:ascii="Arial;Helvetica;sans-serif" w:hAnsi="Arial;Helvetica;sans-serif"/>
                          <w:color w:val="8A58A0"/>
                          <w:sz w:val="18"/>
                        </w:rPr>
                      </w:pPr>
                      <w:r>
                        <w:rPr>
                          <w:rFonts w:ascii="Arial;Helvetica;sans-serif" w:hAnsi="Arial;Helvetica;sans-serif"/>
                          <w:color w:val="8A58A0"/>
                          <w:sz w:val="18"/>
                        </w:rPr>
                        <w:t>Burt Park</w:t>
                      </w:r>
                      <w:r>
                        <w:rPr>
                          <w:rFonts w:ascii="Arial;Helvetica;sans-serif" w:hAnsi="Arial;Helvetica;sans-serif"/>
                          <w:color w:val="636466"/>
                          <w:sz w:val="18"/>
                        </w:rPr>
                        <w:t xml:space="preserve"> </w:t>
                      </w:r>
                    </w:p>
                    <w:p>
                      <w:pPr>
                        <w:pStyle w:val="TextBody"/>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 xml:space="preserve">Chief Governance Counsel and Corporate Secretary </w:t>
                      </w:r>
                    </w:p>
                    <w:p>
                      <w:pPr>
                        <w:pStyle w:val="TextBody"/>
                        <w:bidi w:val="0"/>
                        <w:spacing w:before="300" w:after="283"/>
                        <w:ind w:left="0" w:right="0" w:hanging="0"/>
                        <w:jc w:val="left"/>
                        <w:rPr>
                          <w:rFonts w:ascii="Arial;Helvetica;sans-serif" w:hAnsi="Arial;Helvetica;sans-serif"/>
                          <w:color w:val="636466"/>
                          <w:sz w:val="18"/>
                        </w:rPr>
                      </w:pPr>
                      <w:r>
                        <w:rPr>
                          <w:rFonts w:ascii="Arial;Helvetica;sans-serif" w:hAnsi="Arial;Helvetica;sans-serif"/>
                          <w:color w:val="636466"/>
                          <w:sz w:val="18"/>
                        </w:rPr>
                        <w:t xml:space="preserve">October 24, 2025 </w:t>
                      </w:r>
                    </w:p>
                  </w:txbxContent>
                </v:textbox>
                <w10:wrap type="square" side="right"/>
              </v:rect>
            </w:pict>
          </mc:Fallback>
        </mc:AlternateContent>
      </w:r>
      <w:r>
        <mc:AlternateContent>
          <mc:Choice Requires="wps">
            <w:drawing>
              <wp:anchor behindDoc="0" distT="0" distB="0" distL="228600" distR="0" simplePos="0" locked="0" layoutInCell="1" allowOverlap="1" relativeHeight="300">
                <wp:simplePos x="0" y="0"/>
                <wp:positionH relativeFrom="column">
                  <wp:align>left</wp:align>
                </wp:positionH>
                <wp:positionV relativeFrom="line">
                  <wp:posOffset>635</wp:posOffset>
                </wp:positionV>
                <wp:extent cx="2730500" cy="1657985"/>
                <wp:effectExtent l="0" t="0" r="0" b="0"/>
                <wp:wrapSquare wrapText="right"/>
                <wp:docPr id="28" name="Frame6"/>
                <a:graphic xmlns:a="http://schemas.openxmlformats.org/drawingml/2006/main">
                  <a:graphicData uri="http://schemas.microsoft.com/office/word/2010/wordprocessingShape">
                    <wps:wsp>
                      <wps:cNvSpPr txBox="1"/>
                      <wps:spPr>
                        <a:xfrm>
                          <a:off x="0" y="0"/>
                          <a:ext cx="2730500" cy="165798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FFF1C7" w:val="clear"/>
                                  <w:vAlign w:val="center"/>
                                </w:tcPr>
                                <w:p>
                                  <w:pPr>
                                    <w:pStyle w:val="TableContents"/>
                                    <w:bidi w:val="0"/>
                                    <w:spacing w:before="0" w:after="0"/>
                                    <w:jc w:val="left"/>
                                    <w:rPr/>
                                  </w:pPr>
                                  <w:r>
                                    <w:rPr/>
                                    <w:t> </w:t>
                                  </w:r>
                                </w:p>
                              </w:tc>
                              <w:tc>
                                <w:tcPr>
                                  <w:tcW w:w="9805" w:type="dxa"/>
                                  <w:tcBorders/>
                                  <w:shd w:fill="FFF1C7" w:val="clear"/>
                                  <w:vAlign w:val="center"/>
                                </w:tcPr>
                                <w:p>
                                  <w:pPr>
                                    <w:pStyle w:val="TableContents"/>
                                    <w:bidi w:val="0"/>
                                    <w:spacing w:before="0" w:after="0"/>
                                    <w:jc w:val="left"/>
                                    <w:rPr/>
                                  </w:pPr>
                                  <w:r>
                                    <w:rPr/>
                                    <w:t> </w:t>
                                  </w:r>
                                </w:p>
                              </w:tc>
                              <w:tc>
                                <w:tcPr>
                                  <w:tcW w:w="215" w:type="dxa"/>
                                  <w:tcBorders/>
                                  <w:shd w:fill="FFF1C7" w:val="clear"/>
                                  <w:vAlign w:val="center"/>
                                </w:tcPr>
                                <w:p>
                                  <w:pPr>
                                    <w:pStyle w:val="TableContents"/>
                                    <w:bidi w:val="0"/>
                                    <w:spacing w:before="0" w:after="0"/>
                                    <w:jc w:val="left"/>
                                    <w:rPr/>
                                  </w:pPr>
                                  <w:r>
                                    <w:rPr/>
                                    <w:t> </w:t>
                                  </w:r>
                                </w:p>
                              </w:tc>
                            </w:tr>
                            <w:tr>
                              <w:trPr/>
                              <w:tc>
                                <w:tcPr>
                                  <w:tcW w:w="185" w:type="dxa"/>
                                  <w:tcBorders/>
                                  <w:shd w:fill="FFF1C7" w:val="clear"/>
                                  <w:vAlign w:val="center"/>
                                </w:tcPr>
                                <w:p>
                                  <w:pPr>
                                    <w:pStyle w:val="TableContents"/>
                                    <w:bidi w:val="0"/>
                                    <w:spacing w:before="0" w:after="0"/>
                                    <w:jc w:val="left"/>
                                    <w:rPr/>
                                  </w:pPr>
                                  <w:r>
                                    <w:rPr/>
                                    <w:t> </w:t>
                                  </w:r>
                                </w:p>
                              </w:tc>
                              <w:tc>
                                <w:tcPr>
                                  <w:tcW w:w="9805" w:type="dxa"/>
                                  <w:tcBorders/>
                                  <w:shd w:fill="FFF1C7" w:val="clear"/>
                                  <w:vAlign w:val="center"/>
                                </w:tcPr>
                                <w:p>
                                  <w:pPr>
                                    <w:pStyle w:val="TableContents"/>
                                    <w:bidi w:val="0"/>
                                    <w:spacing w:lineRule="atLeast" w:line="260" w:before="0" w:after="283"/>
                                    <w:ind w:left="60" w:right="0" w:hanging="0"/>
                                    <w:jc w:val="left"/>
                                    <w:rPr>
                                      <w:rFonts w:ascii="Arial;Helvetica;sans-serif" w:hAnsi="Arial;Helvetica;sans-serif"/>
                                      <w:b/>
                                      <w:color w:val="72288A"/>
                                      <w:sz w:val="20"/>
                                    </w:rPr>
                                  </w:pPr>
                                  <w:r>
                                    <w:rPr>
                                      <w:rFonts w:ascii="Arial;Helvetica;sans-serif" w:hAnsi="Arial;Helvetica;sans-serif"/>
                                      <w:b/>
                                      <w:color w:val="72288A"/>
                                      <w:sz w:val="20"/>
                                    </w:rPr>
                                    <w:t xml:space="preserve">IMPORTANT NOTICE REGARDING THE AVAILABILITY OF PROXY MATERIALS FOR THE 2025 ANNUAL MEETING OF SHAREHOLDERS TO BE HELD ON DECEMBER 5, 2025. </w:t>
                                  </w:r>
                                </w:p>
                              </w:tc>
                              <w:tc>
                                <w:tcPr>
                                  <w:tcW w:w="215" w:type="dxa"/>
                                  <w:tcBorders/>
                                  <w:shd w:fill="FFF1C7" w:val="clear"/>
                                  <w:vAlign w:val="center"/>
                                </w:tcPr>
                                <w:p>
                                  <w:pPr>
                                    <w:pStyle w:val="TableContents"/>
                                    <w:bidi w:val="0"/>
                                    <w:spacing w:before="0" w:after="0"/>
                                    <w:jc w:val="left"/>
                                    <w:rPr/>
                                  </w:pPr>
                                  <w:r>
                                    <w:rPr/>
                                    <w:t> </w:t>
                                  </w:r>
                                </w:p>
                              </w:tc>
                            </w:tr>
                            <w:tr>
                              <w:trPr/>
                              <w:tc>
                                <w:tcPr>
                                  <w:tcW w:w="185" w:type="dxa"/>
                                  <w:tcBorders/>
                                  <w:shd w:fill="FFF1C7" w:val="clear"/>
                                  <w:vAlign w:val="center"/>
                                </w:tcPr>
                                <w:p>
                                  <w:pPr>
                                    <w:pStyle w:val="TableContents"/>
                                    <w:bidi w:val="0"/>
                                    <w:spacing w:before="0" w:after="0"/>
                                    <w:jc w:val="left"/>
                                    <w:rPr/>
                                  </w:pPr>
                                  <w:r>
                                    <w:rPr/>
                                    <w:t> </w:t>
                                  </w:r>
                                </w:p>
                              </w:tc>
                              <w:tc>
                                <w:tcPr>
                                  <w:tcW w:w="9805" w:type="dxa"/>
                                  <w:tcBorders/>
                                  <w:shd w:fill="FFF1C7" w:val="clear"/>
                                  <w:vAlign w:val="center"/>
                                </w:tcPr>
                                <w:p>
                                  <w:pPr>
                                    <w:pStyle w:val="TableContents"/>
                                    <w:bidi w:val="0"/>
                                    <w:spacing w:before="0" w:after="283"/>
                                    <w:ind w:left="60" w:right="0" w:hanging="0"/>
                                    <w:jc w:val="left"/>
                                    <w:rPr>
                                      <w:rFonts w:ascii="Arial;Helvetica;sans-serif" w:hAnsi="Arial;Helvetica;sans-serif"/>
                                      <w:b/>
                                      <w:color w:val="636466"/>
                                      <w:sz w:val="18"/>
                                    </w:rPr>
                                  </w:pPr>
                                  <w:r>
                                    <w:rPr>
                                      <w:rFonts w:ascii="Arial;Helvetica;sans-serif" w:hAnsi="Arial;Helvetica;sans-serif"/>
                                      <w:b/>
                                      <w:color w:val="636466"/>
                                      <w:sz w:val="18"/>
                                    </w:rPr>
                                    <w:t xml:space="preserve">The Notice of Annual Meeting, Proxy Statement and 2024 Annual Report </w:t>
                                  </w:r>
                                </w:p>
                                <w:p>
                                  <w:pPr>
                                    <w:pStyle w:val="TableContents"/>
                                    <w:bidi w:val="0"/>
                                    <w:spacing w:before="0" w:after="283"/>
                                    <w:ind w:left="60" w:right="0" w:hanging="0"/>
                                    <w:jc w:val="left"/>
                                    <w:rPr>
                                      <w:rFonts w:ascii="Arial;Helvetica;sans-serif" w:hAnsi="Arial;Helvetica;sans-serif"/>
                                      <w:b/>
                                      <w:color w:val="636466"/>
                                      <w:sz w:val="18"/>
                                    </w:rPr>
                                  </w:pPr>
                                  <w:r>
                                    <w:rPr>
                                      <w:rFonts w:ascii="Arial;Helvetica;sans-serif" w:hAnsi="Arial;Helvetica;sans-serif"/>
                                      <w:b/>
                                      <w:color w:val="636466"/>
                                      <w:sz w:val="18"/>
                                    </w:rPr>
                                    <w:t xml:space="preserve">are available at </w:t>
                                  </w:r>
                                  <w:r>
                                    <w:rPr>
                                      <w:rFonts w:ascii="Arial;Helvetica;sans-serif" w:hAnsi="Arial;Helvetica;sans-serif"/>
                                      <w:b/>
                                      <w:color w:val="72288A"/>
                                      <w:sz w:val="18"/>
                                    </w:rPr>
                                    <w:t>www.proxyvote.com.</w:t>
                                  </w:r>
                                  <w:r>
                                    <w:rPr>
                                      <w:rFonts w:ascii="Arial;Helvetica;sans-serif" w:hAnsi="Arial;Helvetica;sans-serif"/>
                                      <w:b/>
                                      <w:color w:val="636466"/>
                                      <w:sz w:val="18"/>
                                    </w:rPr>
                                    <w:t xml:space="preserve"> Information on our website is not considered part of this Proxy Statement.</w:t>
                                  </w:r>
                                </w:p>
                              </w:tc>
                              <w:tc>
                                <w:tcPr>
                                  <w:tcW w:w="215" w:type="dxa"/>
                                  <w:tcBorders/>
                                  <w:shd w:fill="FFF1C7" w:val="clear"/>
                                  <w:vAlign w:val="center"/>
                                </w:tcPr>
                                <w:p>
                                  <w:pPr>
                                    <w:pStyle w:val="TableContents"/>
                                    <w:bidi w:val="0"/>
                                    <w:spacing w:before="0" w:after="0"/>
                                    <w:jc w:val="left"/>
                                    <w:rPr/>
                                  </w:pPr>
                                  <w:r>
                                    <w:rPr/>
                                    <w:t> </w:t>
                                  </w:r>
                                </w:p>
                              </w:tc>
                            </w:tr>
                            <w:tr>
                              <w:trPr/>
                              <w:tc>
                                <w:tcPr>
                                  <w:tcW w:w="185" w:type="dxa"/>
                                  <w:tcBorders/>
                                  <w:shd w:fill="FFF1C7" w:val="clear"/>
                                  <w:vAlign w:val="center"/>
                                </w:tcPr>
                                <w:p>
                                  <w:pPr>
                                    <w:pStyle w:val="TableContents"/>
                                    <w:bidi w:val="0"/>
                                    <w:spacing w:before="0" w:after="0"/>
                                    <w:jc w:val="left"/>
                                    <w:rPr/>
                                  </w:pPr>
                                  <w:r>
                                    <w:rPr/>
                                    <w:t> </w:t>
                                  </w:r>
                                </w:p>
                              </w:tc>
                              <w:tc>
                                <w:tcPr>
                                  <w:tcW w:w="9805" w:type="dxa"/>
                                  <w:tcBorders/>
                                  <w:shd w:fill="FFF1C7" w:val="clear"/>
                                  <w:vAlign w:val="center"/>
                                </w:tcPr>
                                <w:p>
                                  <w:pPr>
                                    <w:pStyle w:val="TableContents"/>
                                    <w:bidi w:val="0"/>
                                    <w:spacing w:before="0" w:after="0"/>
                                    <w:jc w:val="left"/>
                                    <w:rPr/>
                                  </w:pPr>
                                  <w:r>
                                    <w:rPr/>
                                    <w:t> </w:t>
                                  </w:r>
                                </w:p>
                              </w:tc>
                              <w:tc>
                                <w:tcPr>
                                  <w:tcW w:w="215" w:type="dxa"/>
                                  <w:tcBorders/>
                                  <w:shd w:fill="FFF1C7" w:val="clear"/>
                                  <w:vAlign w:val="center"/>
                                </w:tcPr>
                                <w:p>
                                  <w:pPr>
                                    <w:pStyle w:val="TableContents"/>
                                    <w:bidi w:val="0"/>
                                    <w:spacing w:before="0" w:after="0"/>
                                    <w:jc w:val="left"/>
                                    <w:rPr/>
                                  </w:pPr>
                                  <w:r>
                                    <w:rPr/>
                                    <w:t>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15pt;height:130.55pt;mso-wrap-distance-left:18pt;mso-wrap-distance-right:0pt;mso-wrap-distance-top:0pt;mso-wrap-distance-bottom:0pt;margin-top:0pt;mso-position-vertical:top;mso-position-vertical-relative:text;margin-left:307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FFF1C7" w:val="clear"/>
                            <w:vAlign w:val="center"/>
                          </w:tcPr>
                          <w:p>
                            <w:pPr>
                              <w:pStyle w:val="TableContents"/>
                              <w:bidi w:val="0"/>
                              <w:spacing w:before="0" w:after="0"/>
                              <w:jc w:val="left"/>
                              <w:rPr/>
                            </w:pPr>
                            <w:r>
                              <w:rPr/>
                              <w:t> </w:t>
                            </w:r>
                          </w:p>
                        </w:tc>
                        <w:tc>
                          <w:tcPr>
                            <w:tcW w:w="9805" w:type="dxa"/>
                            <w:tcBorders/>
                            <w:shd w:fill="FFF1C7" w:val="clear"/>
                            <w:vAlign w:val="center"/>
                          </w:tcPr>
                          <w:p>
                            <w:pPr>
                              <w:pStyle w:val="TableContents"/>
                              <w:bidi w:val="0"/>
                              <w:spacing w:before="0" w:after="0"/>
                              <w:jc w:val="left"/>
                              <w:rPr/>
                            </w:pPr>
                            <w:r>
                              <w:rPr/>
                              <w:t> </w:t>
                            </w:r>
                          </w:p>
                        </w:tc>
                        <w:tc>
                          <w:tcPr>
                            <w:tcW w:w="215" w:type="dxa"/>
                            <w:tcBorders/>
                            <w:shd w:fill="FFF1C7" w:val="clear"/>
                            <w:vAlign w:val="center"/>
                          </w:tcPr>
                          <w:p>
                            <w:pPr>
                              <w:pStyle w:val="TableContents"/>
                              <w:bidi w:val="0"/>
                              <w:spacing w:before="0" w:after="0"/>
                              <w:jc w:val="left"/>
                              <w:rPr/>
                            </w:pPr>
                            <w:r>
                              <w:rPr/>
                              <w:t> </w:t>
                            </w:r>
                          </w:p>
                        </w:tc>
                      </w:tr>
                      <w:tr>
                        <w:trPr/>
                        <w:tc>
                          <w:tcPr>
                            <w:tcW w:w="185" w:type="dxa"/>
                            <w:tcBorders/>
                            <w:shd w:fill="FFF1C7" w:val="clear"/>
                            <w:vAlign w:val="center"/>
                          </w:tcPr>
                          <w:p>
                            <w:pPr>
                              <w:pStyle w:val="TableContents"/>
                              <w:bidi w:val="0"/>
                              <w:spacing w:before="0" w:after="0"/>
                              <w:jc w:val="left"/>
                              <w:rPr/>
                            </w:pPr>
                            <w:r>
                              <w:rPr/>
                              <w:t> </w:t>
                            </w:r>
                          </w:p>
                        </w:tc>
                        <w:tc>
                          <w:tcPr>
                            <w:tcW w:w="9805" w:type="dxa"/>
                            <w:tcBorders/>
                            <w:shd w:fill="FFF1C7" w:val="clear"/>
                            <w:vAlign w:val="center"/>
                          </w:tcPr>
                          <w:p>
                            <w:pPr>
                              <w:pStyle w:val="TableContents"/>
                              <w:bidi w:val="0"/>
                              <w:spacing w:lineRule="atLeast" w:line="260" w:before="0" w:after="283"/>
                              <w:ind w:left="60" w:right="0" w:hanging="0"/>
                              <w:jc w:val="left"/>
                              <w:rPr>
                                <w:rFonts w:ascii="Arial;Helvetica;sans-serif" w:hAnsi="Arial;Helvetica;sans-serif"/>
                                <w:b/>
                                <w:color w:val="72288A"/>
                                <w:sz w:val="20"/>
                              </w:rPr>
                            </w:pPr>
                            <w:r>
                              <w:rPr>
                                <w:rFonts w:ascii="Arial;Helvetica;sans-serif" w:hAnsi="Arial;Helvetica;sans-serif"/>
                                <w:b/>
                                <w:color w:val="72288A"/>
                                <w:sz w:val="20"/>
                              </w:rPr>
                              <w:t xml:space="preserve">IMPORTANT NOTICE REGARDING THE AVAILABILITY OF PROXY MATERIALS FOR THE 2025 ANNUAL MEETING OF SHAREHOLDERS TO BE HELD ON DECEMBER 5, 2025. </w:t>
                            </w:r>
                          </w:p>
                        </w:tc>
                        <w:tc>
                          <w:tcPr>
                            <w:tcW w:w="215" w:type="dxa"/>
                            <w:tcBorders/>
                            <w:shd w:fill="FFF1C7" w:val="clear"/>
                            <w:vAlign w:val="center"/>
                          </w:tcPr>
                          <w:p>
                            <w:pPr>
                              <w:pStyle w:val="TableContents"/>
                              <w:bidi w:val="0"/>
                              <w:spacing w:before="0" w:after="0"/>
                              <w:jc w:val="left"/>
                              <w:rPr/>
                            </w:pPr>
                            <w:r>
                              <w:rPr/>
                              <w:t> </w:t>
                            </w:r>
                          </w:p>
                        </w:tc>
                      </w:tr>
                      <w:tr>
                        <w:trPr/>
                        <w:tc>
                          <w:tcPr>
                            <w:tcW w:w="185" w:type="dxa"/>
                            <w:tcBorders/>
                            <w:shd w:fill="FFF1C7" w:val="clear"/>
                            <w:vAlign w:val="center"/>
                          </w:tcPr>
                          <w:p>
                            <w:pPr>
                              <w:pStyle w:val="TableContents"/>
                              <w:bidi w:val="0"/>
                              <w:spacing w:before="0" w:after="0"/>
                              <w:jc w:val="left"/>
                              <w:rPr/>
                            </w:pPr>
                            <w:r>
                              <w:rPr/>
                              <w:t> </w:t>
                            </w:r>
                          </w:p>
                        </w:tc>
                        <w:tc>
                          <w:tcPr>
                            <w:tcW w:w="9805" w:type="dxa"/>
                            <w:tcBorders/>
                            <w:shd w:fill="FFF1C7" w:val="clear"/>
                            <w:vAlign w:val="center"/>
                          </w:tcPr>
                          <w:p>
                            <w:pPr>
                              <w:pStyle w:val="TableContents"/>
                              <w:bidi w:val="0"/>
                              <w:spacing w:before="0" w:after="283"/>
                              <w:ind w:left="60" w:right="0" w:hanging="0"/>
                              <w:jc w:val="left"/>
                              <w:rPr>
                                <w:rFonts w:ascii="Arial;Helvetica;sans-serif" w:hAnsi="Arial;Helvetica;sans-serif"/>
                                <w:b/>
                                <w:color w:val="636466"/>
                                <w:sz w:val="18"/>
                              </w:rPr>
                            </w:pPr>
                            <w:r>
                              <w:rPr>
                                <w:rFonts w:ascii="Arial;Helvetica;sans-serif" w:hAnsi="Arial;Helvetica;sans-serif"/>
                                <w:b/>
                                <w:color w:val="636466"/>
                                <w:sz w:val="18"/>
                              </w:rPr>
                              <w:t xml:space="preserve">The Notice of Annual Meeting, Proxy Statement and 2024 Annual Report </w:t>
                            </w:r>
                          </w:p>
                          <w:p>
                            <w:pPr>
                              <w:pStyle w:val="TableContents"/>
                              <w:bidi w:val="0"/>
                              <w:spacing w:before="0" w:after="283"/>
                              <w:ind w:left="60" w:right="0" w:hanging="0"/>
                              <w:jc w:val="left"/>
                              <w:rPr>
                                <w:rFonts w:ascii="Arial;Helvetica;sans-serif" w:hAnsi="Arial;Helvetica;sans-serif"/>
                                <w:b/>
                                <w:color w:val="636466"/>
                                <w:sz w:val="18"/>
                              </w:rPr>
                            </w:pPr>
                            <w:r>
                              <w:rPr>
                                <w:rFonts w:ascii="Arial;Helvetica;sans-serif" w:hAnsi="Arial;Helvetica;sans-serif"/>
                                <w:b/>
                                <w:color w:val="636466"/>
                                <w:sz w:val="18"/>
                              </w:rPr>
                              <w:t xml:space="preserve">are available at </w:t>
                            </w:r>
                            <w:r>
                              <w:rPr>
                                <w:rFonts w:ascii="Arial;Helvetica;sans-serif" w:hAnsi="Arial;Helvetica;sans-serif"/>
                                <w:b/>
                                <w:color w:val="72288A"/>
                                <w:sz w:val="18"/>
                              </w:rPr>
                              <w:t>www.proxyvote.com.</w:t>
                            </w:r>
                            <w:r>
                              <w:rPr>
                                <w:rFonts w:ascii="Arial;Helvetica;sans-serif" w:hAnsi="Arial;Helvetica;sans-serif"/>
                                <w:b/>
                                <w:color w:val="636466"/>
                                <w:sz w:val="18"/>
                              </w:rPr>
                              <w:t xml:space="preserve"> Information on our website is not considered part of this Proxy Statement.</w:t>
                            </w:r>
                          </w:p>
                        </w:tc>
                        <w:tc>
                          <w:tcPr>
                            <w:tcW w:w="215" w:type="dxa"/>
                            <w:tcBorders/>
                            <w:shd w:fill="FFF1C7" w:val="clear"/>
                            <w:vAlign w:val="center"/>
                          </w:tcPr>
                          <w:p>
                            <w:pPr>
                              <w:pStyle w:val="TableContents"/>
                              <w:bidi w:val="0"/>
                              <w:spacing w:before="0" w:after="0"/>
                              <w:jc w:val="left"/>
                              <w:rPr/>
                            </w:pPr>
                            <w:r>
                              <w:rPr/>
                              <w:t> </w:t>
                            </w:r>
                          </w:p>
                        </w:tc>
                      </w:tr>
                      <w:tr>
                        <w:trPr/>
                        <w:tc>
                          <w:tcPr>
                            <w:tcW w:w="185" w:type="dxa"/>
                            <w:tcBorders/>
                            <w:shd w:fill="FFF1C7" w:val="clear"/>
                            <w:vAlign w:val="center"/>
                          </w:tcPr>
                          <w:p>
                            <w:pPr>
                              <w:pStyle w:val="TableContents"/>
                              <w:bidi w:val="0"/>
                              <w:spacing w:before="0" w:after="0"/>
                              <w:jc w:val="left"/>
                              <w:rPr/>
                            </w:pPr>
                            <w:r>
                              <w:rPr/>
                              <w:t> </w:t>
                            </w:r>
                          </w:p>
                        </w:tc>
                        <w:tc>
                          <w:tcPr>
                            <w:tcW w:w="9805" w:type="dxa"/>
                            <w:tcBorders/>
                            <w:shd w:fill="FFF1C7" w:val="clear"/>
                            <w:vAlign w:val="center"/>
                          </w:tcPr>
                          <w:p>
                            <w:pPr>
                              <w:pStyle w:val="TableContents"/>
                              <w:bidi w:val="0"/>
                              <w:spacing w:before="0" w:after="0"/>
                              <w:jc w:val="left"/>
                              <w:rPr/>
                            </w:pPr>
                            <w:r>
                              <w:rPr/>
                              <w:t> </w:t>
                            </w:r>
                          </w:p>
                        </w:tc>
                        <w:tc>
                          <w:tcPr>
                            <w:tcW w:w="215" w:type="dxa"/>
                            <w:tcBorders/>
                            <w:shd w:fill="FFF1C7" w:val="clear"/>
                            <w:vAlign w:val="center"/>
                          </w:tcPr>
                          <w:p>
                            <w:pPr>
                              <w:pStyle w:val="TableContents"/>
                              <w:bidi w:val="0"/>
                              <w:spacing w:before="0" w:after="0"/>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jc w:val="left"/>
        <w:rPr/>
      </w:pPr>
      <w:hyperlink w:anchor="TOC">
        <w:bookmarkStart w:id="9" w:name="ny20055082x771_def14a_104-toc_pg1"/>
        <w:bookmarkEnd w:id="9"/>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1060" w:right="0" w:hanging="0"/>
        <w:jc w:val="left"/>
        <w:rPr>
          <w:color w:val="000000"/>
        </w:rPr>
      </w:pPr>
      <w:r>
        <w:rPr>
          <w:color w:val="000000"/>
        </w:rPr>
        <w:drawing>
          <wp:inline distT="0" distB="0" distL="0" distR="0">
            <wp:extent cx="685800" cy="190500"/>
            <wp:effectExtent l="0" t="0" r="0" b="0"/>
            <wp:docPr id="2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6" descr=""/>
                    <pic:cNvPicPr>
                      <a:picLocks noChangeAspect="1" noChangeArrowheads="1"/>
                    </pic:cNvPicPr>
                  </pic:nvPicPr>
                  <pic:blipFill>
                    <a:blip r:embed="rId24"/>
                    <a:stretch>
                      <a:fillRect/>
                    </a:stretch>
                  </pic:blipFill>
                  <pic:spPr bwMode="auto">
                    <a:xfrm>
                      <a:off x="0" y="0"/>
                      <a:ext cx="685800" cy="190500"/>
                    </a:xfrm>
                    <a:prstGeom prst="rect">
                      <a:avLst/>
                    </a:prstGeom>
                  </pic:spPr>
                </pic:pic>
              </a:graphicData>
            </a:graphic>
          </wp:inline>
        </w:drawing>
      </w:r>
    </w:p>
    <w:p>
      <w:pPr>
        <w:pStyle w:val="Normal"/>
        <w:bidi w:val="0"/>
        <w:spacing w:before="0" w:after="0"/>
        <w:ind w:left="106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olumn">
                  <wp:align>left</wp:align>
                </wp:positionH>
                <wp:positionV relativeFrom="line">
                  <wp:posOffset>635</wp:posOffset>
                </wp:positionV>
                <wp:extent cx="2044700" cy="9972040"/>
                <wp:effectExtent l="0" t="0" r="0" b="0"/>
                <wp:wrapSquare wrapText="right"/>
                <wp:docPr id="30" name="Frame7"/>
                <a:graphic xmlns:a="http://schemas.openxmlformats.org/drawingml/2006/main">
                  <a:graphicData uri="http://schemas.microsoft.com/office/word/2010/wordprocessingShape">
                    <wps:wsp>
                      <wps:cNvSpPr txBox="1"/>
                      <wps:spPr>
                        <a:xfrm>
                          <a:off x="0" y="0"/>
                          <a:ext cx="2044700" cy="9972040"/>
                        </a:xfrm>
                        <a:prstGeom prst="rect"/>
                        <a:solidFill>
                          <a:srgbClr val="FFFFFF"/>
                        </a:solidFill>
                      </wps:spPr>
                      <wps:txbx>
                        <w:txbxContent>
                          <w:tbl>
                            <w:tblPr>
                              <w:tblW w:w="2385" w:type="dxa"/>
                              <w:jc w:val="left"/>
                              <w:tblInd w:w="1060" w:type="dxa"/>
                              <w:tblLayout w:type="fixed"/>
                              <w:tblCellMar>
                                <w:top w:w="0" w:type="dxa"/>
                                <w:left w:w="0" w:type="dxa"/>
                                <w:bottom w:w="0" w:type="dxa"/>
                                <w:right w:w="0" w:type="dxa"/>
                              </w:tblCellMar>
                            </w:tblPr>
                            <w:tblGrid>
                              <w:gridCol w:w="185"/>
                              <w:gridCol w:w="1985"/>
                              <w:gridCol w:w="215"/>
                            </w:tblGrid>
                            <w:tr>
                              <w:trPr/>
                              <w:tc>
                                <w:tcPr>
                                  <w:tcW w:w="185" w:type="dxa"/>
                                  <w:tcBorders/>
                                  <w:shd w:fill="DEDEF6" w:val="clear"/>
                                  <w:vAlign w:val="center"/>
                                </w:tcPr>
                                <w:p>
                                  <w:pPr>
                                    <w:pStyle w:val="TableContents"/>
                                    <w:bidi w:val="0"/>
                                    <w:spacing w:before="0" w:after="0"/>
                                    <w:jc w:val="left"/>
                                    <w:rPr/>
                                  </w:pPr>
                                  <w:r>
                                    <w:rPr/>
                                    <w:t> </w:t>
                                  </w:r>
                                </w:p>
                              </w:tc>
                              <w:tc>
                                <w:tcPr>
                                  <w:tcW w:w="1985" w:type="dxa"/>
                                  <w:tcBorders/>
                                  <w:shd w:fill="DEDEF6" w:val="clear"/>
                                  <w:vAlign w:val="center"/>
                                </w:tcPr>
                                <w:p>
                                  <w:pPr>
                                    <w:pStyle w:val="TableContents"/>
                                    <w:bidi w:val="0"/>
                                    <w:spacing w:before="0" w:after="0"/>
                                    <w:jc w:val="left"/>
                                    <w:rPr/>
                                  </w:pPr>
                                  <w:r>
                                    <w:rPr/>
                                    <w:t> </w:t>
                                  </w:r>
                                </w:p>
                              </w:tc>
                              <w:tc>
                                <w:tcPr>
                                  <w:tcW w:w="215" w:type="dxa"/>
                                  <w:tcBorders/>
                                  <w:shd w:fill="DEDEF6" w:val="clear"/>
                                  <w:vAlign w:val="center"/>
                                </w:tcPr>
                                <w:p>
                                  <w:pPr>
                                    <w:pStyle w:val="TableContents"/>
                                    <w:bidi w:val="0"/>
                                    <w:spacing w:before="0" w:after="0"/>
                                    <w:jc w:val="left"/>
                                    <w:rPr/>
                                  </w:pPr>
                                  <w:r>
                                    <w:rPr/>
                                    <w:t> </w:t>
                                  </w:r>
                                </w:p>
                              </w:tc>
                            </w:tr>
                            <w:tr>
                              <w:trPr/>
                              <w:tc>
                                <w:tcPr>
                                  <w:tcW w:w="185" w:type="dxa"/>
                                  <w:tcBorders/>
                                  <w:shd w:fill="DEDEF6" w:val="clear"/>
                                  <w:vAlign w:val="center"/>
                                </w:tcPr>
                                <w:p>
                                  <w:pPr>
                                    <w:pStyle w:val="TableContents"/>
                                    <w:bidi w:val="0"/>
                                    <w:spacing w:before="0" w:after="0"/>
                                    <w:jc w:val="left"/>
                                    <w:rPr/>
                                  </w:pPr>
                                  <w:r>
                                    <w:rPr/>
                                    <w:t> </w:t>
                                  </w:r>
                                </w:p>
                              </w:tc>
                              <w:tc>
                                <w:tcPr>
                                  <w:tcW w:w="1985" w:type="dxa"/>
                                  <w:tcBorders/>
                                  <w:shd w:fill="DEDEF6" w:val="clear"/>
                                  <w:vAlign w:val="center"/>
                                </w:tcPr>
                                <w:p>
                                  <w:pPr>
                                    <w:pStyle w:val="TableContents"/>
                                    <w:bidi w:val="0"/>
                                    <w:spacing w:before="0" w:after="283"/>
                                    <w:ind w:left="120" w:right="0" w:hanging="0"/>
                                    <w:jc w:val="left"/>
                                    <w:rPr>
                                      <w:color w:val="484484"/>
                                    </w:rPr>
                                  </w:pPr>
                                  <w:r>
                                    <w:rPr>
                                      <w:color w:val="484484"/>
                                    </w:rPr>
                                    <w:t>​</w:t>
                                  </w:r>
                                  <w:r>
                                    <w:rPr>
                                      <w:rFonts w:ascii="Arial;Helvetica;sans-serif" w:hAnsi="Arial;Helvetica;sans-serif"/>
                                      <w:color w:val="484484"/>
                                      <w:sz w:val="24"/>
                                    </w:rPr>
                                    <w:t xml:space="preserve">Message from </w:t>
                                  </w:r>
                                </w:p>
                                <w:p>
                                  <w:pPr>
                                    <w:pStyle w:val="TableContents"/>
                                    <w:bidi w:val="0"/>
                                    <w:spacing w:before="0" w:after="283"/>
                                    <w:ind w:left="120" w:right="0" w:hanging="0"/>
                                    <w:jc w:val="left"/>
                                    <w:rPr>
                                      <w:rFonts w:ascii="Arial;Helvetica;sans-serif" w:hAnsi="Arial;Helvetica;sans-serif"/>
                                      <w:color w:val="484484"/>
                                      <w:sz w:val="24"/>
                                    </w:rPr>
                                  </w:pPr>
                                  <w:r>
                                    <w:rPr>
                                      <w:rFonts w:ascii="Arial;Helvetica;sans-serif" w:hAnsi="Arial;Helvetica;sans-serif"/>
                                      <w:color w:val="484484"/>
                                      <w:sz w:val="24"/>
                                    </w:rPr>
                                    <w:t xml:space="preserve">Melina Higgins, </w:t>
                                  </w:r>
                                </w:p>
                                <w:p>
                                  <w:pPr>
                                    <w:pStyle w:val="TableContents"/>
                                    <w:bidi w:val="0"/>
                                    <w:spacing w:before="0" w:after="283"/>
                                    <w:ind w:left="120" w:right="0" w:hanging="0"/>
                                    <w:jc w:val="left"/>
                                    <w:rPr>
                                      <w:rFonts w:ascii="Arial;Helvetica;sans-serif" w:hAnsi="Arial;Helvetica;sans-serif"/>
                                      <w:color w:val="484484"/>
                                      <w:sz w:val="24"/>
                                    </w:rPr>
                                  </w:pPr>
                                  <w:r>
                                    <w:rPr>
                                      <w:rFonts w:ascii="Arial;Helvetica;sans-serif" w:hAnsi="Arial;Helvetica;sans-serif"/>
                                      <w:color w:val="484484"/>
                                      <w:sz w:val="24"/>
                                    </w:rPr>
                                    <w:t>Chair of the Board</w:t>
                                  </w:r>
                                </w:p>
                              </w:tc>
                              <w:tc>
                                <w:tcPr>
                                  <w:tcW w:w="215" w:type="dxa"/>
                                  <w:tcBorders/>
                                  <w:shd w:fill="DEDEF6" w:val="clear"/>
                                  <w:vAlign w:val="center"/>
                                </w:tcPr>
                                <w:p>
                                  <w:pPr>
                                    <w:pStyle w:val="TableContents"/>
                                    <w:bidi w:val="0"/>
                                    <w:spacing w:before="0" w:after="0"/>
                                    <w:jc w:val="left"/>
                                    <w:rPr/>
                                  </w:pPr>
                                  <w:r>
                                    <w:rPr/>
                                    <w:t> </w:t>
                                  </w:r>
                                </w:p>
                              </w:tc>
                            </w:tr>
                            <w:tr>
                              <w:trPr/>
                              <w:tc>
                                <w:tcPr>
                                  <w:tcW w:w="185" w:type="dxa"/>
                                  <w:tcBorders/>
                                  <w:shd w:fill="DEDEF6" w:val="clear"/>
                                  <w:vAlign w:val="center"/>
                                </w:tcPr>
                                <w:p>
                                  <w:pPr>
                                    <w:pStyle w:val="TableContents"/>
                                    <w:bidi w:val="0"/>
                                    <w:spacing w:before="0" w:after="0"/>
                                    <w:jc w:val="left"/>
                                    <w:rPr/>
                                  </w:pPr>
                                  <w:r>
                                    <w:rPr/>
                                    <w:t> </w:t>
                                  </w:r>
                                </w:p>
                              </w:tc>
                              <w:tc>
                                <w:tcPr>
                                  <w:tcW w:w="1985" w:type="dxa"/>
                                  <w:tcBorders/>
                                  <w:shd w:fill="DEDEF6" w:val="clear"/>
                                  <w:vAlign w:val="center"/>
                                </w:tcPr>
                                <w:p>
                                  <w:pPr>
                                    <w:pStyle w:val="TableContents"/>
                                    <w:bidi w:val="0"/>
                                    <w:spacing w:before="0" w:after="0"/>
                                    <w:jc w:val="left"/>
                                    <w:rPr/>
                                  </w:pPr>
                                  <w:r>
                                    <w:rPr/>
                                    <w:t> </w:t>
                                  </w:r>
                                </w:p>
                              </w:tc>
                              <w:tc>
                                <w:tcPr>
                                  <w:tcW w:w="215" w:type="dxa"/>
                                  <w:tcBorders/>
                                  <w:shd w:fill="DEDEF6" w:val="clear"/>
                                  <w:vAlign w:val="center"/>
                                </w:tcPr>
                                <w:p>
                                  <w:pPr>
                                    <w:pStyle w:val="TableContents"/>
                                    <w:bidi w:val="0"/>
                                    <w:spacing w:before="0" w:after="0"/>
                                    <w:jc w:val="left"/>
                                    <w:rPr/>
                                  </w:pPr>
                                  <w:r>
                                    <w:rPr/>
                                    <w:t> </w:t>
                                  </w:r>
                                </w:p>
                              </w:tc>
                            </w:tr>
                          </w:tbl>
                          <w:tbl>
                            <w:tblPr>
                              <w:tblW w:w="2880" w:type="dxa"/>
                              <w:jc w:val="left"/>
                              <w:tblInd w:w="1060" w:type="dxa"/>
                              <w:tblLayout w:type="fixed"/>
                              <w:tblCellMar>
                                <w:top w:w="0" w:type="dxa"/>
                                <w:left w:w="0" w:type="dxa"/>
                                <w:bottom w:w="0" w:type="dxa"/>
                                <w:right w:w="0" w:type="dxa"/>
                              </w:tblCellMar>
                            </w:tblPr>
                            <w:tblGrid>
                              <w:gridCol w:w="185"/>
                              <w:gridCol w:w="2480"/>
                              <w:gridCol w:w="215"/>
                            </w:tblGrid>
                            <w:tr>
                              <w:trPr/>
                              <w:tc>
                                <w:tcPr>
                                  <w:tcW w:w="185" w:type="dxa"/>
                                  <w:tcBorders/>
                                  <w:shd w:fill="E7E0EF" w:val="clear"/>
                                  <w:vAlign w:val="center"/>
                                </w:tcPr>
                                <w:p>
                                  <w:pPr>
                                    <w:pStyle w:val="TableContents"/>
                                    <w:bidi w:val="0"/>
                                    <w:spacing w:before="0" w:after="0"/>
                                    <w:jc w:val="left"/>
                                    <w:rPr/>
                                  </w:pPr>
                                  <w:r>
                                    <w:rPr/>
                                    <w:t> </w:t>
                                  </w:r>
                                </w:p>
                              </w:tc>
                              <w:tc>
                                <w:tcPr>
                                  <w:tcW w:w="2480"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480" w:type="dxa"/>
                                  <w:tcBorders/>
                                  <w:shd w:fill="E7E0EF" w:val="clear"/>
                                  <w:vAlign w:val="center"/>
                                </w:tcPr>
                                <w:p>
                                  <w:pPr>
                                    <w:pStyle w:val="TableContents"/>
                                    <w:bidi w:val="0"/>
                                    <w:spacing w:before="0" w:after="283"/>
                                    <w:ind w:left="120" w:right="0" w:hanging="0"/>
                                    <w:jc w:val="left"/>
                                    <w:rPr>
                                      <w:color w:val="484484"/>
                                    </w:rPr>
                                  </w:pPr>
                                  <w:r>
                                    <w:rPr>
                                      <w:color w:val="484484"/>
                                    </w:rPr>
                                    <w:t>​</w:t>
                                  </w:r>
                                  <w:r>
                                    <w:rPr>
                                      <w:rFonts w:ascii="Arial;Helvetica;sans-serif" w:hAnsi="Arial;Helvetica;sans-serif"/>
                                      <w:color w:val="484484"/>
                                      <w:sz w:val="24"/>
                                    </w:rPr>
                                    <w:t xml:space="preserve">Message from </w:t>
                                  </w:r>
                                </w:p>
                                <w:p>
                                  <w:pPr>
                                    <w:pStyle w:val="TableContents"/>
                                    <w:bidi w:val="0"/>
                                    <w:spacing w:before="0" w:after="283"/>
                                    <w:ind w:left="120" w:right="0" w:hanging="0"/>
                                    <w:jc w:val="left"/>
                                    <w:rPr>
                                      <w:rFonts w:ascii="Arial;Helvetica;sans-serif" w:hAnsi="Arial;Helvetica;sans-serif"/>
                                      <w:color w:val="484484"/>
                                      <w:sz w:val="24"/>
                                    </w:rPr>
                                  </w:pPr>
                                  <w:r>
                                    <w:rPr>
                                      <w:rFonts w:ascii="Arial;Helvetica;sans-serif" w:hAnsi="Arial;Helvetica;sans-serif"/>
                                      <w:color w:val="484484"/>
                                      <w:sz w:val="24"/>
                                    </w:rPr>
                                    <w:t xml:space="preserve">Scott Smith, </w:t>
                                  </w:r>
                                </w:p>
                                <w:p>
                                  <w:pPr>
                                    <w:pStyle w:val="TableContents"/>
                                    <w:bidi w:val="0"/>
                                    <w:spacing w:before="0" w:after="283"/>
                                    <w:ind w:left="120" w:right="0" w:hanging="0"/>
                                    <w:jc w:val="left"/>
                                    <w:rPr>
                                      <w:rFonts w:ascii="Arial;Helvetica;sans-serif" w:hAnsi="Arial;Helvetica;sans-serif"/>
                                      <w:color w:val="484484"/>
                                      <w:sz w:val="24"/>
                                    </w:rPr>
                                  </w:pPr>
                                  <w:r>
                                    <w:rPr>
                                      <w:rFonts w:ascii="Arial;Helvetica;sans-serif" w:hAnsi="Arial;Helvetica;sans-serif"/>
                                      <w:color w:val="484484"/>
                                      <w:sz w:val="24"/>
                                    </w:rPr>
                                    <w:t>Chief Executive Officer</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480"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tbl>
                            <w:tblPr>
                              <w:tblW w:w="3060" w:type="dxa"/>
                              <w:jc w:val="left"/>
                              <w:tblInd w:w="1060" w:type="dxa"/>
                              <w:tblLayout w:type="fixed"/>
                              <w:tblCellMar>
                                <w:top w:w="0" w:type="dxa"/>
                                <w:left w:w="0" w:type="dxa"/>
                                <w:bottom w:w="0" w:type="dxa"/>
                                <w:right w:w="0" w:type="dxa"/>
                              </w:tblCellMar>
                            </w:tblPr>
                            <w:tblGrid>
                              <w:gridCol w:w="185"/>
                              <w:gridCol w:w="2660"/>
                              <w:gridCol w:w="215"/>
                            </w:tblGrid>
                            <w:tr>
                              <w:trPr/>
                              <w:tc>
                                <w:tcPr>
                                  <w:tcW w:w="185" w:type="dxa"/>
                                  <w:tcBorders/>
                                  <w:shd w:fill="FFF1C7" w:val="clear"/>
                                  <w:vAlign w:val="center"/>
                                </w:tcPr>
                                <w:p>
                                  <w:pPr>
                                    <w:pStyle w:val="TableContents"/>
                                    <w:bidi w:val="0"/>
                                    <w:spacing w:before="0" w:after="0"/>
                                    <w:jc w:val="left"/>
                                    <w:rPr/>
                                  </w:pPr>
                                  <w:r>
                                    <w:rPr/>
                                    <w:t> </w:t>
                                  </w:r>
                                </w:p>
                              </w:tc>
                              <w:tc>
                                <w:tcPr>
                                  <w:tcW w:w="2660" w:type="dxa"/>
                                  <w:tcBorders/>
                                  <w:shd w:fill="FFF1C7" w:val="clear"/>
                                  <w:vAlign w:val="center"/>
                                </w:tcPr>
                                <w:p>
                                  <w:pPr>
                                    <w:pStyle w:val="TableContents"/>
                                    <w:bidi w:val="0"/>
                                    <w:spacing w:before="0" w:after="0"/>
                                    <w:jc w:val="left"/>
                                    <w:rPr/>
                                  </w:pPr>
                                  <w:r>
                                    <w:rPr/>
                                    <w:t> </w:t>
                                  </w:r>
                                </w:p>
                              </w:tc>
                              <w:tc>
                                <w:tcPr>
                                  <w:tcW w:w="215" w:type="dxa"/>
                                  <w:tcBorders/>
                                  <w:shd w:fill="FFF1C7" w:val="clear"/>
                                  <w:vAlign w:val="center"/>
                                </w:tcPr>
                                <w:p>
                                  <w:pPr>
                                    <w:pStyle w:val="TableContents"/>
                                    <w:bidi w:val="0"/>
                                    <w:spacing w:before="0" w:after="0"/>
                                    <w:jc w:val="left"/>
                                    <w:rPr/>
                                  </w:pPr>
                                  <w:r>
                                    <w:rPr/>
                                    <w:t> </w:t>
                                  </w:r>
                                </w:p>
                              </w:tc>
                            </w:tr>
                            <w:tr>
                              <w:trPr/>
                              <w:tc>
                                <w:tcPr>
                                  <w:tcW w:w="185" w:type="dxa"/>
                                  <w:tcBorders/>
                                  <w:shd w:fill="FFF1C7" w:val="clear"/>
                                  <w:vAlign w:val="center"/>
                                </w:tcPr>
                                <w:p>
                                  <w:pPr>
                                    <w:pStyle w:val="TableContents"/>
                                    <w:bidi w:val="0"/>
                                    <w:spacing w:before="0" w:after="0"/>
                                    <w:jc w:val="left"/>
                                    <w:rPr/>
                                  </w:pPr>
                                  <w:r>
                                    <w:rPr/>
                                    <w:t> </w:t>
                                  </w:r>
                                </w:p>
                              </w:tc>
                              <w:tc>
                                <w:tcPr>
                                  <w:tcW w:w="2660" w:type="dxa"/>
                                  <w:tcBorders/>
                                  <w:shd w:fill="FFF1C7" w:val="clear"/>
                                  <w:vAlign w:val="center"/>
                                </w:tcPr>
                                <w:p>
                                  <w:pPr>
                                    <w:pStyle w:val="TableContents"/>
                                    <w:bidi w:val="0"/>
                                    <w:spacing w:before="0" w:after="283"/>
                                    <w:ind w:left="120" w:right="0" w:hanging="0"/>
                                    <w:jc w:val="left"/>
                                    <w:rPr>
                                      <w:rFonts w:ascii="Arial;Helvetica;sans-serif" w:hAnsi="Arial;Helvetica;sans-serif"/>
                                      <w:color w:val="484484"/>
                                      <w:sz w:val="24"/>
                                    </w:rPr>
                                  </w:pPr>
                                  <w:r>
                                    <w:rPr>
                                      <w:rFonts w:ascii="Arial;Helvetica;sans-serif" w:hAnsi="Arial;Helvetica;sans-serif"/>
                                      <w:color w:val="484484"/>
                                      <w:sz w:val="24"/>
                                    </w:rPr>
                                    <w:t xml:space="preserve">Notice of 2025 Annual </w:t>
                                  </w:r>
                                </w:p>
                                <w:p>
                                  <w:pPr>
                                    <w:pStyle w:val="TableContents"/>
                                    <w:bidi w:val="0"/>
                                    <w:spacing w:before="0" w:after="283"/>
                                    <w:ind w:left="120" w:right="0" w:hanging="0"/>
                                    <w:jc w:val="left"/>
                                    <w:rPr>
                                      <w:rFonts w:ascii="Arial;Helvetica;sans-serif" w:hAnsi="Arial;Helvetica;sans-serif"/>
                                      <w:color w:val="484484"/>
                                      <w:sz w:val="24"/>
                                    </w:rPr>
                                  </w:pPr>
                                  <w:r>
                                    <w:rPr>
                                      <w:rFonts w:ascii="Arial;Helvetica;sans-serif" w:hAnsi="Arial;Helvetica;sans-serif"/>
                                      <w:color w:val="484484"/>
                                      <w:sz w:val="24"/>
                                    </w:rPr>
                                    <w:t>Meeting of Shareholders</w:t>
                                  </w:r>
                                </w:p>
                              </w:tc>
                              <w:tc>
                                <w:tcPr>
                                  <w:tcW w:w="215" w:type="dxa"/>
                                  <w:tcBorders/>
                                  <w:shd w:fill="FFF1C7" w:val="clear"/>
                                  <w:vAlign w:val="center"/>
                                </w:tcPr>
                                <w:p>
                                  <w:pPr>
                                    <w:pStyle w:val="TableContents"/>
                                    <w:bidi w:val="0"/>
                                    <w:spacing w:before="0" w:after="0"/>
                                    <w:jc w:val="left"/>
                                    <w:rPr/>
                                  </w:pPr>
                                  <w:r>
                                    <w:rPr/>
                                    <w:t> </w:t>
                                  </w:r>
                                </w:p>
                              </w:tc>
                            </w:tr>
                            <w:tr>
                              <w:trPr/>
                              <w:tc>
                                <w:tcPr>
                                  <w:tcW w:w="185" w:type="dxa"/>
                                  <w:tcBorders/>
                                  <w:shd w:fill="FFF1C7" w:val="clear"/>
                                  <w:vAlign w:val="center"/>
                                </w:tcPr>
                                <w:p>
                                  <w:pPr>
                                    <w:pStyle w:val="TableContents"/>
                                    <w:bidi w:val="0"/>
                                    <w:spacing w:before="0" w:after="0"/>
                                    <w:jc w:val="left"/>
                                    <w:rPr/>
                                  </w:pPr>
                                  <w:r>
                                    <w:rPr/>
                                    <w:t> </w:t>
                                  </w:r>
                                </w:p>
                              </w:tc>
                              <w:tc>
                                <w:tcPr>
                                  <w:tcW w:w="2660" w:type="dxa"/>
                                  <w:tcBorders/>
                                  <w:shd w:fill="FFF1C7" w:val="clear"/>
                                  <w:vAlign w:val="center"/>
                                </w:tcPr>
                                <w:p>
                                  <w:pPr>
                                    <w:pStyle w:val="TableContents"/>
                                    <w:bidi w:val="0"/>
                                    <w:spacing w:before="0" w:after="0"/>
                                    <w:jc w:val="left"/>
                                    <w:rPr/>
                                  </w:pPr>
                                  <w:r>
                                    <w:rPr/>
                                    <w:t> </w:t>
                                  </w:r>
                                </w:p>
                              </w:tc>
                              <w:tc>
                                <w:tcPr>
                                  <w:tcW w:w="215" w:type="dxa"/>
                                  <w:tcBorders/>
                                  <w:shd w:fill="FFF1C7" w:val="clear"/>
                                  <w:vAlign w:val="center"/>
                                </w:tcPr>
                                <w:p>
                                  <w:pPr>
                                    <w:pStyle w:val="TableContents"/>
                                    <w:bidi w:val="0"/>
                                    <w:spacing w:before="0" w:after="0"/>
                                    <w:jc w:val="left"/>
                                    <w:rPr/>
                                  </w:pPr>
                                  <w:r>
                                    <w:rPr/>
                                    <w:t> </w:t>
                                  </w:r>
                                </w:p>
                              </w:tc>
                            </w:tr>
                          </w:tbl>
                          <w:p>
                            <w:pPr>
                              <w:pStyle w:val="TextBody"/>
                              <w:bidi w:val="0"/>
                              <w:spacing w:before="230" w:after="283"/>
                              <w:ind w:left="1060" w:right="0" w:hanging="0"/>
                              <w:jc w:val="center"/>
                              <w:rPr>
                                <w:color w:val="636466"/>
                              </w:rPr>
                            </w:pPr>
                            <w:r>
                              <w:rPr>
                                <w:color w:val="636466"/>
                              </w:rPr>
                              <w:drawing>
                                <wp:inline distT="0" distB="0" distL="0" distR="0">
                                  <wp:extent cx="2019300" cy="5286375"/>
                                  <wp:effectExtent l="0" t="0" r="0" b="0"/>
                                  <wp:docPr id="3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7" descr=""/>
                                          <pic:cNvPicPr>
                                            <a:picLocks noChangeAspect="1" noChangeArrowheads="1"/>
                                          </pic:cNvPicPr>
                                        </pic:nvPicPr>
                                        <pic:blipFill>
                                          <a:blip r:embed="rId25"/>
                                          <a:stretch>
                                            <a:fillRect/>
                                          </a:stretch>
                                        </pic:blipFill>
                                        <pic:spPr bwMode="auto">
                                          <a:xfrm>
                                            <a:off x="0" y="0"/>
                                            <a:ext cx="2019300" cy="5286375"/>
                                          </a:xfrm>
                                          <a:prstGeom prst="rect">
                                            <a:avLst/>
                                          </a:prstGeom>
                                        </pic:spPr>
                                      </pic:pic>
                                    </a:graphicData>
                                  </a:graphic>
                                </wp:inline>
                              </w:drawing>
                            </w:r>
                          </w:p>
                          <w:p>
                            <w:pPr>
                              <w:pStyle w:val="TextBody"/>
                              <w:bidi w:val="0"/>
                              <w:spacing w:before="0" w:after="283"/>
                              <w:ind w:left="1060" w:right="0" w:hanging="0"/>
                              <w:jc w:val="left"/>
                              <w:rPr>
                                <w:color w:val="636466"/>
                              </w:rPr>
                            </w:pPr>
                            <w:r>
                              <w:rPr>
                                <w:color w:val="636466"/>
                              </w:rPr>
                              <w:t> </w:t>
                            </w:r>
                          </w:p>
                        </w:txbxContent>
                      </wps:txbx>
                      <wps:bodyPr anchor="t" lIns="0" tIns="0" rIns="0" bIns="0">
                        <a:noAutofit/>
                      </wps:bodyPr>
                    </wps:wsp>
                  </a:graphicData>
                </a:graphic>
              </wp:anchor>
            </w:drawing>
          </mc:Choice>
          <mc:Fallback>
            <w:pict>
              <v:rect style="position:absolute;rotation:-0;width:161pt;height:785.2pt;mso-wrap-distance-left:0pt;mso-wrap-distance-right:0pt;mso-wrap-distance-top:0pt;mso-wrap-distance-bottom:0pt;margin-top:0pt;mso-position-vertical:top;mso-position-vertical-relative:text;margin-left:0pt;mso-position-horizontal:left;mso-position-horizontal-relative:text">
                <v:textbox>
                  <w:txbxContent>
                    <w:tbl>
                      <w:tblPr>
                        <w:tblW w:w="2385" w:type="dxa"/>
                        <w:jc w:val="left"/>
                        <w:tblInd w:w="1060" w:type="dxa"/>
                        <w:tblLayout w:type="fixed"/>
                        <w:tblCellMar>
                          <w:top w:w="0" w:type="dxa"/>
                          <w:left w:w="0" w:type="dxa"/>
                          <w:bottom w:w="0" w:type="dxa"/>
                          <w:right w:w="0" w:type="dxa"/>
                        </w:tblCellMar>
                      </w:tblPr>
                      <w:tblGrid>
                        <w:gridCol w:w="185"/>
                        <w:gridCol w:w="1985"/>
                        <w:gridCol w:w="215"/>
                      </w:tblGrid>
                      <w:tr>
                        <w:trPr/>
                        <w:tc>
                          <w:tcPr>
                            <w:tcW w:w="185" w:type="dxa"/>
                            <w:tcBorders/>
                            <w:shd w:fill="DEDEF6" w:val="clear"/>
                            <w:vAlign w:val="center"/>
                          </w:tcPr>
                          <w:p>
                            <w:pPr>
                              <w:pStyle w:val="TableContents"/>
                              <w:bidi w:val="0"/>
                              <w:spacing w:before="0" w:after="0"/>
                              <w:jc w:val="left"/>
                              <w:rPr/>
                            </w:pPr>
                            <w:r>
                              <w:rPr/>
                              <w:t> </w:t>
                            </w:r>
                          </w:p>
                        </w:tc>
                        <w:tc>
                          <w:tcPr>
                            <w:tcW w:w="1985" w:type="dxa"/>
                            <w:tcBorders/>
                            <w:shd w:fill="DEDEF6" w:val="clear"/>
                            <w:vAlign w:val="center"/>
                          </w:tcPr>
                          <w:p>
                            <w:pPr>
                              <w:pStyle w:val="TableContents"/>
                              <w:bidi w:val="0"/>
                              <w:spacing w:before="0" w:after="0"/>
                              <w:jc w:val="left"/>
                              <w:rPr/>
                            </w:pPr>
                            <w:r>
                              <w:rPr/>
                              <w:t> </w:t>
                            </w:r>
                          </w:p>
                        </w:tc>
                        <w:tc>
                          <w:tcPr>
                            <w:tcW w:w="215" w:type="dxa"/>
                            <w:tcBorders/>
                            <w:shd w:fill="DEDEF6" w:val="clear"/>
                            <w:vAlign w:val="center"/>
                          </w:tcPr>
                          <w:p>
                            <w:pPr>
                              <w:pStyle w:val="TableContents"/>
                              <w:bidi w:val="0"/>
                              <w:spacing w:before="0" w:after="0"/>
                              <w:jc w:val="left"/>
                              <w:rPr/>
                            </w:pPr>
                            <w:r>
                              <w:rPr/>
                              <w:t> </w:t>
                            </w:r>
                          </w:p>
                        </w:tc>
                      </w:tr>
                      <w:tr>
                        <w:trPr/>
                        <w:tc>
                          <w:tcPr>
                            <w:tcW w:w="185" w:type="dxa"/>
                            <w:tcBorders/>
                            <w:shd w:fill="DEDEF6" w:val="clear"/>
                            <w:vAlign w:val="center"/>
                          </w:tcPr>
                          <w:p>
                            <w:pPr>
                              <w:pStyle w:val="TableContents"/>
                              <w:bidi w:val="0"/>
                              <w:spacing w:before="0" w:after="0"/>
                              <w:jc w:val="left"/>
                              <w:rPr/>
                            </w:pPr>
                            <w:r>
                              <w:rPr/>
                              <w:t> </w:t>
                            </w:r>
                          </w:p>
                        </w:tc>
                        <w:tc>
                          <w:tcPr>
                            <w:tcW w:w="1985" w:type="dxa"/>
                            <w:tcBorders/>
                            <w:shd w:fill="DEDEF6" w:val="clear"/>
                            <w:vAlign w:val="center"/>
                          </w:tcPr>
                          <w:p>
                            <w:pPr>
                              <w:pStyle w:val="TableContents"/>
                              <w:bidi w:val="0"/>
                              <w:spacing w:before="0" w:after="283"/>
                              <w:ind w:left="120" w:right="0" w:hanging="0"/>
                              <w:jc w:val="left"/>
                              <w:rPr>
                                <w:color w:val="484484"/>
                              </w:rPr>
                            </w:pPr>
                            <w:r>
                              <w:rPr>
                                <w:color w:val="484484"/>
                              </w:rPr>
                              <w:t>​</w:t>
                            </w:r>
                            <w:r>
                              <w:rPr>
                                <w:rFonts w:ascii="Arial;Helvetica;sans-serif" w:hAnsi="Arial;Helvetica;sans-serif"/>
                                <w:color w:val="484484"/>
                                <w:sz w:val="24"/>
                              </w:rPr>
                              <w:t xml:space="preserve">Message from </w:t>
                            </w:r>
                          </w:p>
                          <w:p>
                            <w:pPr>
                              <w:pStyle w:val="TableContents"/>
                              <w:bidi w:val="0"/>
                              <w:spacing w:before="0" w:after="283"/>
                              <w:ind w:left="120" w:right="0" w:hanging="0"/>
                              <w:jc w:val="left"/>
                              <w:rPr>
                                <w:rFonts w:ascii="Arial;Helvetica;sans-serif" w:hAnsi="Arial;Helvetica;sans-serif"/>
                                <w:color w:val="484484"/>
                                <w:sz w:val="24"/>
                              </w:rPr>
                            </w:pPr>
                            <w:r>
                              <w:rPr>
                                <w:rFonts w:ascii="Arial;Helvetica;sans-serif" w:hAnsi="Arial;Helvetica;sans-serif"/>
                                <w:color w:val="484484"/>
                                <w:sz w:val="24"/>
                              </w:rPr>
                              <w:t xml:space="preserve">Melina Higgins, </w:t>
                            </w:r>
                          </w:p>
                          <w:p>
                            <w:pPr>
                              <w:pStyle w:val="TableContents"/>
                              <w:bidi w:val="0"/>
                              <w:spacing w:before="0" w:after="283"/>
                              <w:ind w:left="120" w:right="0" w:hanging="0"/>
                              <w:jc w:val="left"/>
                              <w:rPr>
                                <w:rFonts w:ascii="Arial;Helvetica;sans-serif" w:hAnsi="Arial;Helvetica;sans-serif"/>
                                <w:color w:val="484484"/>
                                <w:sz w:val="24"/>
                              </w:rPr>
                            </w:pPr>
                            <w:r>
                              <w:rPr>
                                <w:rFonts w:ascii="Arial;Helvetica;sans-serif" w:hAnsi="Arial;Helvetica;sans-serif"/>
                                <w:color w:val="484484"/>
                                <w:sz w:val="24"/>
                              </w:rPr>
                              <w:t>Chair of the Board</w:t>
                            </w:r>
                          </w:p>
                        </w:tc>
                        <w:tc>
                          <w:tcPr>
                            <w:tcW w:w="215" w:type="dxa"/>
                            <w:tcBorders/>
                            <w:shd w:fill="DEDEF6" w:val="clear"/>
                            <w:vAlign w:val="center"/>
                          </w:tcPr>
                          <w:p>
                            <w:pPr>
                              <w:pStyle w:val="TableContents"/>
                              <w:bidi w:val="0"/>
                              <w:spacing w:before="0" w:after="0"/>
                              <w:jc w:val="left"/>
                              <w:rPr/>
                            </w:pPr>
                            <w:r>
                              <w:rPr/>
                              <w:t> </w:t>
                            </w:r>
                          </w:p>
                        </w:tc>
                      </w:tr>
                      <w:tr>
                        <w:trPr/>
                        <w:tc>
                          <w:tcPr>
                            <w:tcW w:w="185" w:type="dxa"/>
                            <w:tcBorders/>
                            <w:shd w:fill="DEDEF6" w:val="clear"/>
                            <w:vAlign w:val="center"/>
                          </w:tcPr>
                          <w:p>
                            <w:pPr>
                              <w:pStyle w:val="TableContents"/>
                              <w:bidi w:val="0"/>
                              <w:spacing w:before="0" w:after="0"/>
                              <w:jc w:val="left"/>
                              <w:rPr/>
                            </w:pPr>
                            <w:r>
                              <w:rPr/>
                              <w:t> </w:t>
                            </w:r>
                          </w:p>
                        </w:tc>
                        <w:tc>
                          <w:tcPr>
                            <w:tcW w:w="1985" w:type="dxa"/>
                            <w:tcBorders/>
                            <w:shd w:fill="DEDEF6" w:val="clear"/>
                            <w:vAlign w:val="center"/>
                          </w:tcPr>
                          <w:p>
                            <w:pPr>
                              <w:pStyle w:val="TableContents"/>
                              <w:bidi w:val="0"/>
                              <w:spacing w:before="0" w:after="0"/>
                              <w:jc w:val="left"/>
                              <w:rPr/>
                            </w:pPr>
                            <w:r>
                              <w:rPr/>
                              <w:t> </w:t>
                            </w:r>
                          </w:p>
                        </w:tc>
                        <w:tc>
                          <w:tcPr>
                            <w:tcW w:w="215" w:type="dxa"/>
                            <w:tcBorders/>
                            <w:shd w:fill="DEDEF6" w:val="clear"/>
                            <w:vAlign w:val="center"/>
                          </w:tcPr>
                          <w:p>
                            <w:pPr>
                              <w:pStyle w:val="TableContents"/>
                              <w:bidi w:val="0"/>
                              <w:spacing w:before="0" w:after="0"/>
                              <w:jc w:val="left"/>
                              <w:rPr/>
                            </w:pPr>
                            <w:r>
                              <w:rPr/>
                              <w:t> </w:t>
                            </w:r>
                          </w:p>
                        </w:tc>
                      </w:tr>
                    </w:tbl>
                    <w:tbl>
                      <w:tblPr>
                        <w:tblW w:w="2880" w:type="dxa"/>
                        <w:jc w:val="left"/>
                        <w:tblInd w:w="1060" w:type="dxa"/>
                        <w:tblLayout w:type="fixed"/>
                        <w:tblCellMar>
                          <w:top w:w="0" w:type="dxa"/>
                          <w:left w:w="0" w:type="dxa"/>
                          <w:bottom w:w="0" w:type="dxa"/>
                          <w:right w:w="0" w:type="dxa"/>
                        </w:tblCellMar>
                      </w:tblPr>
                      <w:tblGrid>
                        <w:gridCol w:w="185"/>
                        <w:gridCol w:w="2480"/>
                        <w:gridCol w:w="215"/>
                      </w:tblGrid>
                      <w:tr>
                        <w:trPr/>
                        <w:tc>
                          <w:tcPr>
                            <w:tcW w:w="185" w:type="dxa"/>
                            <w:tcBorders/>
                            <w:shd w:fill="E7E0EF" w:val="clear"/>
                            <w:vAlign w:val="center"/>
                          </w:tcPr>
                          <w:p>
                            <w:pPr>
                              <w:pStyle w:val="TableContents"/>
                              <w:bidi w:val="0"/>
                              <w:spacing w:before="0" w:after="0"/>
                              <w:jc w:val="left"/>
                              <w:rPr/>
                            </w:pPr>
                            <w:r>
                              <w:rPr/>
                              <w:t> </w:t>
                            </w:r>
                          </w:p>
                        </w:tc>
                        <w:tc>
                          <w:tcPr>
                            <w:tcW w:w="2480"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480" w:type="dxa"/>
                            <w:tcBorders/>
                            <w:shd w:fill="E7E0EF" w:val="clear"/>
                            <w:vAlign w:val="center"/>
                          </w:tcPr>
                          <w:p>
                            <w:pPr>
                              <w:pStyle w:val="TableContents"/>
                              <w:bidi w:val="0"/>
                              <w:spacing w:before="0" w:after="283"/>
                              <w:ind w:left="120" w:right="0" w:hanging="0"/>
                              <w:jc w:val="left"/>
                              <w:rPr>
                                <w:color w:val="484484"/>
                              </w:rPr>
                            </w:pPr>
                            <w:r>
                              <w:rPr>
                                <w:color w:val="484484"/>
                              </w:rPr>
                              <w:t>​</w:t>
                            </w:r>
                            <w:r>
                              <w:rPr>
                                <w:rFonts w:ascii="Arial;Helvetica;sans-serif" w:hAnsi="Arial;Helvetica;sans-serif"/>
                                <w:color w:val="484484"/>
                                <w:sz w:val="24"/>
                              </w:rPr>
                              <w:t xml:space="preserve">Message from </w:t>
                            </w:r>
                          </w:p>
                          <w:p>
                            <w:pPr>
                              <w:pStyle w:val="TableContents"/>
                              <w:bidi w:val="0"/>
                              <w:spacing w:before="0" w:after="283"/>
                              <w:ind w:left="120" w:right="0" w:hanging="0"/>
                              <w:jc w:val="left"/>
                              <w:rPr>
                                <w:rFonts w:ascii="Arial;Helvetica;sans-serif" w:hAnsi="Arial;Helvetica;sans-serif"/>
                                <w:color w:val="484484"/>
                                <w:sz w:val="24"/>
                              </w:rPr>
                            </w:pPr>
                            <w:r>
                              <w:rPr>
                                <w:rFonts w:ascii="Arial;Helvetica;sans-serif" w:hAnsi="Arial;Helvetica;sans-serif"/>
                                <w:color w:val="484484"/>
                                <w:sz w:val="24"/>
                              </w:rPr>
                              <w:t xml:space="preserve">Scott Smith, </w:t>
                            </w:r>
                          </w:p>
                          <w:p>
                            <w:pPr>
                              <w:pStyle w:val="TableContents"/>
                              <w:bidi w:val="0"/>
                              <w:spacing w:before="0" w:after="283"/>
                              <w:ind w:left="120" w:right="0" w:hanging="0"/>
                              <w:jc w:val="left"/>
                              <w:rPr>
                                <w:rFonts w:ascii="Arial;Helvetica;sans-serif" w:hAnsi="Arial;Helvetica;sans-serif"/>
                                <w:color w:val="484484"/>
                                <w:sz w:val="24"/>
                              </w:rPr>
                            </w:pPr>
                            <w:r>
                              <w:rPr>
                                <w:rFonts w:ascii="Arial;Helvetica;sans-serif" w:hAnsi="Arial;Helvetica;sans-serif"/>
                                <w:color w:val="484484"/>
                                <w:sz w:val="24"/>
                              </w:rPr>
                              <w:t>Chief Executive Officer</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480"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tbl>
                      <w:tblPr>
                        <w:tblW w:w="3060" w:type="dxa"/>
                        <w:jc w:val="left"/>
                        <w:tblInd w:w="1060" w:type="dxa"/>
                        <w:tblLayout w:type="fixed"/>
                        <w:tblCellMar>
                          <w:top w:w="0" w:type="dxa"/>
                          <w:left w:w="0" w:type="dxa"/>
                          <w:bottom w:w="0" w:type="dxa"/>
                          <w:right w:w="0" w:type="dxa"/>
                        </w:tblCellMar>
                      </w:tblPr>
                      <w:tblGrid>
                        <w:gridCol w:w="185"/>
                        <w:gridCol w:w="2660"/>
                        <w:gridCol w:w="215"/>
                      </w:tblGrid>
                      <w:tr>
                        <w:trPr/>
                        <w:tc>
                          <w:tcPr>
                            <w:tcW w:w="185" w:type="dxa"/>
                            <w:tcBorders/>
                            <w:shd w:fill="FFF1C7" w:val="clear"/>
                            <w:vAlign w:val="center"/>
                          </w:tcPr>
                          <w:p>
                            <w:pPr>
                              <w:pStyle w:val="TableContents"/>
                              <w:bidi w:val="0"/>
                              <w:spacing w:before="0" w:after="0"/>
                              <w:jc w:val="left"/>
                              <w:rPr/>
                            </w:pPr>
                            <w:r>
                              <w:rPr/>
                              <w:t> </w:t>
                            </w:r>
                          </w:p>
                        </w:tc>
                        <w:tc>
                          <w:tcPr>
                            <w:tcW w:w="2660" w:type="dxa"/>
                            <w:tcBorders/>
                            <w:shd w:fill="FFF1C7" w:val="clear"/>
                            <w:vAlign w:val="center"/>
                          </w:tcPr>
                          <w:p>
                            <w:pPr>
                              <w:pStyle w:val="TableContents"/>
                              <w:bidi w:val="0"/>
                              <w:spacing w:before="0" w:after="0"/>
                              <w:jc w:val="left"/>
                              <w:rPr/>
                            </w:pPr>
                            <w:r>
                              <w:rPr/>
                              <w:t> </w:t>
                            </w:r>
                          </w:p>
                        </w:tc>
                        <w:tc>
                          <w:tcPr>
                            <w:tcW w:w="215" w:type="dxa"/>
                            <w:tcBorders/>
                            <w:shd w:fill="FFF1C7" w:val="clear"/>
                            <w:vAlign w:val="center"/>
                          </w:tcPr>
                          <w:p>
                            <w:pPr>
                              <w:pStyle w:val="TableContents"/>
                              <w:bidi w:val="0"/>
                              <w:spacing w:before="0" w:after="0"/>
                              <w:jc w:val="left"/>
                              <w:rPr/>
                            </w:pPr>
                            <w:r>
                              <w:rPr/>
                              <w:t> </w:t>
                            </w:r>
                          </w:p>
                        </w:tc>
                      </w:tr>
                      <w:tr>
                        <w:trPr/>
                        <w:tc>
                          <w:tcPr>
                            <w:tcW w:w="185" w:type="dxa"/>
                            <w:tcBorders/>
                            <w:shd w:fill="FFF1C7" w:val="clear"/>
                            <w:vAlign w:val="center"/>
                          </w:tcPr>
                          <w:p>
                            <w:pPr>
                              <w:pStyle w:val="TableContents"/>
                              <w:bidi w:val="0"/>
                              <w:spacing w:before="0" w:after="0"/>
                              <w:jc w:val="left"/>
                              <w:rPr/>
                            </w:pPr>
                            <w:r>
                              <w:rPr/>
                              <w:t> </w:t>
                            </w:r>
                          </w:p>
                        </w:tc>
                        <w:tc>
                          <w:tcPr>
                            <w:tcW w:w="2660" w:type="dxa"/>
                            <w:tcBorders/>
                            <w:shd w:fill="FFF1C7" w:val="clear"/>
                            <w:vAlign w:val="center"/>
                          </w:tcPr>
                          <w:p>
                            <w:pPr>
                              <w:pStyle w:val="TableContents"/>
                              <w:bidi w:val="0"/>
                              <w:spacing w:before="0" w:after="283"/>
                              <w:ind w:left="120" w:right="0" w:hanging="0"/>
                              <w:jc w:val="left"/>
                              <w:rPr>
                                <w:rFonts w:ascii="Arial;Helvetica;sans-serif" w:hAnsi="Arial;Helvetica;sans-serif"/>
                                <w:color w:val="484484"/>
                                <w:sz w:val="24"/>
                              </w:rPr>
                            </w:pPr>
                            <w:r>
                              <w:rPr>
                                <w:rFonts w:ascii="Arial;Helvetica;sans-serif" w:hAnsi="Arial;Helvetica;sans-serif"/>
                                <w:color w:val="484484"/>
                                <w:sz w:val="24"/>
                              </w:rPr>
                              <w:t xml:space="preserve">Notice of 2025 Annual </w:t>
                            </w:r>
                          </w:p>
                          <w:p>
                            <w:pPr>
                              <w:pStyle w:val="TableContents"/>
                              <w:bidi w:val="0"/>
                              <w:spacing w:before="0" w:after="283"/>
                              <w:ind w:left="120" w:right="0" w:hanging="0"/>
                              <w:jc w:val="left"/>
                              <w:rPr>
                                <w:rFonts w:ascii="Arial;Helvetica;sans-serif" w:hAnsi="Arial;Helvetica;sans-serif"/>
                                <w:color w:val="484484"/>
                                <w:sz w:val="24"/>
                              </w:rPr>
                            </w:pPr>
                            <w:r>
                              <w:rPr>
                                <w:rFonts w:ascii="Arial;Helvetica;sans-serif" w:hAnsi="Arial;Helvetica;sans-serif"/>
                                <w:color w:val="484484"/>
                                <w:sz w:val="24"/>
                              </w:rPr>
                              <w:t>Meeting of Shareholders</w:t>
                            </w:r>
                          </w:p>
                        </w:tc>
                        <w:tc>
                          <w:tcPr>
                            <w:tcW w:w="215" w:type="dxa"/>
                            <w:tcBorders/>
                            <w:shd w:fill="FFF1C7" w:val="clear"/>
                            <w:vAlign w:val="center"/>
                          </w:tcPr>
                          <w:p>
                            <w:pPr>
                              <w:pStyle w:val="TableContents"/>
                              <w:bidi w:val="0"/>
                              <w:spacing w:before="0" w:after="0"/>
                              <w:jc w:val="left"/>
                              <w:rPr/>
                            </w:pPr>
                            <w:r>
                              <w:rPr/>
                              <w:t> </w:t>
                            </w:r>
                          </w:p>
                        </w:tc>
                      </w:tr>
                      <w:tr>
                        <w:trPr/>
                        <w:tc>
                          <w:tcPr>
                            <w:tcW w:w="185" w:type="dxa"/>
                            <w:tcBorders/>
                            <w:shd w:fill="FFF1C7" w:val="clear"/>
                            <w:vAlign w:val="center"/>
                          </w:tcPr>
                          <w:p>
                            <w:pPr>
                              <w:pStyle w:val="TableContents"/>
                              <w:bidi w:val="0"/>
                              <w:spacing w:before="0" w:after="0"/>
                              <w:jc w:val="left"/>
                              <w:rPr/>
                            </w:pPr>
                            <w:r>
                              <w:rPr/>
                              <w:t> </w:t>
                            </w:r>
                          </w:p>
                        </w:tc>
                        <w:tc>
                          <w:tcPr>
                            <w:tcW w:w="2660" w:type="dxa"/>
                            <w:tcBorders/>
                            <w:shd w:fill="FFF1C7" w:val="clear"/>
                            <w:vAlign w:val="center"/>
                          </w:tcPr>
                          <w:p>
                            <w:pPr>
                              <w:pStyle w:val="TableContents"/>
                              <w:bidi w:val="0"/>
                              <w:spacing w:before="0" w:after="0"/>
                              <w:jc w:val="left"/>
                              <w:rPr/>
                            </w:pPr>
                            <w:r>
                              <w:rPr/>
                              <w:t> </w:t>
                            </w:r>
                          </w:p>
                        </w:tc>
                        <w:tc>
                          <w:tcPr>
                            <w:tcW w:w="215" w:type="dxa"/>
                            <w:tcBorders/>
                            <w:shd w:fill="FFF1C7" w:val="clear"/>
                            <w:vAlign w:val="center"/>
                          </w:tcPr>
                          <w:p>
                            <w:pPr>
                              <w:pStyle w:val="TableContents"/>
                              <w:bidi w:val="0"/>
                              <w:spacing w:before="0" w:after="0"/>
                              <w:jc w:val="left"/>
                              <w:rPr/>
                            </w:pPr>
                            <w:r>
                              <w:rPr/>
                              <w:t> </w:t>
                            </w:r>
                          </w:p>
                        </w:tc>
                      </w:tr>
                    </w:tbl>
                    <w:p>
                      <w:pPr>
                        <w:pStyle w:val="TextBody"/>
                        <w:bidi w:val="0"/>
                        <w:spacing w:before="230" w:after="283"/>
                        <w:ind w:left="1060" w:right="0" w:hanging="0"/>
                        <w:jc w:val="center"/>
                        <w:rPr>
                          <w:color w:val="636466"/>
                        </w:rPr>
                      </w:pPr>
                      <w:r>
                        <w:rPr>
                          <w:color w:val="636466"/>
                        </w:rPr>
                        <w:drawing>
                          <wp:inline distT="0" distB="0" distL="0" distR="0">
                            <wp:extent cx="2019300" cy="5286375"/>
                            <wp:effectExtent l="0" t="0" r="0" b="0"/>
                            <wp:docPr id="3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7" descr=""/>
                                    <pic:cNvPicPr>
                                      <a:picLocks noChangeAspect="1" noChangeArrowheads="1"/>
                                    </pic:cNvPicPr>
                                  </pic:nvPicPr>
                                  <pic:blipFill>
                                    <a:blip r:embed="rId26"/>
                                    <a:stretch>
                                      <a:fillRect/>
                                    </a:stretch>
                                  </pic:blipFill>
                                  <pic:spPr bwMode="auto">
                                    <a:xfrm>
                                      <a:off x="0" y="0"/>
                                      <a:ext cx="2019300" cy="5286375"/>
                                    </a:xfrm>
                                    <a:prstGeom prst="rect">
                                      <a:avLst/>
                                    </a:prstGeom>
                                  </pic:spPr>
                                </pic:pic>
                              </a:graphicData>
                            </a:graphic>
                          </wp:inline>
                        </w:drawing>
                      </w:r>
                    </w:p>
                    <w:p>
                      <w:pPr>
                        <w:pStyle w:val="TextBody"/>
                        <w:bidi w:val="0"/>
                        <w:spacing w:before="0" w:after="283"/>
                        <w:ind w:left="1060" w:right="0" w:hanging="0"/>
                        <w:jc w:val="left"/>
                        <w:rPr>
                          <w:color w:val="636466"/>
                        </w:rPr>
                      </w:pPr>
                      <w:r>
                        <w:rPr>
                          <w:color w:val="636466"/>
                        </w:rPr>
                        <w:t> </w:t>
                      </w:r>
                    </w:p>
                  </w:txbxContent>
                </v:textbox>
                <w10:wrap type="square" side="right"/>
              </v:rect>
            </w:pict>
          </mc:Fallback>
        </mc:AlternateContent>
      </w:r>
      <w:r>
        <mc:AlternateContent>
          <mc:Choice Requires="wps">
            <w:drawing>
              <wp:anchor behindDoc="0" distT="0" distB="0" distL="190500" distR="0" simplePos="0" locked="0" layoutInCell="1" allowOverlap="1" relativeHeight="301">
                <wp:simplePos x="0" y="0"/>
                <wp:positionH relativeFrom="column">
                  <wp:align>left</wp:align>
                </wp:positionH>
                <wp:positionV relativeFrom="line">
                  <wp:posOffset>635</wp:posOffset>
                </wp:positionV>
                <wp:extent cx="4394200" cy="9972040"/>
                <wp:effectExtent l="0" t="0" r="0" b="0"/>
                <wp:wrapSquare wrapText="right"/>
                <wp:docPr id="33" name="Frame8"/>
                <a:graphic xmlns:a="http://schemas.openxmlformats.org/drawingml/2006/main">
                  <a:graphicData uri="http://schemas.microsoft.com/office/word/2010/wordprocessingShape">
                    <wps:wsp>
                      <wps:cNvSpPr txBox="1"/>
                      <wps:spPr>
                        <a:xfrm>
                          <a:off x="0" y="0"/>
                          <a:ext cx="4394200" cy="9972040"/>
                        </a:xfrm>
                        <a:prstGeom prst="rect"/>
                        <a:solidFill>
                          <a:srgbClr val="FFFFFF"/>
                        </a:solidFill>
                      </wps:spPr>
                      <wps:txbx>
                        <w:txbxContent>
                          <w:p>
                            <w:pPr>
                              <w:pStyle w:val="TextBody"/>
                              <w:bidi w:val="0"/>
                              <w:spacing w:before="295" w:after="283"/>
                              <w:ind w:left="1060" w:right="0" w:hanging="0"/>
                              <w:jc w:val="left"/>
                              <w:rPr>
                                <w:rFonts w:ascii="Arial;Helvetica;sans-serif" w:hAnsi="Arial;Helvetica;sans-serif"/>
                                <w:color w:val="1F1C6B"/>
                                <w:sz w:val="44"/>
                              </w:rPr>
                            </w:pPr>
                            <w:r>
                              <w:rPr>
                                <w:rFonts w:ascii="Arial;Helvetica;sans-serif" w:hAnsi="Arial;Helvetica;sans-serif"/>
                                <w:color w:val="1F1C6B"/>
                                <w:sz w:val="44"/>
                              </w:rPr>
                              <w:t xml:space="preserve">Table of Contents </w:t>
                            </w:r>
                          </w:p>
                          <w:p>
                            <w:pPr>
                              <w:pStyle w:val="Normal"/>
                              <w:bidi w:val="0"/>
                              <w:spacing w:before="0" w:after="0"/>
                              <w:ind w:left="1060" w:right="0" w:hanging="0"/>
                              <w:jc w:val="left"/>
                              <w:rPr>
                                <w:sz w:val="4"/>
                                <w:szCs w:val="4"/>
                              </w:rPr>
                            </w:pPr>
                            <w:r>
                              <w:rPr>
                                <w:sz w:val="4"/>
                                <w:szCs w:val="4"/>
                              </w:rPr>
                            </w:r>
                            <w:bookmarkStart w:id="10" w:name="TOC"/>
                            <w:bookmarkStart w:id="11" w:name="TOC"/>
                            <w:bookmarkEnd w:id="11"/>
                          </w:p>
                          <w:tbl>
                            <w:tblPr>
                              <w:tblW w:w="9145" w:type="dxa"/>
                              <w:jc w:val="left"/>
                              <w:tblInd w:w="1060" w:type="dxa"/>
                              <w:tblLayout w:type="fixed"/>
                              <w:tblCellMar>
                                <w:top w:w="0" w:type="dxa"/>
                                <w:left w:w="0" w:type="dxa"/>
                                <w:bottom w:w="0" w:type="dxa"/>
                                <w:right w:w="0" w:type="dxa"/>
                              </w:tblCellMar>
                            </w:tblPr>
                            <w:tblGrid>
                              <w:gridCol w:w="320"/>
                              <w:gridCol w:w="170"/>
                              <w:gridCol w:w="170"/>
                              <w:gridCol w:w="8485"/>
                            </w:tblGrid>
                            <w:tr>
                              <w:trPr/>
                              <w:tc>
                                <w:tcPr>
                                  <w:tcW w:w="320" w:type="dxa"/>
                                  <w:tcBorders/>
                                  <w:vAlign w:val="center"/>
                                </w:tcPr>
                                <w:p>
                                  <w:pPr>
                                    <w:pStyle w:val="TableContents"/>
                                    <w:bidi w:val="0"/>
                                    <w:spacing w:before="60" w:after="283"/>
                                    <w:ind w:left="0" w:right="0" w:hanging="0"/>
                                    <w:jc w:val="left"/>
                                    <w:rPr/>
                                  </w:pPr>
                                  <w:hyperlink w:anchor="tSFP">
                                    <w:r>
                                      <w:rPr>
                                        <w:rStyle w:val="InternetLink"/>
                                        <w:rFonts w:ascii="Arial;Helvetica;sans-serif" w:hAnsi="Arial;Helvetica;sans-serif"/>
                                        <w:b/>
                                        <w:color w:val="484484"/>
                                        <w:sz w:val="18"/>
                                      </w:rPr>
                                      <w:t>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60" w:after="283"/>
                                    <w:ind w:left="0" w:right="0" w:hanging="0"/>
                                    <w:jc w:val="left"/>
                                    <w:rPr/>
                                  </w:pPr>
                                  <w:hyperlink w:anchor="tSFP">
                                    <w:r>
                                      <w:rPr>
                                        <w:rStyle w:val="InternetLink"/>
                                        <w:rFonts w:ascii="Arial;Helvetica;sans-serif" w:hAnsi="Arial;Helvetica;sans-serif"/>
                                        <w:b/>
                                        <w:color w:val="484484"/>
                                        <w:sz w:val="18"/>
                                      </w:rPr>
                                      <w:t>A Strong Foundation for Performance and Impact</w:t>
                                    </w:r>
                                  </w:hyperlink>
                                </w:p>
                              </w:tc>
                            </w:tr>
                            <w:tr>
                              <w:trPr/>
                              <w:tc>
                                <w:tcPr>
                                  <w:tcW w:w="320" w:type="dxa"/>
                                  <w:tcBorders/>
                                  <w:vAlign w:val="center"/>
                                </w:tcPr>
                                <w:p>
                                  <w:pPr>
                                    <w:pStyle w:val="TableContents"/>
                                    <w:bidi w:val="0"/>
                                    <w:spacing w:before="0" w:after="283"/>
                                    <w:ind w:left="0" w:right="0" w:hanging="0"/>
                                    <w:jc w:val="left"/>
                                    <w:rPr/>
                                  </w:pPr>
                                  <w:hyperlink w:anchor="tDOS">
                                    <w:r>
                                      <w:rPr>
                                        <w:rStyle w:val="InternetLink"/>
                                        <w:rFonts w:ascii="Arial;Helvetica;sans-serif" w:hAnsi="Arial;Helvetica;sans-serif"/>
                                        <w:color w:val="636466"/>
                                        <w:sz w:val="18"/>
                                      </w:rPr>
                                      <w:t>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DOS">
                                    <w:r>
                                      <w:rPr>
                                        <w:rStyle w:val="InternetLink"/>
                                        <w:color w:val="636466"/>
                                      </w:rPr>
                                      <w:t>​</w:t>
                                    </w:r>
                                  </w:hyperlink>
                                  <w:hyperlink w:anchor="tDOS">
                                    <w:r>
                                      <w:rPr>
                                        <w:rStyle w:val="InternetLink"/>
                                        <w:rFonts w:ascii="Arial;Helvetica;sans-serif" w:hAnsi="Arial;Helvetica;sans-serif"/>
                                        <w:color w:val="636466"/>
                                        <w:sz w:val="18"/>
                                      </w:rPr>
                                      <w:t>Our 2025 Strategic Priorities</w:t>
                                    </w:r>
                                  </w:hyperlink>
                                </w:p>
                              </w:tc>
                            </w:tr>
                            <w:tr>
                              <w:trPr/>
                              <w:tc>
                                <w:tcPr>
                                  <w:tcW w:w="320" w:type="dxa"/>
                                  <w:tcBorders/>
                                  <w:vAlign w:val="center"/>
                                </w:tcPr>
                                <w:p>
                                  <w:pPr>
                                    <w:pStyle w:val="TableContents"/>
                                    <w:bidi w:val="0"/>
                                    <w:spacing w:before="0" w:after="283"/>
                                    <w:ind w:left="0" w:right="0" w:hanging="0"/>
                                    <w:jc w:val="left"/>
                                    <w:rPr/>
                                  </w:pPr>
                                  <w:hyperlink w:anchor="tEGR">
                                    <w:r>
                                      <w:rPr>
                                        <w:rStyle w:val="InternetLink"/>
                                        <w:rFonts w:ascii="Arial;Helvetica;sans-serif" w:hAnsi="Arial;Helvetica;sans-serif"/>
                                        <w:color w:val="636466"/>
                                        <w:sz w:val="18"/>
                                      </w:rPr>
                                      <w:t>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EGR">
                                    <w:r>
                                      <w:rPr>
                                        <w:rStyle w:val="InternetLink"/>
                                        <w:rFonts w:ascii="Arial;Helvetica;sans-serif" w:hAnsi="Arial;Helvetica;sans-serif"/>
                                        <w:color w:val="636466"/>
                                        <w:sz w:val="18"/>
                                      </w:rPr>
                                      <w:t>Expansive Global Reach</w:t>
                                    </w:r>
                                  </w:hyperlink>
                                </w:p>
                              </w:tc>
                            </w:tr>
                            <w:tr>
                              <w:trPr/>
                              <w:tc>
                                <w:tcPr>
                                  <w:tcW w:w="320" w:type="dxa"/>
                                  <w:tcBorders/>
                                  <w:vAlign w:val="center"/>
                                </w:tcPr>
                                <w:p>
                                  <w:pPr>
                                    <w:pStyle w:val="TableContents"/>
                                    <w:bidi w:val="0"/>
                                    <w:spacing w:before="0" w:after="283"/>
                                    <w:ind w:left="0" w:right="0" w:hanging="0"/>
                                    <w:jc w:val="left"/>
                                    <w:rPr/>
                                  </w:pPr>
                                  <w:hyperlink w:anchor="tAIG">
                                    <w:r>
                                      <w:rPr>
                                        <w:rStyle w:val="InternetLink"/>
                                        <w:rFonts w:ascii="Arial;Helvetica;sans-serif" w:hAnsi="Arial;Helvetica;sans-serif"/>
                                        <w:color w:val="636466"/>
                                        <w:sz w:val="18"/>
                                      </w:rPr>
                                      <w:t>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AIG">
                                    <w:r>
                                      <w:rPr>
                                        <w:rStyle w:val="InternetLink"/>
                                        <w:rFonts w:ascii="Arial;Helvetica;sans-serif" w:hAnsi="Arial;Helvetica;sans-serif"/>
                                        <w:color w:val="636466"/>
                                        <w:sz w:val="18"/>
                                      </w:rPr>
                                      <w:t>Approach to Innovation and Growth</w:t>
                                    </w:r>
                                  </w:hyperlink>
                                </w:p>
                              </w:tc>
                            </w:tr>
                            <w:tr>
                              <w:trPr/>
                              <w:tc>
                                <w:tcPr>
                                  <w:tcW w:w="320" w:type="dxa"/>
                                  <w:tcBorders/>
                                  <w:vAlign w:val="center"/>
                                </w:tcPr>
                                <w:p>
                                  <w:pPr>
                                    <w:pStyle w:val="TableContents"/>
                                    <w:bidi w:val="0"/>
                                    <w:spacing w:before="0" w:after="283"/>
                                    <w:ind w:left="0" w:right="0" w:hanging="0"/>
                                    <w:jc w:val="left"/>
                                    <w:rPr/>
                                  </w:pPr>
                                  <w:hyperlink w:anchor="tGHG">
                                    <w:r>
                                      <w:rPr>
                                        <w:rStyle w:val="InternetLink"/>
                                        <w:rFonts w:ascii="Arial;Helvetica;sans-serif" w:hAnsi="Arial;Helvetica;sans-serif"/>
                                        <w:color w:val="636466"/>
                                        <w:sz w:val="18"/>
                                      </w:rPr>
                                      <w:t>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GHG">
                                    <w:r>
                                      <w:rPr>
                                        <w:rStyle w:val="InternetLink"/>
                                        <w:rFonts w:ascii="Arial;Helvetica;sans-serif" w:hAnsi="Arial;Helvetica;sans-serif"/>
                                        <w:color w:val="636466"/>
                                        <w:sz w:val="18"/>
                                      </w:rPr>
                                      <w:t>Global Healthcare Gateway</w:t>
                                    </w:r>
                                  </w:hyperlink>
                                  <w:hyperlink w:anchor="tGHG">
                                    <w:r>
                                      <w:rPr>
                                        <w:rStyle w:val="InternetLink"/>
                                        <w:rFonts w:ascii="Arial;Helvetica;sans-serif" w:hAnsi="Arial;Helvetica;sans-serif"/>
                                        <w:color w:val="636466"/>
                                        <w:position w:val="6"/>
                                        <w:sz w:val="14"/>
                                        <w:sz w:val="18"/>
                                      </w:rPr>
                                      <w:t>®</w:t>
                                    </w:r>
                                  </w:hyperlink>
                                </w:p>
                              </w:tc>
                            </w:tr>
                            <w:tr>
                              <w:trPr/>
                              <w:tc>
                                <w:tcPr>
                                  <w:tcW w:w="320" w:type="dxa"/>
                                  <w:tcBorders/>
                                  <w:vAlign w:val="center"/>
                                </w:tcPr>
                                <w:p>
                                  <w:pPr>
                                    <w:pStyle w:val="TableContents"/>
                                    <w:bidi w:val="0"/>
                                    <w:spacing w:before="0" w:after="283"/>
                                    <w:ind w:left="0" w:right="0" w:hanging="0"/>
                                    <w:jc w:val="left"/>
                                    <w:rPr/>
                                  </w:pPr>
                                  <w:hyperlink w:anchor="tBSA">
                                    <w:r>
                                      <w:rPr>
                                        <w:rStyle w:val="InternetLink"/>
                                        <w:rFonts w:ascii="Arial;Helvetica;sans-serif" w:hAnsi="Arial;Helvetica;sans-serif"/>
                                        <w:color w:val="636466"/>
                                        <w:sz w:val="18"/>
                                      </w:rPr>
                                      <w:t>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BSA">
                                    <w:r>
                                      <w:rPr>
                                        <w:rStyle w:val="InternetLink"/>
                                        <w:rFonts w:ascii="Arial;Helvetica;sans-serif" w:hAnsi="Arial;Helvetica;sans-serif"/>
                                        <w:color w:val="636466"/>
                                        <w:sz w:val="18"/>
                                      </w:rPr>
                                      <w:t>Building Sustainable Access at Scale</w:t>
                                    </w:r>
                                  </w:hyperlink>
                                </w:p>
                              </w:tc>
                            </w:tr>
                            <w:tr>
                              <w:trPr/>
                              <w:tc>
                                <w:tcPr>
                                  <w:tcW w:w="320" w:type="dxa"/>
                                  <w:tcBorders/>
                                  <w:vAlign w:val="center"/>
                                </w:tcPr>
                                <w:p>
                                  <w:pPr>
                                    <w:pStyle w:val="TableContents"/>
                                    <w:bidi w:val="0"/>
                                    <w:spacing w:before="0" w:after="283"/>
                                    <w:ind w:left="0" w:right="0" w:hanging="0"/>
                                    <w:jc w:val="left"/>
                                    <w:rPr/>
                                  </w:pPr>
                                  <w:hyperlink w:anchor="tOCT">
                                    <w:r>
                                      <w:rPr>
                                        <w:rStyle w:val="InternetLink"/>
                                        <w:rFonts w:ascii="Arial;Helvetica;sans-serif" w:hAnsi="Arial;Helvetica;sans-serif"/>
                                        <w:color w:val="636466"/>
                                        <w:sz w:val="18"/>
                                      </w:rPr>
                                      <w:t>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OCT">
                                    <w:r>
                                      <w:rPr>
                                        <w:rStyle w:val="InternetLink"/>
                                        <w:rFonts w:ascii="Arial;Helvetica;sans-serif" w:hAnsi="Arial;Helvetica;sans-serif"/>
                                        <w:color w:val="636466"/>
                                        <w:sz w:val="18"/>
                                      </w:rPr>
                                      <w:t xml:space="preserve">Our Commitment to Good Corporate Governance </w:t>
                                    </w:r>
                                  </w:hyperlink>
                                </w:p>
                              </w:tc>
                            </w:tr>
                            <w:tr>
                              <w:trPr/>
                              <w:tc>
                                <w:tcPr>
                                  <w:tcW w:w="320" w:type="dxa"/>
                                  <w:tcBorders/>
                                  <w:vAlign w:val="center"/>
                                </w:tcPr>
                                <w:p>
                                  <w:pPr>
                                    <w:pStyle w:val="TableContents"/>
                                    <w:bidi w:val="0"/>
                                    <w:spacing w:before="60" w:after="283"/>
                                    <w:ind w:left="0" w:right="0" w:hanging="0"/>
                                    <w:jc w:val="left"/>
                                    <w:rPr/>
                                  </w:pPr>
                                  <w:hyperlink w:anchor="tVBO">
                                    <w:r>
                                      <w:rPr>
                                        <w:rStyle w:val="InternetLink"/>
                                        <w:rFonts w:ascii="Arial;Helvetica;sans-serif" w:hAnsi="Arial;Helvetica;sans-serif"/>
                                        <w:b/>
                                        <w:color w:val="484484"/>
                                        <w:sz w:val="18"/>
                                      </w:rPr>
                                      <w:t>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60" w:after="283"/>
                                    <w:ind w:left="0" w:right="0" w:hanging="0"/>
                                    <w:jc w:val="left"/>
                                    <w:rPr/>
                                  </w:pPr>
                                  <w:hyperlink w:anchor="tVBO">
                                    <w:r>
                                      <w:rPr>
                                        <w:rStyle w:val="InternetLink"/>
                                        <w:rFonts w:ascii="Arial;Helvetica;sans-serif" w:hAnsi="Arial;Helvetica;sans-serif"/>
                                        <w:b/>
                                        <w:color w:val="484484"/>
                                        <w:sz w:val="18"/>
                                      </w:rPr>
                                      <w:t>Viatris’ Board of Directors</w:t>
                                    </w:r>
                                  </w:hyperlink>
                                </w:p>
                              </w:tc>
                            </w:tr>
                            <w:tr>
                              <w:trPr/>
                              <w:tc>
                                <w:tcPr>
                                  <w:tcW w:w="320" w:type="dxa"/>
                                  <w:tcBorders/>
                                  <w:vAlign w:val="center"/>
                                </w:tcPr>
                                <w:p>
                                  <w:pPr>
                                    <w:pStyle w:val="TableContents"/>
                                    <w:bidi w:val="0"/>
                                    <w:spacing w:before="60" w:after="283"/>
                                    <w:ind w:left="0" w:right="0" w:hanging="0"/>
                                    <w:jc w:val="left"/>
                                    <w:rPr/>
                                  </w:pPr>
                                  <w:hyperlink w:anchor="tEOD">
                                    <w:r>
                                      <w:rPr>
                                        <w:rStyle w:val="InternetLink"/>
                                        <w:rFonts w:ascii="Arial;Helvetica;sans-serif" w:hAnsi="Arial;Helvetica;sans-serif"/>
                                        <w:b/>
                                        <w:color w:val="484484"/>
                                        <w:sz w:val="18"/>
                                      </w:rPr>
                                      <w:t>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60" w:after="283"/>
                                    <w:ind w:left="0" w:right="0" w:hanging="0"/>
                                    <w:jc w:val="left"/>
                                    <w:rPr/>
                                  </w:pPr>
                                  <w:hyperlink w:anchor="tEOD">
                                    <w:r>
                                      <w:rPr>
                                        <w:rStyle w:val="InternetLink"/>
                                        <w:rFonts w:ascii="Arial;Helvetica;sans-serif" w:hAnsi="Arial;Helvetica;sans-serif"/>
                                        <w:b/>
                                        <w:color w:val="484484"/>
                                        <w:sz w:val="18"/>
                                      </w:rPr>
                                      <w:t>Item 1 – Election of Directors</w:t>
                                    </w:r>
                                  </w:hyperlink>
                                </w:p>
                              </w:tc>
                            </w:tr>
                            <w:tr>
                              <w:trPr/>
                              <w:tc>
                                <w:tcPr>
                                  <w:tcW w:w="320" w:type="dxa"/>
                                  <w:tcBorders/>
                                  <w:vAlign w:val="center"/>
                                </w:tcPr>
                                <w:p>
                                  <w:pPr>
                                    <w:pStyle w:val="TableContents"/>
                                    <w:bidi w:val="0"/>
                                    <w:spacing w:before="0" w:after="283"/>
                                    <w:ind w:left="0" w:right="0" w:hanging="0"/>
                                    <w:jc w:val="left"/>
                                    <w:rPr/>
                                  </w:pPr>
                                  <w:hyperlink w:anchor="tDNE">
                                    <w:r>
                                      <w:rPr>
                                        <w:rStyle w:val="InternetLink"/>
                                        <w:rFonts w:ascii="Arial;Helvetica;sans-serif" w:hAnsi="Arial;Helvetica;sans-serif"/>
                                        <w:color w:val="636466"/>
                                        <w:sz w:val="18"/>
                                      </w:rPr>
                                      <w:t>10</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DNE">
                                    <w:r>
                                      <w:rPr>
                                        <w:rStyle w:val="InternetLink"/>
                                        <w:rFonts w:ascii="Arial;Helvetica;sans-serif" w:hAnsi="Arial;Helvetica;sans-serif"/>
                                        <w:color w:val="636466"/>
                                        <w:sz w:val="18"/>
                                      </w:rPr>
                                      <w:t>Directors Nominated for Election at the 2025 Annual Meeting</w:t>
                                    </w:r>
                                  </w:hyperlink>
                                </w:p>
                              </w:tc>
                            </w:tr>
                            <w:tr>
                              <w:trPr/>
                              <w:tc>
                                <w:tcPr>
                                  <w:tcW w:w="320" w:type="dxa"/>
                                  <w:tcBorders/>
                                  <w:vAlign w:val="center"/>
                                </w:tcPr>
                                <w:p>
                                  <w:pPr>
                                    <w:pStyle w:val="TableContents"/>
                                    <w:bidi w:val="0"/>
                                    <w:spacing w:before="0" w:after="283"/>
                                    <w:ind w:left="0" w:right="0" w:hanging="0"/>
                                    <w:jc w:val="left"/>
                                    <w:rPr/>
                                  </w:pPr>
                                  <w:hyperlink w:anchor="tHOB">
                                    <w:r>
                                      <w:rPr>
                                        <w:rStyle w:val="InternetLink"/>
                                        <w:rFonts w:ascii="Arial;Helvetica;sans-serif" w:hAnsi="Arial;Helvetica;sans-serif"/>
                                        <w:color w:val="636466"/>
                                        <w:sz w:val="18"/>
                                      </w:rPr>
                                      <w:t>23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HOB">
                                    <w:r>
                                      <w:rPr>
                                        <w:rStyle w:val="InternetLink"/>
                                        <w:rFonts w:ascii="Arial;Helvetica;sans-serif" w:hAnsi="Arial;Helvetica;sans-serif"/>
                                        <w:color w:val="636466"/>
                                        <w:sz w:val="18"/>
                                      </w:rPr>
                                      <w:t>How Our Board Governs and Is Governed</w:t>
                                    </w:r>
                                  </w:hyperlink>
                                </w:p>
                              </w:tc>
                            </w:tr>
                            <w:tr>
                              <w:trPr/>
                              <w:tc>
                                <w:tcPr>
                                  <w:tcW w:w="320" w:type="dxa"/>
                                  <w:tcBorders/>
                                  <w:vAlign w:val="center"/>
                                </w:tcPr>
                                <w:p>
                                  <w:pPr>
                                    <w:pStyle w:val="TableContents"/>
                                    <w:bidi w:val="0"/>
                                    <w:spacing w:before="0" w:after="283"/>
                                    <w:ind w:left="0" w:right="0" w:hanging="0"/>
                                    <w:jc w:val="left"/>
                                    <w:rPr/>
                                  </w:pPr>
                                  <w:hyperlink w:anchor="tBRA">
                                    <w:r>
                                      <w:rPr>
                                        <w:rStyle w:val="InternetLink"/>
                                        <w:rFonts w:ascii="Arial;Helvetica;sans-serif" w:hAnsi="Arial;Helvetica;sans-serif"/>
                                        <w:color w:val="636466"/>
                                        <w:sz w:val="18"/>
                                      </w:rPr>
                                      <w:t>28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BRA">
                                    <w:r>
                                      <w:rPr>
                                        <w:rStyle w:val="InternetLink"/>
                                        <w:rFonts w:ascii="Arial;Helvetica;sans-serif" w:hAnsi="Arial;Helvetica;sans-serif"/>
                                        <w:color w:val="636466"/>
                                        <w:sz w:val="18"/>
                                      </w:rPr>
                                      <w:t xml:space="preserve">Board Refreshment and Succession Planning </w:t>
                                    </w:r>
                                  </w:hyperlink>
                                </w:p>
                              </w:tc>
                            </w:tr>
                            <w:tr>
                              <w:trPr/>
                              <w:tc>
                                <w:tcPr>
                                  <w:tcW w:w="320" w:type="dxa"/>
                                  <w:tcBorders/>
                                  <w:vAlign w:val="center"/>
                                </w:tcPr>
                                <w:p>
                                  <w:pPr>
                                    <w:pStyle w:val="TableContents"/>
                                    <w:bidi w:val="0"/>
                                    <w:spacing w:before="0" w:after="283"/>
                                    <w:ind w:left="0" w:right="0" w:hanging="0"/>
                                    <w:jc w:val="left"/>
                                    <w:rPr/>
                                  </w:pPr>
                                  <w:hyperlink w:anchor="tABA">
                                    <w:r>
                                      <w:rPr>
                                        <w:rStyle w:val="InternetLink"/>
                                        <w:rFonts w:ascii="Arial;Helvetica;sans-serif" w:hAnsi="Arial;Helvetica;sans-serif"/>
                                        <w:color w:val="636466"/>
                                        <w:sz w:val="18"/>
                                      </w:rPr>
                                      <w:t>29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ABA">
                                    <w:r>
                                      <w:rPr>
                                        <w:rStyle w:val="InternetLink"/>
                                        <w:rFonts w:ascii="Arial;Helvetica;sans-serif" w:hAnsi="Arial;Helvetica;sans-serif"/>
                                        <w:color w:val="636466"/>
                                        <w:sz w:val="18"/>
                                      </w:rPr>
                                      <w:t>Annual Board and Committee Self-Evaluations</w:t>
                                    </w:r>
                                  </w:hyperlink>
                                </w:p>
                              </w:tc>
                            </w:tr>
                            <w:tr>
                              <w:trPr/>
                              <w:tc>
                                <w:tcPr>
                                  <w:tcW w:w="320" w:type="dxa"/>
                                  <w:tcBorders/>
                                  <w:vAlign w:val="center"/>
                                </w:tcPr>
                                <w:p>
                                  <w:pPr>
                                    <w:pStyle w:val="TableContents"/>
                                    <w:bidi w:val="0"/>
                                    <w:spacing w:before="0" w:after="283"/>
                                    <w:ind w:left="0" w:right="0" w:hanging="0"/>
                                    <w:jc w:val="left"/>
                                    <w:rPr/>
                                  </w:pPr>
                                  <w:hyperlink w:anchor="tSAO">
                                    <w:r>
                                      <w:rPr>
                                        <w:rStyle w:val="InternetLink"/>
                                        <w:rFonts w:ascii="Arial;Helvetica;sans-serif" w:hAnsi="Arial;Helvetica;sans-serif"/>
                                        <w:color w:val="636466"/>
                                        <w:sz w:val="18"/>
                                      </w:rPr>
                                      <w:t>30</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SAO">
                                    <w:r>
                                      <w:rPr>
                                        <w:rStyle w:val="InternetLink"/>
                                        <w:rFonts w:ascii="Arial;Helvetica;sans-serif" w:hAnsi="Arial;Helvetica;sans-serif"/>
                                        <w:color w:val="636466"/>
                                        <w:sz w:val="18"/>
                                      </w:rPr>
                                      <w:t>Setting and Overseeing Strategy</w:t>
                                    </w:r>
                                  </w:hyperlink>
                                </w:p>
                              </w:tc>
                            </w:tr>
                            <w:tr>
                              <w:trPr/>
                              <w:tc>
                                <w:tcPr>
                                  <w:tcW w:w="320" w:type="dxa"/>
                                  <w:tcBorders/>
                                  <w:vAlign w:val="center"/>
                                </w:tcPr>
                                <w:p>
                                  <w:pPr>
                                    <w:pStyle w:val="TableContents"/>
                                    <w:bidi w:val="0"/>
                                    <w:spacing w:before="0" w:after="283"/>
                                    <w:ind w:left="0" w:right="0" w:hanging="0"/>
                                    <w:jc w:val="left"/>
                                    <w:rPr/>
                                  </w:pPr>
                                  <w:hyperlink w:anchor="tRO">
                                    <w:r>
                                      <w:rPr>
                                        <w:rStyle w:val="InternetLink"/>
                                        <w:rFonts w:ascii="Arial;Helvetica;sans-serif" w:hAnsi="Arial;Helvetica;sans-serif"/>
                                        <w:color w:val="636466"/>
                                        <w:sz w:val="18"/>
                                      </w:rPr>
                                      <w:t>31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RO">
                                    <w:r>
                                      <w:rPr>
                                        <w:rStyle w:val="InternetLink"/>
                                        <w:rFonts w:ascii="Arial;Helvetica;sans-serif" w:hAnsi="Arial;Helvetica;sans-serif"/>
                                        <w:color w:val="636466"/>
                                        <w:sz w:val="18"/>
                                      </w:rPr>
                                      <w:t>Risk Oversight</w:t>
                                    </w:r>
                                  </w:hyperlink>
                                </w:p>
                              </w:tc>
                            </w:tr>
                            <w:tr>
                              <w:trPr/>
                              <w:tc>
                                <w:tcPr>
                                  <w:tcW w:w="320" w:type="dxa"/>
                                  <w:tcBorders/>
                                  <w:vAlign w:val="center"/>
                                </w:tcPr>
                                <w:p>
                                  <w:pPr>
                                    <w:pStyle w:val="TableContents"/>
                                    <w:bidi w:val="0"/>
                                    <w:spacing w:before="0" w:after="283"/>
                                    <w:ind w:left="0" w:right="0" w:hanging="0"/>
                                    <w:jc w:val="left"/>
                                    <w:rPr/>
                                  </w:pPr>
                                  <w:hyperlink w:anchor="tHOD">
                                    <w:r>
                                      <w:rPr>
                                        <w:rStyle w:val="InternetLink"/>
                                        <w:rFonts w:ascii="Arial;Helvetica;sans-serif" w:hAnsi="Arial;Helvetica;sans-serif"/>
                                        <w:color w:val="636466"/>
                                        <w:sz w:val="18"/>
                                      </w:rPr>
                                      <w:t>34</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HOD">
                                    <w:r>
                                      <w:rPr>
                                        <w:rStyle w:val="InternetLink"/>
                                        <w:rFonts w:ascii="Arial;Helvetica;sans-serif" w:hAnsi="Arial;Helvetica;sans-serif"/>
                                        <w:color w:val="636466"/>
                                        <w:sz w:val="18"/>
                                      </w:rPr>
                                      <w:t xml:space="preserve">How Our Directors Are Selected and Evaluated </w:t>
                                    </w:r>
                                  </w:hyperlink>
                                </w:p>
                              </w:tc>
                            </w:tr>
                            <w:tr>
                              <w:trPr/>
                              <w:tc>
                                <w:tcPr>
                                  <w:tcW w:w="320" w:type="dxa"/>
                                  <w:tcBorders/>
                                  <w:vAlign w:val="center"/>
                                </w:tcPr>
                                <w:p>
                                  <w:pPr>
                                    <w:pStyle w:val="TableContents"/>
                                    <w:bidi w:val="0"/>
                                    <w:spacing w:before="0" w:after="283"/>
                                    <w:ind w:left="0" w:right="0" w:hanging="0"/>
                                    <w:jc w:val="left"/>
                                    <w:rPr/>
                                  </w:pPr>
                                  <w:hyperlink w:anchor="tCRA">
                                    <w:r>
                                      <w:rPr>
                                        <w:rStyle w:val="InternetLink"/>
                                        <w:rFonts w:ascii="Arial;Helvetica;sans-serif" w:hAnsi="Arial;Helvetica;sans-serif"/>
                                        <w:color w:val="636466"/>
                                        <w:sz w:val="18"/>
                                      </w:rPr>
                                      <w:t>35</w:t>
                                    </w:r>
                                  </w:hyperlink>
                                  <w:hyperlink w:anchor="tCRA">
                                    <w:r>
                                      <w:rPr>
                                        <w:rStyle w:val="InternetLink"/>
                                        <w:rFonts w:ascii="Arial;Helvetica;sans-serif" w:hAnsi="Arial;Helvetica;sans-serif"/>
                                        <w:color w:val="636466"/>
                                        <w:sz w:val="18"/>
                                      </w:rPr>
                                      <w:t xml:space="preserve">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CRA">
                                    <w:r>
                                      <w:rPr>
                                        <w:rStyle w:val="InternetLink"/>
                                        <w:rFonts w:ascii="Arial;Helvetica;sans-serif" w:hAnsi="Arial;Helvetica;sans-serif"/>
                                        <w:color w:val="636466"/>
                                        <w:sz w:val="18"/>
                                      </w:rPr>
                                      <w:t>Certain Relationships and Related Transactions</w:t>
                                    </w:r>
                                  </w:hyperlink>
                                </w:p>
                              </w:tc>
                            </w:tr>
                            <w:tr>
                              <w:trPr/>
                              <w:tc>
                                <w:tcPr>
                                  <w:tcW w:w="320" w:type="dxa"/>
                                  <w:tcBorders/>
                                  <w:vAlign w:val="center"/>
                                </w:tcPr>
                                <w:p>
                                  <w:pPr>
                                    <w:pStyle w:val="TableContents"/>
                                    <w:bidi w:val="0"/>
                                    <w:spacing w:before="0" w:after="283"/>
                                    <w:ind w:left="0" w:right="0" w:hanging="0"/>
                                    <w:jc w:val="left"/>
                                    <w:rPr/>
                                  </w:pPr>
                                  <w:hyperlink w:anchor="tHNE">
                                    <w:r>
                                      <w:rPr>
                                        <w:rStyle w:val="InternetLink"/>
                                        <w:rFonts w:ascii="Arial;Helvetica;sans-serif" w:hAnsi="Arial;Helvetica;sans-serif"/>
                                        <w:color w:val="636466"/>
                                        <w:sz w:val="18"/>
                                      </w:rPr>
                                      <w:t>36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HNE">
                                    <w:r>
                                      <w:rPr>
                                        <w:rStyle w:val="InternetLink"/>
                                        <w:rFonts w:ascii="Arial;Helvetica;sans-serif" w:hAnsi="Arial;Helvetica;sans-serif"/>
                                        <w:color w:val="636466"/>
                                        <w:sz w:val="18"/>
                                      </w:rPr>
                                      <w:t>How Non-Employee Directors Are Compensated</w:t>
                                    </w:r>
                                  </w:hyperlink>
                                </w:p>
                              </w:tc>
                            </w:tr>
                            <w:tr>
                              <w:trPr/>
                              <w:tc>
                                <w:tcPr>
                                  <w:tcW w:w="320" w:type="dxa"/>
                                  <w:tcBorders/>
                                  <w:vAlign w:val="center"/>
                                </w:tcPr>
                                <w:p>
                                  <w:pPr>
                                    <w:pStyle w:val="TableContents"/>
                                    <w:bidi w:val="0"/>
                                    <w:spacing w:before="60" w:after="283"/>
                                    <w:ind w:left="0" w:right="0" w:hanging="0"/>
                                    <w:jc w:val="left"/>
                                    <w:rPr/>
                                  </w:pPr>
                                  <w:hyperlink w:anchor="tSO">
                                    <w:r>
                                      <w:rPr>
                                        <w:rStyle w:val="InternetLink"/>
                                        <w:rFonts w:ascii="Arial;Helvetica;sans-serif" w:hAnsi="Arial;Helvetica;sans-serif"/>
                                        <w:b/>
                                        <w:color w:val="484484"/>
                                        <w:sz w:val="18"/>
                                      </w:rPr>
                                      <w:t>38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60" w:after="283"/>
                                    <w:ind w:left="0" w:right="0" w:hanging="0"/>
                                    <w:jc w:val="left"/>
                                    <w:rPr/>
                                  </w:pPr>
                                  <w:hyperlink w:anchor="tSO">
                                    <w:r>
                                      <w:rPr>
                                        <w:rStyle w:val="InternetLink"/>
                                        <w:rFonts w:ascii="Arial;Helvetica;sans-serif" w:hAnsi="Arial;Helvetica;sans-serif"/>
                                        <w:b/>
                                        <w:color w:val="484484"/>
                                        <w:sz w:val="18"/>
                                      </w:rPr>
                                      <w:t>Security Ownership</w:t>
                                    </w:r>
                                  </w:hyperlink>
                                </w:p>
                              </w:tc>
                            </w:tr>
                            <w:tr>
                              <w:trPr/>
                              <w:tc>
                                <w:tcPr>
                                  <w:tcW w:w="320" w:type="dxa"/>
                                  <w:tcBorders/>
                                  <w:vAlign w:val="center"/>
                                </w:tcPr>
                                <w:p>
                                  <w:pPr>
                                    <w:pStyle w:val="TableContents"/>
                                    <w:bidi w:val="0"/>
                                    <w:spacing w:before="0" w:after="283"/>
                                    <w:ind w:left="0" w:right="0" w:hanging="0"/>
                                    <w:jc w:val="left"/>
                                    <w:rPr/>
                                  </w:pPr>
                                  <w:hyperlink w:anchor="tSOO">
                                    <w:r>
                                      <w:rPr>
                                        <w:rStyle w:val="InternetLink"/>
                                        <w:rFonts w:ascii="Arial;Helvetica;sans-serif" w:hAnsi="Arial;Helvetica;sans-serif"/>
                                        <w:color w:val="636466"/>
                                        <w:sz w:val="18"/>
                                      </w:rPr>
                                      <w:t>38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SOO">
                                    <w:r>
                                      <w:rPr>
                                        <w:rStyle w:val="InternetLink"/>
                                        <w:rFonts w:ascii="Arial;Helvetica;sans-serif" w:hAnsi="Arial;Helvetica;sans-serif"/>
                                        <w:color w:val="636466"/>
                                        <w:sz w:val="18"/>
                                      </w:rPr>
                                      <w:t>Security Ownership of Directors, Nominees, NEOs, and Executive Officers</w:t>
                                    </w:r>
                                  </w:hyperlink>
                                </w:p>
                              </w:tc>
                            </w:tr>
                            <w:tr>
                              <w:trPr/>
                              <w:tc>
                                <w:tcPr>
                                  <w:tcW w:w="320" w:type="dxa"/>
                                  <w:tcBorders/>
                                  <w:vAlign w:val="center"/>
                                </w:tcPr>
                                <w:p>
                                  <w:pPr>
                                    <w:pStyle w:val="TableContents"/>
                                    <w:bidi w:val="0"/>
                                    <w:spacing w:before="0" w:after="283"/>
                                    <w:ind w:left="0" w:right="0" w:hanging="0"/>
                                    <w:jc w:val="left"/>
                                    <w:rPr/>
                                  </w:pPr>
                                  <w:hyperlink w:anchor="tSOOC">
                                    <w:r>
                                      <w:rPr>
                                        <w:rStyle w:val="InternetLink"/>
                                        <w:rFonts w:ascii="Arial;Helvetica;sans-serif" w:hAnsi="Arial;Helvetica;sans-serif"/>
                                        <w:color w:val="636466"/>
                                        <w:sz w:val="18"/>
                                      </w:rPr>
                                      <w:t>39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SOOC">
                                    <w:r>
                                      <w:rPr>
                                        <w:rStyle w:val="InternetLink"/>
                                        <w:rFonts w:ascii="Arial;Helvetica;sans-serif" w:hAnsi="Arial;Helvetica;sans-serif"/>
                                        <w:color w:val="636466"/>
                                        <w:sz w:val="18"/>
                                      </w:rPr>
                                      <w:t>Security Ownership of Certain Beneficial Owners</w:t>
                                    </w:r>
                                  </w:hyperlink>
                                </w:p>
                              </w:tc>
                            </w:tr>
                            <w:tr>
                              <w:trPr/>
                              <w:tc>
                                <w:tcPr>
                                  <w:tcW w:w="320" w:type="dxa"/>
                                  <w:tcBorders/>
                                  <w:vAlign w:val="center"/>
                                </w:tcPr>
                                <w:p>
                                  <w:pPr>
                                    <w:pStyle w:val="TableContents"/>
                                    <w:bidi w:val="0"/>
                                    <w:spacing w:before="60" w:after="283"/>
                                    <w:ind w:left="0" w:right="0" w:hanging="0"/>
                                    <w:jc w:val="left"/>
                                    <w:rPr/>
                                  </w:pPr>
                                  <w:hyperlink w:anchor="tEO">
                                    <w:r>
                                      <w:rPr>
                                        <w:rStyle w:val="InternetLink"/>
                                        <w:rFonts w:ascii="Arial;Helvetica;sans-serif" w:hAnsi="Arial;Helvetica;sans-serif"/>
                                        <w:b/>
                                        <w:color w:val="484484"/>
                                        <w:sz w:val="18"/>
                                      </w:rPr>
                                      <w:t>40</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60" w:after="283"/>
                                    <w:ind w:left="0" w:right="0" w:hanging="0"/>
                                    <w:jc w:val="left"/>
                                    <w:rPr/>
                                  </w:pPr>
                                  <w:hyperlink w:anchor="tEO">
                                    <w:r>
                                      <w:rPr>
                                        <w:rStyle w:val="InternetLink"/>
                                        <w:rFonts w:ascii="Arial;Helvetica;sans-serif" w:hAnsi="Arial;Helvetica;sans-serif"/>
                                        <w:b/>
                                        <w:color w:val="484484"/>
                                        <w:sz w:val="18"/>
                                      </w:rPr>
                                      <w:t>Executive Officers</w:t>
                                    </w:r>
                                  </w:hyperlink>
                                </w:p>
                              </w:tc>
                            </w:tr>
                            <w:tr>
                              <w:trPr/>
                              <w:tc>
                                <w:tcPr>
                                  <w:tcW w:w="320" w:type="dxa"/>
                                  <w:tcBorders/>
                                  <w:vAlign w:val="center"/>
                                </w:tcPr>
                                <w:p>
                                  <w:pPr>
                                    <w:pStyle w:val="TableContents"/>
                                    <w:bidi w:val="0"/>
                                    <w:spacing w:before="60" w:after="283"/>
                                    <w:ind w:left="0" w:right="0" w:hanging="0"/>
                                    <w:jc w:val="left"/>
                                    <w:rPr/>
                                  </w:pPr>
                                  <w:hyperlink w:anchor="tAVT2">
                                    <w:r>
                                      <w:rPr>
                                        <w:rStyle w:val="InternetLink"/>
                                        <w:rFonts w:ascii="Arial;Helvetica;sans-serif" w:hAnsi="Arial;Helvetica;sans-serif"/>
                                        <w:b/>
                                        <w:color w:val="484484"/>
                                        <w:sz w:val="18"/>
                                      </w:rPr>
                                      <w:t>42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60" w:after="283"/>
                                    <w:ind w:left="0" w:right="0" w:hanging="0"/>
                                    <w:jc w:val="left"/>
                                    <w:rPr/>
                                  </w:pPr>
                                  <w:hyperlink w:anchor="tAVT2">
                                    <w:r>
                                      <w:rPr>
                                        <w:rStyle w:val="InternetLink"/>
                                        <w:rFonts w:ascii="Arial;Helvetica;sans-serif" w:hAnsi="Arial;Helvetica;sans-serif"/>
                                        <w:b/>
                                        <w:color w:val="484484"/>
                                        <w:sz w:val="18"/>
                                      </w:rPr>
                                      <w:t>Item 2 – Advisory Vote to Approve the 2024 Compensation of the Named Executive Officers of the Company</w:t>
                                    </w:r>
                                  </w:hyperlink>
                                </w:p>
                              </w:tc>
                            </w:tr>
                            <w:tr>
                              <w:trPr/>
                              <w:tc>
                                <w:tcPr>
                                  <w:tcW w:w="320" w:type="dxa"/>
                                  <w:tcBorders/>
                                  <w:vAlign w:val="center"/>
                                </w:tcPr>
                                <w:p>
                                  <w:pPr>
                                    <w:pStyle w:val="TableContents"/>
                                    <w:bidi w:val="0"/>
                                    <w:spacing w:before="60" w:after="283"/>
                                    <w:ind w:left="0" w:right="0" w:hanging="0"/>
                                    <w:jc w:val="left"/>
                                    <w:rPr/>
                                  </w:pPr>
                                  <w:hyperlink w:anchor="tCDA">
                                    <w:r>
                                      <w:rPr>
                                        <w:rStyle w:val="InternetLink"/>
                                        <w:rFonts w:ascii="Arial;Helvetica;sans-serif" w:hAnsi="Arial;Helvetica;sans-serif"/>
                                        <w:b/>
                                        <w:color w:val="484484"/>
                                        <w:sz w:val="18"/>
                                      </w:rPr>
                                      <w:t>43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60" w:after="283"/>
                                    <w:ind w:left="0" w:right="0" w:hanging="0"/>
                                    <w:jc w:val="left"/>
                                    <w:rPr/>
                                  </w:pPr>
                                  <w:hyperlink w:anchor="tCDA">
                                    <w:r>
                                      <w:rPr>
                                        <w:rStyle w:val="InternetLink"/>
                                        <w:rFonts w:ascii="Arial;Helvetica;sans-serif" w:hAnsi="Arial;Helvetica;sans-serif"/>
                                        <w:b/>
                                        <w:color w:val="484484"/>
                                        <w:sz w:val="18"/>
                                      </w:rPr>
                                      <w:t>Compensation Discussion and Analysis</w:t>
                                    </w:r>
                                  </w:hyperlink>
                                </w:p>
                              </w:tc>
                            </w:tr>
                            <w:tr>
                              <w:trPr/>
                              <w:tc>
                                <w:tcPr>
                                  <w:tcW w:w="320" w:type="dxa"/>
                                  <w:tcBorders/>
                                  <w:vAlign w:val="center"/>
                                </w:tcPr>
                                <w:p>
                                  <w:pPr>
                                    <w:pStyle w:val="TableContents"/>
                                    <w:bidi w:val="0"/>
                                    <w:spacing w:before="0" w:after="283"/>
                                    <w:ind w:left="0" w:right="0" w:hanging="0"/>
                                    <w:jc w:val="left"/>
                                    <w:rPr/>
                                  </w:pPr>
                                  <w:hyperlink w:anchor="tNEO">
                                    <w:r>
                                      <w:rPr>
                                        <w:rStyle w:val="InternetLink"/>
                                        <w:rFonts w:ascii="Arial;Helvetica;sans-serif" w:hAnsi="Arial;Helvetica;sans-serif"/>
                                        <w:color w:val="636466"/>
                                        <w:sz w:val="18"/>
                                      </w:rPr>
                                      <w:t>43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NEO">
                                    <w:r>
                                      <w:rPr>
                                        <w:rStyle w:val="InternetLink"/>
                                        <w:rFonts w:ascii="Arial;Helvetica;sans-serif" w:hAnsi="Arial;Helvetica;sans-serif"/>
                                        <w:color w:val="636466"/>
                                        <w:sz w:val="18"/>
                                      </w:rPr>
                                      <w:t>Named Executive Officers</w:t>
                                    </w:r>
                                  </w:hyperlink>
                                </w:p>
                              </w:tc>
                            </w:tr>
                            <w:tr>
                              <w:trPr/>
                              <w:tc>
                                <w:tcPr>
                                  <w:tcW w:w="320" w:type="dxa"/>
                                  <w:tcBorders/>
                                  <w:vAlign w:val="center"/>
                                </w:tcPr>
                                <w:p>
                                  <w:pPr>
                                    <w:pStyle w:val="TableContents"/>
                                    <w:bidi w:val="0"/>
                                    <w:spacing w:before="0" w:after="283"/>
                                    <w:ind w:left="0" w:right="0" w:hanging="0"/>
                                    <w:jc w:val="left"/>
                                    <w:rPr/>
                                  </w:pPr>
                                  <w:hyperlink w:anchor="tES">
                                    <w:r>
                                      <w:rPr>
                                        <w:rStyle w:val="InternetLink"/>
                                        <w:rFonts w:ascii="Arial;Helvetica;sans-serif" w:hAnsi="Arial;Helvetica;sans-serif"/>
                                        <w:color w:val="636466"/>
                                        <w:sz w:val="18"/>
                                      </w:rPr>
                                      <w:t>44</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ES">
                                    <w:r>
                                      <w:rPr>
                                        <w:rStyle w:val="InternetLink"/>
                                        <w:rFonts w:ascii="Arial;Helvetica;sans-serif" w:hAnsi="Arial;Helvetica;sans-serif"/>
                                        <w:color w:val="636466"/>
                                        <w:sz w:val="18"/>
                                      </w:rPr>
                                      <w:t>Executive Summary</w:t>
                                    </w:r>
                                  </w:hyperlink>
                                </w:p>
                              </w:tc>
                            </w:tr>
                            <w:tr>
                              <w:trPr/>
                              <w:tc>
                                <w:tcPr>
                                  <w:tcW w:w="320" w:type="dxa"/>
                                  <w:tcBorders/>
                                  <w:vAlign w:val="center"/>
                                </w:tcPr>
                                <w:p>
                                  <w:pPr>
                                    <w:pStyle w:val="TableContents"/>
                                    <w:bidi w:val="0"/>
                                    <w:spacing w:before="0" w:after="283"/>
                                    <w:ind w:left="0" w:right="0" w:hanging="0"/>
                                    <w:jc w:val="left"/>
                                    <w:rPr/>
                                  </w:pPr>
                                  <w:hyperlink w:anchor="tSHA">
                                    <w:r>
                                      <w:rPr>
                                        <w:rStyle w:val="InternetLink"/>
                                        <w:rFonts w:ascii="Arial;Helvetica;sans-serif" w:hAnsi="Arial;Helvetica;sans-serif"/>
                                        <w:color w:val="636466"/>
                                        <w:sz w:val="18"/>
                                      </w:rPr>
                                      <w:t>45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SHA">
                                    <w:r>
                                      <w:rPr>
                                        <w:rStyle w:val="InternetLink"/>
                                        <w:rFonts w:ascii="Arial;Helvetica;sans-serif" w:hAnsi="Arial;Helvetica;sans-serif"/>
                                        <w:color w:val="636466"/>
                                        <w:sz w:val="18"/>
                                      </w:rPr>
                                      <w:t xml:space="preserve">Selected Highlights and Recent Developments </w:t>
                                    </w:r>
                                  </w:hyperlink>
                                </w:p>
                              </w:tc>
                            </w:tr>
                            <w:tr>
                              <w:trPr/>
                              <w:tc>
                                <w:tcPr>
                                  <w:tcW w:w="320" w:type="dxa"/>
                                  <w:tcBorders/>
                                  <w:vAlign w:val="center"/>
                                </w:tcPr>
                                <w:p>
                                  <w:pPr>
                                    <w:pStyle w:val="TableContents"/>
                                    <w:bidi w:val="0"/>
                                    <w:spacing w:before="0" w:after="283"/>
                                    <w:ind w:left="0" w:right="0" w:hanging="0"/>
                                    <w:jc w:val="left"/>
                                    <w:rPr/>
                                  </w:pPr>
                                  <w:hyperlink w:anchor="tECP">
                                    <w:r>
                                      <w:rPr>
                                        <w:rStyle w:val="InternetLink"/>
                                        <w:rFonts w:ascii="Arial;Helvetica;sans-serif" w:hAnsi="Arial;Helvetica;sans-serif"/>
                                        <w:color w:val="636466"/>
                                        <w:sz w:val="18"/>
                                      </w:rPr>
                                      <w:t>47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ECP">
                                    <w:r>
                                      <w:rPr>
                                        <w:rStyle w:val="InternetLink"/>
                                        <w:rFonts w:ascii="Arial;Helvetica;sans-serif" w:hAnsi="Arial;Helvetica;sans-serif"/>
                                        <w:color w:val="636466"/>
                                        <w:sz w:val="18"/>
                                      </w:rPr>
                                      <w:t>Executive Compensation Philosophy</w:t>
                                    </w:r>
                                  </w:hyperlink>
                                </w:p>
                              </w:tc>
                            </w:tr>
                            <w:tr>
                              <w:trPr/>
                              <w:tc>
                                <w:tcPr>
                                  <w:tcW w:w="320" w:type="dxa"/>
                                  <w:tcBorders/>
                                  <w:vAlign w:val="center"/>
                                </w:tcPr>
                                <w:p>
                                  <w:pPr>
                                    <w:pStyle w:val="TableContents"/>
                                    <w:bidi w:val="0"/>
                                    <w:spacing w:before="0" w:after="283"/>
                                    <w:ind w:left="0" w:right="0" w:hanging="0"/>
                                    <w:jc w:val="left"/>
                                    <w:rPr/>
                                  </w:pPr>
                                  <w:hyperlink w:anchor="tPBC">
                                    <w:r>
                                      <w:rPr>
                                        <w:rStyle w:val="InternetLink"/>
                                        <w:rFonts w:ascii="Arial;Helvetica;sans-serif" w:hAnsi="Arial;Helvetica;sans-serif"/>
                                        <w:color w:val="636466"/>
                                        <w:sz w:val="18"/>
                                      </w:rPr>
                                      <w:t>48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PBC">
                                    <w:r>
                                      <w:rPr>
                                        <w:rStyle w:val="InternetLink"/>
                                        <w:color w:val="636466"/>
                                      </w:rPr>
                                      <w:t>​</w:t>
                                    </w:r>
                                  </w:hyperlink>
                                  <w:hyperlink w:anchor="tPBC">
                                    <w:r>
                                      <w:rPr>
                                        <w:rStyle w:val="InternetLink"/>
                                        <w:rFonts w:ascii="Arial;Helvetica;sans-serif" w:hAnsi="Arial;Helvetica;sans-serif"/>
                                        <w:color w:val="636466"/>
                                        <w:sz w:val="18"/>
                                      </w:rPr>
                                      <w:t>2024 Performance-Based Compensation Program</w:t>
                                    </w:r>
                                  </w:hyperlink>
                                </w:p>
                              </w:tc>
                            </w:tr>
                            <w:tr>
                              <w:trPr/>
                              <w:tc>
                                <w:tcPr>
                                  <w:tcW w:w="320" w:type="dxa"/>
                                  <w:tcBorders/>
                                  <w:vAlign w:val="center"/>
                                </w:tcPr>
                                <w:p>
                                  <w:pPr>
                                    <w:pStyle w:val="TableContents"/>
                                    <w:bidi w:val="0"/>
                                    <w:spacing w:before="0" w:after="283"/>
                                    <w:ind w:left="0" w:right="0" w:hanging="0"/>
                                    <w:jc w:val="left"/>
                                    <w:rPr/>
                                  </w:pPr>
                                  <w:hyperlink w:anchor="tEOC">
                                    <w:r>
                                      <w:rPr>
                                        <w:rStyle w:val="InternetLink"/>
                                        <w:rFonts w:ascii="Arial;Helvetica;sans-serif" w:hAnsi="Arial;Helvetica;sans-serif"/>
                                        <w:color w:val="636466"/>
                                        <w:sz w:val="18"/>
                                      </w:rPr>
                                      <w:t>49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EOC">
                                    <w:r>
                                      <w:rPr>
                                        <w:rStyle w:val="InternetLink"/>
                                        <w:rFonts w:ascii="Arial;Helvetica;sans-serif" w:hAnsi="Arial;Helvetica;sans-serif"/>
                                        <w:color w:val="636466"/>
                                        <w:sz w:val="18"/>
                                      </w:rPr>
                                      <w:t>Elements of 2024 Compensation</w:t>
                                    </w:r>
                                  </w:hyperlink>
                                </w:p>
                              </w:tc>
                            </w:tr>
                            <w:tr>
                              <w:trPr/>
                              <w:tc>
                                <w:tcPr>
                                  <w:tcW w:w="320" w:type="dxa"/>
                                  <w:tcBorders/>
                                  <w:vAlign w:val="center"/>
                                </w:tcPr>
                                <w:p>
                                  <w:pPr>
                                    <w:pStyle w:val="TableContents"/>
                                    <w:bidi w:val="0"/>
                                    <w:spacing w:before="0" w:after="283"/>
                                    <w:ind w:left="0" w:right="0" w:hanging="0"/>
                                    <w:jc w:val="left"/>
                                    <w:rPr/>
                                  </w:pPr>
                                  <w:hyperlink w:anchor="tCGA">
                                    <w:r>
                                      <w:rPr>
                                        <w:rStyle w:val="InternetLink"/>
                                        <w:rFonts w:ascii="Arial;Helvetica;sans-serif" w:hAnsi="Arial;Helvetica;sans-serif"/>
                                        <w:color w:val="636466"/>
                                        <w:sz w:val="18"/>
                                      </w:rPr>
                                      <w:t>52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CGA">
                                    <w:r>
                                      <w:rPr>
                                        <w:rStyle w:val="InternetLink"/>
                                        <w:rFonts w:ascii="Arial;Helvetica;sans-serif" w:hAnsi="Arial;Helvetica;sans-serif"/>
                                        <w:color w:val="636466"/>
                                        <w:sz w:val="18"/>
                                      </w:rPr>
                                      <w:t>Compensation Governance and Policies</w:t>
                                    </w:r>
                                  </w:hyperlink>
                                </w:p>
                              </w:tc>
                            </w:tr>
                            <w:tr>
                              <w:trPr/>
                              <w:tc>
                                <w:tcPr>
                                  <w:tcW w:w="320" w:type="dxa"/>
                                  <w:tcBorders/>
                                  <w:vAlign w:val="center"/>
                                </w:tcPr>
                                <w:p>
                                  <w:pPr>
                                    <w:pStyle w:val="TableContents"/>
                                    <w:bidi w:val="0"/>
                                    <w:spacing w:before="0" w:after="283"/>
                                    <w:ind w:left="0" w:right="0" w:hanging="0"/>
                                    <w:jc w:val="left"/>
                                    <w:rPr/>
                                  </w:pPr>
                                  <w:hyperlink w:anchor="tCCIA">
                                    <w:r>
                                      <w:rPr>
                                        <w:rStyle w:val="InternetLink"/>
                                        <w:rFonts w:ascii="Arial;Helvetica;sans-serif" w:hAnsi="Arial;Helvetica;sans-serif"/>
                                        <w:color w:val="636466"/>
                                        <w:sz w:val="18"/>
                                      </w:rPr>
                                      <w:t>57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CCIA">
                                    <w:r>
                                      <w:rPr>
                                        <w:rStyle w:val="InternetLink"/>
                                        <w:color w:val="636466"/>
                                      </w:rPr>
                                      <w:t>​</w:t>
                                    </w:r>
                                  </w:hyperlink>
                                  <w:hyperlink w:anchor="tCCIA">
                                    <w:r>
                                      <w:rPr>
                                        <w:rStyle w:val="InternetLink"/>
                                        <w:rFonts w:ascii="Arial;Helvetica;sans-serif" w:hAnsi="Arial;Helvetica;sans-serif"/>
                                        <w:color w:val="636466"/>
                                        <w:sz w:val="18"/>
                                      </w:rPr>
                                      <w:t>Compensation Committee Interlocks and Insider Participation</w:t>
                                    </w:r>
                                  </w:hyperlink>
                                </w:p>
                              </w:tc>
                            </w:tr>
                            <w:tr>
                              <w:trPr/>
                              <w:tc>
                                <w:tcPr>
                                  <w:tcW w:w="320" w:type="dxa"/>
                                  <w:tcBorders/>
                                  <w:vAlign w:val="center"/>
                                </w:tcPr>
                                <w:p>
                                  <w:pPr>
                                    <w:pStyle w:val="TableContents"/>
                                    <w:bidi w:val="0"/>
                                    <w:spacing w:before="60" w:after="283"/>
                                    <w:ind w:left="0" w:right="0" w:hanging="0"/>
                                    <w:jc w:val="left"/>
                                    <w:rPr/>
                                  </w:pPr>
                                  <w:hyperlink w:anchor="tECT">
                                    <w:r>
                                      <w:rPr>
                                        <w:rStyle w:val="InternetLink"/>
                                        <w:rFonts w:ascii="Arial;Helvetica;sans-serif" w:hAnsi="Arial;Helvetica;sans-serif"/>
                                        <w:b/>
                                        <w:color w:val="484484"/>
                                        <w:sz w:val="18"/>
                                      </w:rPr>
                                      <w:t>58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60" w:after="283"/>
                                    <w:ind w:left="0" w:right="0" w:hanging="0"/>
                                    <w:jc w:val="left"/>
                                    <w:rPr/>
                                  </w:pPr>
                                  <w:hyperlink w:anchor="tECT">
                                    <w:r>
                                      <w:rPr>
                                        <w:rStyle w:val="InternetLink"/>
                                        <w:rFonts w:ascii="Arial;Helvetica;sans-serif" w:hAnsi="Arial;Helvetica;sans-serif"/>
                                        <w:b/>
                                        <w:color w:val="484484"/>
                                        <w:sz w:val="18"/>
                                      </w:rPr>
                                      <w:t>Executive Compensation Tables</w:t>
                                    </w:r>
                                  </w:hyperlink>
                                </w:p>
                              </w:tc>
                            </w:tr>
                            <w:tr>
                              <w:trPr/>
                              <w:tc>
                                <w:tcPr>
                                  <w:tcW w:w="320" w:type="dxa"/>
                                  <w:tcBorders/>
                                  <w:vAlign w:val="center"/>
                                </w:tcPr>
                                <w:p>
                                  <w:pPr>
                                    <w:pStyle w:val="TableContents"/>
                                    <w:bidi w:val="0"/>
                                    <w:spacing w:before="0" w:after="283"/>
                                    <w:ind w:left="0" w:right="0" w:hanging="0"/>
                                    <w:jc w:val="left"/>
                                    <w:rPr/>
                                  </w:pPr>
                                  <w:hyperlink w:anchor="tSCT">
                                    <w:r>
                                      <w:rPr>
                                        <w:rStyle w:val="InternetLink"/>
                                        <w:rFonts w:ascii="Arial;Helvetica;sans-serif" w:hAnsi="Arial;Helvetica;sans-serif"/>
                                        <w:color w:val="636466"/>
                                        <w:sz w:val="18"/>
                                      </w:rPr>
                                      <w:t>58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SCT">
                                    <w:r>
                                      <w:rPr>
                                        <w:rStyle w:val="InternetLink"/>
                                        <w:rFonts w:ascii="Arial;Helvetica;sans-serif" w:hAnsi="Arial;Helvetica;sans-serif"/>
                                        <w:color w:val="636466"/>
                                        <w:sz w:val="18"/>
                                      </w:rPr>
                                      <w:t>2024 Summary Compensation Table</w:t>
                                    </w:r>
                                  </w:hyperlink>
                                </w:p>
                              </w:tc>
                            </w:tr>
                            <w:tr>
                              <w:trPr/>
                              <w:tc>
                                <w:tcPr>
                                  <w:tcW w:w="320" w:type="dxa"/>
                                  <w:tcBorders/>
                                  <w:vAlign w:val="center"/>
                                </w:tcPr>
                                <w:p>
                                  <w:pPr>
                                    <w:pStyle w:val="TableContents"/>
                                    <w:bidi w:val="0"/>
                                    <w:spacing w:before="0" w:after="283"/>
                                    <w:ind w:left="0" w:right="0" w:hanging="0"/>
                                    <w:jc w:val="left"/>
                                    <w:rPr/>
                                  </w:pPr>
                                  <w:hyperlink w:anchor="tEPI">
                                    <w:r>
                                      <w:rPr>
                                        <w:rStyle w:val="InternetLink"/>
                                        <w:rFonts w:ascii="Arial;Helvetica;sans-serif" w:hAnsi="Arial;Helvetica;sans-serif"/>
                                        <w:color w:val="636466"/>
                                        <w:sz w:val="18"/>
                                      </w:rPr>
                                      <w:t>63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EPI">
                                    <w:r>
                                      <w:rPr>
                                        <w:rStyle w:val="InternetLink"/>
                                        <w:rFonts w:ascii="Arial;Helvetica;sans-serif" w:hAnsi="Arial;Helvetica;sans-serif"/>
                                        <w:color w:val="636466"/>
                                        <w:sz w:val="18"/>
                                      </w:rPr>
                                      <w:t>Estimated Payments in Connection with a Termination of Employment or Change in Control</w:t>
                                    </w:r>
                                  </w:hyperlink>
                                </w:p>
                              </w:tc>
                            </w:tr>
                            <w:tr>
                              <w:trPr/>
                              <w:tc>
                                <w:tcPr>
                                  <w:tcW w:w="320" w:type="dxa"/>
                                  <w:tcBorders/>
                                  <w:vAlign w:val="center"/>
                                </w:tcPr>
                                <w:p>
                                  <w:pPr>
                                    <w:pStyle w:val="TableContents"/>
                                    <w:bidi w:val="0"/>
                                    <w:spacing w:before="0" w:after="283"/>
                                    <w:ind w:left="0" w:right="0" w:hanging="0"/>
                                    <w:jc w:val="left"/>
                                    <w:rPr/>
                                  </w:pPr>
                                  <w:hyperlink w:anchor="tCPR">
                                    <w:r>
                                      <w:rPr>
                                        <w:rStyle w:val="InternetLink"/>
                                        <w:rFonts w:ascii="Arial;Helvetica;sans-serif" w:hAnsi="Arial;Helvetica;sans-serif"/>
                                        <w:color w:val="636466"/>
                                        <w:sz w:val="18"/>
                                      </w:rPr>
                                      <w:t>66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CPR">
                                    <w:r>
                                      <w:rPr>
                                        <w:rStyle w:val="InternetLink"/>
                                        <w:rFonts w:ascii="Arial;Helvetica;sans-serif" w:hAnsi="Arial;Helvetica;sans-serif"/>
                                        <w:color w:val="636466"/>
                                        <w:sz w:val="18"/>
                                      </w:rPr>
                                      <w:t>CEO Pay Ratio</w:t>
                                    </w:r>
                                  </w:hyperlink>
                                </w:p>
                              </w:tc>
                            </w:tr>
                            <w:tr>
                              <w:trPr/>
                              <w:tc>
                                <w:tcPr>
                                  <w:tcW w:w="320" w:type="dxa"/>
                                  <w:tcBorders/>
                                  <w:vAlign w:val="center"/>
                                </w:tcPr>
                                <w:p>
                                  <w:pPr>
                                    <w:pStyle w:val="TableContents"/>
                                    <w:bidi w:val="0"/>
                                    <w:spacing w:before="0" w:after="283"/>
                                    <w:ind w:left="0" w:right="0" w:hanging="0"/>
                                    <w:jc w:val="left"/>
                                    <w:rPr/>
                                  </w:pPr>
                                  <w:hyperlink w:anchor="tPVP">
                                    <w:r>
                                      <w:rPr>
                                        <w:rStyle w:val="InternetLink"/>
                                        <w:rFonts w:ascii="Arial;Helvetica;sans-serif" w:hAnsi="Arial;Helvetica;sans-serif"/>
                                        <w:color w:val="636466"/>
                                        <w:sz w:val="18"/>
                                      </w:rPr>
                                      <w:t>67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PVP">
                                    <w:r>
                                      <w:rPr>
                                        <w:rStyle w:val="InternetLink"/>
                                        <w:rFonts w:ascii="Arial;Helvetica;sans-serif" w:hAnsi="Arial;Helvetica;sans-serif"/>
                                        <w:color w:val="636466"/>
                                        <w:sz w:val="18"/>
                                      </w:rPr>
                                      <w:t>Pay Versus Performance</w:t>
                                    </w:r>
                                  </w:hyperlink>
                                </w:p>
                              </w:tc>
                            </w:tr>
                            <w:tr>
                              <w:trPr/>
                              <w:tc>
                                <w:tcPr>
                                  <w:tcW w:w="320" w:type="dxa"/>
                                  <w:tcBorders/>
                                  <w:vAlign w:val="center"/>
                                </w:tcPr>
                                <w:p>
                                  <w:pPr>
                                    <w:pStyle w:val="TableContents"/>
                                    <w:bidi w:val="0"/>
                                    <w:spacing w:before="60" w:after="283"/>
                                    <w:ind w:left="0" w:right="0" w:hanging="0"/>
                                    <w:jc w:val="left"/>
                                    <w:rPr/>
                                  </w:pPr>
                                  <w:hyperlink w:anchor="tROT3">
                                    <w:r>
                                      <w:rPr>
                                        <w:rStyle w:val="InternetLink"/>
                                        <w:rFonts w:ascii="Arial;Helvetica;sans-serif" w:hAnsi="Arial;Helvetica;sans-serif"/>
                                        <w:b/>
                                        <w:color w:val="484484"/>
                                        <w:sz w:val="18"/>
                                      </w:rPr>
                                      <w:t>72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60" w:after="283"/>
                                    <w:ind w:left="0" w:right="0" w:hanging="0"/>
                                    <w:jc w:val="left"/>
                                    <w:rPr/>
                                  </w:pPr>
                                  <w:hyperlink w:anchor="tROT3">
                                    <w:r>
                                      <w:rPr>
                                        <w:rStyle w:val="InternetLink"/>
                                        <w:rFonts w:ascii="Arial;Helvetica;sans-serif" w:hAnsi="Arial;Helvetica;sans-serif"/>
                                        <w:b/>
                                        <w:color w:val="484484"/>
                                        <w:sz w:val="18"/>
                                      </w:rPr>
                                      <w:t>Item 3 – Ratification of the Selection of Deloitte &amp; Touche LLP as the Company’s Independent Registered Public Accounting Firm for the Fiscal Year Ending December 31, 2025</w:t>
                                    </w:r>
                                  </w:hyperlink>
                                </w:p>
                              </w:tc>
                            </w:tr>
                            <w:tr>
                              <w:trPr/>
                              <w:tc>
                                <w:tcPr>
                                  <w:tcW w:w="320" w:type="dxa"/>
                                  <w:tcBorders/>
                                  <w:vAlign w:val="center"/>
                                </w:tcPr>
                                <w:p>
                                  <w:pPr>
                                    <w:pStyle w:val="TableContents"/>
                                    <w:bidi w:val="0"/>
                                    <w:spacing w:before="0" w:after="283"/>
                                    <w:ind w:left="0" w:right="0" w:hanging="0"/>
                                    <w:jc w:val="left"/>
                                    <w:rPr/>
                                  </w:pPr>
                                  <w:hyperlink w:anchor="tPAF">
                                    <w:r>
                                      <w:rPr>
                                        <w:rStyle w:val="InternetLink"/>
                                        <w:rFonts w:ascii="Arial;Helvetica;sans-serif" w:hAnsi="Arial;Helvetica;sans-serif"/>
                                        <w:color w:val="636466"/>
                                        <w:sz w:val="18"/>
                                      </w:rPr>
                                      <w:t>73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PAF">
                                    <w:r>
                                      <w:rPr>
                                        <w:rStyle w:val="InternetLink"/>
                                        <w:rFonts w:ascii="Arial;Helvetica;sans-serif" w:hAnsi="Arial;Helvetica;sans-serif"/>
                                        <w:color w:val="636466"/>
                                        <w:sz w:val="18"/>
                                      </w:rPr>
                                      <w:t>Principal Accounting Fees and Services</w:t>
                                    </w:r>
                                  </w:hyperlink>
                                </w:p>
                              </w:tc>
                            </w:tr>
                            <w:tr>
                              <w:trPr/>
                              <w:tc>
                                <w:tcPr>
                                  <w:tcW w:w="320" w:type="dxa"/>
                                  <w:tcBorders/>
                                  <w:vAlign w:val="center"/>
                                </w:tcPr>
                                <w:p>
                                  <w:pPr>
                                    <w:pStyle w:val="TableContents"/>
                                    <w:bidi w:val="0"/>
                                    <w:spacing w:before="0" w:after="283"/>
                                    <w:ind w:left="0" w:right="0" w:hanging="0"/>
                                    <w:jc w:val="left"/>
                                    <w:rPr/>
                                  </w:pPr>
                                  <w:hyperlink w:anchor="tACP">
                                    <w:r>
                                      <w:rPr>
                                        <w:rStyle w:val="InternetLink"/>
                                        <w:rFonts w:ascii="Arial;Helvetica;sans-serif" w:hAnsi="Arial;Helvetica;sans-serif"/>
                                        <w:color w:val="636466"/>
                                        <w:sz w:val="18"/>
                                      </w:rPr>
                                      <w:t>73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ACP">
                                    <w:r>
                                      <w:rPr>
                                        <w:rStyle w:val="InternetLink"/>
                                        <w:rFonts w:ascii="Arial;Helvetica;sans-serif" w:hAnsi="Arial;Helvetica;sans-serif"/>
                                        <w:color w:val="636466"/>
                                        <w:sz w:val="18"/>
                                      </w:rPr>
                                      <w:t>Audit Committee Pre-Approval Policy</w:t>
                                    </w:r>
                                  </w:hyperlink>
                                </w:p>
                              </w:tc>
                            </w:tr>
                            <w:tr>
                              <w:trPr/>
                              <w:tc>
                                <w:tcPr>
                                  <w:tcW w:w="320" w:type="dxa"/>
                                  <w:tcBorders/>
                                  <w:vAlign w:val="center"/>
                                </w:tcPr>
                                <w:p>
                                  <w:pPr>
                                    <w:pStyle w:val="TableContents"/>
                                    <w:bidi w:val="0"/>
                                    <w:spacing w:before="0" w:after="283"/>
                                    <w:ind w:left="0" w:right="0" w:hanging="0"/>
                                    <w:jc w:val="left"/>
                                    <w:rPr/>
                                  </w:pPr>
                                  <w:hyperlink w:anchor="tROTA">
                                    <w:r>
                                      <w:rPr>
                                        <w:rStyle w:val="InternetLink"/>
                                        <w:rFonts w:ascii="Arial;Helvetica;sans-serif" w:hAnsi="Arial;Helvetica;sans-serif"/>
                                        <w:color w:val="636466"/>
                                        <w:sz w:val="18"/>
                                      </w:rPr>
                                      <w:t>74</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ROTA">
                                    <w:r>
                                      <w:rPr>
                                        <w:rStyle w:val="InternetLink"/>
                                        <w:rFonts w:ascii="Arial;Helvetica;sans-serif" w:hAnsi="Arial;Helvetica;sans-serif"/>
                                        <w:color w:val="636466"/>
                                        <w:sz w:val="18"/>
                                      </w:rPr>
                                      <w:t>Report of the Audit Committee of Viatris’ Board</w:t>
                                    </w:r>
                                  </w:hyperlink>
                                </w:p>
                              </w:tc>
                            </w:tr>
                            <w:tr>
                              <w:trPr/>
                              <w:tc>
                                <w:tcPr>
                                  <w:tcW w:w="320" w:type="dxa"/>
                                  <w:tcBorders/>
                                  <w:vAlign w:val="center"/>
                                </w:tcPr>
                                <w:p>
                                  <w:pPr>
                                    <w:pStyle w:val="TableContents"/>
                                    <w:bidi w:val="0"/>
                                    <w:spacing w:before="60" w:after="283"/>
                                    <w:ind w:left="0" w:right="0" w:hanging="0"/>
                                    <w:jc w:val="left"/>
                                    <w:rPr/>
                                  </w:pPr>
                                  <w:hyperlink w:anchor="tQAA">
                                    <w:r>
                                      <w:rPr>
                                        <w:rStyle w:val="InternetLink"/>
                                        <w:rFonts w:ascii="Arial;Helvetica;sans-serif" w:hAnsi="Arial;Helvetica;sans-serif"/>
                                        <w:b/>
                                        <w:color w:val="484484"/>
                                        <w:sz w:val="18"/>
                                      </w:rPr>
                                      <w:t>A-1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60" w:after="283"/>
                                    <w:ind w:left="0" w:right="0" w:hanging="0"/>
                                    <w:jc w:val="left"/>
                                    <w:rPr/>
                                  </w:pPr>
                                  <w:hyperlink w:anchor="tQAA">
                                    <w:r>
                                      <w:rPr>
                                        <w:rStyle w:val="InternetLink"/>
                                        <w:rFonts w:ascii="Arial;Helvetica;sans-serif" w:hAnsi="Arial;Helvetica;sans-serif"/>
                                        <w:b/>
                                        <w:color w:val="484484"/>
                                        <w:sz w:val="18"/>
                                      </w:rPr>
                                      <w:t>Appendix A – Questions and Answers</w:t>
                                    </w:r>
                                  </w:hyperlink>
                                </w:p>
                              </w:tc>
                            </w:tr>
                            <w:tr>
                              <w:trPr/>
                              <w:tc>
                                <w:tcPr>
                                  <w:tcW w:w="320" w:type="dxa"/>
                                  <w:tcBorders/>
                                  <w:vAlign w:val="center"/>
                                </w:tcPr>
                                <w:p>
                                  <w:pPr>
                                    <w:pStyle w:val="TableContents"/>
                                    <w:bidi w:val="0"/>
                                    <w:spacing w:before="60" w:after="283"/>
                                    <w:ind w:left="0" w:right="0" w:hanging="0"/>
                                    <w:jc w:val="left"/>
                                    <w:rPr/>
                                  </w:pPr>
                                  <w:hyperlink w:anchor="tAPB">
                                    <w:r>
                                      <w:rPr>
                                        <w:rStyle w:val="InternetLink"/>
                                        <w:rFonts w:ascii="Arial;Helvetica;sans-serif" w:hAnsi="Arial;Helvetica;sans-serif"/>
                                        <w:b/>
                                        <w:color w:val="484484"/>
                                        <w:sz w:val="18"/>
                                      </w:rPr>
                                      <w:t>B-1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60" w:after="283"/>
                                    <w:ind w:left="0" w:right="0" w:hanging="0"/>
                                    <w:jc w:val="left"/>
                                    <w:rPr/>
                                  </w:pPr>
                                  <w:hyperlink w:anchor="tAPB">
                                    <w:r>
                                      <w:rPr>
                                        <w:rStyle w:val="InternetLink"/>
                                        <w:rFonts w:ascii="Arial;Helvetica;sans-serif" w:hAnsi="Arial;Helvetica;sans-serif"/>
                                        <w:b/>
                                        <w:color w:val="484484"/>
                                        <w:sz w:val="18"/>
                                      </w:rPr>
                                      <w:t>Appendix B</w:t>
                                    </w:r>
                                  </w:hyperlink>
                                </w:p>
                              </w:tc>
                            </w:tr>
                            <w:tr>
                              <w:trPr/>
                              <w:tc>
                                <w:tcPr>
                                  <w:tcW w:w="320" w:type="dxa"/>
                                  <w:tcBorders/>
                                  <w:vAlign w:val="center"/>
                                </w:tcPr>
                                <w:p>
                                  <w:pPr>
                                    <w:pStyle w:val="TableContents"/>
                                    <w:bidi w:val="0"/>
                                    <w:spacing w:before="0" w:after="283"/>
                                    <w:ind w:left="0" w:right="0" w:hanging="0"/>
                                    <w:jc w:val="left"/>
                                    <w:rPr/>
                                  </w:pPr>
                                  <w:hyperlink w:anchor="tFLS">
                                    <w:r>
                                      <w:rPr>
                                        <w:rStyle w:val="InternetLink"/>
                                        <w:rFonts w:ascii="Arial;Helvetica;sans-serif" w:hAnsi="Arial;Helvetica;sans-serif"/>
                                        <w:color w:val="636466"/>
                                        <w:sz w:val="18"/>
                                      </w:rPr>
                                      <w:t>B-1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FLS">
                                    <w:r>
                                      <w:rPr>
                                        <w:rStyle w:val="InternetLink"/>
                                        <w:rFonts w:ascii="Arial;Helvetica;sans-serif" w:hAnsi="Arial;Helvetica;sans-serif"/>
                                        <w:color w:val="636466"/>
                                        <w:sz w:val="18"/>
                                      </w:rPr>
                                      <w:t>Forward-Looking Statements</w:t>
                                    </w:r>
                                  </w:hyperlink>
                                </w:p>
                              </w:tc>
                            </w:tr>
                            <w:tr>
                              <w:trPr/>
                              <w:tc>
                                <w:tcPr>
                                  <w:tcW w:w="320" w:type="dxa"/>
                                  <w:tcBorders/>
                                  <w:vAlign w:val="center"/>
                                </w:tcPr>
                                <w:p>
                                  <w:pPr>
                                    <w:pStyle w:val="TableContents"/>
                                    <w:bidi w:val="0"/>
                                    <w:spacing w:before="0" w:after="283"/>
                                    <w:ind w:left="0" w:right="0" w:hanging="0"/>
                                    <w:jc w:val="left"/>
                                    <w:rPr/>
                                  </w:pPr>
                                  <w:hyperlink w:anchor="tNGF">
                                    <w:r>
                                      <w:rPr>
                                        <w:rStyle w:val="InternetLink"/>
                                        <w:rFonts w:ascii="Arial;Helvetica;sans-serif" w:hAnsi="Arial;Helvetica;sans-serif"/>
                                        <w:color w:val="636466"/>
                                        <w:sz w:val="18"/>
                                      </w:rPr>
                                      <w:t>B-2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NGF">
                                    <w:r>
                                      <w:rPr>
                                        <w:rStyle w:val="InternetLink"/>
                                        <w:rFonts w:ascii="Arial;Helvetica;sans-serif" w:hAnsi="Arial;Helvetica;sans-serif"/>
                                        <w:color w:val="636466"/>
                                        <w:sz w:val="18"/>
                                      </w:rPr>
                                      <w:t>Non-GAAP Financial Measures</w:t>
                                    </w:r>
                                  </w:hyperlink>
                                </w:p>
                              </w:tc>
                            </w:tr>
                            <w:tr>
                              <w:trPr/>
                              <w:tc>
                                <w:tcPr>
                                  <w:tcW w:w="320"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Our website, 2024 Sustainability Report and their respective contents are not incorporated by reference into this Proxy Statement.</w:t>
                                  </w:r>
                                </w:p>
                              </w:tc>
                            </w:tr>
                          </w:tbl>
                          <w:p>
                            <w:pPr>
                              <w:pStyle w:val="TextBody"/>
                              <w:bidi w:val="0"/>
                              <w:spacing w:before="0" w:after="283"/>
                              <w:ind w:left="1060" w:right="0" w:hanging="0"/>
                              <w:jc w:val="left"/>
                              <w:rPr/>
                            </w:pPr>
                            <w:r>
                              <w:rPr/>
                            </w:r>
                          </w:p>
                        </w:txbxContent>
                      </wps:txbx>
                      <wps:bodyPr anchor="t" lIns="0" tIns="0" rIns="0" bIns="0">
                        <a:noAutofit/>
                      </wps:bodyPr>
                    </wps:wsp>
                  </a:graphicData>
                </a:graphic>
              </wp:anchor>
            </w:drawing>
          </mc:Choice>
          <mc:Fallback>
            <w:pict>
              <v:rect style="position:absolute;rotation:-0;width:346pt;height:785.2pt;mso-wrap-distance-left:15pt;mso-wrap-distance-right:0pt;mso-wrap-distance-top:0pt;mso-wrap-distance-bottom:0pt;margin-top:0pt;mso-position-vertical:top;mso-position-vertical-relative:text;margin-left:176pt;mso-position-horizontal:left;mso-position-horizontal-relative:text">
                <v:textbox>
                  <w:txbxContent>
                    <w:p>
                      <w:pPr>
                        <w:pStyle w:val="TextBody"/>
                        <w:bidi w:val="0"/>
                        <w:spacing w:before="295" w:after="283"/>
                        <w:ind w:left="1060" w:right="0" w:hanging="0"/>
                        <w:jc w:val="left"/>
                        <w:rPr>
                          <w:rFonts w:ascii="Arial;Helvetica;sans-serif" w:hAnsi="Arial;Helvetica;sans-serif"/>
                          <w:color w:val="1F1C6B"/>
                          <w:sz w:val="44"/>
                        </w:rPr>
                      </w:pPr>
                      <w:r>
                        <w:rPr>
                          <w:rFonts w:ascii="Arial;Helvetica;sans-serif" w:hAnsi="Arial;Helvetica;sans-serif"/>
                          <w:color w:val="1F1C6B"/>
                          <w:sz w:val="44"/>
                        </w:rPr>
                        <w:t xml:space="preserve">Table of Contents </w:t>
                      </w:r>
                    </w:p>
                    <w:p>
                      <w:pPr>
                        <w:pStyle w:val="Normal"/>
                        <w:bidi w:val="0"/>
                        <w:spacing w:before="0" w:after="0"/>
                        <w:ind w:left="1060" w:right="0" w:hanging="0"/>
                        <w:jc w:val="left"/>
                        <w:rPr>
                          <w:sz w:val="4"/>
                          <w:szCs w:val="4"/>
                        </w:rPr>
                      </w:pPr>
                      <w:r>
                        <w:rPr>
                          <w:sz w:val="4"/>
                          <w:szCs w:val="4"/>
                        </w:rPr>
                      </w:r>
                      <w:bookmarkStart w:id="12" w:name="TOC"/>
                      <w:bookmarkStart w:id="13" w:name="TOC"/>
                      <w:bookmarkEnd w:id="13"/>
                    </w:p>
                    <w:tbl>
                      <w:tblPr>
                        <w:tblW w:w="9145" w:type="dxa"/>
                        <w:jc w:val="left"/>
                        <w:tblInd w:w="1060" w:type="dxa"/>
                        <w:tblLayout w:type="fixed"/>
                        <w:tblCellMar>
                          <w:top w:w="0" w:type="dxa"/>
                          <w:left w:w="0" w:type="dxa"/>
                          <w:bottom w:w="0" w:type="dxa"/>
                          <w:right w:w="0" w:type="dxa"/>
                        </w:tblCellMar>
                      </w:tblPr>
                      <w:tblGrid>
                        <w:gridCol w:w="320"/>
                        <w:gridCol w:w="170"/>
                        <w:gridCol w:w="170"/>
                        <w:gridCol w:w="8485"/>
                      </w:tblGrid>
                      <w:tr>
                        <w:trPr/>
                        <w:tc>
                          <w:tcPr>
                            <w:tcW w:w="320" w:type="dxa"/>
                            <w:tcBorders/>
                            <w:vAlign w:val="center"/>
                          </w:tcPr>
                          <w:p>
                            <w:pPr>
                              <w:pStyle w:val="TableContents"/>
                              <w:bidi w:val="0"/>
                              <w:spacing w:before="60" w:after="283"/>
                              <w:ind w:left="0" w:right="0" w:hanging="0"/>
                              <w:jc w:val="left"/>
                              <w:rPr/>
                            </w:pPr>
                            <w:hyperlink w:anchor="tSFP">
                              <w:r>
                                <w:rPr>
                                  <w:rStyle w:val="InternetLink"/>
                                  <w:rFonts w:ascii="Arial;Helvetica;sans-serif" w:hAnsi="Arial;Helvetica;sans-serif"/>
                                  <w:b/>
                                  <w:color w:val="484484"/>
                                  <w:sz w:val="18"/>
                                </w:rPr>
                                <w:t>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60" w:after="283"/>
                              <w:ind w:left="0" w:right="0" w:hanging="0"/>
                              <w:jc w:val="left"/>
                              <w:rPr/>
                            </w:pPr>
                            <w:hyperlink w:anchor="tSFP">
                              <w:r>
                                <w:rPr>
                                  <w:rStyle w:val="InternetLink"/>
                                  <w:rFonts w:ascii="Arial;Helvetica;sans-serif" w:hAnsi="Arial;Helvetica;sans-serif"/>
                                  <w:b/>
                                  <w:color w:val="484484"/>
                                  <w:sz w:val="18"/>
                                </w:rPr>
                                <w:t>A Strong Foundation for Performance and Impact</w:t>
                              </w:r>
                            </w:hyperlink>
                          </w:p>
                        </w:tc>
                      </w:tr>
                      <w:tr>
                        <w:trPr/>
                        <w:tc>
                          <w:tcPr>
                            <w:tcW w:w="320" w:type="dxa"/>
                            <w:tcBorders/>
                            <w:vAlign w:val="center"/>
                          </w:tcPr>
                          <w:p>
                            <w:pPr>
                              <w:pStyle w:val="TableContents"/>
                              <w:bidi w:val="0"/>
                              <w:spacing w:before="0" w:after="283"/>
                              <w:ind w:left="0" w:right="0" w:hanging="0"/>
                              <w:jc w:val="left"/>
                              <w:rPr/>
                            </w:pPr>
                            <w:hyperlink w:anchor="tDOS">
                              <w:r>
                                <w:rPr>
                                  <w:rStyle w:val="InternetLink"/>
                                  <w:rFonts w:ascii="Arial;Helvetica;sans-serif" w:hAnsi="Arial;Helvetica;sans-serif"/>
                                  <w:color w:val="636466"/>
                                  <w:sz w:val="18"/>
                                </w:rPr>
                                <w:t>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DOS">
                              <w:r>
                                <w:rPr>
                                  <w:rStyle w:val="InternetLink"/>
                                  <w:color w:val="636466"/>
                                </w:rPr>
                                <w:t>​</w:t>
                              </w:r>
                            </w:hyperlink>
                            <w:hyperlink w:anchor="tDOS">
                              <w:r>
                                <w:rPr>
                                  <w:rStyle w:val="InternetLink"/>
                                  <w:rFonts w:ascii="Arial;Helvetica;sans-serif" w:hAnsi="Arial;Helvetica;sans-serif"/>
                                  <w:color w:val="636466"/>
                                  <w:sz w:val="18"/>
                                </w:rPr>
                                <w:t>Our 2025 Strategic Priorities</w:t>
                              </w:r>
                            </w:hyperlink>
                          </w:p>
                        </w:tc>
                      </w:tr>
                      <w:tr>
                        <w:trPr/>
                        <w:tc>
                          <w:tcPr>
                            <w:tcW w:w="320" w:type="dxa"/>
                            <w:tcBorders/>
                            <w:vAlign w:val="center"/>
                          </w:tcPr>
                          <w:p>
                            <w:pPr>
                              <w:pStyle w:val="TableContents"/>
                              <w:bidi w:val="0"/>
                              <w:spacing w:before="0" w:after="283"/>
                              <w:ind w:left="0" w:right="0" w:hanging="0"/>
                              <w:jc w:val="left"/>
                              <w:rPr/>
                            </w:pPr>
                            <w:hyperlink w:anchor="tEGR">
                              <w:r>
                                <w:rPr>
                                  <w:rStyle w:val="InternetLink"/>
                                  <w:rFonts w:ascii="Arial;Helvetica;sans-serif" w:hAnsi="Arial;Helvetica;sans-serif"/>
                                  <w:color w:val="636466"/>
                                  <w:sz w:val="18"/>
                                </w:rPr>
                                <w:t>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EGR">
                              <w:r>
                                <w:rPr>
                                  <w:rStyle w:val="InternetLink"/>
                                  <w:rFonts w:ascii="Arial;Helvetica;sans-serif" w:hAnsi="Arial;Helvetica;sans-serif"/>
                                  <w:color w:val="636466"/>
                                  <w:sz w:val="18"/>
                                </w:rPr>
                                <w:t>Expansive Global Reach</w:t>
                              </w:r>
                            </w:hyperlink>
                          </w:p>
                        </w:tc>
                      </w:tr>
                      <w:tr>
                        <w:trPr/>
                        <w:tc>
                          <w:tcPr>
                            <w:tcW w:w="320" w:type="dxa"/>
                            <w:tcBorders/>
                            <w:vAlign w:val="center"/>
                          </w:tcPr>
                          <w:p>
                            <w:pPr>
                              <w:pStyle w:val="TableContents"/>
                              <w:bidi w:val="0"/>
                              <w:spacing w:before="0" w:after="283"/>
                              <w:ind w:left="0" w:right="0" w:hanging="0"/>
                              <w:jc w:val="left"/>
                              <w:rPr/>
                            </w:pPr>
                            <w:hyperlink w:anchor="tAIG">
                              <w:r>
                                <w:rPr>
                                  <w:rStyle w:val="InternetLink"/>
                                  <w:rFonts w:ascii="Arial;Helvetica;sans-serif" w:hAnsi="Arial;Helvetica;sans-serif"/>
                                  <w:color w:val="636466"/>
                                  <w:sz w:val="18"/>
                                </w:rPr>
                                <w:t>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AIG">
                              <w:r>
                                <w:rPr>
                                  <w:rStyle w:val="InternetLink"/>
                                  <w:rFonts w:ascii="Arial;Helvetica;sans-serif" w:hAnsi="Arial;Helvetica;sans-serif"/>
                                  <w:color w:val="636466"/>
                                  <w:sz w:val="18"/>
                                </w:rPr>
                                <w:t>Approach to Innovation and Growth</w:t>
                              </w:r>
                            </w:hyperlink>
                          </w:p>
                        </w:tc>
                      </w:tr>
                      <w:tr>
                        <w:trPr/>
                        <w:tc>
                          <w:tcPr>
                            <w:tcW w:w="320" w:type="dxa"/>
                            <w:tcBorders/>
                            <w:vAlign w:val="center"/>
                          </w:tcPr>
                          <w:p>
                            <w:pPr>
                              <w:pStyle w:val="TableContents"/>
                              <w:bidi w:val="0"/>
                              <w:spacing w:before="0" w:after="283"/>
                              <w:ind w:left="0" w:right="0" w:hanging="0"/>
                              <w:jc w:val="left"/>
                              <w:rPr/>
                            </w:pPr>
                            <w:hyperlink w:anchor="tGHG">
                              <w:r>
                                <w:rPr>
                                  <w:rStyle w:val="InternetLink"/>
                                  <w:rFonts w:ascii="Arial;Helvetica;sans-serif" w:hAnsi="Arial;Helvetica;sans-serif"/>
                                  <w:color w:val="636466"/>
                                  <w:sz w:val="18"/>
                                </w:rPr>
                                <w:t>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GHG">
                              <w:r>
                                <w:rPr>
                                  <w:rStyle w:val="InternetLink"/>
                                  <w:rFonts w:ascii="Arial;Helvetica;sans-serif" w:hAnsi="Arial;Helvetica;sans-serif"/>
                                  <w:color w:val="636466"/>
                                  <w:sz w:val="18"/>
                                </w:rPr>
                                <w:t>Global Healthcare Gateway</w:t>
                              </w:r>
                            </w:hyperlink>
                            <w:hyperlink w:anchor="tGHG">
                              <w:r>
                                <w:rPr>
                                  <w:rStyle w:val="InternetLink"/>
                                  <w:rFonts w:ascii="Arial;Helvetica;sans-serif" w:hAnsi="Arial;Helvetica;sans-serif"/>
                                  <w:color w:val="636466"/>
                                  <w:position w:val="6"/>
                                  <w:sz w:val="14"/>
                                  <w:sz w:val="18"/>
                                </w:rPr>
                                <w:t>®</w:t>
                              </w:r>
                            </w:hyperlink>
                          </w:p>
                        </w:tc>
                      </w:tr>
                      <w:tr>
                        <w:trPr/>
                        <w:tc>
                          <w:tcPr>
                            <w:tcW w:w="320" w:type="dxa"/>
                            <w:tcBorders/>
                            <w:vAlign w:val="center"/>
                          </w:tcPr>
                          <w:p>
                            <w:pPr>
                              <w:pStyle w:val="TableContents"/>
                              <w:bidi w:val="0"/>
                              <w:spacing w:before="0" w:after="283"/>
                              <w:ind w:left="0" w:right="0" w:hanging="0"/>
                              <w:jc w:val="left"/>
                              <w:rPr/>
                            </w:pPr>
                            <w:hyperlink w:anchor="tBSA">
                              <w:r>
                                <w:rPr>
                                  <w:rStyle w:val="InternetLink"/>
                                  <w:rFonts w:ascii="Arial;Helvetica;sans-serif" w:hAnsi="Arial;Helvetica;sans-serif"/>
                                  <w:color w:val="636466"/>
                                  <w:sz w:val="18"/>
                                </w:rPr>
                                <w:t>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BSA">
                              <w:r>
                                <w:rPr>
                                  <w:rStyle w:val="InternetLink"/>
                                  <w:rFonts w:ascii="Arial;Helvetica;sans-serif" w:hAnsi="Arial;Helvetica;sans-serif"/>
                                  <w:color w:val="636466"/>
                                  <w:sz w:val="18"/>
                                </w:rPr>
                                <w:t>Building Sustainable Access at Scale</w:t>
                              </w:r>
                            </w:hyperlink>
                          </w:p>
                        </w:tc>
                      </w:tr>
                      <w:tr>
                        <w:trPr/>
                        <w:tc>
                          <w:tcPr>
                            <w:tcW w:w="320" w:type="dxa"/>
                            <w:tcBorders/>
                            <w:vAlign w:val="center"/>
                          </w:tcPr>
                          <w:p>
                            <w:pPr>
                              <w:pStyle w:val="TableContents"/>
                              <w:bidi w:val="0"/>
                              <w:spacing w:before="0" w:after="283"/>
                              <w:ind w:left="0" w:right="0" w:hanging="0"/>
                              <w:jc w:val="left"/>
                              <w:rPr/>
                            </w:pPr>
                            <w:hyperlink w:anchor="tOCT">
                              <w:r>
                                <w:rPr>
                                  <w:rStyle w:val="InternetLink"/>
                                  <w:rFonts w:ascii="Arial;Helvetica;sans-serif" w:hAnsi="Arial;Helvetica;sans-serif"/>
                                  <w:color w:val="636466"/>
                                  <w:sz w:val="18"/>
                                </w:rPr>
                                <w:t>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OCT">
                              <w:r>
                                <w:rPr>
                                  <w:rStyle w:val="InternetLink"/>
                                  <w:rFonts w:ascii="Arial;Helvetica;sans-serif" w:hAnsi="Arial;Helvetica;sans-serif"/>
                                  <w:color w:val="636466"/>
                                  <w:sz w:val="18"/>
                                </w:rPr>
                                <w:t xml:space="preserve">Our Commitment to Good Corporate Governance </w:t>
                              </w:r>
                            </w:hyperlink>
                          </w:p>
                        </w:tc>
                      </w:tr>
                      <w:tr>
                        <w:trPr/>
                        <w:tc>
                          <w:tcPr>
                            <w:tcW w:w="320" w:type="dxa"/>
                            <w:tcBorders/>
                            <w:vAlign w:val="center"/>
                          </w:tcPr>
                          <w:p>
                            <w:pPr>
                              <w:pStyle w:val="TableContents"/>
                              <w:bidi w:val="0"/>
                              <w:spacing w:before="60" w:after="283"/>
                              <w:ind w:left="0" w:right="0" w:hanging="0"/>
                              <w:jc w:val="left"/>
                              <w:rPr/>
                            </w:pPr>
                            <w:hyperlink w:anchor="tVBO">
                              <w:r>
                                <w:rPr>
                                  <w:rStyle w:val="InternetLink"/>
                                  <w:rFonts w:ascii="Arial;Helvetica;sans-serif" w:hAnsi="Arial;Helvetica;sans-serif"/>
                                  <w:b/>
                                  <w:color w:val="484484"/>
                                  <w:sz w:val="18"/>
                                </w:rPr>
                                <w:t>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60" w:after="283"/>
                              <w:ind w:left="0" w:right="0" w:hanging="0"/>
                              <w:jc w:val="left"/>
                              <w:rPr/>
                            </w:pPr>
                            <w:hyperlink w:anchor="tVBO">
                              <w:r>
                                <w:rPr>
                                  <w:rStyle w:val="InternetLink"/>
                                  <w:rFonts w:ascii="Arial;Helvetica;sans-serif" w:hAnsi="Arial;Helvetica;sans-serif"/>
                                  <w:b/>
                                  <w:color w:val="484484"/>
                                  <w:sz w:val="18"/>
                                </w:rPr>
                                <w:t>Viatris’ Board of Directors</w:t>
                              </w:r>
                            </w:hyperlink>
                          </w:p>
                        </w:tc>
                      </w:tr>
                      <w:tr>
                        <w:trPr/>
                        <w:tc>
                          <w:tcPr>
                            <w:tcW w:w="320" w:type="dxa"/>
                            <w:tcBorders/>
                            <w:vAlign w:val="center"/>
                          </w:tcPr>
                          <w:p>
                            <w:pPr>
                              <w:pStyle w:val="TableContents"/>
                              <w:bidi w:val="0"/>
                              <w:spacing w:before="60" w:after="283"/>
                              <w:ind w:left="0" w:right="0" w:hanging="0"/>
                              <w:jc w:val="left"/>
                              <w:rPr/>
                            </w:pPr>
                            <w:hyperlink w:anchor="tEOD">
                              <w:r>
                                <w:rPr>
                                  <w:rStyle w:val="InternetLink"/>
                                  <w:rFonts w:ascii="Arial;Helvetica;sans-serif" w:hAnsi="Arial;Helvetica;sans-serif"/>
                                  <w:b/>
                                  <w:color w:val="484484"/>
                                  <w:sz w:val="18"/>
                                </w:rPr>
                                <w:t>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60" w:after="283"/>
                              <w:ind w:left="0" w:right="0" w:hanging="0"/>
                              <w:jc w:val="left"/>
                              <w:rPr/>
                            </w:pPr>
                            <w:hyperlink w:anchor="tEOD">
                              <w:r>
                                <w:rPr>
                                  <w:rStyle w:val="InternetLink"/>
                                  <w:rFonts w:ascii="Arial;Helvetica;sans-serif" w:hAnsi="Arial;Helvetica;sans-serif"/>
                                  <w:b/>
                                  <w:color w:val="484484"/>
                                  <w:sz w:val="18"/>
                                </w:rPr>
                                <w:t>Item 1 – Election of Directors</w:t>
                              </w:r>
                            </w:hyperlink>
                          </w:p>
                        </w:tc>
                      </w:tr>
                      <w:tr>
                        <w:trPr/>
                        <w:tc>
                          <w:tcPr>
                            <w:tcW w:w="320" w:type="dxa"/>
                            <w:tcBorders/>
                            <w:vAlign w:val="center"/>
                          </w:tcPr>
                          <w:p>
                            <w:pPr>
                              <w:pStyle w:val="TableContents"/>
                              <w:bidi w:val="0"/>
                              <w:spacing w:before="0" w:after="283"/>
                              <w:ind w:left="0" w:right="0" w:hanging="0"/>
                              <w:jc w:val="left"/>
                              <w:rPr/>
                            </w:pPr>
                            <w:hyperlink w:anchor="tDNE">
                              <w:r>
                                <w:rPr>
                                  <w:rStyle w:val="InternetLink"/>
                                  <w:rFonts w:ascii="Arial;Helvetica;sans-serif" w:hAnsi="Arial;Helvetica;sans-serif"/>
                                  <w:color w:val="636466"/>
                                  <w:sz w:val="18"/>
                                </w:rPr>
                                <w:t>10</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DNE">
                              <w:r>
                                <w:rPr>
                                  <w:rStyle w:val="InternetLink"/>
                                  <w:rFonts w:ascii="Arial;Helvetica;sans-serif" w:hAnsi="Arial;Helvetica;sans-serif"/>
                                  <w:color w:val="636466"/>
                                  <w:sz w:val="18"/>
                                </w:rPr>
                                <w:t>Directors Nominated for Election at the 2025 Annual Meeting</w:t>
                              </w:r>
                            </w:hyperlink>
                          </w:p>
                        </w:tc>
                      </w:tr>
                      <w:tr>
                        <w:trPr/>
                        <w:tc>
                          <w:tcPr>
                            <w:tcW w:w="320" w:type="dxa"/>
                            <w:tcBorders/>
                            <w:vAlign w:val="center"/>
                          </w:tcPr>
                          <w:p>
                            <w:pPr>
                              <w:pStyle w:val="TableContents"/>
                              <w:bidi w:val="0"/>
                              <w:spacing w:before="0" w:after="283"/>
                              <w:ind w:left="0" w:right="0" w:hanging="0"/>
                              <w:jc w:val="left"/>
                              <w:rPr/>
                            </w:pPr>
                            <w:hyperlink w:anchor="tHOB">
                              <w:r>
                                <w:rPr>
                                  <w:rStyle w:val="InternetLink"/>
                                  <w:rFonts w:ascii="Arial;Helvetica;sans-serif" w:hAnsi="Arial;Helvetica;sans-serif"/>
                                  <w:color w:val="636466"/>
                                  <w:sz w:val="18"/>
                                </w:rPr>
                                <w:t>23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HOB">
                              <w:r>
                                <w:rPr>
                                  <w:rStyle w:val="InternetLink"/>
                                  <w:rFonts w:ascii="Arial;Helvetica;sans-serif" w:hAnsi="Arial;Helvetica;sans-serif"/>
                                  <w:color w:val="636466"/>
                                  <w:sz w:val="18"/>
                                </w:rPr>
                                <w:t>How Our Board Governs and Is Governed</w:t>
                              </w:r>
                            </w:hyperlink>
                          </w:p>
                        </w:tc>
                      </w:tr>
                      <w:tr>
                        <w:trPr/>
                        <w:tc>
                          <w:tcPr>
                            <w:tcW w:w="320" w:type="dxa"/>
                            <w:tcBorders/>
                            <w:vAlign w:val="center"/>
                          </w:tcPr>
                          <w:p>
                            <w:pPr>
                              <w:pStyle w:val="TableContents"/>
                              <w:bidi w:val="0"/>
                              <w:spacing w:before="0" w:after="283"/>
                              <w:ind w:left="0" w:right="0" w:hanging="0"/>
                              <w:jc w:val="left"/>
                              <w:rPr/>
                            </w:pPr>
                            <w:hyperlink w:anchor="tBRA">
                              <w:r>
                                <w:rPr>
                                  <w:rStyle w:val="InternetLink"/>
                                  <w:rFonts w:ascii="Arial;Helvetica;sans-serif" w:hAnsi="Arial;Helvetica;sans-serif"/>
                                  <w:color w:val="636466"/>
                                  <w:sz w:val="18"/>
                                </w:rPr>
                                <w:t>28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BRA">
                              <w:r>
                                <w:rPr>
                                  <w:rStyle w:val="InternetLink"/>
                                  <w:rFonts w:ascii="Arial;Helvetica;sans-serif" w:hAnsi="Arial;Helvetica;sans-serif"/>
                                  <w:color w:val="636466"/>
                                  <w:sz w:val="18"/>
                                </w:rPr>
                                <w:t xml:space="preserve">Board Refreshment and Succession Planning </w:t>
                              </w:r>
                            </w:hyperlink>
                          </w:p>
                        </w:tc>
                      </w:tr>
                      <w:tr>
                        <w:trPr/>
                        <w:tc>
                          <w:tcPr>
                            <w:tcW w:w="320" w:type="dxa"/>
                            <w:tcBorders/>
                            <w:vAlign w:val="center"/>
                          </w:tcPr>
                          <w:p>
                            <w:pPr>
                              <w:pStyle w:val="TableContents"/>
                              <w:bidi w:val="0"/>
                              <w:spacing w:before="0" w:after="283"/>
                              <w:ind w:left="0" w:right="0" w:hanging="0"/>
                              <w:jc w:val="left"/>
                              <w:rPr/>
                            </w:pPr>
                            <w:hyperlink w:anchor="tABA">
                              <w:r>
                                <w:rPr>
                                  <w:rStyle w:val="InternetLink"/>
                                  <w:rFonts w:ascii="Arial;Helvetica;sans-serif" w:hAnsi="Arial;Helvetica;sans-serif"/>
                                  <w:color w:val="636466"/>
                                  <w:sz w:val="18"/>
                                </w:rPr>
                                <w:t>29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ABA">
                              <w:r>
                                <w:rPr>
                                  <w:rStyle w:val="InternetLink"/>
                                  <w:rFonts w:ascii="Arial;Helvetica;sans-serif" w:hAnsi="Arial;Helvetica;sans-serif"/>
                                  <w:color w:val="636466"/>
                                  <w:sz w:val="18"/>
                                </w:rPr>
                                <w:t>Annual Board and Committee Self-Evaluations</w:t>
                              </w:r>
                            </w:hyperlink>
                          </w:p>
                        </w:tc>
                      </w:tr>
                      <w:tr>
                        <w:trPr/>
                        <w:tc>
                          <w:tcPr>
                            <w:tcW w:w="320" w:type="dxa"/>
                            <w:tcBorders/>
                            <w:vAlign w:val="center"/>
                          </w:tcPr>
                          <w:p>
                            <w:pPr>
                              <w:pStyle w:val="TableContents"/>
                              <w:bidi w:val="0"/>
                              <w:spacing w:before="0" w:after="283"/>
                              <w:ind w:left="0" w:right="0" w:hanging="0"/>
                              <w:jc w:val="left"/>
                              <w:rPr/>
                            </w:pPr>
                            <w:hyperlink w:anchor="tSAO">
                              <w:r>
                                <w:rPr>
                                  <w:rStyle w:val="InternetLink"/>
                                  <w:rFonts w:ascii="Arial;Helvetica;sans-serif" w:hAnsi="Arial;Helvetica;sans-serif"/>
                                  <w:color w:val="636466"/>
                                  <w:sz w:val="18"/>
                                </w:rPr>
                                <w:t>30</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SAO">
                              <w:r>
                                <w:rPr>
                                  <w:rStyle w:val="InternetLink"/>
                                  <w:rFonts w:ascii="Arial;Helvetica;sans-serif" w:hAnsi="Arial;Helvetica;sans-serif"/>
                                  <w:color w:val="636466"/>
                                  <w:sz w:val="18"/>
                                </w:rPr>
                                <w:t>Setting and Overseeing Strategy</w:t>
                              </w:r>
                            </w:hyperlink>
                          </w:p>
                        </w:tc>
                      </w:tr>
                      <w:tr>
                        <w:trPr/>
                        <w:tc>
                          <w:tcPr>
                            <w:tcW w:w="320" w:type="dxa"/>
                            <w:tcBorders/>
                            <w:vAlign w:val="center"/>
                          </w:tcPr>
                          <w:p>
                            <w:pPr>
                              <w:pStyle w:val="TableContents"/>
                              <w:bidi w:val="0"/>
                              <w:spacing w:before="0" w:after="283"/>
                              <w:ind w:left="0" w:right="0" w:hanging="0"/>
                              <w:jc w:val="left"/>
                              <w:rPr/>
                            </w:pPr>
                            <w:hyperlink w:anchor="tRO">
                              <w:r>
                                <w:rPr>
                                  <w:rStyle w:val="InternetLink"/>
                                  <w:rFonts w:ascii="Arial;Helvetica;sans-serif" w:hAnsi="Arial;Helvetica;sans-serif"/>
                                  <w:color w:val="636466"/>
                                  <w:sz w:val="18"/>
                                </w:rPr>
                                <w:t>31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RO">
                              <w:r>
                                <w:rPr>
                                  <w:rStyle w:val="InternetLink"/>
                                  <w:rFonts w:ascii="Arial;Helvetica;sans-serif" w:hAnsi="Arial;Helvetica;sans-serif"/>
                                  <w:color w:val="636466"/>
                                  <w:sz w:val="18"/>
                                </w:rPr>
                                <w:t>Risk Oversight</w:t>
                              </w:r>
                            </w:hyperlink>
                          </w:p>
                        </w:tc>
                      </w:tr>
                      <w:tr>
                        <w:trPr/>
                        <w:tc>
                          <w:tcPr>
                            <w:tcW w:w="320" w:type="dxa"/>
                            <w:tcBorders/>
                            <w:vAlign w:val="center"/>
                          </w:tcPr>
                          <w:p>
                            <w:pPr>
                              <w:pStyle w:val="TableContents"/>
                              <w:bidi w:val="0"/>
                              <w:spacing w:before="0" w:after="283"/>
                              <w:ind w:left="0" w:right="0" w:hanging="0"/>
                              <w:jc w:val="left"/>
                              <w:rPr/>
                            </w:pPr>
                            <w:hyperlink w:anchor="tHOD">
                              <w:r>
                                <w:rPr>
                                  <w:rStyle w:val="InternetLink"/>
                                  <w:rFonts w:ascii="Arial;Helvetica;sans-serif" w:hAnsi="Arial;Helvetica;sans-serif"/>
                                  <w:color w:val="636466"/>
                                  <w:sz w:val="18"/>
                                </w:rPr>
                                <w:t>34</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HOD">
                              <w:r>
                                <w:rPr>
                                  <w:rStyle w:val="InternetLink"/>
                                  <w:rFonts w:ascii="Arial;Helvetica;sans-serif" w:hAnsi="Arial;Helvetica;sans-serif"/>
                                  <w:color w:val="636466"/>
                                  <w:sz w:val="18"/>
                                </w:rPr>
                                <w:t xml:space="preserve">How Our Directors Are Selected and Evaluated </w:t>
                              </w:r>
                            </w:hyperlink>
                          </w:p>
                        </w:tc>
                      </w:tr>
                      <w:tr>
                        <w:trPr/>
                        <w:tc>
                          <w:tcPr>
                            <w:tcW w:w="320" w:type="dxa"/>
                            <w:tcBorders/>
                            <w:vAlign w:val="center"/>
                          </w:tcPr>
                          <w:p>
                            <w:pPr>
                              <w:pStyle w:val="TableContents"/>
                              <w:bidi w:val="0"/>
                              <w:spacing w:before="0" w:after="283"/>
                              <w:ind w:left="0" w:right="0" w:hanging="0"/>
                              <w:jc w:val="left"/>
                              <w:rPr/>
                            </w:pPr>
                            <w:hyperlink w:anchor="tCRA">
                              <w:r>
                                <w:rPr>
                                  <w:rStyle w:val="InternetLink"/>
                                  <w:rFonts w:ascii="Arial;Helvetica;sans-serif" w:hAnsi="Arial;Helvetica;sans-serif"/>
                                  <w:color w:val="636466"/>
                                  <w:sz w:val="18"/>
                                </w:rPr>
                                <w:t>35</w:t>
                              </w:r>
                            </w:hyperlink>
                            <w:hyperlink w:anchor="tCRA">
                              <w:r>
                                <w:rPr>
                                  <w:rStyle w:val="InternetLink"/>
                                  <w:rFonts w:ascii="Arial;Helvetica;sans-serif" w:hAnsi="Arial;Helvetica;sans-serif"/>
                                  <w:color w:val="636466"/>
                                  <w:sz w:val="18"/>
                                </w:rPr>
                                <w:t xml:space="preserve">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CRA">
                              <w:r>
                                <w:rPr>
                                  <w:rStyle w:val="InternetLink"/>
                                  <w:rFonts w:ascii="Arial;Helvetica;sans-serif" w:hAnsi="Arial;Helvetica;sans-serif"/>
                                  <w:color w:val="636466"/>
                                  <w:sz w:val="18"/>
                                </w:rPr>
                                <w:t>Certain Relationships and Related Transactions</w:t>
                              </w:r>
                            </w:hyperlink>
                          </w:p>
                        </w:tc>
                      </w:tr>
                      <w:tr>
                        <w:trPr/>
                        <w:tc>
                          <w:tcPr>
                            <w:tcW w:w="320" w:type="dxa"/>
                            <w:tcBorders/>
                            <w:vAlign w:val="center"/>
                          </w:tcPr>
                          <w:p>
                            <w:pPr>
                              <w:pStyle w:val="TableContents"/>
                              <w:bidi w:val="0"/>
                              <w:spacing w:before="0" w:after="283"/>
                              <w:ind w:left="0" w:right="0" w:hanging="0"/>
                              <w:jc w:val="left"/>
                              <w:rPr/>
                            </w:pPr>
                            <w:hyperlink w:anchor="tHNE">
                              <w:r>
                                <w:rPr>
                                  <w:rStyle w:val="InternetLink"/>
                                  <w:rFonts w:ascii="Arial;Helvetica;sans-serif" w:hAnsi="Arial;Helvetica;sans-serif"/>
                                  <w:color w:val="636466"/>
                                  <w:sz w:val="18"/>
                                </w:rPr>
                                <w:t>36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HNE">
                              <w:r>
                                <w:rPr>
                                  <w:rStyle w:val="InternetLink"/>
                                  <w:rFonts w:ascii="Arial;Helvetica;sans-serif" w:hAnsi="Arial;Helvetica;sans-serif"/>
                                  <w:color w:val="636466"/>
                                  <w:sz w:val="18"/>
                                </w:rPr>
                                <w:t>How Non-Employee Directors Are Compensated</w:t>
                              </w:r>
                            </w:hyperlink>
                          </w:p>
                        </w:tc>
                      </w:tr>
                      <w:tr>
                        <w:trPr/>
                        <w:tc>
                          <w:tcPr>
                            <w:tcW w:w="320" w:type="dxa"/>
                            <w:tcBorders/>
                            <w:vAlign w:val="center"/>
                          </w:tcPr>
                          <w:p>
                            <w:pPr>
                              <w:pStyle w:val="TableContents"/>
                              <w:bidi w:val="0"/>
                              <w:spacing w:before="60" w:after="283"/>
                              <w:ind w:left="0" w:right="0" w:hanging="0"/>
                              <w:jc w:val="left"/>
                              <w:rPr/>
                            </w:pPr>
                            <w:hyperlink w:anchor="tSO">
                              <w:r>
                                <w:rPr>
                                  <w:rStyle w:val="InternetLink"/>
                                  <w:rFonts w:ascii="Arial;Helvetica;sans-serif" w:hAnsi="Arial;Helvetica;sans-serif"/>
                                  <w:b/>
                                  <w:color w:val="484484"/>
                                  <w:sz w:val="18"/>
                                </w:rPr>
                                <w:t>38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60" w:after="283"/>
                              <w:ind w:left="0" w:right="0" w:hanging="0"/>
                              <w:jc w:val="left"/>
                              <w:rPr/>
                            </w:pPr>
                            <w:hyperlink w:anchor="tSO">
                              <w:r>
                                <w:rPr>
                                  <w:rStyle w:val="InternetLink"/>
                                  <w:rFonts w:ascii="Arial;Helvetica;sans-serif" w:hAnsi="Arial;Helvetica;sans-serif"/>
                                  <w:b/>
                                  <w:color w:val="484484"/>
                                  <w:sz w:val="18"/>
                                </w:rPr>
                                <w:t>Security Ownership</w:t>
                              </w:r>
                            </w:hyperlink>
                          </w:p>
                        </w:tc>
                      </w:tr>
                      <w:tr>
                        <w:trPr/>
                        <w:tc>
                          <w:tcPr>
                            <w:tcW w:w="320" w:type="dxa"/>
                            <w:tcBorders/>
                            <w:vAlign w:val="center"/>
                          </w:tcPr>
                          <w:p>
                            <w:pPr>
                              <w:pStyle w:val="TableContents"/>
                              <w:bidi w:val="0"/>
                              <w:spacing w:before="0" w:after="283"/>
                              <w:ind w:left="0" w:right="0" w:hanging="0"/>
                              <w:jc w:val="left"/>
                              <w:rPr/>
                            </w:pPr>
                            <w:hyperlink w:anchor="tSOO">
                              <w:r>
                                <w:rPr>
                                  <w:rStyle w:val="InternetLink"/>
                                  <w:rFonts w:ascii="Arial;Helvetica;sans-serif" w:hAnsi="Arial;Helvetica;sans-serif"/>
                                  <w:color w:val="636466"/>
                                  <w:sz w:val="18"/>
                                </w:rPr>
                                <w:t>38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SOO">
                              <w:r>
                                <w:rPr>
                                  <w:rStyle w:val="InternetLink"/>
                                  <w:rFonts w:ascii="Arial;Helvetica;sans-serif" w:hAnsi="Arial;Helvetica;sans-serif"/>
                                  <w:color w:val="636466"/>
                                  <w:sz w:val="18"/>
                                </w:rPr>
                                <w:t>Security Ownership of Directors, Nominees, NEOs, and Executive Officers</w:t>
                              </w:r>
                            </w:hyperlink>
                          </w:p>
                        </w:tc>
                      </w:tr>
                      <w:tr>
                        <w:trPr/>
                        <w:tc>
                          <w:tcPr>
                            <w:tcW w:w="320" w:type="dxa"/>
                            <w:tcBorders/>
                            <w:vAlign w:val="center"/>
                          </w:tcPr>
                          <w:p>
                            <w:pPr>
                              <w:pStyle w:val="TableContents"/>
                              <w:bidi w:val="0"/>
                              <w:spacing w:before="0" w:after="283"/>
                              <w:ind w:left="0" w:right="0" w:hanging="0"/>
                              <w:jc w:val="left"/>
                              <w:rPr/>
                            </w:pPr>
                            <w:hyperlink w:anchor="tSOOC">
                              <w:r>
                                <w:rPr>
                                  <w:rStyle w:val="InternetLink"/>
                                  <w:rFonts w:ascii="Arial;Helvetica;sans-serif" w:hAnsi="Arial;Helvetica;sans-serif"/>
                                  <w:color w:val="636466"/>
                                  <w:sz w:val="18"/>
                                </w:rPr>
                                <w:t>39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SOOC">
                              <w:r>
                                <w:rPr>
                                  <w:rStyle w:val="InternetLink"/>
                                  <w:rFonts w:ascii="Arial;Helvetica;sans-serif" w:hAnsi="Arial;Helvetica;sans-serif"/>
                                  <w:color w:val="636466"/>
                                  <w:sz w:val="18"/>
                                </w:rPr>
                                <w:t>Security Ownership of Certain Beneficial Owners</w:t>
                              </w:r>
                            </w:hyperlink>
                          </w:p>
                        </w:tc>
                      </w:tr>
                      <w:tr>
                        <w:trPr/>
                        <w:tc>
                          <w:tcPr>
                            <w:tcW w:w="320" w:type="dxa"/>
                            <w:tcBorders/>
                            <w:vAlign w:val="center"/>
                          </w:tcPr>
                          <w:p>
                            <w:pPr>
                              <w:pStyle w:val="TableContents"/>
                              <w:bidi w:val="0"/>
                              <w:spacing w:before="60" w:after="283"/>
                              <w:ind w:left="0" w:right="0" w:hanging="0"/>
                              <w:jc w:val="left"/>
                              <w:rPr/>
                            </w:pPr>
                            <w:hyperlink w:anchor="tEO">
                              <w:r>
                                <w:rPr>
                                  <w:rStyle w:val="InternetLink"/>
                                  <w:rFonts w:ascii="Arial;Helvetica;sans-serif" w:hAnsi="Arial;Helvetica;sans-serif"/>
                                  <w:b/>
                                  <w:color w:val="484484"/>
                                  <w:sz w:val="18"/>
                                </w:rPr>
                                <w:t>40</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60" w:after="283"/>
                              <w:ind w:left="0" w:right="0" w:hanging="0"/>
                              <w:jc w:val="left"/>
                              <w:rPr/>
                            </w:pPr>
                            <w:hyperlink w:anchor="tEO">
                              <w:r>
                                <w:rPr>
                                  <w:rStyle w:val="InternetLink"/>
                                  <w:rFonts w:ascii="Arial;Helvetica;sans-serif" w:hAnsi="Arial;Helvetica;sans-serif"/>
                                  <w:b/>
                                  <w:color w:val="484484"/>
                                  <w:sz w:val="18"/>
                                </w:rPr>
                                <w:t>Executive Officers</w:t>
                              </w:r>
                            </w:hyperlink>
                          </w:p>
                        </w:tc>
                      </w:tr>
                      <w:tr>
                        <w:trPr/>
                        <w:tc>
                          <w:tcPr>
                            <w:tcW w:w="320" w:type="dxa"/>
                            <w:tcBorders/>
                            <w:vAlign w:val="center"/>
                          </w:tcPr>
                          <w:p>
                            <w:pPr>
                              <w:pStyle w:val="TableContents"/>
                              <w:bidi w:val="0"/>
                              <w:spacing w:before="60" w:after="283"/>
                              <w:ind w:left="0" w:right="0" w:hanging="0"/>
                              <w:jc w:val="left"/>
                              <w:rPr/>
                            </w:pPr>
                            <w:hyperlink w:anchor="tAVT2">
                              <w:r>
                                <w:rPr>
                                  <w:rStyle w:val="InternetLink"/>
                                  <w:rFonts w:ascii="Arial;Helvetica;sans-serif" w:hAnsi="Arial;Helvetica;sans-serif"/>
                                  <w:b/>
                                  <w:color w:val="484484"/>
                                  <w:sz w:val="18"/>
                                </w:rPr>
                                <w:t>42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60" w:after="283"/>
                              <w:ind w:left="0" w:right="0" w:hanging="0"/>
                              <w:jc w:val="left"/>
                              <w:rPr/>
                            </w:pPr>
                            <w:hyperlink w:anchor="tAVT2">
                              <w:r>
                                <w:rPr>
                                  <w:rStyle w:val="InternetLink"/>
                                  <w:rFonts w:ascii="Arial;Helvetica;sans-serif" w:hAnsi="Arial;Helvetica;sans-serif"/>
                                  <w:b/>
                                  <w:color w:val="484484"/>
                                  <w:sz w:val="18"/>
                                </w:rPr>
                                <w:t>Item 2 – Advisory Vote to Approve the 2024 Compensation of the Named Executive Officers of the Company</w:t>
                              </w:r>
                            </w:hyperlink>
                          </w:p>
                        </w:tc>
                      </w:tr>
                      <w:tr>
                        <w:trPr/>
                        <w:tc>
                          <w:tcPr>
                            <w:tcW w:w="320" w:type="dxa"/>
                            <w:tcBorders/>
                            <w:vAlign w:val="center"/>
                          </w:tcPr>
                          <w:p>
                            <w:pPr>
                              <w:pStyle w:val="TableContents"/>
                              <w:bidi w:val="0"/>
                              <w:spacing w:before="60" w:after="283"/>
                              <w:ind w:left="0" w:right="0" w:hanging="0"/>
                              <w:jc w:val="left"/>
                              <w:rPr/>
                            </w:pPr>
                            <w:hyperlink w:anchor="tCDA">
                              <w:r>
                                <w:rPr>
                                  <w:rStyle w:val="InternetLink"/>
                                  <w:rFonts w:ascii="Arial;Helvetica;sans-serif" w:hAnsi="Arial;Helvetica;sans-serif"/>
                                  <w:b/>
                                  <w:color w:val="484484"/>
                                  <w:sz w:val="18"/>
                                </w:rPr>
                                <w:t>43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60" w:after="283"/>
                              <w:ind w:left="0" w:right="0" w:hanging="0"/>
                              <w:jc w:val="left"/>
                              <w:rPr/>
                            </w:pPr>
                            <w:hyperlink w:anchor="tCDA">
                              <w:r>
                                <w:rPr>
                                  <w:rStyle w:val="InternetLink"/>
                                  <w:rFonts w:ascii="Arial;Helvetica;sans-serif" w:hAnsi="Arial;Helvetica;sans-serif"/>
                                  <w:b/>
                                  <w:color w:val="484484"/>
                                  <w:sz w:val="18"/>
                                </w:rPr>
                                <w:t>Compensation Discussion and Analysis</w:t>
                              </w:r>
                            </w:hyperlink>
                          </w:p>
                        </w:tc>
                      </w:tr>
                      <w:tr>
                        <w:trPr/>
                        <w:tc>
                          <w:tcPr>
                            <w:tcW w:w="320" w:type="dxa"/>
                            <w:tcBorders/>
                            <w:vAlign w:val="center"/>
                          </w:tcPr>
                          <w:p>
                            <w:pPr>
                              <w:pStyle w:val="TableContents"/>
                              <w:bidi w:val="0"/>
                              <w:spacing w:before="0" w:after="283"/>
                              <w:ind w:left="0" w:right="0" w:hanging="0"/>
                              <w:jc w:val="left"/>
                              <w:rPr/>
                            </w:pPr>
                            <w:hyperlink w:anchor="tNEO">
                              <w:r>
                                <w:rPr>
                                  <w:rStyle w:val="InternetLink"/>
                                  <w:rFonts w:ascii="Arial;Helvetica;sans-serif" w:hAnsi="Arial;Helvetica;sans-serif"/>
                                  <w:color w:val="636466"/>
                                  <w:sz w:val="18"/>
                                </w:rPr>
                                <w:t>43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NEO">
                              <w:r>
                                <w:rPr>
                                  <w:rStyle w:val="InternetLink"/>
                                  <w:rFonts w:ascii="Arial;Helvetica;sans-serif" w:hAnsi="Arial;Helvetica;sans-serif"/>
                                  <w:color w:val="636466"/>
                                  <w:sz w:val="18"/>
                                </w:rPr>
                                <w:t>Named Executive Officers</w:t>
                              </w:r>
                            </w:hyperlink>
                          </w:p>
                        </w:tc>
                      </w:tr>
                      <w:tr>
                        <w:trPr/>
                        <w:tc>
                          <w:tcPr>
                            <w:tcW w:w="320" w:type="dxa"/>
                            <w:tcBorders/>
                            <w:vAlign w:val="center"/>
                          </w:tcPr>
                          <w:p>
                            <w:pPr>
                              <w:pStyle w:val="TableContents"/>
                              <w:bidi w:val="0"/>
                              <w:spacing w:before="0" w:after="283"/>
                              <w:ind w:left="0" w:right="0" w:hanging="0"/>
                              <w:jc w:val="left"/>
                              <w:rPr/>
                            </w:pPr>
                            <w:hyperlink w:anchor="tES">
                              <w:r>
                                <w:rPr>
                                  <w:rStyle w:val="InternetLink"/>
                                  <w:rFonts w:ascii="Arial;Helvetica;sans-serif" w:hAnsi="Arial;Helvetica;sans-serif"/>
                                  <w:color w:val="636466"/>
                                  <w:sz w:val="18"/>
                                </w:rPr>
                                <w:t>44</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ES">
                              <w:r>
                                <w:rPr>
                                  <w:rStyle w:val="InternetLink"/>
                                  <w:rFonts w:ascii="Arial;Helvetica;sans-serif" w:hAnsi="Arial;Helvetica;sans-serif"/>
                                  <w:color w:val="636466"/>
                                  <w:sz w:val="18"/>
                                </w:rPr>
                                <w:t>Executive Summary</w:t>
                              </w:r>
                            </w:hyperlink>
                          </w:p>
                        </w:tc>
                      </w:tr>
                      <w:tr>
                        <w:trPr/>
                        <w:tc>
                          <w:tcPr>
                            <w:tcW w:w="320" w:type="dxa"/>
                            <w:tcBorders/>
                            <w:vAlign w:val="center"/>
                          </w:tcPr>
                          <w:p>
                            <w:pPr>
                              <w:pStyle w:val="TableContents"/>
                              <w:bidi w:val="0"/>
                              <w:spacing w:before="0" w:after="283"/>
                              <w:ind w:left="0" w:right="0" w:hanging="0"/>
                              <w:jc w:val="left"/>
                              <w:rPr/>
                            </w:pPr>
                            <w:hyperlink w:anchor="tSHA">
                              <w:r>
                                <w:rPr>
                                  <w:rStyle w:val="InternetLink"/>
                                  <w:rFonts w:ascii="Arial;Helvetica;sans-serif" w:hAnsi="Arial;Helvetica;sans-serif"/>
                                  <w:color w:val="636466"/>
                                  <w:sz w:val="18"/>
                                </w:rPr>
                                <w:t>45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SHA">
                              <w:r>
                                <w:rPr>
                                  <w:rStyle w:val="InternetLink"/>
                                  <w:rFonts w:ascii="Arial;Helvetica;sans-serif" w:hAnsi="Arial;Helvetica;sans-serif"/>
                                  <w:color w:val="636466"/>
                                  <w:sz w:val="18"/>
                                </w:rPr>
                                <w:t xml:space="preserve">Selected Highlights and Recent Developments </w:t>
                              </w:r>
                            </w:hyperlink>
                          </w:p>
                        </w:tc>
                      </w:tr>
                      <w:tr>
                        <w:trPr/>
                        <w:tc>
                          <w:tcPr>
                            <w:tcW w:w="320" w:type="dxa"/>
                            <w:tcBorders/>
                            <w:vAlign w:val="center"/>
                          </w:tcPr>
                          <w:p>
                            <w:pPr>
                              <w:pStyle w:val="TableContents"/>
                              <w:bidi w:val="0"/>
                              <w:spacing w:before="0" w:after="283"/>
                              <w:ind w:left="0" w:right="0" w:hanging="0"/>
                              <w:jc w:val="left"/>
                              <w:rPr/>
                            </w:pPr>
                            <w:hyperlink w:anchor="tECP">
                              <w:r>
                                <w:rPr>
                                  <w:rStyle w:val="InternetLink"/>
                                  <w:rFonts w:ascii="Arial;Helvetica;sans-serif" w:hAnsi="Arial;Helvetica;sans-serif"/>
                                  <w:color w:val="636466"/>
                                  <w:sz w:val="18"/>
                                </w:rPr>
                                <w:t>47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ECP">
                              <w:r>
                                <w:rPr>
                                  <w:rStyle w:val="InternetLink"/>
                                  <w:rFonts w:ascii="Arial;Helvetica;sans-serif" w:hAnsi="Arial;Helvetica;sans-serif"/>
                                  <w:color w:val="636466"/>
                                  <w:sz w:val="18"/>
                                </w:rPr>
                                <w:t>Executive Compensation Philosophy</w:t>
                              </w:r>
                            </w:hyperlink>
                          </w:p>
                        </w:tc>
                      </w:tr>
                      <w:tr>
                        <w:trPr/>
                        <w:tc>
                          <w:tcPr>
                            <w:tcW w:w="320" w:type="dxa"/>
                            <w:tcBorders/>
                            <w:vAlign w:val="center"/>
                          </w:tcPr>
                          <w:p>
                            <w:pPr>
                              <w:pStyle w:val="TableContents"/>
                              <w:bidi w:val="0"/>
                              <w:spacing w:before="0" w:after="283"/>
                              <w:ind w:left="0" w:right="0" w:hanging="0"/>
                              <w:jc w:val="left"/>
                              <w:rPr/>
                            </w:pPr>
                            <w:hyperlink w:anchor="tPBC">
                              <w:r>
                                <w:rPr>
                                  <w:rStyle w:val="InternetLink"/>
                                  <w:rFonts w:ascii="Arial;Helvetica;sans-serif" w:hAnsi="Arial;Helvetica;sans-serif"/>
                                  <w:color w:val="636466"/>
                                  <w:sz w:val="18"/>
                                </w:rPr>
                                <w:t>48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PBC">
                              <w:r>
                                <w:rPr>
                                  <w:rStyle w:val="InternetLink"/>
                                  <w:color w:val="636466"/>
                                </w:rPr>
                                <w:t>​</w:t>
                              </w:r>
                            </w:hyperlink>
                            <w:hyperlink w:anchor="tPBC">
                              <w:r>
                                <w:rPr>
                                  <w:rStyle w:val="InternetLink"/>
                                  <w:rFonts w:ascii="Arial;Helvetica;sans-serif" w:hAnsi="Arial;Helvetica;sans-serif"/>
                                  <w:color w:val="636466"/>
                                  <w:sz w:val="18"/>
                                </w:rPr>
                                <w:t>2024 Performance-Based Compensation Program</w:t>
                              </w:r>
                            </w:hyperlink>
                          </w:p>
                        </w:tc>
                      </w:tr>
                      <w:tr>
                        <w:trPr/>
                        <w:tc>
                          <w:tcPr>
                            <w:tcW w:w="320" w:type="dxa"/>
                            <w:tcBorders/>
                            <w:vAlign w:val="center"/>
                          </w:tcPr>
                          <w:p>
                            <w:pPr>
                              <w:pStyle w:val="TableContents"/>
                              <w:bidi w:val="0"/>
                              <w:spacing w:before="0" w:after="283"/>
                              <w:ind w:left="0" w:right="0" w:hanging="0"/>
                              <w:jc w:val="left"/>
                              <w:rPr/>
                            </w:pPr>
                            <w:hyperlink w:anchor="tEOC">
                              <w:r>
                                <w:rPr>
                                  <w:rStyle w:val="InternetLink"/>
                                  <w:rFonts w:ascii="Arial;Helvetica;sans-serif" w:hAnsi="Arial;Helvetica;sans-serif"/>
                                  <w:color w:val="636466"/>
                                  <w:sz w:val="18"/>
                                </w:rPr>
                                <w:t>49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EOC">
                              <w:r>
                                <w:rPr>
                                  <w:rStyle w:val="InternetLink"/>
                                  <w:rFonts w:ascii="Arial;Helvetica;sans-serif" w:hAnsi="Arial;Helvetica;sans-serif"/>
                                  <w:color w:val="636466"/>
                                  <w:sz w:val="18"/>
                                </w:rPr>
                                <w:t>Elements of 2024 Compensation</w:t>
                              </w:r>
                            </w:hyperlink>
                          </w:p>
                        </w:tc>
                      </w:tr>
                      <w:tr>
                        <w:trPr/>
                        <w:tc>
                          <w:tcPr>
                            <w:tcW w:w="320" w:type="dxa"/>
                            <w:tcBorders/>
                            <w:vAlign w:val="center"/>
                          </w:tcPr>
                          <w:p>
                            <w:pPr>
                              <w:pStyle w:val="TableContents"/>
                              <w:bidi w:val="0"/>
                              <w:spacing w:before="0" w:after="283"/>
                              <w:ind w:left="0" w:right="0" w:hanging="0"/>
                              <w:jc w:val="left"/>
                              <w:rPr/>
                            </w:pPr>
                            <w:hyperlink w:anchor="tCGA">
                              <w:r>
                                <w:rPr>
                                  <w:rStyle w:val="InternetLink"/>
                                  <w:rFonts w:ascii="Arial;Helvetica;sans-serif" w:hAnsi="Arial;Helvetica;sans-serif"/>
                                  <w:color w:val="636466"/>
                                  <w:sz w:val="18"/>
                                </w:rPr>
                                <w:t>52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CGA">
                              <w:r>
                                <w:rPr>
                                  <w:rStyle w:val="InternetLink"/>
                                  <w:rFonts w:ascii="Arial;Helvetica;sans-serif" w:hAnsi="Arial;Helvetica;sans-serif"/>
                                  <w:color w:val="636466"/>
                                  <w:sz w:val="18"/>
                                </w:rPr>
                                <w:t>Compensation Governance and Policies</w:t>
                              </w:r>
                            </w:hyperlink>
                          </w:p>
                        </w:tc>
                      </w:tr>
                      <w:tr>
                        <w:trPr/>
                        <w:tc>
                          <w:tcPr>
                            <w:tcW w:w="320" w:type="dxa"/>
                            <w:tcBorders/>
                            <w:vAlign w:val="center"/>
                          </w:tcPr>
                          <w:p>
                            <w:pPr>
                              <w:pStyle w:val="TableContents"/>
                              <w:bidi w:val="0"/>
                              <w:spacing w:before="0" w:after="283"/>
                              <w:ind w:left="0" w:right="0" w:hanging="0"/>
                              <w:jc w:val="left"/>
                              <w:rPr/>
                            </w:pPr>
                            <w:hyperlink w:anchor="tCCIA">
                              <w:r>
                                <w:rPr>
                                  <w:rStyle w:val="InternetLink"/>
                                  <w:rFonts w:ascii="Arial;Helvetica;sans-serif" w:hAnsi="Arial;Helvetica;sans-serif"/>
                                  <w:color w:val="636466"/>
                                  <w:sz w:val="18"/>
                                </w:rPr>
                                <w:t>57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CCIA">
                              <w:r>
                                <w:rPr>
                                  <w:rStyle w:val="InternetLink"/>
                                  <w:color w:val="636466"/>
                                </w:rPr>
                                <w:t>​</w:t>
                              </w:r>
                            </w:hyperlink>
                            <w:hyperlink w:anchor="tCCIA">
                              <w:r>
                                <w:rPr>
                                  <w:rStyle w:val="InternetLink"/>
                                  <w:rFonts w:ascii="Arial;Helvetica;sans-serif" w:hAnsi="Arial;Helvetica;sans-serif"/>
                                  <w:color w:val="636466"/>
                                  <w:sz w:val="18"/>
                                </w:rPr>
                                <w:t>Compensation Committee Interlocks and Insider Participation</w:t>
                              </w:r>
                            </w:hyperlink>
                          </w:p>
                        </w:tc>
                      </w:tr>
                      <w:tr>
                        <w:trPr/>
                        <w:tc>
                          <w:tcPr>
                            <w:tcW w:w="320" w:type="dxa"/>
                            <w:tcBorders/>
                            <w:vAlign w:val="center"/>
                          </w:tcPr>
                          <w:p>
                            <w:pPr>
                              <w:pStyle w:val="TableContents"/>
                              <w:bidi w:val="0"/>
                              <w:spacing w:before="60" w:after="283"/>
                              <w:ind w:left="0" w:right="0" w:hanging="0"/>
                              <w:jc w:val="left"/>
                              <w:rPr/>
                            </w:pPr>
                            <w:hyperlink w:anchor="tECT">
                              <w:r>
                                <w:rPr>
                                  <w:rStyle w:val="InternetLink"/>
                                  <w:rFonts w:ascii="Arial;Helvetica;sans-serif" w:hAnsi="Arial;Helvetica;sans-serif"/>
                                  <w:b/>
                                  <w:color w:val="484484"/>
                                  <w:sz w:val="18"/>
                                </w:rPr>
                                <w:t>58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60" w:after="283"/>
                              <w:ind w:left="0" w:right="0" w:hanging="0"/>
                              <w:jc w:val="left"/>
                              <w:rPr/>
                            </w:pPr>
                            <w:hyperlink w:anchor="tECT">
                              <w:r>
                                <w:rPr>
                                  <w:rStyle w:val="InternetLink"/>
                                  <w:rFonts w:ascii="Arial;Helvetica;sans-serif" w:hAnsi="Arial;Helvetica;sans-serif"/>
                                  <w:b/>
                                  <w:color w:val="484484"/>
                                  <w:sz w:val="18"/>
                                </w:rPr>
                                <w:t>Executive Compensation Tables</w:t>
                              </w:r>
                            </w:hyperlink>
                          </w:p>
                        </w:tc>
                      </w:tr>
                      <w:tr>
                        <w:trPr/>
                        <w:tc>
                          <w:tcPr>
                            <w:tcW w:w="320" w:type="dxa"/>
                            <w:tcBorders/>
                            <w:vAlign w:val="center"/>
                          </w:tcPr>
                          <w:p>
                            <w:pPr>
                              <w:pStyle w:val="TableContents"/>
                              <w:bidi w:val="0"/>
                              <w:spacing w:before="0" w:after="283"/>
                              <w:ind w:left="0" w:right="0" w:hanging="0"/>
                              <w:jc w:val="left"/>
                              <w:rPr/>
                            </w:pPr>
                            <w:hyperlink w:anchor="tSCT">
                              <w:r>
                                <w:rPr>
                                  <w:rStyle w:val="InternetLink"/>
                                  <w:rFonts w:ascii="Arial;Helvetica;sans-serif" w:hAnsi="Arial;Helvetica;sans-serif"/>
                                  <w:color w:val="636466"/>
                                  <w:sz w:val="18"/>
                                </w:rPr>
                                <w:t>58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SCT">
                              <w:r>
                                <w:rPr>
                                  <w:rStyle w:val="InternetLink"/>
                                  <w:rFonts w:ascii="Arial;Helvetica;sans-serif" w:hAnsi="Arial;Helvetica;sans-serif"/>
                                  <w:color w:val="636466"/>
                                  <w:sz w:val="18"/>
                                </w:rPr>
                                <w:t>2024 Summary Compensation Table</w:t>
                              </w:r>
                            </w:hyperlink>
                          </w:p>
                        </w:tc>
                      </w:tr>
                      <w:tr>
                        <w:trPr/>
                        <w:tc>
                          <w:tcPr>
                            <w:tcW w:w="320" w:type="dxa"/>
                            <w:tcBorders/>
                            <w:vAlign w:val="center"/>
                          </w:tcPr>
                          <w:p>
                            <w:pPr>
                              <w:pStyle w:val="TableContents"/>
                              <w:bidi w:val="0"/>
                              <w:spacing w:before="0" w:after="283"/>
                              <w:ind w:left="0" w:right="0" w:hanging="0"/>
                              <w:jc w:val="left"/>
                              <w:rPr/>
                            </w:pPr>
                            <w:hyperlink w:anchor="tEPI">
                              <w:r>
                                <w:rPr>
                                  <w:rStyle w:val="InternetLink"/>
                                  <w:rFonts w:ascii="Arial;Helvetica;sans-serif" w:hAnsi="Arial;Helvetica;sans-serif"/>
                                  <w:color w:val="636466"/>
                                  <w:sz w:val="18"/>
                                </w:rPr>
                                <w:t>63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EPI">
                              <w:r>
                                <w:rPr>
                                  <w:rStyle w:val="InternetLink"/>
                                  <w:rFonts w:ascii="Arial;Helvetica;sans-serif" w:hAnsi="Arial;Helvetica;sans-serif"/>
                                  <w:color w:val="636466"/>
                                  <w:sz w:val="18"/>
                                </w:rPr>
                                <w:t>Estimated Payments in Connection with a Termination of Employment or Change in Control</w:t>
                              </w:r>
                            </w:hyperlink>
                          </w:p>
                        </w:tc>
                      </w:tr>
                      <w:tr>
                        <w:trPr/>
                        <w:tc>
                          <w:tcPr>
                            <w:tcW w:w="320" w:type="dxa"/>
                            <w:tcBorders/>
                            <w:vAlign w:val="center"/>
                          </w:tcPr>
                          <w:p>
                            <w:pPr>
                              <w:pStyle w:val="TableContents"/>
                              <w:bidi w:val="0"/>
                              <w:spacing w:before="0" w:after="283"/>
                              <w:ind w:left="0" w:right="0" w:hanging="0"/>
                              <w:jc w:val="left"/>
                              <w:rPr/>
                            </w:pPr>
                            <w:hyperlink w:anchor="tCPR">
                              <w:r>
                                <w:rPr>
                                  <w:rStyle w:val="InternetLink"/>
                                  <w:rFonts w:ascii="Arial;Helvetica;sans-serif" w:hAnsi="Arial;Helvetica;sans-serif"/>
                                  <w:color w:val="636466"/>
                                  <w:sz w:val="18"/>
                                </w:rPr>
                                <w:t>66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CPR">
                              <w:r>
                                <w:rPr>
                                  <w:rStyle w:val="InternetLink"/>
                                  <w:rFonts w:ascii="Arial;Helvetica;sans-serif" w:hAnsi="Arial;Helvetica;sans-serif"/>
                                  <w:color w:val="636466"/>
                                  <w:sz w:val="18"/>
                                </w:rPr>
                                <w:t>CEO Pay Ratio</w:t>
                              </w:r>
                            </w:hyperlink>
                          </w:p>
                        </w:tc>
                      </w:tr>
                      <w:tr>
                        <w:trPr/>
                        <w:tc>
                          <w:tcPr>
                            <w:tcW w:w="320" w:type="dxa"/>
                            <w:tcBorders/>
                            <w:vAlign w:val="center"/>
                          </w:tcPr>
                          <w:p>
                            <w:pPr>
                              <w:pStyle w:val="TableContents"/>
                              <w:bidi w:val="0"/>
                              <w:spacing w:before="0" w:after="283"/>
                              <w:ind w:left="0" w:right="0" w:hanging="0"/>
                              <w:jc w:val="left"/>
                              <w:rPr/>
                            </w:pPr>
                            <w:hyperlink w:anchor="tPVP">
                              <w:r>
                                <w:rPr>
                                  <w:rStyle w:val="InternetLink"/>
                                  <w:rFonts w:ascii="Arial;Helvetica;sans-serif" w:hAnsi="Arial;Helvetica;sans-serif"/>
                                  <w:color w:val="636466"/>
                                  <w:sz w:val="18"/>
                                </w:rPr>
                                <w:t>67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PVP">
                              <w:r>
                                <w:rPr>
                                  <w:rStyle w:val="InternetLink"/>
                                  <w:rFonts w:ascii="Arial;Helvetica;sans-serif" w:hAnsi="Arial;Helvetica;sans-serif"/>
                                  <w:color w:val="636466"/>
                                  <w:sz w:val="18"/>
                                </w:rPr>
                                <w:t>Pay Versus Performance</w:t>
                              </w:r>
                            </w:hyperlink>
                          </w:p>
                        </w:tc>
                      </w:tr>
                      <w:tr>
                        <w:trPr/>
                        <w:tc>
                          <w:tcPr>
                            <w:tcW w:w="320" w:type="dxa"/>
                            <w:tcBorders/>
                            <w:vAlign w:val="center"/>
                          </w:tcPr>
                          <w:p>
                            <w:pPr>
                              <w:pStyle w:val="TableContents"/>
                              <w:bidi w:val="0"/>
                              <w:spacing w:before="60" w:after="283"/>
                              <w:ind w:left="0" w:right="0" w:hanging="0"/>
                              <w:jc w:val="left"/>
                              <w:rPr/>
                            </w:pPr>
                            <w:hyperlink w:anchor="tROT3">
                              <w:r>
                                <w:rPr>
                                  <w:rStyle w:val="InternetLink"/>
                                  <w:rFonts w:ascii="Arial;Helvetica;sans-serif" w:hAnsi="Arial;Helvetica;sans-serif"/>
                                  <w:b/>
                                  <w:color w:val="484484"/>
                                  <w:sz w:val="18"/>
                                </w:rPr>
                                <w:t>72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60" w:after="283"/>
                              <w:ind w:left="0" w:right="0" w:hanging="0"/>
                              <w:jc w:val="left"/>
                              <w:rPr/>
                            </w:pPr>
                            <w:hyperlink w:anchor="tROT3">
                              <w:r>
                                <w:rPr>
                                  <w:rStyle w:val="InternetLink"/>
                                  <w:rFonts w:ascii="Arial;Helvetica;sans-serif" w:hAnsi="Arial;Helvetica;sans-serif"/>
                                  <w:b/>
                                  <w:color w:val="484484"/>
                                  <w:sz w:val="18"/>
                                </w:rPr>
                                <w:t>Item 3 – Ratification of the Selection of Deloitte &amp; Touche LLP as the Company’s Independent Registered Public Accounting Firm for the Fiscal Year Ending December 31, 2025</w:t>
                              </w:r>
                            </w:hyperlink>
                          </w:p>
                        </w:tc>
                      </w:tr>
                      <w:tr>
                        <w:trPr/>
                        <w:tc>
                          <w:tcPr>
                            <w:tcW w:w="320" w:type="dxa"/>
                            <w:tcBorders/>
                            <w:vAlign w:val="center"/>
                          </w:tcPr>
                          <w:p>
                            <w:pPr>
                              <w:pStyle w:val="TableContents"/>
                              <w:bidi w:val="0"/>
                              <w:spacing w:before="0" w:after="283"/>
                              <w:ind w:left="0" w:right="0" w:hanging="0"/>
                              <w:jc w:val="left"/>
                              <w:rPr/>
                            </w:pPr>
                            <w:hyperlink w:anchor="tPAF">
                              <w:r>
                                <w:rPr>
                                  <w:rStyle w:val="InternetLink"/>
                                  <w:rFonts w:ascii="Arial;Helvetica;sans-serif" w:hAnsi="Arial;Helvetica;sans-serif"/>
                                  <w:color w:val="636466"/>
                                  <w:sz w:val="18"/>
                                </w:rPr>
                                <w:t>73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PAF">
                              <w:r>
                                <w:rPr>
                                  <w:rStyle w:val="InternetLink"/>
                                  <w:rFonts w:ascii="Arial;Helvetica;sans-serif" w:hAnsi="Arial;Helvetica;sans-serif"/>
                                  <w:color w:val="636466"/>
                                  <w:sz w:val="18"/>
                                </w:rPr>
                                <w:t>Principal Accounting Fees and Services</w:t>
                              </w:r>
                            </w:hyperlink>
                          </w:p>
                        </w:tc>
                      </w:tr>
                      <w:tr>
                        <w:trPr/>
                        <w:tc>
                          <w:tcPr>
                            <w:tcW w:w="320" w:type="dxa"/>
                            <w:tcBorders/>
                            <w:vAlign w:val="center"/>
                          </w:tcPr>
                          <w:p>
                            <w:pPr>
                              <w:pStyle w:val="TableContents"/>
                              <w:bidi w:val="0"/>
                              <w:spacing w:before="0" w:after="283"/>
                              <w:ind w:left="0" w:right="0" w:hanging="0"/>
                              <w:jc w:val="left"/>
                              <w:rPr/>
                            </w:pPr>
                            <w:hyperlink w:anchor="tACP">
                              <w:r>
                                <w:rPr>
                                  <w:rStyle w:val="InternetLink"/>
                                  <w:rFonts w:ascii="Arial;Helvetica;sans-serif" w:hAnsi="Arial;Helvetica;sans-serif"/>
                                  <w:color w:val="636466"/>
                                  <w:sz w:val="18"/>
                                </w:rPr>
                                <w:t>73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ACP">
                              <w:r>
                                <w:rPr>
                                  <w:rStyle w:val="InternetLink"/>
                                  <w:rFonts w:ascii="Arial;Helvetica;sans-serif" w:hAnsi="Arial;Helvetica;sans-serif"/>
                                  <w:color w:val="636466"/>
                                  <w:sz w:val="18"/>
                                </w:rPr>
                                <w:t>Audit Committee Pre-Approval Policy</w:t>
                              </w:r>
                            </w:hyperlink>
                          </w:p>
                        </w:tc>
                      </w:tr>
                      <w:tr>
                        <w:trPr/>
                        <w:tc>
                          <w:tcPr>
                            <w:tcW w:w="320" w:type="dxa"/>
                            <w:tcBorders/>
                            <w:vAlign w:val="center"/>
                          </w:tcPr>
                          <w:p>
                            <w:pPr>
                              <w:pStyle w:val="TableContents"/>
                              <w:bidi w:val="0"/>
                              <w:spacing w:before="0" w:after="283"/>
                              <w:ind w:left="0" w:right="0" w:hanging="0"/>
                              <w:jc w:val="left"/>
                              <w:rPr/>
                            </w:pPr>
                            <w:hyperlink w:anchor="tROTA">
                              <w:r>
                                <w:rPr>
                                  <w:rStyle w:val="InternetLink"/>
                                  <w:rFonts w:ascii="Arial;Helvetica;sans-serif" w:hAnsi="Arial;Helvetica;sans-serif"/>
                                  <w:color w:val="636466"/>
                                  <w:sz w:val="18"/>
                                </w:rPr>
                                <w:t>74</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ROTA">
                              <w:r>
                                <w:rPr>
                                  <w:rStyle w:val="InternetLink"/>
                                  <w:rFonts w:ascii="Arial;Helvetica;sans-serif" w:hAnsi="Arial;Helvetica;sans-serif"/>
                                  <w:color w:val="636466"/>
                                  <w:sz w:val="18"/>
                                </w:rPr>
                                <w:t>Report of the Audit Committee of Viatris’ Board</w:t>
                              </w:r>
                            </w:hyperlink>
                          </w:p>
                        </w:tc>
                      </w:tr>
                      <w:tr>
                        <w:trPr/>
                        <w:tc>
                          <w:tcPr>
                            <w:tcW w:w="320" w:type="dxa"/>
                            <w:tcBorders/>
                            <w:vAlign w:val="center"/>
                          </w:tcPr>
                          <w:p>
                            <w:pPr>
                              <w:pStyle w:val="TableContents"/>
                              <w:bidi w:val="0"/>
                              <w:spacing w:before="60" w:after="283"/>
                              <w:ind w:left="0" w:right="0" w:hanging="0"/>
                              <w:jc w:val="left"/>
                              <w:rPr/>
                            </w:pPr>
                            <w:hyperlink w:anchor="tQAA">
                              <w:r>
                                <w:rPr>
                                  <w:rStyle w:val="InternetLink"/>
                                  <w:rFonts w:ascii="Arial;Helvetica;sans-serif" w:hAnsi="Arial;Helvetica;sans-serif"/>
                                  <w:b/>
                                  <w:color w:val="484484"/>
                                  <w:sz w:val="18"/>
                                </w:rPr>
                                <w:t>A-1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60" w:after="283"/>
                              <w:ind w:left="0" w:right="0" w:hanging="0"/>
                              <w:jc w:val="left"/>
                              <w:rPr/>
                            </w:pPr>
                            <w:hyperlink w:anchor="tQAA">
                              <w:r>
                                <w:rPr>
                                  <w:rStyle w:val="InternetLink"/>
                                  <w:rFonts w:ascii="Arial;Helvetica;sans-serif" w:hAnsi="Arial;Helvetica;sans-serif"/>
                                  <w:b/>
                                  <w:color w:val="484484"/>
                                  <w:sz w:val="18"/>
                                </w:rPr>
                                <w:t>Appendix A – Questions and Answers</w:t>
                              </w:r>
                            </w:hyperlink>
                          </w:p>
                        </w:tc>
                      </w:tr>
                      <w:tr>
                        <w:trPr/>
                        <w:tc>
                          <w:tcPr>
                            <w:tcW w:w="320" w:type="dxa"/>
                            <w:tcBorders/>
                            <w:vAlign w:val="center"/>
                          </w:tcPr>
                          <w:p>
                            <w:pPr>
                              <w:pStyle w:val="TableContents"/>
                              <w:bidi w:val="0"/>
                              <w:spacing w:before="60" w:after="283"/>
                              <w:ind w:left="0" w:right="0" w:hanging="0"/>
                              <w:jc w:val="left"/>
                              <w:rPr/>
                            </w:pPr>
                            <w:hyperlink w:anchor="tAPB">
                              <w:r>
                                <w:rPr>
                                  <w:rStyle w:val="InternetLink"/>
                                  <w:rFonts w:ascii="Arial;Helvetica;sans-serif" w:hAnsi="Arial;Helvetica;sans-serif"/>
                                  <w:b/>
                                  <w:color w:val="484484"/>
                                  <w:sz w:val="18"/>
                                </w:rPr>
                                <w:t>B-1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60" w:after="283"/>
                              <w:ind w:left="0" w:right="0" w:hanging="0"/>
                              <w:jc w:val="left"/>
                              <w:rPr/>
                            </w:pPr>
                            <w:hyperlink w:anchor="tAPB">
                              <w:r>
                                <w:rPr>
                                  <w:rStyle w:val="InternetLink"/>
                                  <w:rFonts w:ascii="Arial;Helvetica;sans-serif" w:hAnsi="Arial;Helvetica;sans-serif"/>
                                  <w:b/>
                                  <w:color w:val="484484"/>
                                  <w:sz w:val="18"/>
                                </w:rPr>
                                <w:t>Appendix B</w:t>
                              </w:r>
                            </w:hyperlink>
                          </w:p>
                        </w:tc>
                      </w:tr>
                      <w:tr>
                        <w:trPr/>
                        <w:tc>
                          <w:tcPr>
                            <w:tcW w:w="320" w:type="dxa"/>
                            <w:tcBorders/>
                            <w:vAlign w:val="center"/>
                          </w:tcPr>
                          <w:p>
                            <w:pPr>
                              <w:pStyle w:val="TableContents"/>
                              <w:bidi w:val="0"/>
                              <w:spacing w:before="0" w:after="283"/>
                              <w:ind w:left="0" w:right="0" w:hanging="0"/>
                              <w:jc w:val="left"/>
                              <w:rPr/>
                            </w:pPr>
                            <w:hyperlink w:anchor="tFLS">
                              <w:r>
                                <w:rPr>
                                  <w:rStyle w:val="InternetLink"/>
                                  <w:rFonts w:ascii="Arial;Helvetica;sans-serif" w:hAnsi="Arial;Helvetica;sans-serif"/>
                                  <w:color w:val="636466"/>
                                  <w:sz w:val="18"/>
                                </w:rPr>
                                <w:t>B-1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FLS">
                              <w:r>
                                <w:rPr>
                                  <w:rStyle w:val="InternetLink"/>
                                  <w:rFonts w:ascii="Arial;Helvetica;sans-serif" w:hAnsi="Arial;Helvetica;sans-serif"/>
                                  <w:color w:val="636466"/>
                                  <w:sz w:val="18"/>
                                </w:rPr>
                                <w:t>Forward-Looking Statements</w:t>
                              </w:r>
                            </w:hyperlink>
                          </w:p>
                        </w:tc>
                      </w:tr>
                      <w:tr>
                        <w:trPr/>
                        <w:tc>
                          <w:tcPr>
                            <w:tcW w:w="320" w:type="dxa"/>
                            <w:tcBorders/>
                            <w:vAlign w:val="center"/>
                          </w:tcPr>
                          <w:p>
                            <w:pPr>
                              <w:pStyle w:val="TableContents"/>
                              <w:bidi w:val="0"/>
                              <w:spacing w:before="0" w:after="283"/>
                              <w:ind w:left="0" w:right="0" w:hanging="0"/>
                              <w:jc w:val="left"/>
                              <w:rPr/>
                            </w:pPr>
                            <w:hyperlink w:anchor="tNGF">
                              <w:r>
                                <w:rPr>
                                  <w:rStyle w:val="InternetLink"/>
                                  <w:rFonts w:ascii="Arial;Helvetica;sans-serif" w:hAnsi="Arial;Helvetica;sans-serif"/>
                                  <w:color w:val="636466"/>
                                  <w:sz w:val="18"/>
                                </w:rPr>
                                <w:t>B-2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pPr>
                            <w:hyperlink w:anchor="tNGF">
                              <w:r>
                                <w:rPr>
                                  <w:rStyle w:val="InternetLink"/>
                                  <w:rFonts w:ascii="Arial;Helvetica;sans-serif" w:hAnsi="Arial;Helvetica;sans-serif"/>
                                  <w:color w:val="636466"/>
                                  <w:sz w:val="18"/>
                                </w:rPr>
                                <w:t>Non-GAAP Financial Measures</w:t>
                              </w:r>
                            </w:hyperlink>
                          </w:p>
                        </w:tc>
                      </w:tr>
                      <w:tr>
                        <w:trPr/>
                        <w:tc>
                          <w:tcPr>
                            <w:tcW w:w="320"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5"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Our website, 2024 Sustainability Report and their respective contents are not incorporated by reference into this Proxy Statement.</w:t>
                            </w:r>
                          </w:p>
                        </w:tc>
                      </w:tr>
                    </w:tbl>
                    <w:p>
                      <w:pPr>
                        <w:pStyle w:val="TextBody"/>
                        <w:bidi w:val="0"/>
                        <w:spacing w:before="0" w:after="283"/>
                        <w:ind w:left="1060" w:right="0" w:hanging="0"/>
                        <w:jc w:val="left"/>
                        <w:rPr/>
                      </w:pPr>
                      <w:r>
                        <w:rPr/>
                      </w:r>
                    </w:p>
                  </w:txbxContent>
                </v:textbox>
                <w10:wrap type="square" side="right"/>
              </v:rect>
            </w:pict>
          </mc:Fallback>
        </mc:AlternateContent>
      </w:r>
    </w:p>
    <w:tbl>
      <w:tblPr>
        <w:tblW w:w="4365" w:type="dxa"/>
        <w:jc w:val="left"/>
        <w:tblInd w:w="1060" w:type="dxa"/>
        <w:tblLayout w:type="fixed"/>
        <w:tblCellMar>
          <w:top w:w="0" w:type="dxa"/>
          <w:left w:w="0" w:type="dxa"/>
          <w:bottom w:w="0" w:type="dxa"/>
          <w:right w:w="0" w:type="dxa"/>
        </w:tblCellMar>
      </w:tblPr>
      <w:tblGrid>
        <w:gridCol w:w="1865"/>
        <w:gridCol w:w="170"/>
        <w:gridCol w:w="170"/>
        <w:gridCol w:w="2160"/>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3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8" descr=""/>
                          <pic:cNvPicPr>
                            <a:picLocks noChangeAspect="1" noChangeArrowheads="1"/>
                          </pic:cNvPicPr>
                        </pic:nvPicPr>
                        <pic:blipFill>
                          <a:blip r:embed="rId27"/>
                          <a:stretch>
                            <a:fillRect/>
                          </a:stretch>
                        </pic:blipFill>
                        <pic:spPr bwMode="auto">
                          <a:xfrm>
                            <a:off x="0" y="0"/>
                            <a:ext cx="1323975" cy="352425"/>
                          </a:xfrm>
                          <a:prstGeom prst="rect">
                            <a:avLst/>
                          </a:prstGeom>
                        </pic:spPr>
                      </pic:pic>
                    </a:graphicData>
                  </a:graphic>
                </wp:inline>
              </w:drawing>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3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9" descr=""/>
                    <pic:cNvPicPr>
                      <a:picLocks noChangeAspect="1" noChangeArrowheads="1"/>
                    </pic:cNvPicPr>
                  </pic:nvPicPr>
                  <pic:blipFill>
                    <a:blip r:embed="rId28"/>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4" w:name="ny20055082x771_def14a_105-company_pg1"/>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1060" w:right="0" w:hanging="0"/>
        <w:jc w:val="left"/>
        <w:rPr>
          <w:color w:val="000000"/>
        </w:rPr>
      </w:pPr>
      <w:r>
        <w:rPr>
          <w:color w:val="000000"/>
        </w:rPr>
        <w:drawing>
          <wp:inline distT="0" distB="0" distL="0" distR="0">
            <wp:extent cx="685800" cy="190500"/>
            <wp:effectExtent l="0" t="0" r="0" b="0"/>
            <wp:docPr id="3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0" descr=""/>
                    <pic:cNvPicPr>
                      <a:picLocks noChangeAspect="1" noChangeArrowheads="1"/>
                    </pic:cNvPicPr>
                  </pic:nvPicPr>
                  <pic:blipFill>
                    <a:blip r:embed="rId29"/>
                    <a:stretch>
                      <a:fillRect/>
                    </a:stretch>
                  </pic:blipFill>
                  <pic:spPr bwMode="auto">
                    <a:xfrm>
                      <a:off x="0" y="0"/>
                      <a:ext cx="685800" cy="190500"/>
                    </a:xfrm>
                    <a:prstGeom prst="rect">
                      <a:avLst/>
                    </a:prstGeom>
                  </pic:spPr>
                </pic:pic>
              </a:graphicData>
            </a:graphic>
          </wp:inline>
        </w:drawing>
      </w:r>
    </w:p>
    <w:p>
      <w:pPr>
        <w:pStyle w:val="TextBody"/>
        <w:bidi w:val="0"/>
        <w:spacing w:before="295" w:after="283"/>
        <w:ind w:left="1060" w:right="0" w:hanging="0"/>
        <w:jc w:val="left"/>
        <w:rPr>
          <w:rFonts w:ascii="Arial;Helvetica;sans-serif" w:hAnsi="Arial;Helvetica;sans-serif"/>
          <w:color w:val="1F1C6B"/>
          <w:sz w:val="44"/>
        </w:rPr>
      </w:pPr>
      <w:bookmarkStart w:id="15" w:name="tSFP"/>
      <w:bookmarkEnd w:id="15"/>
      <w:r>
        <w:rPr>
          <w:rFonts w:ascii="Arial;Helvetica;sans-serif" w:hAnsi="Arial;Helvetica;sans-serif"/>
          <w:color w:val="1F1C6B"/>
          <w:sz w:val="44"/>
        </w:rPr>
        <w:t>A Strong Foundation for Performance and Impact</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At VIATRIS™, our ability to sustainably deliver high-quality medicines is grounded in our mission to empower people worldwide to live healthier at every stage of life.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We are a company uniquely positioned to bridge the traditional divide between generics and brands, combining the best of both to more holistically address healthcare needs globally. Because health matters everywhere.</w:t>
      </w:r>
    </w:p>
    <w:p>
      <w:pPr>
        <w:pStyle w:val="TextBody"/>
        <w:bidi w:val="0"/>
        <w:spacing w:before="430" w:after="283"/>
        <w:ind w:left="1060" w:right="0" w:hanging="0"/>
        <w:jc w:val="left"/>
        <w:rPr>
          <w:rFonts w:ascii="Arial;Helvetica;sans-serif" w:hAnsi="Arial;Helvetica;sans-serif"/>
          <w:color w:val="72288A"/>
          <w:sz w:val="24"/>
        </w:rPr>
      </w:pPr>
      <w:r>
        <w:rPr>
          <w:rFonts w:ascii="Arial;Helvetica;sans-serif" w:hAnsi="Arial;Helvetica;sans-serif"/>
          <w:color w:val="72288A"/>
          <w:sz w:val="24"/>
        </w:rPr>
        <w:t>Viatris At-a-Glance</w:t>
      </w:r>
      <w:r>
        <w:rPr>
          <w:rFonts w:ascii="Arial;Helvetica;sans-serif" w:hAnsi="Arial;Helvetica;sans-serif"/>
          <w:color w:val="72288A"/>
          <w:position w:val="8"/>
          <w:sz w:val="19"/>
          <w:sz w:val="24"/>
        </w:rPr>
        <w:t>*</w:t>
      </w:r>
      <w:r>
        <w:rPr>
          <w:rFonts w:ascii="Arial;Helvetica;sans-serif" w:hAnsi="Arial;Helvetica;sans-serif"/>
          <w:color w:val="72288A"/>
          <w:sz w:val="24"/>
        </w:rPr>
        <w:t xml:space="preserve"> </w:t>
      </w:r>
    </w:p>
    <w:p>
      <w:pPr>
        <w:pStyle w:val="TextBody"/>
        <w:bidi w:val="0"/>
        <w:spacing w:before="290" w:after="283"/>
        <w:jc w:val="center"/>
        <w:rPr>
          <w:color w:val="636466"/>
        </w:rPr>
      </w:pPr>
      <w:r>
        <w:rPr>
          <w:color w:val="636466"/>
        </w:rPr>
        <w:drawing>
          <wp:inline distT="0" distB="0" distL="0" distR="0">
            <wp:extent cx="6553200" cy="2390775"/>
            <wp:effectExtent l="0" t="0" r="0" b="0"/>
            <wp:docPr id="3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1" descr=""/>
                    <pic:cNvPicPr>
                      <a:picLocks noChangeAspect="1" noChangeArrowheads="1"/>
                    </pic:cNvPicPr>
                  </pic:nvPicPr>
                  <pic:blipFill>
                    <a:blip r:embed="rId30"/>
                    <a:stretch>
                      <a:fillRect/>
                    </a:stretch>
                  </pic:blipFill>
                  <pic:spPr bwMode="auto">
                    <a:xfrm>
                      <a:off x="0" y="0"/>
                      <a:ext cx="6553200" cy="2390775"/>
                    </a:xfrm>
                    <a:prstGeom prst="rect">
                      <a:avLst/>
                    </a:prstGeom>
                  </pic:spPr>
                </pic:pic>
              </a:graphicData>
            </a:graphic>
          </wp:inline>
        </w:drawing>
      </w:r>
    </w:p>
    <w:p>
      <w:pPr>
        <w:pStyle w:val="TextBody"/>
        <w:bidi w:val="0"/>
        <w:spacing w:before="0" w:after="283"/>
        <w:ind w:left="1060" w:right="0" w:hanging="0"/>
        <w:jc w:val="left"/>
        <w:rPr>
          <w:color w:val="636466"/>
        </w:rPr>
      </w:pPr>
      <w:r>
        <w:rPr>
          <w:color w:val="636466"/>
        </w:rPr>
        <w:t> </w:t>
      </w:r>
    </w:p>
    <w:p>
      <w:pPr>
        <w:pStyle w:val="TextBody"/>
        <w:bidi w:val="0"/>
        <w:spacing w:before="430" w:after="283"/>
        <w:ind w:left="1060" w:right="0" w:hanging="0"/>
        <w:jc w:val="left"/>
        <w:rPr>
          <w:rFonts w:ascii="Arial;Helvetica;sans-serif" w:hAnsi="Arial;Helvetica;sans-serif"/>
          <w:color w:val="72288A"/>
          <w:sz w:val="24"/>
        </w:rPr>
      </w:pPr>
      <w:bookmarkStart w:id="16" w:name="tDOS"/>
      <w:bookmarkEnd w:id="16"/>
      <w:r>
        <w:rPr>
          <w:rFonts w:ascii="Arial;Helvetica;sans-serif" w:hAnsi="Arial;Helvetica;sans-serif"/>
          <w:color w:val="72288A"/>
          <w:sz w:val="24"/>
        </w:rPr>
        <w:t>Our 2025 Strategic Priorities</w:t>
      </w:r>
    </w:p>
    <w:p>
      <w:pPr>
        <w:pStyle w:val="TextBody"/>
        <w:bidi w:val="0"/>
        <w:spacing w:before="330" w:after="283"/>
        <w:jc w:val="center"/>
        <w:rPr>
          <w:color w:val="636466"/>
        </w:rPr>
      </w:pPr>
      <w:r>
        <w:rPr>
          <w:color w:val="636466"/>
        </w:rPr>
        <w:drawing>
          <wp:inline distT="0" distB="0" distL="0" distR="0">
            <wp:extent cx="6562725" cy="3000375"/>
            <wp:effectExtent l="0" t="0" r="0" b="0"/>
            <wp:docPr id="3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2" descr=""/>
                    <pic:cNvPicPr>
                      <a:picLocks noChangeAspect="1" noChangeArrowheads="1"/>
                    </pic:cNvPicPr>
                  </pic:nvPicPr>
                  <pic:blipFill>
                    <a:blip r:embed="rId31"/>
                    <a:stretch>
                      <a:fillRect/>
                    </a:stretch>
                  </pic:blipFill>
                  <pic:spPr bwMode="auto">
                    <a:xfrm>
                      <a:off x="0" y="0"/>
                      <a:ext cx="6562725" cy="3000375"/>
                    </a:xfrm>
                    <a:prstGeom prst="rect">
                      <a:avLst/>
                    </a:prstGeom>
                  </pic:spPr>
                </pic:pic>
              </a:graphicData>
            </a:graphic>
          </wp:inline>
        </w:drawing>
      </w:r>
    </w:p>
    <w:p>
      <w:pPr>
        <w:pStyle w:val="TextBody"/>
        <w:bidi w:val="0"/>
        <w:spacing w:before="0" w:after="283"/>
        <w:ind w:left="1060" w:right="0" w:hanging="0"/>
        <w:jc w:val="left"/>
        <w:rPr>
          <w:color w:val="636466"/>
        </w:rPr>
      </w:pPr>
      <w:r>
        <w:rPr>
          <w:color w:val="636466"/>
        </w:rPr>
        <w:t> </w:t>
      </w:r>
    </w:p>
    <w:tbl>
      <w:tblPr>
        <w:tblW w:w="4875" w:type="dxa"/>
        <w:jc w:val="left"/>
        <w:tblInd w:w="1060" w:type="dxa"/>
        <w:tblLayout w:type="fixed"/>
        <w:tblCellMar>
          <w:top w:w="0" w:type="dxa"/>
          <w:left w:w="0" w:type="dxa"/>
          <w:bottom w:w="0" w:type="dxa"/>
          <w:right w:w="0" w:type="dxa"/>
        </w:tblCellMar>
      </w:tblPr>
      <w:tblGrid>
        <w:gridCol w:w="2130"/>
        <w:gridCol w:w="170"/>
        <w:gridCol w:w="170"/>
        <w:gridCol w:w="2405"/>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3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3" descr=""/>
                          <pic:cNvPicPr>
                            <a:picLocks noChangeAspect="1" noChangeArrowheads="1"/>
                          </pic:cNvPicPr>
                        </pic:nvPicPr>
                        <pic:blipFill>
                          <a:blip r:embed="rId32"/>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Statement | 1</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4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4" descr=""/>
                    <pic:cNvPicPr>
                      <a:picLocks noChangeAspect="1" noChangeArrowheads="1"/>
                    </pic:cNvPicPr>
                  </pic:nvPicPr>
                  <pic:blipFill>
                    <a:blip r:embed="rId33"/>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7" w:name="ny20055082x771_def14a_105-company_pg2"/>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left"/>
        <w:rPr>
          <w:caps/>
          <w:color w:val="1F1C6B"/>
          <w:u w:val="single"/>
        </w:rPr>
      </w:pPr>
      <w:r>
        <w:rPr>
          <w:caps/>
          <w:color w:val="1F1C6B"/>
          <w:u w:val="single"/>
        </w:rPr>
        <w:t> </w:t>
      </w:r>
      <w:r>
        <w:rPr>
          <w:rFonts w:ascii="Arial;Helvetica;sans-serif" w:hAnsi="Arial;Helvetica;sans-serif"/>
          <w:caps/>
          <w:color w:val="1F1C6B"/>
          <w:sz w:val="18"/>
          <w:u w:val="single"/>
        </w:rPr>
        <w:t>A Strong Foundation for Performance and Impact </w:t>
      </w:r>
    </w:p>
    <w:p>
      <w:pPr>
        <w:pStyle w:val="TextBody"/>
        <w:bidi w:val="0"/>
        <w:spacing w:before="160" w:after="283"/>
        <w:ind w:left="1060" w:right="0" w:hanging="0"/>
        <w:jc w:val="left"/>
        <w:rPr>
          <w:rFonts w:ascii="Arial;Helvetica;sans-serif" w:hAnsi="Arial;Helvetica;sans-serif"/>
          <w:color w:val="72288A"/>
          <w:sz w:val="24"/>
        </w:rPr>
      </w:pPr>
      <w:bookmarkStart w:id="18" w:name="tEGR"/>
      <w:bookmarkEnd w:id="18"/>
      <w:r>
        <w:rPr>
          <w:rFonts w:ascii="Arial;Helvetica;sans-serif" w:hAnsi="Arial;Helvetica;sans-serif"/>
          <w:color w:val="72288A"/>
          <w:sz w:val="24"/>
        </w:rPr>
        <w:t>Expansive Global Reach</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Our strong commercial infrastructure enables us to serve patients in almost every corner of the globe through retail and pharmacy establishments, wholesalers, governments, institutions, physicians and other customers. We provide unique reach across North America, Europe, the Asia Pacific region and emerging markets. Through our four reportable segments – Developed Markets, Emerging Markets, Japan, Australia and New Zealand (JANZ) and Greater China – we sold more than 80 billion doses of medicine in 2024 across more than 165 countries and territories. </w:t>
      </w:r>
    </w:p>
    <w:p>
      <w:pPr>
        <w:pStyle w:val="TextBody"/>
        <w:bidi w:val="0"/>
        <w:spacing w:before="430" w:after="283"/>
        <w:ind w:left="1060" w:right="0" w:hanging="0"/>
        <w:jc w:val="left"/>
        <w:rPr>
          <w:rFonts w:ascii="Arial;Helvetica;sans-serif" w:hAnsi="Arial;Helvetica;sans-serif"/>
          <w:color w:val="72288A"/>
          <w:sz w:val="24"/>
        </w:rPr>
      </w:pPr>
      <w:bookmarkStart w:id="19" w:name="tAIG"/>
      <w:bookmarkEnd w:id="19"/>
      <w:r>
        <w:rPr>
          <w:rFonts w:ascii="Arial;Helvetica;sans-serif" w:hAnsi="Arial;Helvetica;sans-serif"/>
          <w:color w:val="72288A"/>
          <w:sz w:val="24"/>
        </w:rPr>
        <w:t>Approach to Innovation and Growth</w:t>
      </w:r>
    </w:p>
    <w:p>
      <w:pPr>
        <w:pStyle w:val="TextBody"/>
        <w:bidi w:val="0"/>
        <w:spacing w:before="330" w:after="283"/>
        <w:jc w:val="center"/>
        <w:rPr>
          <w:color w:val="636466"/>
        </w:rPr>
      </w:pPr>
      <w:r>
        <w:rPr>
          <w:color w:val="636466"/>
        </w:rPr>
        <w:drawing>
          <wp:inline distT="0" distB="0" distL="0" distR="0">
            <wp:extent cx="6581775" cy="2171700"/>
            <wp:effectExtent l="0" t="0" r="0" b="0"/>
            <wp:docPr id="4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5" descr=""/>
                    <pic:cNvPicPr>
                      <a:picLocks noChangeAspect="1" noChangeArrowheads="1"/>
                    </pic:cNvPicPr>
                  </pic:nvPicPr>
                  <pic:blipFill>
                    <a:blip r:embed="rId34"/>
                    <a:stretch>
                      <a:fillRect/>
                    </a:stretch>
                  </pic:blipFill>
                  <pic:spPr bwMode="auto">
                    <a:xfrm>
                      <a:off x="0" y="0"/>
                      <a:ext cx="6581775" cy="2171700"/>
                    </a:xfrm>
                    <a:prstGeom prst="rect">
                      <a:avLst/>
                    </a:prstGeom>
                  </pic:spPr>
                </pic:pic>
              </a:graphicData>
            </a:graphic>
          </wp:inline>
        </w:drawing>
      </w:r>
    </w:p>
    <w:p>
      <w:pPr>
        <w:pStyle w:val="TextBody"/>
        <w:bidi w:val="0"/>
        <w:spacing w:before="0" w:after="283"/>
        <w:ind w:left="1060" w:right="0" w:hanging="0"/>
        <w:jc w:val="left"/>
        <w:rPr>
          <w:color w:val="636466"/>
        </w:rPr>
      </w:pPr>
      <w:r>
        <w:rPr>
          <w:color w:val="636466"/>
        </w:rPr>
        <w:t> </w:t>
      </w:r>
    </w:p>
    <w:p>
      <w:pPr>
        <w:pStyle w:val="TextBody"/>
        <w:bidi w:val="0"/>
        <w:spacing w:before="430" w:after="283"/>
        <w:ind w:left="1060" w:right="0" w:hanging="0"/>
        <w:jc w:val="left"/>
        <w:rPr>
          <w:rFonts w:ascii="Arial;Helvetica;sans-serif" w:hAnsi="Arial;Helvetica;sans-serif"/>
          <w:color w:val="72288A"/>
          <w:sz w:val="24"/>
        </w:rPr>
      </w:pPr>
      <w:bookmarkStart w:id="20" w:name="tGHG"/>
      <w:bookmarkEnd w:id="20"/>
      <w:r>
        <w:rPr>
          <w:rFonts w:ascii="Arial;Helvetica;sans-serif" w:hAnsi="Arial;Helvetica;sans-serif"/>
          <w:color w:val="72288A"/>
          <w:sz w:val="24"/>
        </w:rPr>
        <w:t>Global Healthcare Gateway</w:t>
      </w:r>
      <w:r>
        <w:rPr>
          <w:rFonts w:ascii="Arial;Helvetica;sans-serif" w:hAnsi="Arial;Helvetica;sans-serif"/>
          <w:color w:val="72288A"/>
          <w:position w:val="8"/>
          <w:sz w:val="19"/>
          <w:sz w:val="24"/>
        </w:rPr>
        <w:t>®</w:t>
      </w:r>
    </w:p>
    <w:p>
      <w:pPr>
        <w:pStyle w:val="TextBody"/>
        <w:bidi w:val="0"/>
        <w:spacing w:before="330" w:after="283"/>
        <w:jc w:val="center"/>
        <w:rPr>
          <w:color w:val="636466"/>
        </w:rPr>
      </w:pPr>
      <w:r>
        <w:rPr>
          <w:color w:val="636466"/>
        </w:rPr>
        <w:drawing>
          <wp:inline distT="0" distB="0" distL="0" distR="0">
            <wp:extent cx="6581775" cy="3152775"/>
            <wp:effectExtent l="0" t="0" r="0" b="0"/>
            <wp:docPr id="4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6" descr=""/>
                    <pic:cNvPicPr>
                      <a:picLocks noChangeAspect="1" noChangeArrowheads="1"/>
                    </pic:cNvPicPr>
                  </pic:nvPicPr>
                  <pic:blipFill>
                    <a:blip r:embed="rId35"/>
                    <a:stretch>
                      <a:fillRect/>
                    </a:stretch>
                  </pic:blipFill>
                  <pic:spPr bwMode="auto">
                    <a:xfrm>
                      <a:off x="0" y="0"/>
                      <a:ext cx="6581775" cy="3152775"/>
                    </a:xfrm>
                    <a:prstGeom prst="rect">
                      <a:avLst/>
                    </a:prstGeom>
                  </pic:spPr>
                </pic:pic>
              </a:graphicData>
            </a:graphic>
          </wp:inline>
        </w:drawing>
      </w:r>
    </w:p>
    <w:p>
      <w:pPr>
        <w:pStyle w:val="TextBody"/>
        <w:bidi w:val="0"/>
        <w:spacing w:before="0" w:after="283"/>
        <w:ind w:left="1060" w:right="0" w:hanging="0"/>
        <w:jc w:val="left"/>
        <w:rPr>
          <w:color w:val="636466"/>
        </w:rPr>
      </w:pPr>
      <w:r>
        <w:rPr>
          <w:color w:val="636466"/>
        </w:rPr>
        <w:t> </w:t>
      </w:r>
    </w:p>
    <w:tbl>
      <w:tblPr>
        <w:tblW w:w="4875" w:type="dxa"/>
        <w:jc w:val="left"/>
        <w:tblInd w:w="1060" w:type="dxa"/>
        <w:tblLayout w:type="fixed"/>
        <w:tblCellMar>
          <w:top w:w="0" w:type="dxa"/>
          <w:left w:w="0" w:type="dxa"/>
          <w:bottom w:w="0" w:type="dxa"/>
          <w:right w:w="0" w:type="dxa"/>
        </w:tblCellMar>
      </w:tblPr>
      <w:tblGrid>
        <w:gridCol w:w="2375"/>
        <w:gridCol w:w="170"/>
        <w:gridCol w:w="170"/>
        <w:gridCol w:w="2160"/>
      </w:tblGrid>
      <w:tr>
        <w:trPr/>
        <w:tc>
          <w:tcPr>
            <w:tcW w:w="23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375"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2 | 2025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4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7" descr=""/>
                          <pic:cNvPicPr>
                            <a:picLocks noChangeAspect="1" noChangeArrowheads="1"/>
                          </pic:cNvPicPr>
                        </pic:nvPicPr>
                        <pic:blipFill>
                          <a:blip r:embed="rId36"/>
                          <a:stretch>
                            <a:fillRect/>
                          </a:stretch>
                        </pic:blipFill>
                        <pic:spPr bwMode="auto">
                          <a:xfrm>
                            <a:off x="0" y="0"/>
                            <a:ext cx="1323975" cy="352425"/>
                          </a:xfrm>
                          <a:prstGeom prst="rect">
                            <a:avLst/>
                          </a:prstGeom>
                        </pic:spPr>
                      </pic:pic>
                    </a:graphicData>
                  </a:graphic>
                </wp:inline>
              </w:drawing>
            </w:r>
          </w:p>
        </w:tc>
      </w:tr>
      <w:tr>
        <w:trPr/>
        <w:tc>
          <w:tcPr>
            <w:tcW w:w="23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4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8" descr=""/>
                    <pic:cNvPicPr>
                      <a:picLocks noChangeAspect="1" noChangeArrowheads="1"/>
                    </pic:cNvPicPr>
                  </pic:nvPicPr>
                  <pic:blipFill>
                    <a:blip r:embed="rId37"/>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21" w:name="ny20055082x771_def14a_105-company_pg3"/>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right"/>
        <w:rPr>
          <w:caps/>
          <w:color w:val="1F1C6B"/>
          <w:u w:val="single"/>
        </w:rPr>
      </w:pPr>
      <w:r>
        <w:rPr>
          <w:caps/>
          <w:color w:val="1F1C6B"/>
          <w:u w:val="single"/>
        </w:rPr>
        <w:t> </w:t>
      </w:r>
      <w:r>
        <w:rPr>
          <w:rFonts w:ascii="Arial;Helvetica;sans-serif" w:hAnsi="Arial;Helvetica;sans-serif"/>
          <w:caps/>
          <w:color w:val="1F1C6B"/>
          <w:sz w:val="18"/>
          <w:u w:val="single"/>
        </w:rPr>
        <w:t>A Strong Foundation for Performance and Impact </w:t>
      </w:r>
    </w:p>
    <w:p>
      <w:pPr>
        <w:pStyle w:val="TextBody"/>
        <w:bidi w:val="0"/>
        <w:spacing w:before="160" w:after="283"/>
        <w:ind w:left="1060" w:right="0" w:hanging="0"/>
        <w:jc w:val="left"/>
        <w:rPr>
          <w:rFonts w:ascii="Arial;Helvetica;sans-serif" w:hAnsi="Arial;Helvetica;sans-serif"/>
          <w:color w:val="72288A"/>
          <w:sz w:val="24"/>
        </w:rPr>
      </w:pPr>
      <w:bookmarkStart w:id="22" w:name="tBSA"/>
      <w:bookmarkEnd w:id="22"/>
      <w:r>
        <w:rPr>
          <w:rFonts w:ascii="Arial;Helvetica;sans-serif" w:hAnsi="Arial;Helvetica;sans-serif"/>
          <w:color w:val="72288A"/>
          <w:sz w:val="24"/>
        </w:rPr>
        <w:t>Building Sustainable Access at Scale</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As a global healthcare company with a broad and diverse portfolio and global reach, our most significant contribution to society is building access to medicine and partnering in the pursuit of more resilient healthcare systems. As part of working to provide access to medicine throughout the globe, we are committed to advancing responsible and sustainable practices and operations. We are leveraging the shared expertise within Viatris and through our partnerships to address important environmental, social and governance matters, recognizing that our actions affect people and communities that we serve and depend upon. These key topics encompass four broad areas: </w:t>
      </w:r>
    </w:p>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b/>
                <w:color w:val="72288A"/>
                <w:sz w:val="18"/>
              </w:rPr>
              <w:t>Reliable Supply and High-Quality Medicine:</w:t>
            </w:r>
            <w:r>
              <w:rPr>
                <w:rFonts w:ascii="Arial;Helvetica;sans-serif" w:hAnsi="Arial;Helvetica;sans-serif"/>
                <w:color w:val="636466"/>
                <w:sz w:val="18"/>
              </w:rPr>
              <w:t xml:space="preserve"> manufacturing and distribution, including our supply chain and regulatory impact; </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b/>
                <w:color w:val="72288A"/>
                <w:sz w:val="18"/>
              </w:rPr>
              <w:t>Our People:</w:t>
            </w:r>
            <w:r>
              <w:rPr>
                <w:rFonts w:ascii="Arial;Helvetica;sans-serif" w:hAnsi="Arial;Helvetica;sans-serif"/>
                <w:color w:val="636466"/>
                <w:sz w:val="18"/>
              </w:rPr>
              <w:t xml:space="preserve"> managing talent, engaging employees and promoting workplace health and safety and inclusion; </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b/>
                <w:color w:val="72288A"/>
                <w:sz w:val="18"/>
              </w:rPr>
              <w:t>Environmental Impact:</w:t>
            </w:r>
            <w:r>
              <w:rPr>
                <w:rFonts w:ascii="Arial;Helvetica;sans-serif" w:hAnsi="Arial;Helvetica;sans-serif"/>
                <w:color w:val="636466"/>
                <w:sz w:val="18"/>
              </w:rPr>
              <w:t xml:space="preserve"> minimizing environmental impact – from climate change and energy to water and waste management; and </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b/>
                <w:color w:val="72288A"/>
                <w:sz w:val="18"/>
              </w:rPr>
              <w:t>Governance and Ethical Practices:</w:t>
            </w:r>
            <w:r>
              <w:rPr>
                <w:rFonts w:ascii="Arial;Helvetica;sans-serif" w:hAnsi="Arial;Helvetica;sans-serif"/>
                <w:color w:val="636466"/>
                <w:sz w:val="18"/>
              </w:rPr>
              <w:t xml:space="preserve"> managing inherent risks and encouraging opportunities and business ethics.</w:t>
            </w:r>
          </w:p>
        </w:tc>
      </w:tr>
    </w:tbl>
    <w:p>
      <w:pPr>
        <w:pStyle w:val="TextBody"/>
        <w:bidi w:val="0"/>
        <w:spacing w:before="420" w:after="283"/>
        <w:ind w:left="1060" w:right="0" w:hanging="0"/>
        <w:jc w:val="left"/>
        <w:rPr>
          <w:rFonts w:ascii="Arial;Helvetica;sans-serif" w:hAnsi="Arial;Helvetica;sans-serif"/>
          <w:color w:val="72288A"/>
          <w:sz w:val="24"/>
        </w:rPr>
      </w:pPr>
      <w:r>
        <w:rPr>
          <w:rFonts w:ascii="Arial;Helvetica;sans-serif" w:hAnsi="Arial;Helvetica;sans-serif"/>
          <w:color w:val="72288A"/>
          <w:sz w:val="24"/>
        </w:rPr>
        <w:t>Viatris in 2024:</w:t>
      </w:r>
    </w:p>
    <w:p>
      <w:pPr>
        <w:pStyle w:val="TextBody"/>
        <w:bidi w:val="0"/>
        <w:spacing w:before="320" w:after="283"/>
        <w:jc w:val="center"/>
        <w:rPr>
          <w:color w:val="636466"/>
        </w:rPr>
      </w:pPr>
      <w:r>
        <w:rPr>
          <w:color w:val="636466"/>
        </w:rPr>
        <w:drawing>
          <wp:inline distT="0" distB="0" distL="0" distR="0">
            <wp:extent cx="6553200" cy="3752850"/>
            <wp:effectExtent l="0" t="0" r="0" b="0"/>
            <wp:docPr id="4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9" descr=""/>
                    <pic:cNvPicPr>
                      <a:picLocks noChangeAspect="1" noChangeArrowheads="1"/>
                    </pic:cNvPicPr>
                  </pic:nvPicPr>
                  <pic:blipFill>
                    <a:blip r:embed="rId38"/>
                    <a:stretch>
                      <a:fillRect/>
                    </a:stretch>
                  </pic:blipFill>
                  <pic:spPr bwMode="auto">
                    <a:xfrm>
                      <a:off x="0" y="0"/>
                      <a:ext cx="6553200" cy="3752850"/>
                    </a:xfrm>
                    <a:prstGeom prst="rect">
                      <a:avLst/>
                    </a:prstGeom>
                  </pic:spPr>
                </pic:pic>
              </a:graphicData>
            </a:graphic>
          </wp:inline>
        </w:drawing>
      </w:r>
    </w:p>
    <w:p>
      <w:pPr>
        <w:pStyle w:val="TextBody"/>
        <w:bidi w:val="0"/>
        <w:spacing w:before="0" w:after="283"/>
        <w:ind w:left="1060" w:right="0" w:hanging="0"/>
        <w:jc w:val="left"/>
        <w:rPr>
          <w:color w:val="636466"/>
        </w:rPr>
      </w:pPr>
      <w:r>
        <w:rPr>
          <w:color w:val="636466"/>
        </w:rPr>
        <w:t> </w:t>
      </w:r>
    </w:p>
    <w:p>
      <w:pPr>
        <w:pStyle w:val="TextBody"/>
        <w:bidi w:val="0"/>
        <w:spacing w:before="240" w:after="283"/>
        <w:ind w:left="1060" w:right="0" w:hanging="0"/>
        <w:jc w:val="left"/>
        <w:rPr>
          <w:rFonts w:ascii="Arial;Helvetica;sans-serif" w:hAnsi="Arial;Helvetica;sans-serif"/>
          <w:color w:val="1F1C6B"/>
          <w:sz w:val="30"/>
        </w:rPr>
      </w:pPr>
      <w:bookmarkStart w:id="23" w:name="tOCT"/>
      <w:bookmarkEnd w:id="23"/>
      <w:r>
        <w:rPr>
          <w:rFonts w:ascii="Arial;Helvetica;sans-serif" w:hAnsi="Arial;Helvetica;sans-serif"/>
          <w:color w:val="1F1C6B"/>
          <w:sz w:val="30"/>
        </w:rPr>
        <w:t>Our Commitment to Good Corporate Governance</w:t>
      </w:r>
    </w:p>
    <w:p>
      <w:pPr>
        <w:pStyle w:val="TextBody"/>
        <w:bidi w:val="0"/>
        <w:spacing w:before="240" w:after="283"/>
        <w:ind w:left="1060" w:right="0" w:hanging="0"/>
        <w:jc w:val="left"/>
        <w:rPr>
          <w:rFonts w:ascii="Arial;Helvetica;sans-serif" w:hAnsi="Arial;Helvetica;sans-serif"/>
          <w:color w:val="72288A"/>
          <w:sz w:val="24"/>
        </w:rPr>
      </w:pPr>
      <w:r>
        <w:rPr>
          <w:rFonts w:ascii="Arial;Helvetica;sans-serif" w:hAnsi="Arial;Helvetica;sans-serif"/>
          <w:color w:val="72288A"/>
          <w:sz w:val="24"/>
        </w:rPr>
        <w:t>Robust Shareholder Engagement</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Our shareholder-centric model is rooted in our Board of Directors’ (“Board”) and management’s commitment to on-going, robust dialogue with shareholders to discuss and solicit shareholder feedback on key strategic, operational, financial, governance, and executive compensation topics, and to address other topics of importance to shareholders. Since October 2024, we met with 20 of our 50 largest shareholders representing approximately 50% of the outstanding shares and reached out to approximately 30 of our 50 largest shareholders representing approximately 55% of the outstanding shares (in each case based on June 30, 2025 shareholder </w:t>
      </w:r>
    </w:p>
    <w:tbl>
      <w:tblPr>
        <w:tblW w:w="4875" w:type="dxa"/>
        <w:jc w:val="left"/>
        <w:tblInd w:w="1060" w:type="dxa"/>
        <w:tblLayout w:type="fixed"/>
        <w:tblCellMar>
          <w:top w:w="0" w:type="dxa"/>
          <w:left w:w="0" w:type="dxa"/>
          <w:bottom w:w="0" w:type="dxa"/>
          <w:right w:w="0" w:type="dxa"/>
        </w:tblCellMar>
      </w:tblPr>
      <w:tblGrid>
        <w:gridCol w:w="2130"/>
        <w:gridCol w:w="170"/>
        <w:gridCol w:w="170"/>
        <w:gridCol w:w="2405"/>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4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0" descr=""/>
                          <pic:cNvPicPr>
                            <a:picLocks noChangeAspect="1" noChangeArrowheads="1"/>
                          </pic:cNvPicPr>
                        </pic:nvPicPr>
                        <pic:blipFill>
                          <a:blip r:embed="rId39"/>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Statement | 3</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4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1" descr=""/>
                    <pic:cNvPicPr>
                      <a:picLocks noChangeAspect="1" noChangeArrowheads="1"/>
                    </pic:cNvPicPr>
                  </pic:nvPicPr>
                  <pic:blipFill>
                    <a:blip r:embed="rId40"/>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24" w:name="ny20055082x771_def14a_105-company_pg4"/>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left"/>
        <w:rPr>
          <w:caps/>
          <w:color w:val="1F1C6B"/>
          <w:u w:val="single"/>
        </w:rPr>
      </w:pPr>
      <w:r>
        <w:rPr>
          <w:caps/>
          <w:color w:val="1F1C6B"/>
          <w:u w:val="single"/>
        </w:rPr>
        <w:t> </w:t>
      </w:r>
      <w:r>
        <w:rPr>
          <w:rFonts w:ascii="Arial;Helvetica;sans-serif" w:hAnsi="Arial;Helvetica;sans-serif"/>
          <w:caps/>
          <w:color w:val="1F1C6B"/>
          <w:sz w:val="18"/>
          <w:u w:val="single"/>
        </w:rPr>
        <w:t>A Strong Foundation for Performance and Impact </w:t>
      </w:r>
    </w:p>
    <w:p>
      <w:pPr>
        <w:pStyle w:val="TextBody"/>
        <w:bidi w:val="0"/>
        <w:spacing w:before="12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data). In these meetings, various members of our management and, as appropriate or where requested, our Board, met with institutional investor executives, governance and stewardship team leads, and portfolio managers. Our leadership has also met with the analyst community, participated in eight investor conferences, and held informal direct shareholder discussions since October 2024.</w:t>
      </w:r>
    </w:p>
    <w:p>
      <w:pPr>
        <w:pStyle w:val="TextBody"/>
        <w:bidi w:val="0"/>
        <w:spacing w:before="430" w:after="283"/>
        <w:ind w:left="1060" w:right="0" w:hanging="0"/>
        <w:jc w:val="left"/>
        <w:rPr>
          <w:rFonts w:ascii="Arial;Helvetica;sans-serif" w:hAnsi="Arial;Helvetica;sans-serif"/>
          <w:color w:val="72288A"/>
          <w:sz w:val="24"/>
        </w:rPr>
      </w:pPr>
      <w:r>
        <w:rPr>
          <w:rFonts w:ascii="Arial;Helvetica;sans-serif" w:hAnsi="Arial;Helvetica;sans-serif"/>
          <w:color w:val="72288A"/>
          <w:sz w:val="24"/>
        </w:rPr>
        <w:t>Shareholder Discussion Highlights</w:t>
      </w:r>
    </w:p>
    <w:p>
      <w:pPr>
        <w:pStyle w:val="TextBody"/>
        <w:bidi w:val="0"/>
        <w:spacing w:before="160" w:after="283"/>
        <w:ind w:left="1060" w:right="0" w:hanging="0"/>
        <w:jc w:val="left"/>
        <w:rPr>
          <w:rFonts w:ascii="Arial;Helvetica;sans-serif" w:hAnsi="Arial;Helvetica;sans-serif"/>
          <w:b/>
          <w:color w:val="636466"/>
          <w:sz w:val="18"/>
        </w:rPr>
      </w:pPr>
      <w:r>
        <w:rPr>
          <w:rFonts w:ascii="Arial;Helvetica;sans-serif" w:hAnsi="Arial;Helvetica;sans-serif"/>
          <w:b/>
          <w:color w:val="636466"/>
          <w:sz w:val="18"/>
        </w:rPr>
        <w:t xml:space="preserve">Director Refreshment: </w:t>
      </w:r>
      <w:r>
        <w:rPr>
          <w:rFonts w:ascii="Arial;Helvetica;sans-serif" w:hAnsi="Arial;Helvetica;sans-serif"/>
          <w:b w:val="false"/>
          <w:color w:val="636466"/>
          <w:sz w:val="18"/>
        </w:rPr>
        <w:t>Viatris is committed to Board refreshment and strong corporate governance. In particular, the Board has appointed seven new Directors since December 2022 and elected an independent Chair in 2023. In connection with its refreshment process, the Board specifically sought individuals with C-suite level and/or pharmaceutical experience.</w:t>
      </w:r>
    </w:p>
    <w:p>
      <w:pPr>
        <w:pStyle w:val="TextBody"/>
        <w:bidi w:val="0"/>
        <w:spacing w:before="240" w:after="283"/>
        <w:ind w:left="1060" w:right="0" w:hanging="0"/>
        <w:jc w:val="left"/>
        <w:rPr>
          <w:rFonts w:ascii="Arial;Helvetica;sans-serif" w:hAnsi="Arial;Helvetica;sans-serif"/>
          <w:b/>
          <w:color w:val="636466"/>
          <w:sz w:val="18"/>
        </w:rPr>
      </w:pPr>
      <w:r>
        <w:rPr>
          <w:rFonts w:ascii="Arial;Helvetica;sans-serif" w:hAnsi="Arial;Helvetica;sans-serif"/>
          <w:b/>
          <w:color w:val="636466"/>
          <w:sz w:val="18"/>
        </w:rPr>
        <w:t xml:space="preserve">Strategic Priorities: </w:t>
      </w:r>
      <w:r>
        <w:rPr>
          <w:rFonts w:ascii="Arial;Helvetica;sans-serif" w:hAnsi="Arial;Helvetica;sans-serif"/>
          <w:b w:val="false"/>
          <w:color w:val="636466"/>
          <w:sz w:val="18"/>
        </w:rPr>
        <w:t>On our second quarter 2025 earnings call, Chief Executive Officer (“CEO”) Scott A. Smith discussed our 2025 strategic priorities, including: driving strong commercial execution across our global business of generics and established brands; advancing our late-stage pipeline to drive future innovation; continuing to look at strategic accretive in-market business development opportunities to drive near- and mid-term growth; progressing our enterprise-wide strategic review to position Viatris for sustainable growth in 2026 and beyond; the remediation and reinspection progress for our Indore facility; and returning capital to shareholders through dividends and share buybacks.</w:t>
      </w:r>
    </w:p>
    <w:p>
      <w:pPr>
        <w:pStyle w:val="TextBody"/>
        <w:bidi w:val="0"/>
        <w:spacing w:before="240" w:after="283"/>
        <w:ind w:left="1060" w:right="0" w:hanging="0"/>
        <w:jc w:val="left"/>
        <w:rPr>
          <w:rFonts w:ascii="Arial;Helvetica;sans-serif" w:hAnsi="Arial;Helvetica;sans-serif"/>
          <w:b/>
          <w:color w:val="636466"/>
          <w:sz w:val="18"/>
        </w:rPr>
      </w:pPr>
      <w:r>
        <w:rPr>
          <w:rFonts w:ascii="Arial;Helvetica;sans-serif" w:hAnsi="Arial;Helvetica;sans-serif"/>
          <w:b/>
          <w:color w:val="636466"/>
          <w:sz w:val="18"/>
        </w:rPr>
        <w:t xml:space="preserve">Annual Meeting Timing: </w:t>
      </w:r>
      <w:r>
        <w:rPr>
          <w:rFonts w:ascii="Arial;Helvetica;sans-serif" w:hAnsi="Arial;Helvetica;sans-serif"/>
          <w:b w:val="false"/>
          <w:color w:val="636466"/>
          <w:sz w:val="18"/>
        </w:rPr>
        <w:t>After discussions with investors and to in order to move to a more standard annual meeting cadence and drive further efficiency, the Board has announced that the 2026 annual meeting of shareholders will be held on May 15, 2026.</w:t>
      </w:r>
    </w:p>
    <w:p>
      <w:pPr>
        <w:pStyle w:val="TextBody"/>
        <w:bidi w:val="0"/>
        <w:spacing w:before="240" w:after="283"/>
        <w:ind w:left="1060" w:right="0" w:hanging="0"/>
        <w:jc w:val="left"/>
        <w:rPr>
          <w:rFonts w:ascii="Arial;Helvetica;sans-serif" w:hAnsi="Arial;Helvetica;sans-serif"/>
          <w:b/>
          <w:color w:val="636466"/>
          <w:sz w:val="18"/>
        </w:rPr>
      </w:pPr>
      <w:r>
        <w:rPr>
          <w:rFonts w:ascii="Arial;Helvetica;sans-serif" w:hAnsi="Arial;Helvetica;sans-serif"/>
          <w:b/>
          <w:color w:val="636466"/>
          <w:sz w:val="18"/>
        </w:rPr>
        <w:t xml:space="preserve">Executive Compensation: </w:t>
      </w:r>
      <w:r>
        <w:rPr>
          <w:rFonts w:ascii="Arial;Helvetica;sans-serif" w:hAnsi="Arial;Helvetica;sans-serif"/>
          <w:b w:val="false"/>
          <w:color w:val="636466"/>
          <w:sz w:val="18"/>
        </w:rPr>
        <w:t>We were disappointed by our Say-on-Pay vote in 2024. Based on our robust shareholder engagement in connection with, and following, the 2024 Say-on-Pay vote, we believe that our Say-on-Pay results in 2024 were driven primarily by concerns relating to the transitional consulting arrangement that we entered into with our former Executive Chairman. Shareholders did not express concerns with any other aspect of our compensation program in our meetings. Based on both the Board’s belief that the transitional matters covered by the consulting arrangement have been successfully completed and/or transitioned and this shareholder feedback, the Board determined that the consulting arrangement would not be renewed and then subsequently ended the consulting arrangement as of June 30, 2025. As a result, Mr. Coury is no longer serving as a consultant to the Company, and we believe that we have completed the transition to a simplified leadership and compensation structure.</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In addition, we took several further actions that we believe address the 2024 Say-on-Pay vote and align our program with shareholder outcomes. The table below details the additional actions we took.</w:t>
      </w:r>
    </w:p>
    <w:tbl>
      <w:tblPr>
        <w:tblW w:w="9145" w:type="dxa"/>
        <w:jc w:val="left"/>
        <w:tblInd w:w="1060" w:type="dxa"/>
        <w:tblLayout w:type="fixed"/>
        <w:tblCellMar>
          <w:top w:w="0" w:type="dxa"/>
          <w:left w:w="0" w:type="dxa"/>
          <w:bottom w:w="0" w:type="dxa"/>
          <w:right w:w="0" w:type="dxa"/>
        </w:tblCellMar>
      </w:tblPr>
      <w:tblGrid>
        <w:gridCol w:w="185"/>
        <w:gridCol w:w="1819"/>
        <w:gridCol w:w="170"/>
        <w:gridCol w:w="170"/>
        <w:gridCol w:w="6585"/>
        <w:gridCol w:w="216"/>
      </w:tblGrid>
      <w:tr>
        <w:trPr/>
        <w:tc>
          <w:tcPr>
            <w:tcW w:w="185" w:type="dxa"/>
            <w:tcBorders/>
            <w:vAlign w:val="center"/>
          </w:tcPr>
          <w:p>
            <w:pPr>
              <w:pStyle w:val="TableContents"/>
              <w:bidi w:val="0"/>
              <w:spacing w:before="0" w:after="0"/>
              <w:jc w:val="left"/>
              <w:rPr/>
            </w:pPr>
            <w:r>
              <w:rPr/>
              <w:t> </w:t>
            </w:r>
          </w:p>
        </w:tc>
        <w:tc>
          <w:tcPr>
            <w:tcW w:w="181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85"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19" w:type="dxa"/>
            <w:tcBorders/>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Reduced the 2024 Annual Incentive Payout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85" w:type="dxa"/>
            <w:tcBorders/>
            <w:vAlign w:val="center"/>
          </w:tcPr>
          <w:p>
            <w:pPr>
              <w:pStyle w:val="TableContents"/>
              <w:bidi w:val="0"/>
              <w:spacing w:before="0" w:after="283"/>
              <w:ind w:left="0" w:right="0" w:hanging="0"/>
              <w:jc w:val="left"/>
              <w:rPr>
                <w:color w:val="636466"/>
              </w:rPr>
            </w:pPr>
            <w:r>
              <w:rPr>
                <w:color w:val="636466"/>
              </w:rPr>
              <w:t>• </w:t>
            </w:r>
          </w:p>
          <w:p>
            <w:pPr>
              <w:pStyle w:val="TableContents"/>
              <w:bidi w:val="0"/>
              <w:spacing w:before="0" w:after="283"/>
              <w:jc w:val="left"/>
              <w:rPr>
                <w:rFonts w:ascii="Arial;Helvetica;sans-serif" w:hAnsi="Arial;Helvetica;sans-serif"/>
                <w:color w:val="636466"/>
                <w:sz w:val="16"/>
              </w:rPr>
            </w:pPr>
            <w:r>
              <w:rPr>
                <w:rFonts w:ascii="Arial;Helvetica;sans-serif" w:hAnsi="Arial;Helvetica;sans-serif"/>
                <w:color w:val="636466"/>
                <w:sz w:val="16"/>
              </w:rPr>
              <w:t xml:space="preserve">The Compensation Committee exercised negative discretion to reduce the 2024 annual incentive payout. This negative discretion was exercised due to the unique timing of the import alert related to the Indore, India facility, and the resulting impact on the Company's financials and share price. 2024 performance outcomes for Adjusted EBITDA, Free Cash Flow and Global Regulatory Submissions would have resulted in a 163.92% bonus funding under the provisions of the short-term incentive plan. </w:t>
            </w:r>
            <w:r>
              <w:rPr>
                <w:rFonts w:ascii="Arial;Helvetica;sans-serif" w:hAnsi="Arial;Helvetica;sans-serif"/>
                <w:b/>
                <w:color w:val="636466"/>
                <w:sz w:val="16"/>
              </w:rPr>
              <w:t>The Compensation Committee reduced funding to 140%.</w:t>
            </w:r>
          </w:p>
        </w:tc>
        <w:tc>
          <w:tcPr>
            <w:tcW w:w="216"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819" w:type="dxa"/>
            <w:tcBorders/>
            <w:shd w:fill="E7E0EF" w:val="clear"/>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Increased Difficulty of 2025 Adjusted EBITDA Maximum Objective</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585" w:type="dxa"/>
            <w:tcBorders/>
            <w:shd w:fill="E7E0EF" w:val="clear"/>
            <w:vAlign w:val="center"/>
          </w:tcPr>
          <w:p>
            <w:pPr>
              <w:pStyle w:val="TableContents"/>
              <w:bidi w:val="0"/>
              <w:spacing w:before="0" w:after="283"/>
              <w:ind w:left="0" w:right="0" w:hanging="0"/>
              <w:jc w:val="left"/>
              <w:rPr>
                <w:color w:val="636466"/>
              </w:rPr>
            </w:pPr>
            <w:r>
              <w:rPr>
                <w:color w:val="636466"/>
              </w:rPr>
              <w:t>• </w:t>
            </w:r>
          </w:p>
          <w:p>
            <w:pPr>
              <w:pStyle w:val="TableContents"/>
              <w:bidi w:val="0"/>
              <w:spacing w:before="0" w:after="283"/>
              <w:jc w:val="left"/>
              <w:rPr>
                <w:rFonts w:ascii="Arial;Helvetica;sans-serif" w:hAnsi="Arial;Helvetica;sans-serif"/>
                <w:color w:val="636466"/>
                <w:sz w:val="16"/>
              </w:rPr>
            </w:pPr>
            <w:r>
              <w:rPr>
                <w:rFonts w:ascii="Arial;Helvetica;sans-serif" w:hAnsi="Arial;Helvetica;sans-serif"/>
                <w:color w:val="636466"/>
                <w:sz w:val="16"/>
              </w:rPr>
              <w:t xml:space="preserve">Historically, maximum Adjusted EBITDA performance under the annual incentive plan has been set at 105% of target. For 2025, </w:t>
            </w:r>
            <w:r>
              <w:rPr>
                <w:rFonts w:ascii="Arial;Helvetica;sans-serif" w:hAnsi="Arial;Helvetica;sans-serif"/>
                <w:b/>
                <w:color w:val="636466"/>
                <w:sz w:val="16"/>
              </w:rPr>
              <w:t xml:space="preserve">maximum Adjusted EBITDA performance was set at 110% of target requiring a greater level of Adjusted EBITDA performance </w:t>
            </w:r>
            <w:r>
              <w:rPr>
                <w:rFonts w:ascii="Arial;Helvetica;sans-serif" w:hAnsi="Arial;Helvetica;sans-serif"/>
                <w:color w:val="636466"/>
                <w:sz w:val="16"/>
              </w:rPr>
              <w:t>to achieve above target payouts in 2025.</w:t>
            </w:r>
          </w:p>
        </w:tc>
        <w:tc>
          <w:tcPr>
            <w:tcW w:w="216"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19" w:type="dxa"/>
            <w:tcBorders/>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Reduced Weighting of Global Regulatory Submissions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85" w:type="dxa"/>
            <w:tcBorders/>
            <w:vAlign w:val="center"/>
          </w:tcPr>
          <w:p>
            <w:pPr>
              <w:pStyle w:val="TableContents"/>
              <w:bidi w:val="0"/>
              <w:spacing w:before="0" w:after="283"/>
              <w:ind w:left="0" w:right="0" w:hanging="0"/>
              <w:jc w:val="left"/>
              <w:rPr>
                <w:color w:val="636466"/>
              </w:rPr>
            </w:pPr>
            <w:r>
              <w:rPr>
                <w:color w:val="636466"/>
              </w:rPr>
              <w:t>• </w:t>
            </w:r>
          </w:p>
          <w:p>
            <w:pPr>
              <w:pStyle w:val="TableContents"/>
              <w:bidi w:val="0"/>
              <w:spacing w:before="0" w:after="283"/>
              <w:jc w:val="left"/>
              <w:rPr>
                <w:rFonts w:ascii="Arial;Helvetica;sans-serif" w:hAnsi="Arial;Helvetica;sans-serif"/>
                <w:color w:val="636466"/>
                <w:sz w:val="16"/>
              </w:rPr>
            </w:pPr>
            <w:r>
              <w:rPr>
                <w:rFonts w:ascii="Arial;Helvetica;sans-serif" w:hAnsi="Arial;Helvetica;sans-serif"/>
                <w:color w:val="636466"/>
                <w:sz w:val="16"/>
              </w:rPr>
              <w:t xml:space="preserve">The portion of the annual incentive related to Global Regulatory Submissions objective was </w:t>
            </w:r>
            <w:r>
              <w:rPr>
                <w:rFonts w:ascii="Arial;Helvetica;sans-serif" w:hAnsi="Arial;Helvetica;sans-serif"/>
                <w:b/>
                <w:color w:val="636466"/>
                <w:sz w:val="16"/>
              </w:rPr>
              <w:t>reduced from 20% to 10%</w:t>
            </w:r>
            <w:r>
              <w:rPr>
                <w:rFonts w:ascii="Arial;Helvetica;sans-serif" w:hAnsi="Arial;Helvetica;sans-serif"/>
                <w:color w:val="636466"/>
                <w:sz w:val="16"/>
              </w:rPr>
              <w:t xml:space="preserve"> in 2025.</w:t>
            </w:r>
          </w:p>
        </w:tc>
        <w:tc>
          <w:tcPr>
            <w:tcW w:w="216"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819" w:type="dxa"/>
            <w:tcBorders/>
            <w:shd w:fill="E7E0EF" w:val="clear"/>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Added Personal Objective to Annual Incentive Compensation Program</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585" w:type="dxa"/>
            <w:tcBorders/>
            <w:shd w:fill="E7E0EF" w:val="clear"/>
            <w:vAlign w:val="center"/>
          </w:tcPr>
          <w:p>
            <w:pPr>
              <w:pStyle w:val="TableContents"/>
              <w:bidi w:val="0"/>
              <w:spacing w:before="0" w:after="283"/>
              <w:ind w:left="0" w:right="0" w:hanging="0"/>
              <w:jc w:val="left"/>
              <w:rPr>
                <w:color w:val="636466"/>
              </w:rPr>
            </w:pPr>
            <w:r>
              <w:rPr>
                <w:color w:val="636466"/>
              </w:rPr>
              <w:t>• </w:t>
            </w:r>
          </w:p>
          <w:p>
            <w:pPr>
              <w:pStyle w:val="TableContents"/>
              <w:bidi w:val="0"/>
              <w:spacing w:before="0" w:after="283"/>
              <w:jc w:val="left"/>
              <w:rPr>
                <w:rFonts w:ascii="Arial;Helvetica;sans-serif" w:hAnsi="Arial;Helvetica;sans-serif"/>
                <w:color w:val="636466"/>
                <w:sz w:val="16"/>
              </w:rPr>
            </w:pPr>
            <w:r>
              <w:rPr>
                <w:rFonts w:ascii="Arial;Helvetica;sans-serif" w:hAnsi="Arial;Helvetica;sans-serif"/>
                <w:color w:val="636466"/>
                <w:sz w:val="16"/>
              </w:rPr>
              <w:t xml:space="preserve">A personal objective, weighted at 10%, was added to the annual incentive in 2025 to allow the Compensation Committee </w:t>
            </w:r>
            <w:r>
              <w:rPr>
                <w:rFonts w:ascii="Arial;Helvetica;sans-serif" w:hAnsi="Arial;Helvetica;sans-serif"/>
                <w:b/>
                <w:color w:val="636466"/>
                <w:sz w:val="16"/>
              </w:rPr>
              <w:t>greater discretion in evaluating management actions and execution of Company strategy.</w:t>
            </w:r>
          </w:p>
        </w:tc>
        <w:tc>
          <w:tcPr>
            <w:tcW w:w="216"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19" w:type="dxa"/>
            <w:tcBorders/>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Revised Compensation Peer Group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85" w:type="dxa"/>
            <w:tcBorders/>
            <w:vAlign w:val="center"/>
          </w:tcPr>
          <w:p>
            <w:pPr>
              <w:pStyle w:val="TableContents"/>
              <w:bidi w:val="0"/>
              <w:spacing w:before="0" w:after="283"/>
              <w:ind w:left="0" w:right="0" w:hanging="0"/>
              <w:jc w:val="left"/>
              <w:rPr>
                <w:color w:val="636466"/>
              </w:rPr>
            </w:pPr>
            <w:r>
              <w:rPr>
                <w:color w:val="636466"/>
              </w:rPr>
              <w:t>• </w:t>
            </w:r>
          </w:p>
          <w:p>
            <w:pPr>
              <w:pStyle w:val="TableContents"/>
              <w:bidi w:val="0"/>
              <w:spacing w:before="0" w:after="283"/>
              <w:jc w:val="left"/>
              <w:rPr>
                <w:rFonts w:ascii="Arial;Helvetica;sans-serif" w:hAnsi="Arial;Helvetica;sans-serif"/>
                <w:color w:val="636466"/>
                <w:sz w:val="16"/>
              </w:rPr>
            </w:pPr>
            <w:r>
              <w:rPr>
                <w:rFonts w:ascii="Arial;Helvetica;sans-serif" w:hAnsi="Arial;Helvetica;sans-serif"/>
                <w:b/>
                <w:color w:val="636466"/>
                <w:sz w:val="16"/>
              </w:rPr>
              <w:t xml:space="preserve">Eli Lilly was eliminated from the peer group </w:t>
            </w:r>
            <w:r>
              <w:rPr>
                <w:rFonts w:ascii="Arial;Helvetica;sans-serif" w:hAnsi="Arial;Helvetica;sans-serif"/>
                <w:color w:val="636466"/>
                <w:sz w:val="16"/>
              </w:rPr>
              <w:t>due to its market capitalization. With the removal of Eli Lilly, Viatris falls at the 44</w:t>
            </w:r>
            <w:r>
              <w:rPr>
                <w:rFonts w:ascii="Arial;Helvetica;sans-serif" w:hAnsi="Arial;Helvetica;sans-serif"/>
                <w:color w:val="636466"/>
                <w:position w:val="5"/>
                <w:sz w:val="13"/>
                <w:sz w:val="16"/>
              </w:rPr>
              <w:t>th</w:t>
            </w:r>
            <w:r>
              <w:rPr>
                <w:rFonts w:ascii="Arial;Helvetica;sans-serif" w:hAnsi="Arial;Helvetica;sans-serif"/>
                <w:color w:val="636466"/>
                <w:sz w:val="16"/>
              </w:rPr>
              <w:t xml:space="preserve"> percentile on revenue of the remaining peers. </w:t>
            </w:r>
          </w:p>
        </w:tc>
        <w:tc>
          <w:tcPr>
            <w:tcW w:w="216"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819" w:type="dxa"/>
            <w:tcBorders/>
            <w:shd w:fill="E7E0EF" w:val="clear"/>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Amended Share Ownership Requirements Policy</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585" w:type="dxa"/>
            <w:tcBorders/>
            <w:shd w:fill="E7E0EF" w:val="clear"/>
            <w:vAlign w:val="center"/>
          </w:tcPr>
          <w:p>
            <w:pPr>
              <w:pStyle w:val="TableContents"/>
              <w:bidi w:val="0"/>
              <w:spacing w:before="0" w:after="283"/>
              <w:ind w:left="0" w:right="0" w:hanging="0"/>
              <w:jc w:val="left"/>
              <w:rPr>
                <w:color w:val="636466"/>
              </w:rPr>
            </w:pPr>
            <w:r>
              <w:rPr>
                <w:color w:val="636466"/>
              </w:rPr>
              <w:t>• </w:t>
            </w:r>
          </w:p>
          <w:p>
            <w:pPr>
              <w:pStyle w:val="TableContents"/>
              <w:bidi w:val="0"/>
              <w:spacing w:before="0" w:after="283"/>
              <w:jc w:val="left"/>
              <w:rPr>
                <w:rFonts w:ascii="Arial;Helvetica;sans-serif" w:hAnsi="Arial;Helvetica;sans-serif"/>
                <w:color w:val="636466"/>
                <w:sz w:val="16"/>
              </w:rPr>
            </w:pPr>
            <w:r>
              <w:rPr>
                <w:rFonts w:ascii="Arial;Helvetica;sans-serif" w:hAnsi="Arial;Helvetica;sans-serif"/>
                <w:color w:val="636466"/>
                <w:sz w:val="16"/>
              </w:rPr>
              <w:t xml:space="preserve">The Compensation Committee amended its policy to </w:t>
            </w:r>
            <w:r>
              <w:rPr>
                <w:rFonts w:ascii="Arial;Helvetica;sans-serif" w:hAnsi="Arial;Helvetica;sans-serif"/>
                <w:b/>
                <w:color w:val="636466"/>
                <w:sz w:val="16"/>
              </w:rPr>
              <w:t>exclude unearned performance restricted stock units (“PRSUs”) (including associated dividend equivalent units (“DEUs”)) from ownership calculations, thereby making our ownership requirements more robust.</w:t>
            </w:r>
          </w:p>
        </w:tc>
        <w:tc>
          <w:tcPr>
            <w:tcW w:w="216"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819"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585" w:type="dxa"/>
            <w:tcBorders/>
            <w:shd w:fill="E7E0EF" w:val="clear"/>
            <w:vAlign w:val="center"/>
          </w:tcPr>
          <w:p>
            <w:pPr>
              <w:pStyle w:val="TableContents"/>
              <w:bidi w:val="0"/>
              <w:spacing w:before="0" w:after="0"/>
              <w:jc w:val="left"/>
              <w:rPr/>
            </w:pPr>
            <w:r>
              <w:rPr/>
              <w:t> </w:t>
            </w:r>
          </w:p>
        </w:tc>
        <w:tc>
          <w:tcPr>
            <w:tcW w:w="216" w:type="dxa"/>
            <w:tcBorders/>
            <w:shd w:fill="E7E0EF" w:val="clear"/>
            <w:vAlign w:val="center"/>
          </w:tcPr>
          <w:p>
            <w:pPr>
              <w:pStyle w:val="TableContents"/>
              <w:bidi w:val="0"/>
              <w:spacing w:before="0" w:after="0"/>
              <w:jc w:val="left"/>
              <w:rPr/>
            </w:pPr>
            <w:r>
              <w:rPr/>
              <w:t> </w:t>
            </w:r>
          </w:p>
        </w:tc>
      </w:tr>
    </w:tbl>
    <w:tbl>
      <w:tblPr>
        <w:tblW w:w="4875" w:type="dxa"/>
        <w:jc w:val="left"/>
        <w:tblInd w:w="1060" w:type="dxa"/>
        <w:tblLayout w:type="fixed"/>
        <w:tblCellMar>
          <w:top w:w="0" w:type="dxa"/>
          <w:left w:w="0" w:type="dxa"/>
          <w:bottom w:w="0" w:type="dxa"/>
          <w:right w:w="0" w:type="dxa"/>
        </w:tblCellMar>
      </w:tblPr>
      <w:tblGrid>
        <w:gridCol w:w="2375"/>
        <w:gridCol w:w="170"/>
        <w:gridCol w:w="170"/>
        <w:gridCol w:w="2160"/>
      </w:tblGrid>
      <w:tr>
        <w:trPr/>
        <w:tc>
          <w:tcPr>
            <w:tcW w:w="23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375"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4 | 2025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4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2" descr=""/>
                          <pic:cNvPicPr>
                            <a:picLocks noChangeAspect="1" noChangeArrowheads="1"/>
                          </pic:cNvPicPr>
                        </pic:nvPicPr>
                        <pic:blipFill>
                          <a:blip r:embed="rId41"/>
                          <a:stretch>
                            <a:fillRect/>
                          </a:stretch>
                        </pic:blipFill>
                        <pic:spPr bwMode="auto">
                          <a:xfrm>
                            <a:off x="0" y="0"/>
                            <a:ext cx="1323975" cy="352425"/>
                          </a:xfrm>
                          <a:prstGeom prst="rect">
                            <a:avLst/>
                          </a:prstGeom>
                        </pic:spPr>
                      </pic:pic>
                    </a:graphicData>
                  </a:graphic>
                </wp:inline>
              </w:drawing>
            </w:r>
          </w:p>
        </w:tc>
      </w:tr>
      <w:tr>
        <w:trPr/>
        <w:tc>
          <w:tcPr>
            <w:tcW w:w="23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4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3" descr=""/>
                    <pic:cNvPicPr>
                      <a:picLocks noChangeAspect="1" noChangeArrowheads="1"/>
                    </pic:cNvPicPr>
                  </pic:nvPicPr>
                  <pic:blipFill>
                    <a:blip r:embed="rId42"/>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25" w:name="ny20055082x771_def14a_105-company_pg5"/>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right"/>
        <w:rPr>
          <w:caps/>
          <w:color w:val="1F1C6B"/>
          <w:u w:val="single"/>
        </w:rPr>
      </w:pPr>
      <w:r>
        <w:rPr>
          <w:caps/>
          <w:color w:val="1F1C6B"/>
          <w:u w:val="single"/>
        </w:rPr>
        <w:t> </w:t>
      </w:r>
      <w:r>
        <w:rPr>
          <w:rFonts w:ascii="Arial;Helvetica;sans-serif" w:hAnsi="Arial;Helvetica;sans-serif"/>
          <w:caps/>
          <w:color w:val="1F1C6B"/>
          <w:sz w:val="18"/>
          <w:u w:val="single"/>
        </w:rPr>
        <w:t>A Strong Foundation for Performance and Impact </w:t>
      </w:r>
    </w:p>
    <w:p>
      <w:pPr>
        <w:pStyle w:val="TextBody"/>
        <w:bidi w:val="0"/>
        <w:spacing w:before="160" w:after="283"/>
        <w:ind w:left="1060" w:right="0" w:hanging="0"/>
        <w:jc w:val="left"/>
        <w:rPr>
          <w:rFonts w:ascii="Arial;Helvetica;sans-serif" w:hAnsi="Arial;Helvetica;sans-serif"/>
          <w:color w:val="72288A"/>
          <w:sz w:val="24"/>
        </w:rPr>
      </w:pPr>
      <w:r>
        <w:rPr>
          <w:rFonts w:ascii="Arial;Helvetica;sans-serif" w:hAnsi="Arial;Helvetica;sans-serif"/>
          <w:color w:val="72288A"/>
          <w:sz w:val="24"/>
        </w:rPr>
        <w:t xml:space="preserve">Board Structure and Oversight </w:t>
      </w:r>
    </w:p>
    <w:p>
      <w:pPr>
        <w:pStyle w:val="TextBody"/>
        <w:bidi w:val="0"/>
        <w:spacing w:before="20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Viatris’ Board and committees are structured to provide effective oversight and direction to our management team. </w:t>
      </w:r>
    </w:p>
    <w:tbl>
      <w:tblPr>
        <w:tblW w:w="9145" w:type="dxa"/>
        <w:jc w:val="left"/>
        <w:tblInd w:w="1060" w:type="dxa"/>
        <w:tblLayout w:type="fixed"/>
        <w:tblCellMar>
          <w:top w:w="0" w:type="dxa"/>
          <w:left w:w="0" w:type="dxa"/>
          <w:bottom w:w="0" w:type="dxa"/>
          <w:right w:w="0" w:type="dxa"/>
        </w:tblCellMar>
      </w:tblPr>
      <w:tblGrid>
        <w:gridCol w:w="185"/>
        <w:gridCol w:w="8745"/>
        <w:gridCol w:w="215"/>
      </w:tblGrid>
      <w:tr>
        <w:trPr/>
        <w:tc>
          <w:tcPr>
            <w:tcW w:w="185" w:type="dxa"/>
            <w:tcBorders/>
            <w:shd w:fill="FFF1C7" w:val="clear"/>
            <w:vAlign w:val="center"/>
          </w:tcPr>
          <w:p>
            <w:pPr>
              <w:pStyle w:val="TableContents"/>
              <w:bidi w:val="0"/>
              <w:spacing w:before="0" w:after="0"/>
              <w:jc w:val="left"/>
              <w:rPr/>
            </w:pPr>
            <w:r>
              <w:rPr/>
              <w:t> </w:t>
            </w:r>
          </w:p>
        </w:tc>
        <w:tc>
          <w:tcPr>
            <w:tcW w:w="8745" w:type="dxa"/>
            <w:tcBorders/>
            <w:shd w:fill="FFF1C7" w:val="clear"/>
            <w:vAlign w:val="center"/>
          </w:tcPr>
          <w:p>
            <w:pPr>
              <w:pStyle w:val="TableContents"/>
              <w:bidi w:val="0"/>
              <w:spacing w:before="0" w:after="0"/>
              <w:jc w:val="left"/>
              <w:rPr/>
            </w:pPr>
            <w:r>
              <w:rPr/>
              <w:t> </w:t>
            </w:r>
          </w:p>
        </w:tc>
        <w:tc>
          <w:tcPr>
            <w:tcW w:w="215" w:type="dxa"/>
            <w:tcBorders/>
            <w:shd w:fill="FFF1C7" w:val="clear"/>
            <w:vAlign w:val="center"/>
          </w:tcPr>
          <w:p>
            <w:pPr>
              <w:pStyle w:val="TableContents"/>
              <w:bidi w:val="0"/>
              <w:spacing w:before="0" w:after="0"/>
              <w:jc w:val="left"/>
              <w:rPr/>
            </w:pPr>
            <w:r>
              <w:rPr/>
              <w:t> </w:t>
            </w:r>
          </w:p>
        </w:tc>
      </w:tr>
      <w:tr>
        <w:trPr/>
        <w:tc>
          <w:tcPr>
            <w:tcW w:w="185" w:type="dxa"/>
            <w:tcBorders/>
            <w:shd w:fill="FFF1C7" w:val="clear"/>
            <w:vAlign w:val="center"/>
          </w:tcPr>
          <w:p>
            <w:pPr>
              <w:pStyle w:val="TableContents"/>
              <w:bidi w:val="0"/>
              <w:spacing w:before="0" w:after="0"/>
              <w:jc w:val="left"/>
              <w:rPr/>
            </w:pPr>
            <w:r>
              <w:rPr/>
              <w:t> </w:t>
            </w:r>
          </w:p>
        </w:tc>
        <w:tc>
          <w:tcPr>
            <w:tcW w:w="8745" w:type="dxa"/>
            <w:tcBorders/>
            <w:shd w:fill="FFF1C7" w:val="clear"/>
            <w:vAlign w:val="center"/>
          </w:tcPr>
          <w:p>
            <w:pPr>
              <w:pStyle w:val="TableContents"/>
              <w:bidi w:val="0"/>
              <w:spacing w:before="0" w:after="283"/>
              <w:ind w:left="60" w:right="0" w:hanging="0"/>
              <w:jc w:val="left"/>
              <w:rPr>
                <w:rFonts w:ascii="Arial;Helvetica;sans-serif" w:hAnsi="Arial;Helvetica;sans-serif"/>
                <w:b/>
                <w:color w:val="72288A"/>
                <w:sz w:val="18"/>
              </w:rPr>
            </w:pPr>
            <w:r>
              <w:rPr>
                <w:rFonts w:ascii="Arial;Helvetica;sans-serif" w:hAnsi="Arial;Helvetica;sans-serif"/>
                <w:b/>
                <w:color w:val="72288A"/>
                <w:sz w:val="18"/>
              </w:rPr>
              <w:t>Viatris has:</w:t>
            </w:r>
          </w:p>
        </w:tc>
        <w:tc>
          <w:tcPr>
            <w:tcW w:w="215" w:type="dxa"/>
            <w:tcBorders/>
            <w:shd w:fill="FFF1C7" w:val="clear"/>
            <w:vAlign w:val="center"/>
          </w:tcPr>
          <w:p>
            <w:pPr>
              <w:pStyle w:val="TableContents"/>
              <w:bidi w:val="0"/>
              <w:spacing w:before="0" w:after="0"/>
              <w:jc w:val="left"/>
              <w:rPr/>
            </w:pPr>
            <w:r>
              <w:rPr/>
              <w:t> </w:t>
            </w:r>
          </w:p>
        </w:tc>
      </w:tr>
      <w:tr>
        <w:trPr/>
        <w:tc>
          <w:tcPr>
            <w:tcW w:w="185" w:type="dxa"/>
            <w:tcBorders/>
            <w:shd w:fill="FFF1C7" w:val="clear"/>
            <w:vAlign w:val="center"/>
          </w:tcPr>
          <w:p>
            <w:pPr>
              <w:pStyle w:val="TableContents"/>
              <w:bidi w:val="0"/>
              <w:spacing w:before="0" w:after="0"/>
              <w:jc w:val="left"/>
              <w:rPr/>
            </w:pPr>
            <w:r>
              <w:rPr/>
              <w:t> </w:t>
            </w:r>
          </w:p>
        </w:tc>
        <w:tc>
          <w:tcPr>
            <w:tcW w:w="8745" w:type="dxa"/>
            <w:tcBorders/>
            <w:shd w:fill="FFF1C7" w:val="clear"/>
            <w:vAlign w:val="center"/>
          </w:tcPr>
          <w:p>
            <w:pPr>
              <w:pStyle w:val="TableContents"/>
              <w:bidi w:val="0"/>
              <w:spacing w:before="0" w:after="283"/>
              <w:ind w:left="260" w:right="0" w:hanging="0"/>
              <w:jc w:val="left"/>
              <w:rPr>
                <w:color w:val="636466"/>
              </w:rPr>
            </w:pPr>
            <w:r>
              <w:rPr>
                <w:color w:val="636466"/>
              </w:rPr>
              <w:t>• </w:t>
            </w:r>
          </w:p>
          <w:p>
            <w:pPr>
              <w:pStyle w:val="TableContents"/>
              <w:bidi w:val="0"/>
              <w:spacing w:before="0" w:after="283"/>
              <w:jc w:val="left"/>
              <w:rPr/>
            </w:pPr>
            <w:r>
              <w:rPr>
                <w:rFonts w:ascii="Arial;Helvetica;sans-serif" w:hAnsi="Arial;Helvetica;sans-serif"/>
                <w:b/>
                <w:color w:val="72288A"/>
                <w:sz w:val="18"/>
              </w:rPr>
              <w:t>An independent Chair</w:t>
            </w:r>
            <w:r>
              <w:rPr>
                <w:rFonts w:ascii="Arial;Helvetica;sans-serif" w:hAnsi="Arial;Helvetica;sans-serif"/>
                <w:b/>
                <w:color w:val="636466"/>
                <w:sz w:val="18"/>
              </w:rPr>
              <w:t xml:space="preserve"> of the Board </w:t>
            </w:r>
            <w:r>
              <w:rPr>
                <w:rFonts w:ascii="Arial;Helvetica;sans-serif" w:hAnsi="Arial;Helvetica;sans-serif"/>
                <w:b/>
                <w:color w:val="72288A"/>
                <w:sz w:val="18"/>
              </w:rPr>
              <w:t xml:space="preserve">(see page </w:t>
            </w:r>
            <w:hyperlink w:anchor="tAIN">
              <w:r>
                <w:rPr>
                  <w:rStyle w:val="InternetLink"/>
                  <w:rFonts w:ascii="Arial;Helvetica;sans-serif" w:hAnsi="Arial;Helvetica;sans-serif"/>
                  <w:b/>
                  <w:color w:val="000080"/>
                  <w:sz w:val="18"/>
                </w:rPr>
                <w:t>23</w:t>
              </w:r>
            </w:hyperlink>
            <w:r>
              <w:rPr>
                <w:rFonts w:ascii="Arial;Helvetica;sans-serif" w:hAnsi="Arial;Helvetica;sans-serif"/>
                <w:b/>
                <w:color w:val="72288A"/>
                <w:sz w:val="18"/>
              </w:rPr>
              <w:t>)</w:t>
            </w:r>
            <w:r>
              <w:rPr>
                <w:rFonts w:ascii="Arial;Helvetica;sans-serif" w:hAnsi="Arial;Helvetica;sans-serif"/>
                <w:b/>
                <w:color w:val="636466"/>
                <w:sz w:val="18"/>
              </w:rPr>
              <w:t>.</w:t>
            </w:r>
          </w:p>
        </w:tc>
        <w:tc>
          <w:tcPr>
            <w:tcW w:w="215" w:type="dxa"/>
            <w:tcBorders/>
            <w:shd w:fill="FFF1C7" w:val="clear"/>
            <w:vAlign w:val="center"/>
          </w:tcPr>
          <w:p>
            <w:pPr>
              <w:pStyle w:val="TableContents"/>
              <w:bidi w:val="0"/>
              <w:spacing w:before="0" w:after="0"/>
              <w:jc w:val="left"/>
              <w:rPr/>
            </w:pPr>
            <w:r>
              <w:rPr/>
              <w:t> </w:t>
            </w:r>
          </w:p>
        </w:tc>
      </w:tr>
      <w:tr>
        <w:trPr/>
        <w:tc>
          <w:tcPr>
            <w:tcW w:w="185" w:type="dxa"/>
            <w:tcBorders/>
            <w:shd w:fill="FFF1C7" w:val="clear"/>
            <w:vAlign w:val="center"/>
          </w:tcPr>
          <w:p>
            <w:pPr>
              <w:pStyle w:val="TableContents"/>
              <w:bidi w:val="0"/>
              <w:spacing w:before="0" w:after="0"/>
              <w:jc w:val="left"/>
              <w:rPr/>
            </w:pPr>
            <w:r>
              <w:rPr/>
              <w:t> </w:t>
            </w:r>
          </w:p>
        </w:tc>
        <w:tc>
          <w:tcPr>
            <w:tcW w:w="8745" w:type="dxa"/>
            <w:tcBorders/>
            <w:shd w:fill="FFF1C7" w:val="clear"/>
            <w:vAlign w:val="center"/>
          </w:tcPr>
          <w:p>
            <w:pPr>
              <w:pStyle w:val="TableContents"/>
              <w:bidi w:val="0"/>
              <w:spacing w:before="0" w:after="283"/>
              <w:ind w:left="260" w:right="0" w:hanging="0"/>
              <w:jc w:val="left"/>
              <w:rPr>
                <w:color w:val="636466"/>
              </w:rPr>
            </w:pPr>
            <w:r>
              <w:rPr>
                <w:color w:val="636466"/>
              </w:rPr>
              <w:t>• </w:t>
            </w:r>
          </w:p>
          <w:p>
            <w:pPr>
              <w:pStyle w:val="TableContents"/>
              <w:bidi w:val="0"/>
              <w:spacing w:before="0" w:after="283"/>
              <w:jc w:val="left"/>
              <w:rPr/>
            </w:pPr>
            <w:r>
              <w:rPr>
                <w:rFonts w:ascii="Arial;Helvetica;sans-serif" w:hAnsi="Arial;Helvetica;sans-serif"/>
                <w:b/>
                <w:color w:val="636466"/>
                <w:sz w:val="18"/>
              </w:rPr>
              <w:t xml:space="preserve">A Board committee structure that supports </w:t>
            </w:r>
            <w:r>
              <w:rPr>
                <w:rFonts w:ascii="Arial;Helvetica;sans-serif" w:hAnsi="Arial;Helvetica;sans-serif"/>
                <w:b/>
                <w:color w:val="72288A"/>
                <w:sz w:val="18"/>
              </w:rPr>
              <w:t>comprehensive review and oversight of corporate strategy</w:t>
            </w:r>
            <w:r>
              <w:rPr>
                <w:rFonts w:ascii="Arial;Helvetica;sans-serif" w:hAnsi="Arial;Helvetica;sans-serif"/>
                <w:b/>
                <w:color w:val="636466"/>
                <w:sz w:val="18"/>
              </w:rPr>
              <w:t xml:space="preserve">; management and performance; enterprise, operational, and commercial risk management; culture and human capital management; global drug pricing and commercialization; environmental and corporate sustainability matters; information security; and global developments, among many other matters </w:t>
            </w:r>
            <w:r>
              <w:rPr>
                <w:rFonts w:ascii="Arial;Helvetica;sans-serif" w:hAnsi="Arial;Helvetica;sans-serif"/>
                <w:b/>
                <w:color w:val="72288A"/>
                <w:sz w:val="18"/>
              </w:rPr>
              <w:t xml:space="preserve">(see pages </w:t>
            </w:r>
            <w:hyperlink w:anchor="tACK">
              <w:r>
                <w:rPr>
                  <w:rStyle w:val="InternetLink"/>
                  <w:rFonts w:ascii="Arial;Helvetica;sans-serif" w:hAnsi="Arial;Helvetica;sans-serif"/>
                  <w:b/>
                  <w:color w:val="000080"/>
                  <w:sz w:val="18"/>
                </w:rPr>
                <w:t>26</w:t>
              </w:r>
            </w:hyperlink>
            <w:r>
              <w:rPr>
                <w:rFonts w:ascii="Arial;Helvetica;sans-serif" w:hAnsi="Arial;Helvetica;sans-serif"/>
                <w:b/>
                <w:color w:val="72288A"/>
                <w:sz w:val="18"/>
              </w:rPr>
              <w:t xml:space="preserve"> to </w:t>
            </w:r>
            <w:hyperlink w:anchor="tRPR">
              <w:r>
                <w:rPr>
                  <w:rStyle w:val="InternetLink"/>
                  <w:rFonts w:ascii="Arial;Helvetica;sans-serif" w:hAnsi="Arial;Helvetica;sans-serif"/>
                  <w:b/>
                  <w:color w:val="000080"/>
                  <w:sz w:val="18"/>
                </w:rPr>
                <w:t>28</w:t>
              </w:r>
            </w:hyperlink>
            <w:r>
              <w:rPr>
                <w:rFonts w:ascii="Arial;Helvetica;sans-serif" w:hAnsi="Arial;Helvetica;sans-serif"/>
                <w:b/>
                <w:color w:val="72288A"/>
                <w:sz w:val="18"/>
              </w:rPr>
              <w:t>)</w:t>
            </w:r>
            <w:r>
              <w:rPr>
                <w:rFonts w:ascii="Arial;Helvetica;sans-serif" w:hAnsi="Arial;Helvetica;sans-serif"/>
                <w:b/>
                <w:color w:val="636466"/>
                <w:sz w:val="18"/>
              </w:rPr>
              <w:t>.</w:t>
            </w:r>
          </w:p>
        </w:tc>
        <w:tc>
          <w:tcPr>
            <w:tcW w:w="215" w:type="dxa"/>
            <w:tcBorders/>
            <w:shd w:fill="FFF1C7" w:val="clear"/>
            <w:vAlign w:val="center"/>
          </w:tcPr>
          <w:p>
            <w:pPr>
              <w:pStyle w:val="TableContents"/>
              <w:bidi w:val="0"/>
              <w:spacing w:before="0" w:after="0"/>
              <w:jc w:val="left"/>
              <w:rPr/>
            </w:pPr>
            <w:r>
              <w:rPr/>
              <w:t> </w:t>
            </w:r>
          </w:p>
        </w:tc>
      </w:tr>
      <w:tr>
        <w:trPr/>
        <w:tc>
          <w:tcPr>
            <w:tcW w:w="185" w:type="dxa"/>
            <w:tcBorders/>
            <w:shd w:fill="FFF1C7" w:val="clear"/>
            <w:vAlign w:val="center"/>
          </w:tcPr>
          <w:p>
            <w:pPr>
              <w:pStyle w:val="TableContents"/>
              <w:bidi w:val="0"/>
              <w:spacing w:before="0" w:after="0"/>
              <w:jc w:val="left"/>
              <w:rPr/>
            </w:pPr>
            <w:r>
              <w:rPr/>
              <w:t> </w:t>
            </w:r>
          </w:p>
        </w:tc>
        <w:tc>
          <w:tcPr>
            <w:tcW w:w="8745" w:type="dxa"/>
            <w:tcBorders/>
            <w:shd w:fill="FFF1C7" w:val="clear"/>
            <w:vAlign w:val="center"/>
          </w:tcPr>
          <w:p>
            <w:pPr>
              <w:pStyle w:val="TableContents"/>
              <w:bidi w:val="0"/>
              <w:spacing w:before="0" w:after="283"/>
              <w:ind w:left="260" w:right="0" w:hanging="0"/>
              <w:jc w:val="left"/>
              <w:rPr>
                <w:color w:val="636466"/>
              </w:rPr>
            </w:pPr>
            <w:r>
              <w:rPr>
                <w:color w:val="636466"/>
              </w:rPr>
              <w:t>• </w:t>
            </w:r>
          </w:p>
          <w:p>
            <w:pPr>
              <w:pStyle w:val="TableContents"/>
              <w:bidi w:val="0"/>
              <w:spacing w:before="0" w:after="283"/>
              <w:jc w:val="left"/>
              <w:rPr/>
            </w:pPr>
            <w:r>
              <w:rPr>
                <w:rFonts w:ascii="Arial;Helvetica;sans-serif" w:hAnsi="Arial;Helvetica;sans-serif"/>
                <w:b/>
                <w:color w:val="72288A"/>
                <w:sz w:val="18"/>
              </w:rPr>
              <w:t>An active Board refreshment process</w:t>
            </w:r>
            <w:r>
              <w:rPr>
                <w:rFonts w:ascii="Arial;Helvetica;sans-serif" w:hAnsi="Arial;Helvetica;sans-serif"/>
                <w:b/>
                <w:color w:val="636466"/>
                <w:sz w:val="18"/>
              </w:rPr>
              <w:t xml:space="preserve"> that seeks to identify a diverse talent pool of qualified candidates for consideration </w:t>
            </w:r>
            <w:r>
              <w:rPr>
                <w:rFonts w:ascii="Arial;Helvetica;sans-serif" w:hAnsi="Arial;Helvetica;sans-serif"/>
                <w:b/>
                <w:color w:val="72288A"/>
                <w:sz w:val="18"/>
              </w:rPr>
              <w:t xml:space="preserve">(see pages </w:t>
            </w:r>
            <w:hyperlink w:anchor="tBRA">
              <w:r>
                <w:rPr>
                  <w:rStyle w:val="InternetLink"/>
                  <w:rFonts w:ascii="Arial;Helvetica;sans-serif" w:hAnsi="Arial;Helvetica;sans-serif"/>
                  <w:b/>
                  <w:color w:val="000080"/>
                  <w:sz w:val="18"/>
                </w:rPr>
                <w:t>28</w:t>
              </w:r>
            </w:hyperlink>
            <w:r>
              <w:rPr>
                <w:rFonts w:ascii="Arial;Helvetica;sans-serif" w:hAnsi="Arial;Helvetica;sans-serif"/>
                <w:b/>
                <w:color w:val="72288A"/>
                <w:sz w:val="18"/>
              </w:rPr>
              <w:t xml:space="preserve"> to </w:t>
            </w:r>
            <w:hyperlink w:anchor="tTBH">
              <w:r>
                <w:rPr>
                  <w:rStyle w:val="InternetLink"/>
                  <w:rFonts w:ascii="Arial;Helvetica;sans-serif" w:hAnsi="Arial;Helvetica;sans-serif"/>
                  <w:b/>
                  <w:color w:val="000080"/>
                  <w:sz w:val="18"/>
                </w:rPr>
                <w:t>29</w:t>
              </w:r>
            </w:hyperlink>
            <w:r>
              <w:rPr>
                <w:rFonts w:ascii="Arial;Helvetica;sans-serif" w:hAnsi="Arial;Helvetica;sans-serif"/>
                <w:b/>
                <w:color w:val="72288A"/>
                <w:sz w:val="18"/>
              </w:rPr>
              <w:t>)</w:t>
            </w:r>
            <w:r>
              <w:rPr>
                <w:rFonts w:ascii="Arial;Helvetica;sans-serif" w:hAnsi="Arial;Helvetica;sans-serif"/>
                <w:b/>
                <w:color w:val="636466"/>
                <w:sz w:val="18"/>
              </w:rPr>
              <w:t xml:space="preserve">. The Board has </w:t>
            </w:r>
            <w:r>
              <w:rPr>
                <w:rFonts w:ascii="Arial;Helvetica;sans-serif" w:hAnsi="Arial;Helvetica;sans-serif"/>
                <w:b/>
                <w:color w:val="72288A"/>
                <w:sz w:val="18"/>
              </w:rPr>
              <w:t>appointed seven new Directors</w:t>
            </w:r>
            <w:r>
              <w:rPr>
                <w:rFonts w:ascii="Arial;Helvetica;sans-serif" w:hAnsi="Arial;Helvetica;sans-serif"/>
                <w:b/>
                <w:color w:val="636466"/>
                <w:sz w:val="18"/>
              </w:rPr>
              <w:t xml:space="preserve"> since December 2022.</w:t>
            </w:r>
          </w:p>
        </w:tc>
        <w:tc>
          <w:tcPr>
            <w:tcW w:w="215" w:type="dxa"/>
            <w:tcBorders/>
            <w:shd w:fill="FFF1C7" w:val="clear"/>
            <w:vAlign w:val="center"/>
          </w:tcPr>
          <w:p>
            <w:pPr>
              <w:pStyle w:val="TableContents"/>
              <w:bidi w:val="0"/>
              <w:spacing w:before="0" w:after="0"/>
              <w:jc w:val="left"/>
              <w:rPr/>
            </w:pPr>
            <w:r>
              <w:rPr/>
              <w:t> </w:t>
            </w:r>
          </w:p>
        </w:tc>
      </w:tr>
      <w:tr>
        <w:trPr/>
        <w:tc>
          <w:tcPr>
            <w:tcW w:w="185" w:type="dxa"/>
            <w:tcBorders/>
            <w:shd w:fill="FFF1C7" w:val="clear"/>
            <w:vAlign w:val="center"/>
          </w:tcPr>
          <w:p>
            <w:pPr>
              <w:pStyle w:val="TableContents"/>
              <w:bidi w:val="0"/>
              <w:spacing w:before="0" w:after="0"/>
              <w:jc w:val="left"/>
              <w:rPr/>
            </w:pPr>
            <w:r>
              <w:rPr/>
              <w:t> </w:t>
            </w:r>
          </w:p>
        </w:tc>
        <w:tc>
          <w:tcPr>
            <w:tcW w:w="8745" w:type="dxa"/>
            <w:tcBorders/>
            <w:shd w:fill="FFF1C7" w:val="clear"/>
            <w:vAlign w:val="center"/>
          </w:tcPr>
          <w:p>
            <w:pPr>
              <w:pStyle w:val="TableContents"/>
              <w:bidi w:val="0"/>
              <w:spacing w:before="0" w:after="283"/>
              <w:ind w:left="260" w:right="0" w:hanging="0"/>
              <w:jc w:val="left"/>
              <w:rPr>
                <w:color w:val="636466"/>
              </w:rPr>
            </w:pPr>
            <w:r>
              <w:rPr>
                <w:color w:val="636466"/>
              </w:rPr>
              <w:t>• </w:t>
            </w:r>
          </w:p>
          <w:p>
            <w:pPr>
              <w:pStyle w:val="TableContents"/>
              <w:bidi w:val="0"/>
              <w:spacing w:before="0" w:after="283"/>
              <w:jc w:val="left"/>
              <w:rPr>
                <w:rFonts w:ascii="Arial;Helvetica;sans-serif" w:hAnsi="Arial;Helvetica;sans-serif"/>
                <w:b/>
                <w:color w:val="636466"/>
                <w:sz w:val="18"/>
              </w:rPr>
            </w:pPr>
            <w:r>
              <w:rPr>
                <w:rFonts w:ascii="Arial;Helvetica;sans-serif" w:hAnsi="Arial;Helvetica;sans-serif"/>
                <w:b/>
                <w:color w:val="636466"/>
                <w:sz w:val="18"/>
              </w:rPr>
              <w:t xml:space="preserve">The following standing Board committees: </w:t>
            </w:r>
            <w:r>
              <w:rPr>
                <w:rFonts w:ascii="Arial;Helvetica;sans-serif" w:hAnsi="Arial;Helvetica;sans-serif"/>
                <w:b/>
                <w:color w:val="72288A"/>
                <w:sz w:val="18"/>
              </w:rPr>
              <w:t>Audit, Compensation, Compliance and Risk Oversight, Executive, Finance, Governance and Sustainability, and Science and Technology</w:t>
            </w:r>
            <w:r>
              <w:rPr>
                <w:rFonts w:ascii="Arial;Helvetica;sans-serif" w:hAnsi="Arial;Helvetica;sans-serif"/>
                <w:b/>
                <w:color w:val="636466"/>
                <w:sz w:val="18"/>
              </w:rPr>
              <w:t>.</w:t>
            </w:r>
          </w:p>
        </w:tc>
        <w:tc>
          <w:tcPr>
            <w:tcW w:w="215" w:type="dxa"/>
            <w:tcBorders/>
            <w:shd w:fill="FFF1C7" w:val="clear"/>
            <w:vAlign w:val="center"/>
          </w:tcPr>
          <w:p>
            <w:pPr>
              <w:pStyle w:val="TableContents"/>
              <w:bidi w:val="0"/>
              <w:spacing w:before="0" w:after="0"/>
              <w:jc w:val="left"/>
              <w:rPr/>
            </w:pPr>
            <w:r>
              <w:rPr/>
              <w:t> </w:t>
            </w:r>
          </w:p>
        </w:tc>
      </w:tr>
      <w:tr>
        <w:trPr/>
        <w:tc>
          <w:tcPr>
            <w:tcW w:w="185" w:type="dxa"/>
            <w:tcBorders/>
            <w:shd w:fill="FFF1C7" w:val="clear"/>
            <w:vAlign w:val="center"/>
          </w:tcPr>
          <w:p>
            <w:pPr>
              <w:pStyle w:val="TableContents"/>
              <w:bidi w:val="0"/>
              <w:spacing w:before="0" w:after="0"/>
              <w:jc w:val="left"/>
              <w:rPr/>
            </w:pPr>
            <w:r>
              <w:rPr/>
              <w:t> </w:t>
            </w:r>
          </w:p>
        </w:tc>
        <w:tc>
          <w:tcPr>
            <w:tcW w:w="8745" w:type="dxa"/>
            <w:tcBorders/>
            <w:shd w:fill="FFF1C7" w:val="clear"/>
            <w:vAlign w:val="center"/>
          </w:tcPr>
          <w:p>
            <w:pPr>
              <w:pStyle w:val="TableContents"/>
              <w:bidi w:val="0"/>
              <w:spacing w:before="0" w:after="283"/>
              <w:ind w:left="260" w:right="0" w:hanging="0"/>
              <w:jc w:val="left"/>
              <w:rPr>
                <w:color w:val="636466"/>
              </w:rPr>
            </w:pPr>
            <w:r>
              <w:rPr>
                <w:color w:val="636466"/>
              </w:rPr>
              <w:t>• </w:t>
            </w:r>
          </w:p>
          <w:p>
            <w:pPr>
              <w:pStyle w:val="TableContents"/>
              <w:bidi w:val="0"/>
              <w:spacing w:before="0" w:after="283"/>
              <w:jc w:val="left"/>
              <w:rPr/>
            </w:pPr>
            <w:r>
              <w:rPr>
                <w:rFonts w:ascii="Arial;Helvetica;sans-serif" w:hAnsi="Arial;Helvetica;sans-serif"/>
                <w:b/>
                <w:color w:val="636466"/>
                <w:sz w:val="18"/>
              </w:rPr>
              <w:t xml:space="preserve">Board members who have a wealth and variety of </w:t>
            </w:r>
            <w:r>
              <w:rPr>
                <w:rFonts w:ascii="Arial;Helvetica;sans-serif" w:hAnsi="Arial;Helvetica;sans-serif"/>
                <w:b/>
                <w:color w:val="72288A"/>
                <w:sz w:val="18"/>
              </w:rPr>
              <w:t xml:space="preserve">experience and expertise (see page </w:t>
            </w:r>
            <w:hyperlink w:anchor="tBD">
              <w:r>
                <w:rPr>
                  <w:rStyle w:val="InternetLink"/>
                  <w:rFonts w:ascii="Arial;Helvetica;sans-serif" w:hAnsi="Arial;Helvetica;sans-serif"/>
                  <w:b/>
                  <w:color w:val="000080"/>
                  <w:sz w:val="18"/>
                </w:rPr>
                <w:t>7</w:t>
              </w:r>
            </w:hyperlink>
            <w:r>
              <w:rPr>
                <w:rFonts w:ascii="Arial;Helvetica;sans-serif" w:hAnsi="Arial;Helvetica;sans-serif"/>
                <w:b/>
                <w:color w:val="72288A"/>
                <w:sz w:val="18"/>
              </w:rPr>
              <w:t>)</w:t>
            </w:r>
            <w:r>
              <w:rPr>
                <w:rFonts w:ascii="Arial;Helvetica;sans-serif" w:hAnsi="Arial;Helvetica;sans-serif"/>
                <w:b/>
                <w:color w:val="636466"/>
                <w:sz w:val="18"/>
              </w:rPr>
              <w:t xml:space="preserve"> and broad access to multiple levels of Company employees as well as external experts.</w:t>
            </w:r>
          </w:p>
        </w:tc>
        <w:tc>
          <w:tcPr>
            <w:tcW w:w="215" w:type="dxa"/>
            <w:tcBorders/>
            <w:shd w:fill="FFF1C7" w:val="clear"/>
            <w:vAlign w:val="center"/>
          </w:tcPr>
          <w:p>
            <w:pPr>
              <w:pStyle w:val="TableContents"/>
              <w:bidi w:val="0"/>
              <w:spacing w:before="0" w:after="0"/>
              <w:jc w:val="left"/>
              <w:rPr/>
            </w:pPr>
            <w:r>
              <w:rPr/>
              <w:t> </w:t>
            </w:r>
          </w:p>
        </w:tc>
      </w:tr>
      <w:tr>
        <w:trPr/>
        <w:tc>
          <w:tcPr>
            <w:tcW w:w="185" w:type="dxa"/>
            <w:tcBorders/>
            <w:shd w:fill="FFF1C7" w:val="clear"/>
            <w:vAlign w:val="center"/>
          </w:tcPr>
          <w:p>
            <w:pPr>
              <w:pStyle w:val="TableContents"/>
              <w:bidi w:val="0"/>
              <w:spacing w:before="0" w:after="0"/>
              <w:jc w:val="left"/>
              <w:rPr/>
            </w:pPr>
            <w:r>
              <w:rPr/>
              <w:t> </w:t>
            </w:r>
          </w:p>
        </w:tc>
        <w:tc>
          <w:tcPr>
            <w:tcW w:w="8745" w:type="dxa"/>
            <w:tcBorders/>
            <w:shd w:fill="FFF1C7" w:val="clear"/>
            <w:vAlign w:val="center"/>
          </w:tcPr>
          <w:p>
            <w:pPr>
              <w:pStyle w:val="TableContents"/>
              <w:bidi w:val="0"/>
              <w:spacing w:before="0" w:after="0"/>
              <w:jc w:val="left"/>
              <w:rPr/>
            </w:pPr>
            <w:r>
              <w:rPr/>
              <w:t> </w:t>
            </w:r>
          </w:p>
        </w:tc>
        <w:tc>
          <w:tcPr>
            <w:tcW w:w="215" w:type="dxa"/>
            <w:tcBorders/>
            <w:shd w:fill="FFF1C7" w:val="clear"/>
            <w:vAlign w:val="center"/>
          </w:tcPr>
          <w:p>
            <w:pPr>
              <w:pStyle w:val="TableContents"/>
              <w:bidi w:val="0"/>
              <w:spacing w:before="0" w:after="0"/>
              <w:jc w:val="left"/>
              <w:rPr/>
            </w:pPr>
            <w:r>
              <w:rPr/>
              <w:t> </w:t>
            </w:r>
          </w:p>
        </w:tc>
      </w:tr>
    </w:tbl>
    <w:p>
      <w:pPr>
        <w:pStyle w:val="TextBody"/>
        <w:bidi w:val="0"/>
        <w:spacing w:before="32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In addition, we believe that Viatris’ incorporation in Delaware further supports our shareholder-centric model. Our corporate governance structure includes, among other things: </w:t>
      </w:r>
    </w:p>
    <w:tbl>
      <w:tblPr>
        <w:tblW w:w="5065" w:type="dxa"/>
        <w:jc w:val="left"/>
        <w:tblInd w:w="1060" w:type="dxa"/>
        <w:tblLayout w:type="fixed"/>
        <w:tblCellMar>
          <w:top w:w="0" w:type="dxa"/>
          <w:left w:w="0" w:type="dxa"/>
          <w:bottom w:w="0" w:type="dxa"/>
          <w:right w:w="0" w:type="dxa"/>
        </w:tblCellMar>
      </w:tblPr>
      <w:tblGrid>
        <w:gridCol w:w="140"/>
        <w:gridCol w:w="4925"/>
      </w:tblGrid>
      <w:tr>
        <w:trPr/>
        <w:tc>
          <w:tcPr>
            <w:tcW w:w="140" w:type="dxa"/>
            <w:tcBorders/>
            <w:vAlign w:val="center"/>
          </w:tcPr>
          <w:p>
            <w:pPr>
              <w:pStyle w:val="TableContents"/>
              <w:bidi w:val="0"/>
              <w:spacing w:before="0" w:after="0"/>
              <w:jc w:val="left"/>
              <w:rPr>
                <w:color w:val="636466"/>
              </w:rPr>
            </w:pPr>
            <w:r>
              <w:rPr>
                <w:color w:val="636466"/>
              </w:rPr>
              <w:t>•</w:t>
            </w:r>
          </w:p>
        </w:tc>
        <w:tc>
          <w:tcPr>
            <w:tcW w:w="492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A one share, one vote single common stock class structure; </w:t>
            </w:r>
          </w:p>
        </w:tc>
      </w:tr>
    </w:tbl>
    <w:tbl>
      <w:tblPr>
        <w:tblW w:w="4390" w:type="dxa"/>
        <w:jc w:val="left"/>
        <w:tblInd w:w="1060" w:type="dxa"/>
        <w:tblLayout w:type="fixed"/>
        <w:tblCellMar>
          <w:top w:w="0" w:type="dxa"/>
          <w:left w:w="0" w:type="dxa"/>
          <w:bottom w:w="0" w:type="dxa"/>
          <w:right w:w="0" w:type="dxa"/>
        </w:tblCellMar>
      </w:tblPr>
      <w:tblGrid>
        <w:gridCol w:w="140"/>
        <w:gridCol w:w="4250"/>
      </w:tblGrid>
      <w:tr>
        <w:trPr/>
        <w:tc>
          <w:tcPr>
            <w:tcW w:w="140" w:type="dxa"/>
            <w:tcBorders/>
            <w:vAlign w:val="center"/>
          </w:tcPr>
          <w:p>
            <w:pPr>
              <w:pStyle w:val="TableContents"/>
              <w:bidi w:val="0"/>
              <w:spacing w:before="0" w:after="0"/>
              <w:jc w:val="left"/>
              <w:rPr>
                <w:color w:val="636466"/>
              </w:rPr>
            </w:pPr>
            <w:r>
              <w:rPr>
                <w:color w:val="636466"/>
              </w:rPr>
              <w:t>•</w:t>
            </w:r>
          </w:p>
        </w:tc>
        <w:tc>
          <w:tcPr>
            <w:tcW w:w="4250"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A declassified board and annual director elections; </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A majority voting standard for uncontested director elections, with a director resignation provision as well as a majority vote requirement for other items to be voted on by shareholders (including amendments to our certificate of incorporation and bylaws); and </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Proxy access for director nominations that gives eligible shareholders (those who have continuously held shares of our common stock for at least three years, among other requirements) the ability to nominate and include in our proxy materials candidates for election to the Board. </w:t>
            </w:r>
          </w:p>
        </w:tc>
      </w:tr>
    </w:tbl>
    <w:p>
      <w:pPr>
        <w:pStyle w:val="TextBody"/>
        <w:bidi w:val="0"/>
        <w:spacing w:before="308" w:after="283"/>
        <w:ind w:left="1060" w:right="0" w:hanging="0"/>
        <w:jc w:val="left"/>
        <w:rPr/>
      </w:pPr>
      <w:r>
        <w:rPr>
          <w:rFonts w:ascii="Arial;Helvetica;sans-serif" w:hAnsi="Arial;Helvetica;sans-serif"/>
          <w:color w:val="636466"/>
          <w:sz w:val="18"/>
        </w:rPr>
        <w:t xml:space="preserve">For additional information regarding Board governance and oversight, please see pages </w:t>
      </w:r>
      <w:hyperlink w:anchor="tHOB">
        <w:r>
          <w:rPr>
            <w:rStyle w:val="InternetLink"/>
            <w:rFonts w:ascii="Arial;Helvetica;sans-serif" w:hAnsi="Arial;Helvetica;sans-serif"/>
            <w:color w:val="000080"/>
            <w:sz w:val="18"/>
          </w:rPr>
          <w:t>23</w:t>
        </w:r>
      </w:hyperlink>
      <w:r>
        <w:rPr>
          <w:rFonts w:ascii="Arial;Helvetica;sans-serif" w:hAnsi="Arial;Helvetica;sans-serif"/>
          <w:color w:val="636466"/>
          <w:sz w:val="18"/>
        </w:rPr>
        <w:t xml:space="preserve"> to </w:t>
      </w:r>
      <w:hyperlink w:anchor="tTGA">
        <w:r>
          <w:rPr>
            <w:rStyle w:val="InternetLink"/>
            <w:rFonts w:ascii="Arial;Helvetica;sans-serif" w:hAnsi="Arial;Helvetica;sans-serif"/>
            <w:color w:val="000080"/>
            <w:sz w:val="18"/>
          </w:rPr>
          <w:t>34</w:t>
        </w:r>
      </w:hyperlink>
      <w:r>
        <w:rPr>
          <w:rFonts w:ascii="Arial;Helvetica;sans-serif" w:hAnsi="Arial;Helvetica;sans-serif"/>
          <w:color w:val="636466"/>
          <w:sz w:val="18"/>
        </w:rPr>
        <w:t xml:space="preserve">. </w:t>
      </w:r>
    </w:p>
    <w:tbl>
      <w:tblPr>
        <w:tblW w:w="4875" w:type="dxa"/>
        <w:jc w:val="left"/>
        <w:tblInd w:w="1060" w:type="dxa"/>
        <w:tblLayout w:type="fixed"/>
        <w:tblCellMar>
          <w:top w:w="0" w:type="dxa"/>
          <w:left w:w="0" w:type="dxa"/>
          <w:bottom w:w="0" w:type="dxa"/>
          <w:right w:w="0" w:type="dxa"/>
        </w:tblCellMar>
      </w:tblPr>
      <w:tblGrid>
        <w:gridCol w:w="2130"/>
        <w:gridCol w:w="170"/>
        <w:gridCol w:w="170"/>
        <w:gridCol w:w="2405"/>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5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4" descr=""/>
                          <pic:cNvPicPr>
                            <a:picLocks noChangeAspect="1" noChangeArrowheads="1"/>
                          </pic:cNvPicPr>
                        </pic:nvPicPr>
                        <pic:blipFill>
                          <a:blip r:embed="rId43"/>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Statement | 5</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5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5" descr=""/>
                    <pic:cNvPicPr>
                      <a:picLocks noChangeAspect="1" noChangeArrowheads="1"/>
                    </pic:cNvPicPr>
                  </pic:nvPicPr>
                  <pic:blipFill>
                    <a:blip r:embed="rId44"/>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26" w:name="ny20055082x771_def14a_106-directors_pg1"/>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1060" w:right="0" w:hanging="0"/>
        <w:jc w:val="left"/>
        <w:rPr>
          <w:color w:val="000000"/>
        </w:rPr>
      </w:pPr>
      <w:r>
        <w:rPr>
          <w:color w:val="000000"/>
        </w:rPr>
        <w:drawing>
          <wp:inline distT="0" distB="0" distL="0" distR="0">
            <wp:extent cx="685800" cy="190500"/>
            <wp:effectExtent l="0" t="0" r="0" b="0"/>
            <wp:docPr id="5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6" descr=""/>
                    <pic:cNvPicPr>
                      <a:picLocks noChangeAspect="1" noChangeArrowheads="1"/>
                    </pic:cNvPicPr>
                  </pic:nvPicPr>
                  <pic:blipFill>
                    <a:blip r:embed="rId45"/>
                    <a:stretch>
                      <a:fillRect/>
                    </a:stretch>
                  </pic:blipFill>
                  <pic:spPr bwMode="auto">
                    <a:xfrm>
                      <a:off x="0" y="0"/>
                      <a:ext cx="685800" cy="190500"/>
                    </a:xfrm>
                    <a:prstGeom prst="rect">
                      <a:avLst/>
                    </a:prstGeom>
                  </pic:spPr>
                </pic:pic>
              </a:graphicData>
            </a:graphic>
          </wp:inline>
        </w:drawing>
      </w:r>
    </w:p>
    <w:p>
      <w:pPr>
        <w:pStyle w:val="TextBody"/>
        <w:bidi w:val="0"/>
        <w:spacing w:before="295" w:after="283"/>
        <w:ind w:left="1060" w:right="0" w:hanging="0"/>
        <w:jc w:val="left"/>
        <w:rPr>
          <w:rFonts w:ascii="Arial;Helvetica;sans-serif" w:hAnsi="Arial;Helvetica;sans-serif"/>
          <w:color w:val="1F1C6B"/>
          <w:sz w:val="44"/>
        </w:rPr>
      </w:pPr>
      <w:bookmarkStart w:id="27" w:name="tVBO"/>
      <w:bookmarkEnd w:id="27"/>
      <w:r>
        <w:rPr>
          <w:rFonts w:ascii="Arial;Helvetica;sans-serif" w:hAnsi="Arial;Helvetica;sans-serif"/>
          <w:color w:val="1F1C6B"/>
          <w:sz w:val="44"/>
        </w:rPr>
        <w:t xml:space="preserve">Viatris’ Board of Directors </w:t>
      </w:r>
    </w:p>
    <w:p>
      <w:pPr>
        <w:pStyle w:val="TextBody"/>
        <w:bidi w:val="0"/>
        <w:spacing w:before="240" w:after="283"/>
        <w:ind w:left="1060" w:right="0" w:hanging="0"/>
        <w:jc w:val="left"/>
        <w:rPr>
          <w:rFonts w:ascii="Arial;Helvetica;sans-serif" w:hAnsi="Arial;Helvetica;sans-serif"/>
          <w:color w:val="1F1C6B"/>
          <w:sz w:val="30"/>
        </w:rPr>
      </w:pPr>
      <w:r>
        <w:rPr>
          <w:rFonts w:ascii="Arial;Helvetica;sans-serif" w:hAnsi="Arial;Helvetica;sans-serif"/>
          <w:color w:val="1F1C6B"/>
          <w:sz w:val="30"/>
        </w:rPr>
        <w:t xml:space="preserve">Board Overview </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Viatris is committed to board refreshment and strong corporate governance. In particular, the Board has appointed seven new Directors since December 2022 and elected an independent Chair in 2023. We would like to recognize the valuable contributions of Mr. Korman and Mr. Malik, who have not been nominated for re-election at the 2025 Annual Meeting. As previously announced, each notified the Company of his intention to not stand for re-election at the 2025 Annual Meeting and to retire as a member of the Board at the end of his current term, which is scheduled to expire at the 2025 Annual Meeting.</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The Board and the Governance and Sustainability Committee believe that each of our Director nominees possesses the qualifications, experience, judgment, leadership, and business skills necessary to provide robust oversight of the Company in the complex and evolving healthcare environment in which we operate. We believe our seven newest Directors have added further strength to important areas of expertise for the Board, including members with strong scientific, regulatory, accounting, financial, legal and management experience. </w:t>
      </w:r>
    </w:p>
    <w:p>
      <w:pPr>
        <w:pStyle w:val="TextBody"/>
        <w:bidi w:val="0"/>
        <w:spacing w:before="240" w:after="283"/>
        <w:ind w:left="1060" w:right="0" w:hanging="0"/>
        <w:jc w:val="left"/>
        <w:rPr/>
      </w:pPr>
      <w:r>
        <w:rPr>
          <w:rFonts w:ascii="Arial;Helvetica;sans-serif" w:hAnsi="Arial;Helvetica;sans-serif"/>
          <w:color w:val="636466"/>
          <w:sz w:val="18"/>
        </w:rPr>
        <w:t xml:space="preserve">As discussed on pages </w:t>
      </w:r>
      <w:hyperlink w:anchor="tBRA">
        <w:r>
          <w:rPr>
            <w:rStyle w:val="InternetLink"/>
            <w:rFonts w:ascii="Arial;Helvetica;sans-serif" w:hAnsi="Arial;Helvetica;sans-serif"/>
            <w:color w:val="000080"/>
            <w:sz w:val="18"/>
          </w:rPr>
          <w:t>28</w:t>
        </w:r>
      </w:hyperlink>
      <w:r>
        <w:rPr>
          <w:rFonts w:ascii="Arial;Helvetica;sans-serif" w:hAnsi="Arial;Helvetica;sans-serif"/>
          <w:color w:val="636466"/>
          <w:sz w:val="18"/>
        </w:rPr>
        <w:t xml:space="preserve"> to </w:t>
      </w:r>
      <w:hyperlink w:anchor="tBRA1">
        <w:r>
          <w:rPr>
            <w:rStyle w:val="InternetLink"/>
            <w:rFonts w:ascii="Arial;Helvetica;sans-serif" w:hAnsi="Arial;Helvetica;sans-serif"/>
            <w:color w:val="000080"/>
            <w:sz w:val="18"/>
          </w:rPr>
          <w:t>29</w:t>
        </w:r>
      </w:hyperlink>
      <w:r>
        <w:rPr>
          <w:rFonts w:ascii="Arial;Helvetica;sans-serif" w:hAnsi="Arial;Helvetica;sans-serif"/>
          <w:color w:val="636466"/>
          <w:sz w:val="18"/>
        </w:rPr>
        <w:t xml:space="preserve"> and </w:t>
      </w:r>
      <w:hyperlink w:anchor="tHOD">
        <w:r>
          <w:rPr>
            <w:rStyle w:val="InternetLink"/>
            <w:rFonts w:ascii="Arial;Helvetica;sans-serif" w:hAnsi="Arial;Helvetica;sans-serif"/>
            <w:color w:val="000080"/>
            <w:sz w:val="18"/>
          </w:rPr>
          <w:t>34</w:t>
        </w:r>
      </w:hyperlink>
      <w:r>
        <w:rPr>
          <w:rFonts w:ascii="Arial;Helvetica;sans-serif" w:hAnsi="Arial;Helvetica;sans-serif"/>
          <w:color w:val="636466"/>
          <w:sz w:val="18"/>
        </w:rPr>
        <w:t xml:space="preserve"> to </w:t>
      </w:r>
      <w:hyperlink w:anchor="tHOD1">
        <w:r>
          <w:rPr>
            <w:rStyle w:val="InternetLink"/>
            <w:rFonts w:ascii="Arial;Helvetica;sans-serif" w:hAnsi="Arial;Helvetica;sans-serif"/>
            <w:color w:val="000080"/>
            <w:sz w:val="18"/>
          </w:rPr>
          <w:t>35</w:t>
        </w:r>
      </w:hyperlink>
      <w:r>
        <w:rPr>
          <w:rFonts w:ascii="Arial;Helvetica;sans-serif" w:hAnsi="Arial;Helvetica;sans-serif"/>
          <w:color w:val="636466"/>
          <w:sz w:val="18"/>
        </w:rPr>
        <w:t xml:space="preserve"> and as set forth in our Corporate Governance Principles, the Board seeks to identify, subject to and in accordance with applicable law, a diverse talent pool of qualified candidates for consideration as part of the Board’s refreshment and succession planning. The Board also seeks to combine the skills and experience of its long-standing Board members with the fresh perspectives, insights, skills, and experiences of new members. In connection with its refreshment process, the Board specifically sought individuals with C-suite level and/or pharmaceutical experience. </w:t>
      </w:r>
    </w:p>
    <w:p>
      <w:pPr>
        <w:pStyle w:val="TextBody"/>
        <w:bidi w:val="0"/>
        <w:spacing w:before="240" w:after="283"/>
        <w:ind w:left="1060" w:right="0" w:hanging="0"/>
        <w:jc w:val="left"/>
        <w:rPr/>
      </w:pPr>
      <w:r>
        <w:rPr>
          <w:rFonts w:ascii="Arial;Helvetica;sans-serif" w:hAnsi="Arial;Helvetica;sans-serif"/>
          <w:color w:val="636466"/>
          <w:sz w:val="18"/>
        </w:rPr>
        <w:t xml:space="preserve">The Board has always believed that varied experiences and perspectives help drive innovation and serve Viatris’ mission, both at the Board level and in management. The Diversity and Inclusion Policy of the Viatris Board, which is available on our website at https://www.viatris.com/en/About-Us/Corporate-Governance, formalizes this long-standing commitment, in all cases subject to and in accordance with applicable law, to fostering a culture of inclusion and seeking, supporting, valuing, and leveraging diversity in the Board’s composition with characteristics that the Board believes serve the best interests of the Company and its stakeholders. The Board also continuously reviews and assesses its composition through, among other things, its annual board and committee self-evaluation process. For more information about the annual board and committee self-evaluation process, see “Annual Board and Committee Self-Evaluations” on page </w:t>
      </w:r>
      <w:hyperlink w:anchor="tABA">
        <w:r>
          <w:rPr>
            <w:rStyle w:val="InternetLink"/>
            <w:rFonts w:ascii="Arial;Helvetica;sans-serif" w:hAnsi="Arial;Helvetica;sans-serif"/>
            <w:color w:val="000080"/>
            <w:sz w:val="18"/>
          </w:rPr>
          <w:t>29</w:t>
        </w:r>
      </w:hyperlink>
      <w:r>
        <w:rPr>
          <w:rFonts w:ascii="Arial;Helvetica;sans-serif" w:hAnsi="Arial;Helvetica;sans-serif"/>
          <w:color w:val="636466"/>
          <w:sz w:val="18"/>
        </w:rPr>
        <w:t xml:space="preserve">. </w:t>
      </w:r>
    </w:p>
    <w:p>
      <w:pPr>
        <w:pStyle w:val="TextBody"/>
        <w:bidi w:val="0"/>
        <w:spacing w:before="240" w:after="283"/>
        <w:ind w:left="1060" w:right="0" w:hanging="0"/>
        <w:jc w:val="left"/>
        <w:rPr/>
      </w:pPr>
      <w:r>
        <w:rPr>
          <w:rFonts w:ascii="Arial;Helvetica;sans-serif" w:hAnsi="Arial;Helvetica;sans-serif"/>
          <w:color w:val="636466"/>
          <w:sz w:val="18"/>
        </w:rPr>
        <w:t xml:space="preserve">The following table highlights certain of our Director nominees’ key skills and experience. A summary of the importance of each key skill and experience is also noted. As discussed in “How Our Directors Are Selected and Evaluated” beginning on page </w:t>
      </w:r>
      <w:hyperlink w:anchor="tHOD">
        <w:r>
          <w:rPr>
            <w:rStyle w:val="InternetLink"/>
            <w:rFonts w:ascii="Arial;Helvetica;sans-serif" w:hAnsi="Arial;Helvetica;sans-serif"/>
            <w:color w:val="000080"/>
            <w:sz w:val="18"/>
          </w:rPr>
          <w:t>34</w:t>
        </w:r>
      </w:hyperlink>
      <w:r>
        <w:rPr>
          <w:rFonts w:ascii="Arial;Helvetica;sans-serif" w:hAnsi="Arial;Helvetica;sans-serif"/>
          <w:color w:val="636466"/>
          <w:sz w:val="18"/>
        </w:rPr>
        <w:t>, our Director nominees’ key skills and experience are among the factors considered by the Governance and Sustainability Committee in nominating Director candidates. 12 of our 13 nominees for Director at the 2025 Annual Meeting are independent under the applicable NASDAQ Stock Market (“NASDAQ”) listing rules (and 13 of our 15 current Directors are independent).</w:t>
      </w:r>
    </w:p>
    <w:tbl>
      <w:tblPr>
        <w:tblW w:w="4875" w:type="dxa"/>
        <w:jc w:val="left"/>
        <w:tblInd w:w="1060" w:type="dxa"/>
        <w:tblLayout w:type="fixed"/>
        <w:tblCellMar>
          <w:top w:w="0" w:type="dxa"/>
          <w:left w:w="0" w:type="dxa"/>
          <w:bottom w:w="0" w:type="dxa"/>
          <w:right w:w="0" w:type="dxa"/>
        </w:tblCellMar>
      </w:tblPr>
      <w:tblGrid>
        <w:gridCol w:w="2375"/>
        <w:gridCol w:w="170"/>
        <w:gridCol w:w="170"/>
        <w:gridCol w:w="2160"/>
      </w:tblGrid>
      <w:tr>
        <w:trPr/>
        <w:tc>
          <w:tcPr>
            <w:tcW w:w="23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375"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6 | 2025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5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7" descr=""/>
                          <pic:cNvPicPr>
                            <a:picLocks noChangeAspect="1" noChangeArrowheads="1"/>
                          </pic:cNvPicPr>
                        </pic:nvPicPr>
                        <pic:blipFill>
                          <a:blip r:embed="rId46"/>
                          <a:stretch>
                            <a:fillRect/>
                          </a:stretch>
                        </pic:blipFill>
                        <pic:spPr bwMode="auto">
                          <a:xfrm>
                            <a:off x="0" y="0"/>
                            <a:ext cx="1323975" cy="352425"/>
                          </a:xfrm>
                          <a:prstGeom prst="rect">
                            <a:avLst/>
                          </a:prstGeom>
                        </pic:spPr>
                      </pic:pic>
                    </a:graphicData>
                  </a:graphic>
                </wp:inline>
              </w:drawing>
            </w:r>
          </w:p>
        </w:tc>
      </w:tr>
      <w:tr>
        <w:trPr/>
        <w:tc>
          <w:tcPr>
            <w:tcW w:w="23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54"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8" descr=""/>
                    <pic:cNvPicPr>
                      <a:picLocks noChangeAspect="1" noChangeArrowheads="1"/>
                    </pic:cNvPicPr>
                  </pic:nvPicPr>
                  <pic:blipFill>
                    <a:blip r:embed="rId47"/>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28" w:name="ny20055082x771_def14a_106-directors_pg2"/>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right"/>
        <w:rPr>
          <w:caps/>
          <w:color w:val="1F1C6B"/>
          <w:u w:val="single"/>
        </w:rPr>
      </w:pPr>
      <w:r>
        <w:rPr>
          <w:caps/>
          <w:color w:val="1F1C6B"/>
          <w:u w:val="single"/>
        </w:rPr>
        <w:t> </w:t>
      </w:r>
      <w:r>
        <w:rPr>
          <w:rFonts w:ascii="Arial;Helvetica;sans-serif" w:hAnsi="Arial;Helvetica;sans-serif"/>
          <w:caps/>
          <w:color w:val="1F1C6B"/>
          <w:sz w:val="18"/>
          <w:u w:val="single"/>
        </w:rPr>
        <w:t>Viatris’ Board of Directors </w:t>
      </w:r>
    </w:p>
    <w:p>
      <w:pPr>
        <w:pStyle w:val="Normal"/>
        <w:bidi w:val="0"/>
        <w:spacing w:before="0" w:after="0"/>
        <w:ind w:left="1060" w:right="0" w:hanging="0"/>
        <w:jc w:val="left"/>
        <w:rPr>
          <w:sz w:val="4"/>
          <w:szCs w:val="4"/>
        </w:rPr>
      </w:pPr>
      <w:r>
        <w:rPr>
          <w:sz w:val="4"/>
          <w:szCs w:val="4"/>
        </w:rPr>
      </w:r>
      <w:bookmarkStart w:id="29" w:name="tBD"/>
      <w:bookmarkStart w:id="30" w:name="tBD"/>
      <w:bookmarkEnd w:id="30"/>
    </w:p>
    <w:tbl>
      <w:tblPr>
        <w:tblW w:w="14890" w:type="dxa"/>
        <w:jc w:val="left"/>
        <w:tblInd w:w="1060" w:type="dxa"/>
        <w:tblLayout w:type="fixed"/>
        <w:tblCellMar>
          <w:top w:w="0" w:type="dxa"/>
          <w:left w:w="0" w:type="dxa"/>
          <w:bottom w:w="0" w:type="dxa"/>
          <w:right w:w="0" w:type="dxa"/>
        </w:tblCellMar>
      </w:tblPr>
      <w:tblGrid>
        <w:gridCol w:w="1145"/>
        <w:gridCol w:w="170"/>
        <w:gridCol w:w="170"/>
        <w:gridCol w:w="755"/>
        <w:gridCol w:w="170"/>
        <w:gridCol w:w="170"/>
        <w:gridCol w:w="770"/>
        <w:gridCol w:w="170"/>
        <w:gridCol w:w="170"/>
        <w:gridCol w:w="515"/>
        <w:gridCol w:w="170"/>
        <w:gridCol w:w="170"/>
        <w:gridCol w:w="590"/>
        <w:gridCol w:w="170"/>
        <w:gridCol w:w="170"/>
        <w:gridCol w:w="860"/>
        <w:gridCol w:w="170"/>
        <w:gridCol w:w="170"/>
        <w:gridCol w:w="665"/>
        <w:gridCol w:w="170"/>
        <w:gridCol w:w="170"/>
        <w:gridCol w:w="410"/>
        <w:gridCol w:w="170"/>
        <w:gridCol w:w="170"/>
        <w:gridCol w:w="425"/>
        <w:gridCol w:w="170"/>
        <w:gridCol w:w="170"/>
        <w:gridCol w:w="605"/>
        <w:gridCol w:w="170"/>
        <w:gridCol w:w="170"/>
        <w:gridCol w:w="740"/>
        <w:gridCol w:w="170"/>
        <w:gridCol w:w="170"/>
        <w:gridCol w:w="800"/>
        <w:gridCol w:w="170"/>
        <w:gridCol w:w="170"/>
        <w:gridCol w:w="515"/>
        <w:gridCol w:w="170"/>
        <w:gridCol w:w="170"/>
        <w:gridCol w:w="575"/>
        <w:gridCol w:w="170"/>
        <w:gridCol w:w="170"/>
        <w:gridCol w:w="545"/>
        <w:gridCol w:w="215"/>
      </w:tblGrid>
      <w:tr>
        <w:trPr/>
        <w:tc>
          <w:tcPr>
            <w:tcW w:w="1145" w:type="dxa"/>
            <w:tcBorders/>
            <w:vAlign w:val="center"/>
          </w:tcPr>
          <w:p>
            <w:pPr>
              <w:pStyle w:val="TableContents"/>
              <w:bidi w:val="0"/>
              <w:spacing w:before="0" w:after="0"/>
              <w:jc w:val="left"/>
              <w:rPr/>
            </w:pPr>
            <w:r>
              <w:rPr/>
              <w:t> </w:t>
            </w:r>
          </w:p>
        </w:tc>
        <w:tc>
          <w:tcPr>
            <w:tcW w:w="170" w:type="dxa"/>
            <w:tcBorders>
              <w:right w:val="single" w:sz="8" w:space="0" w:color="FFFFFF"/>
            </w:tcBorders>
            <w:tcMar>
              <w:right w:w="28" w:type="dxa"/>
            </w:tcM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55" w:type="dxa"/>
            <w:tcBorders/>
            <w:shd w:fill="1F1C6B" w:val="clear"/>
            <w:vAlign w:val="center"/>
          </w:tcPr>
          <w:p>
            <w:pPr>
              <w:pStyle w:val="TableContents"/>
              <w:bidi w:val="0"/>
              <w:spacing w:before="0" w:after="0"/>
              <w:jc w:val="left"/>
              <w:rPr/>
            </w:pPr>
            <w:r>
              <w:rPr/>
              <w:t> </w:t>
            </w:r>
          </w:p>
        </w:tc>
        <w:tc>
          <w:tcPr>
            <w:tcW w:w="170" w:type="dxa"/>
            <w:tcBorders>
              <w:right w:val="single" w:sz="8" w:space="0" w:color="FFFFFF"/>
            </w:tcBorders>
            <w:shd w:fill="1F1C6B" w:val="clear"/>
            <w:tcMar>
              <w:right w:w="28" w:type="dxa"/>
            </w:tcM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70" w:type="dxa"/>
            <w:tcBorders/>
            <w:shd w:fill="1F1C6B" w:val="clear"/>
            <w:vAlign w:val="center"/>
          </w:tcPr>
          <w:p>
            <w:pPr>
              <w:pStyle w:val="TableContents"/>
              <w:bidi w:val="0"/>
              <w:spacing w:before="0" w:after="0"/>
              <w:jc w:val="left"/>
              <w:rPr/>
            </w:pPr>
            <w:r>
              <w:rPr/>
              <w:t> </w:t>
            </w:r>
          </w:p>
        </w:tc>
        <w:tc>
          <w:tcPr>
            <w:tcW w:w="170" w:type="dxa"/>
            <w:tcBorders>
              <w:right w:val="single" w:sz="8" w:space="0" w:color="FFFFFF"/>
            </w:tcBorders>
            <w:shd w:fill="1F1C6B" w:val="clear"/>
            <w:tcMar>
              <w:right w:w="28" w:type="dxa"/>
            </w:tcM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515" w:type="dxa"/>
            <w:tcBorders/>
            <w:shd w:fill="1F1C6B" w:val="clear"/>
            <w:vAlign w:val="center"/>
          </w:tcPr>
          <w:p>
            <w:pPr>
              <w:pStyle w:val="TableContents"/>
              <w:bidi w:val="0"/>
              <w:spacing w:before="0" w:after="0"/>
              <w:jc w:val="left"/>
              <w:rPr/>
            </w:pPr>
            <w:r>
              <w:rPr/>
              <w:t> </w:t>
            </w:r>
          </w:p>
        </w:tc>
        <w:tc>
          <w:tcPr>
            <w:tcW w:w="170" w:type="dxa"/>
            <w:tcBorders>
              <w:right w:val="single" w:sz="8" w:space="0" w:color="FFFFFF"/>
            </w:tcBorders>
            <w:shd w:fill="1F1C6B" w:val="clear"/>
            <w:tcMar>
              <w:right w:w="28" w:type="dxa"/>
            </w:tcM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590" w:type="dxa"/>
            <w:tcBorders/>
            <w:shd w:fill="1F1C6B" w:val="clear"/>
            <w:vAlign w:val="center"/>
          </w:tcPr>
          <w:p>
            <w:pPr>
              <w:pStyle w:val="TableContents"/>
              <w:bidi w:val="0"/>
              <w:spacing w:before="0" w:after="0"/>
              <w:jc w:val="left"/>
              <w:rPr/>
            </w:pPr>
            <w:r>
              <w:rPr/>
              <w:t> </w:t>
            </w:r>
          </w:p>
        </w:tc>
        <w:tc>
          <w:tcPr>
            <w:tcW w:w="170" w:type="dxa"/>
            <w:tcBorders>
              <w:right w:val="single" w:sz="8" w:space="0" w:color="FFFFFF"/>
            </w:tcBorders>
            <w:shd w:fill="1F1C6B" w:val="clear"/>
            <w:tcMar>
              <w:right w:w="28" w:type="dxa"/>
            </w:tcM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60" w:type="dxa"/>
            <w:tcBorders/>
            <w:shd w:fill="1F1C6B" w:val="clear"/>
            <w:vAlign w:val="center"/>
          </w:tcPr>
          <w:p>
            <w:pPr>
              <w:pStyle w:val="TableContents"/>
              <w:bidi w:val="0"/>
              <w:spacing w:before="0" w:after="0"/>
              <w:jc w:val="left"/>
              <w:rPr/>
            </w:pPr>
            <w:r>
              <w:rPr/>
              <w:t> </w:t>
            </w:r>
          </w:p>
        </w:tc>
        <w:tc>
          <w:tcPr>
            <w:tcW w:w="170" w:type="dxa"/>
            <w:tcBorders>
              <w:right w:val="single" w:sz="8" w:space="0" w:color="FFFFFF"/>
            </w:tcBorders>
            <w:shd w:fill="1F1C6B" w:val="clear"/>
            <w:tcMar>
              <w:right w:w="28" w:type="dxa"/>
            </w:tcM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65" w:type="dxa"/>
            <w:tcBorders/>
            <w:shd w:fill="1F1C6B" w:val="clear"/>
            <w:vAlign w:val="center"/>
          </w:tcPr>
          <w:p>
            <w:pPr>
              <w:pStyle w:val="TableContents"/>
              <w:bidi w:val="0"/>
              <w:spacing w:before="0" w:after="0"/>
              <w:jc w:val="left"/>
              <w:rPr/>
            </w:pPr>
            <w:r>
              <w:rPr/>
              <w:t> </w:t>
            </w:r>
          </w:p>
        </w:tc>
        <w:tc>
          <w:tcPr>
            <w:tcW w:w="170" w:type="dxa"/>
            <w:tcBorders>
              <w:right w:val="single" w:sz="8" w:space="0" w:color="FFFFFF"/>
            </w:tcBorders>
            <w:shd w:fill="1F1C6B" w:val="clear"/>
            <w:tcMar>
              <w:right w:w="28" w:type="dxa"/>
            </w:tcM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410" w:type="dxa"/>
            <w:tcBorders/>
            <w:shd w:fill="1F1C6B" w:val="clear"/>
            <w:vAlign w:val="center"/>
          </w:tcPr>
          <w:p>
            <w:pPr>
              <w:pStyle w:val="TableContents"/>
              <w:bidi w:val="0"/>
              <w:spacing w:before="0" w:after="0"/>
              <w:jc w:val="left"/>
              <w:rPr/>
            </w:pPr>
            <w:r>
              <w:rPr/>
              <w:t> </w:t>
            </w:r>
          </w:p>
        </w:tc>
        <w:tc>
          <w:tcPr>
            <w:tcW w:w="170" w:type="dxa"/>
            <w:tcBorders>
              <w:right w:val="single" w:sz="8" w:space="0" w:color="FFFFFF"/>
            </w:tcBorders>
            <w:shd w:fill="1F1C6B" w:val="clear"/>
            <w:tcMar>
              <w:right w:w="28" w:type="dxa"/>
            </w:tcM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425" w:type="dxa"/>
            <w:tcBorders/>
            <w:shd w:fill="1F1C6B" w:val="clear"/>
            <w:vAlign w:val="center"/>
          </w:tcPr>
          <w:p>
            <w:pPr>
              <w:pStyle w:val="TableContents"/>
              <w:bidi w:val="0"/>
              <w:spacing w:before="0" w:after="0"/>
              <w:jc w:val="left"/>
              <w:rPr/>
            </w:pPr>
            <w:r>
              <w:rPr/>
              <w:t> </w:t>
            </w:r>
          </w:p>
        </w:tc>
        <w:tc>
          <w:tcPr>
            <w:tcW w:w="170" w:type="dxa"/>
            <w:tcBorders>
              <w:right w:val="single" w:sz="8" w:space="0" w:color="FFFFFF"/>
            </w:tcBorders>
            <w:shd w:fill="1F1C6B" w:val="clear"/>
            <w:tcMar>
              <w:right w:w="28" w:type="dxa"/>
            </w:tcM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05" w:type="dxa"/>
            <w:tcBorders/>
            <w:shd w:fill="1F1C6B" w:val="clear"/>
            <w:vAlign w:val="center"/>
          </w:tcPr>
          <w:p>
            <w:pPr>
              <w:pStyle w:val="TableContents"/>
              <w:bidi w:val="0"/>
              <w:spacing w:before="0" w:after="0"/>
              <w:jc w:val="left"/>
              <w:rPr/>
            </w:pPr>
            <w:r>
              <w:rPr/>
              <w:t> </w:t>
            </w:r>
          </w:p>
        </w:tc>
        <w:tc>
          <w:tcPr>
            <w:tcW w:w="170" w:type="dxa"/>
            <w:tcBorders>
              <w:right w:val="single" w:sz="8" w:space="0" w:color="FFFFFF"/>
            </w:tcBorders>
            <w:shd w:fill="1F1C6B" w:val="clear"/>
            <w:tcMar>
              <w:right w:w="28" w:type="dxa"/>
            </w:tcM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40" w:type="dxa"/>
            <w:tcBorders/>
            <w:shd w:fill="1F1C6B" w:val="clear"/>
            <w:vAlign w:val="center"/>
          </w:tcPr>
          <w:p>
            <w:pPr>
              <w:pStyle w:val="TableContents"/>
              <w:bidi w:val="0"/>
              <w:spacing w:before="0" w:after="0"/>
              <w:jc w:val="left"/>
              <w:rPr/>
            </w:pPr>
            <w:r>
              <w:rPr/>
              <w:t> </w:t>
            </w:r>
          </w:p>
        </w:tc>
        <w:tc>
          <w:tcPr>
            <w:tcW w:w="170" w:type="dxa"/>
            <w:tcBorders>
              <w:right w:val="single" w:sz="8" w:space="0" w:color="FFFFFF"/>
            </w:tcBorders>
            <w:shd w:fill="1F1C6B" w:val="clear"/>
            <w:tcMar>
              <w:right w:w="28" w:type="dxa"/>
            </w:tcM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00" w:type="dxa"/>
            <w:tcBorders/>
            <w:shd w:fill="1F1C6B" w:val="clear"/>
            <w:vAlign w:val="center"/>
          </w:tcPr>
          <w:p>
            <w:pPr>
              <w:pStyle w:val="TableContents"/>
              <w:bidi w:val="0"/>
              <w:spacing w:before="0" w:after="0"/>
              <w:jc w:val="left"/>
              <w:rPr/>
            </w:pPr>
            <w:r>
              <w:rPr/>
              <w:t> </w:t>
            </w:r>
          </w:p>
        </w:tc>
        <w:tc>
          <w:tcPr>
            <w:tcW w:w="170" w:type="dxa"/>
            <w:tcBorders>
              <w:right w:val="single" w:sz="8" w:space="0" w:color="FFFFFF"/>
            </w:tcBorders>
            <w:shd w:fill="1F1C6B" w:val="clear"/>
            <w:tcMar>
              <w:right w:w="28" w:type="dxa"/>
            </w:tcM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515" w:type="dxa"/>
            <w:tcBorders/>
            <w:shd w:fill="1F1C6B" w:val="clear"/>
            <w:vAlign w:val="center"/>
          </w:tcPr>
          <w:p>
            <w:pPr>
              <w:pStyle w:val="TableContents"/>
              <w:bidi w:val="0"/>
              <w:spacing w:before="0" w:after="0"/>
              <w:jc w:val="left"/>
              <w:rPr/>
            </w:pPr>
            <w:r>
              <w:rPr/>
              <w:t> </w:t>
            </w:r>
          </w:p>
        </w:tc>
        <w:tc>
          <w:tcPr>
            <w:tcW w:w="170" w:type="dxa"/>
            <w:tcBorders>
              <w:right w:val="single" w:sz="8" w:space="0" w:color="FFFFFF"/>
            </w:tcBorders>
            <w:shd w:fill="1F1C6B" w:val="clear"/>
            <w:tcMar>
              <w:right w:w="28" w:type="dxa"/>
            </w:tcM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575" w:type="dxa"/>
            <w:tcBorders/>
            <w:shd w:fill="1F1C6B" w:val="clear"/>
            <w:vAlign w:val="center"/>
          </w:tcPr>
          <w:p>
            <w:pPr>
              <w:pStyle w:val="TableContents"/>
              <w:bidi w:val="0"/>
              <w:spacing w:before="0" w:after="0"/>
              <w:jc w:val="left"/>
              <w:rPr/>
            </w:pPr>
            <w:r>
              <w:rPr/>
              <w:t> </w:t>
            </w:r>
          </w:p>
        </w:tc>
        <w:tc>
          <w:tcPr>
            <w:tcW w:w="170" w:type="dxa"/>
            <w:tcBorders>
              <w:right w:val="single" w:sz="8" w:space="0" w:color="FFFFFF"/>
            </w:tcBorders>
            <w:shd w:fill="1F1C6B" w:val="clear"/>
            <w:tcMar>
              <w:right w:w="28" w:type="dxa"/>
            </w:tcM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545"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145"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484484"/>
                <w:sz w:val="24"/>
              </w:rPr>
            </w:pPr>
            <w:r>
              <w:rPr>
                <w:rFonts w:ascii="Arial;Helvetica;sans-serif" w:hAnsi="Arial;Helvetica;sans-serif"/>
                <w:color w:val="484484"/>
                <w:sz w:val="24"/>
              </w:rPr>
              <w:t>Key Director Nominee Statistics</w:t>
            </w:r>
            <w:r>
              <w:rPr>
                <w:rFonts w:ascii="Arial;Helvetica;sans-serif" w:hAnsi="Arial;Helvetica;sans-serif"/>
                <w:color w:val="636466"/>
                <w:sz w:val="24"/>
              </w:rPr>
              <w:t xml:space="preserve"> </w:t>
            </w:r>
          </w:p>
        </w:tc>
        <w:tc>
          <w:tcPr>
            <w:tcW w:w="170" w:type="dxa"/>
            <w:tcBorders>
              <w:bottom w:val="single" w:sz="8" w:space="0" w:color="1F1C6B"/>
              <w:right w:val="single" w:sz="8" w:space="0" w:color="FFFFFF"/>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1F1C6B"/>
            </w:tcBorders>
            <w:shd w:fill="1F1C6B" w:val="clear"/>
            <w:tcMar>
              <w:bottom w:w="28" w:type="dxa"/>
            </w:tcMar>
            <w:vAlign w:val="center"/>
          </w:tcPr>
          <w:p>
            <w:pPr>
              <w:pStyle w:val="TableContents"/>
              <w:bidi w:val="0"/>
              <w:spacing w:before="0" w:after="0"/>
              <w:jc w:val="left"/>
              <w:rPr/>
            </w:pPr>
            <w:r>
              <w:rPr/>
              <w:t> </w:t>
            </w:r>
          </w:p>
        </w:tc>
        <w:tc>
          <w:tcPr>
            <w:tcW w:w="755" w:type="dxa"/>
            <w:tcBorders>
              <w:bottom w:val="single" w:sz="8" w:space="0" w:color="1F1C6B"/>
            </w:tcBorders>
            <w:shd w:fill="1F1C6B" w:val="clear"/>
            <w:tcMar>
              <w:bottom w:w="58" w:type="dxa"/>
            </w:tcM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Cornwell</w:t>
            </w:r>
          </w:p>
        </w:tc>
        <w:tc>
          <w:tcPr>
            <w:tcW w:w="170" w:type="dxa"/>
            <w:tcBorders>
              <w:bottom w:val="single" w:sz="8" w:space="0" w:color="1F1C6B"/>
              <w:right w:val="single" w:sz="8" w:space="0" w:color="FFFFFF"/>
            </w:tcBorders>
            <w:shd w:fill="1F1C6B"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1F1C6B"/>
            </w:tcBorders>
            <w:shd w:fill="1F1C6B" w:val="clear"/>
            <w:tcMar>
              <w:bottom w:w="28" w:type="dxa"/>
            </w:tcMar>
            <w:vAlign w:val="center"/>
          </w:tcPr>
          <w:p>
            <w:pPr>
              <w:pStyle w:val="TableContents"/>
              <w:bidi w:val="0"/>
              <w:spacing w:before="0" w:after="0"/>
              <w:jc w:val="left"/>
              <w:rPr/>
            </w:pPr>
            <w:r>
              <w:rPr/>
              <w:t> </w:t>
            </w:r>
          </w:p>
        </w:tc>
        <w:tc>
          <w:tcPr>
            <w:tcW w:w="770" w:type="dxa"/>
            <w:tcBorders>
              <w:bottom w:val="single" w:sz="8" w:space="0" w:color="1F1C6B"/>
            </w:tcBorders>
            <w:shd w:fill="1F1C6B" w:val="clear"/>
            <w:tcMar>
              <w:bottom w:w="58" w:type="dxa"/>
            </w:tcM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D’Amelio</w:t>
            </w:r>
          </w:p>
        </w:tc>
        <w:tc>
          <w:tcPr>
            <w:tcW w:w="170" w:type="dxa"/>
            <w:tcBorders>
              <w:bottom w:val="single" w:sz="8" w:space="0" w:color="1F1C6B"/>
              <w:right w:val="single" w:sz="8" w:space="0" w:color="FFFFFF"/>
            </w:tcBorders>
            <w:shd w:fill="1F1C6B"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1F1C6B"/>
            </w:tcBorders>
            <w:shd w:fill="1F1C6B" w:val="clear"/>
            <w:tcMar>
              <w:bottom w:w="28" w:type="dxa"/>
            </w:tcMar>
            <w:vAlign w:val="center"/>
          </w:tcPr>
          <w:p>
            <w:pPr>
              <w:pStyle w:val="TableContents"/>
              <w:bidi w:val="0"/>
              <w:spacing w:before="0" w:after="0"/>
              <w:jc w:val="left"/>
              <w:rPr/>
            </w:pPr>
            <w:r>
              <w:rPr/>
              <w:t> </w:t>
            </w:r>
          </w:p>
        </w:tc>
        <w:tc>
          <w:tcPr>
            <w:tcW w:w="515" w:type="dxa"/>
            <w:tcBorders>
              <w:bottom w:val="single" w:sz="8" w:space="0" w:color="1F1C6B"/>
            </w:tcBorders>
            <w:shd w:fill="1F1C6B" w:val="clear"/>
            <w:tcMar>
              <w:bottom w:w="58" w:type="dxa"/>
            </w:tcM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Dillon</w:t>
            </w:r>
          </w:p>
        </w:tc>
        <w:tc>
          <w:tcPr>
            <w:tcW w:w="170" w:type="dxa"/>
            <w:tcBorders>
              <w:bottom w:val="single" w:sz="8" w:space="0" w:color="1F1C6B"/>
              <w:right w:val="single" w:sz="8" w:space="0" w:color="FFFFFF"/>
            </w:tcBorders>
            <w:shd w:fill="1F1C6B"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1F1C6B"/>
            </w:tcBorders>
            <w:shd w:fill="1F1C6B" w:val="clear"/>
            <w:tcMar>
              <w:bottom w:w="28" w:type="dxa"/>
            </w:tcMar>
            <w:vAlign w:val="center"/>
          </w:tcPr>
          <w:p>
            <w:pPr>
              <w:pStyle w:val="TableContents"/>
              <w:bidi w:val="0"/>
              <w:spacing w:before="0" w:after="0"/>
              <w:jc w:val="left"/>
              <w:rPr/>
            </w:pPr>
            <w:r>
              <w:rPr/>
              <w:t> </w:t>
            </w:r>
          </w:p>
        </w:tc>
        <w:tc>
          <w:tcPr>
            <w:tcW w:w="590" w:type="dxa"/>
            <w:tcBorders>
              <w:bottom w:val="single" w:sz="8" w:space="0" w:color="1F1C6B"/>
            </w:tcBorders>
            <w:shd w:fill="1F1C6B" w:val="clear"/>
            <w:tcMar>
              <w:bottom w:w="58" w:type="dxa"/>
            </w:tcM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Finney</w:t>
            </w:r>
          </w:p>
        </w:tc>
        <w:tc>
          <w:tcPr>
            <w:tcW w:w="170" w:type="dxa"/>
            <w:tcBorders>
              <w:bottom w:val="single" w:sz="8" w:space="0" w:color="1F1C6B"/>
              <w:right w:val="single" w:sz="8" w:space="0" w:color="FFFFFF"/>
            </w:tcBorders>
            <w:shd w:fill="1F1C6B"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1F1C6B"/>
            </w:tcBorders>
            <w:shd w:fill="1F1C6B" w:val="clear"/>
            <w:tcMar>
              <w:bottom w:w="28" w:type="dxa"/>
            </w:tcMar>
            <w:vAlign w:val="center"/>
          </w:tcPr>
          <w:p>
            <w:pPr>
              <w:pStyle w:val="TableContents"/>
              <w:bidi w:val="0"/>
              <w:spacing w:before="0" w:after="0"/>
              <w:jc w:val="left"/>
              <w:rPr/>
            </w:pPr>
            <w:r>
              <w:rPr/>
              <w:t> </w:t>
            </w:r>
          </w:p>
        </w:tc>
        <w:tc>
          <w:tcPr>
            <w:tcW w:w="860" w:type="dxa"/>
            <w:tcBorders>
              <w:bottom w:val="single" w:sz="8" w:space="0" w:color="1F1C6B"/>
            </w:tcBorders>
            <w:shd w:fill="1F1C6B" w:val="clear"/>
            <w:tcMar>
              <w:bottom w:w="58" w:type="dxa"/>
            </w:tcM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Groothuis</w:t>
            </w:r>
          </w:p>
        </w:tc>
        <w:tc>
          <w:tcPr>
            <w:tcW w:w="170" w:type="dxa"/>
            <w:tcBorders>
              <w:bottom w:val="single" w:sz="8" w:space="0" w:color="1F1C6B"/>
              <w:right w:val="single" w:sz="8" w:space="0" w:color="FFFFFF"/>
            </w:tcBorders>
            <w:shd w:fill="1F1C6B"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1F1C6B"/>
            </w:tcBorders>
            <w:shd w:fill="1F1C6B" w:val="clear"/>
            <w:tcMar>
              <w:bottom w:w="28" w:type="dxa"/>
            </w:tcMar>
            <w:vAlign w:val="center"/>
          </w:tcPr>
          <w:p>
            <w:pPr>
              <w:pStyle w:val="TableContents"/>
              <w:bidi w:val="0"/>
              <w:spacing w:before="0" w:after="0"/>
              <w:jc w:val="left"/>
              <w:rPr/>
            </w:pPr>
            <w:r>
              <w:rPr/>
              <w:t> </w:t>
            </w:r>
          </w:p>
        </w:tc>
        <w:tc>
          <w:tcPr>
            <w:tcW w:w="665" w:type="dxa"/>
            <w:tcBorders>
              <w:bottom w:val="single" w:sz="8" w:space="0" w:color="1F1C6B"/>
            </w:tcBorders>
            <w:shd w:fill="1F1C6B" w:val="clear"/>
            <w:tcMar>
              <w:bottom w:w="58" w:type="dxa"/>
            </w:tcM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 xml:space="preserve">Higgins </w:t>
            </w:r>
          </w:p>
        </w:tc>
        <w:tc>
          <w:tcPr>
            <w:tcW w:w="170" w:type="dxa"/>
            <w:tcBorders>
              <w:bottom w:val="single" w:sz="8" w:space="0" w:color="1F1C6B"/>
              <w:right w:val="single" w:sz="8" w:space="0" w:color="FFFFFF"/>
            </w:tcBorders>
            <w:shd w:fill="1F1C6B"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1F1C6B"/>
            </w:tcBorders>
            <w:shd w:fill="1F1C6B" w:val="clear"/>
            <w:tcMar>
              <w:bottom w:w="28" w:type="dxa"/>
            </w:tcMar>
            <w:vAlign w:val="center"/>
          </w:tcPr>
          <w:p>
            <w:pPr>
              <w:pStyle w:val="TableContents"/>
              <w:bidi w:val="0"/>
              <w:spacing w:before="0" w:after="0"/>
              <w:jc w:val="left"/>
              <w:rPr/>
            </w:pPr>
            <w:r>
              <w:rPr/>
              <w:t> </w:t>
            </w:r>
          </w:p>
        </w:tc>
        <w:tc>
          <w:tcPr>
            <w:tcW w:w="410" w:type="dxa"/>
            <w:tcBorders>
              <w:bottom w:val="single" w:sz="8" w:space="0" w:color="1F1C6B"/>
            </w:tcBorders>
            <w:shd w:fill="1F1C6B" w:val="clear"/>
            <w:tcMar>
              <w:bottom w:w="58" w:type="dxa"/>
            </w:tcM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Kilts</w:t>
            </w:r>
          </w:p>
        </w:tc>
        <w:tc>
          <w:tcPr>
            <w:tcW w:w="170" w:type="dxa"/>
            <w:tcBorders>
              <w:bottom w:val="single" w:sz="8" w:space="0" w:color="1F1C6B"/>
              <w:right w:val="single" w:sz="8" w:space="0" w:color="FFFFFF"/>
            </w:tcBorders>
            <w:shd w:fill="1F1C6B"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1F1C6B"/>
            </w:tcBorders>
            <w:shd w:fill="1F1C6B" w:val="clear"/>
            <w:tcMar>
              <w:bottom w:w="28" w:type="dxa"/>
            </w:tcMar>
            <w:vAlign w:val="center"/>
          </w:tcPr>
          <w:p>
            <w:pPr>
              <w:pStyle w:val="TableContents"/>
              <w:bidi w:val="0"/>
              <w:spacing w:before="0" w:after="0"/>
              <w:jc w:val="left"/>
              <w:rPr/>
            </w:pPr>
            <w:r>
              <w:rPr/>
              <w:t> </w:t>
            </w:r>
          </w:p>
        </w:tc>
        <w:tc>
          <w:tcPr>
            <w:tcW w:w="425" w:type="dxa"/>
            <w:tcBorders>
              <w:bottom w:val="single" w:sz="8" w:space="0" w:color="1F1C6B"/>
            </w:tcBorders>
            <w:shd w:fill="1F1C6B" w:val="clear"/>
            <w:tcMar>
              <w:bottom w:w="58" w:type="dxa"/>
            </w:tcM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Mark</w:t>
            </w:r>
          </w:p>
        </w:tc>
        <w:tc>
          <w:tcPr>
            <w:tcW w:w="170" w:type="dxa"/>
            <w:tcBorders>
              <w:bottom w:val="single" w:sz="8" w:space="0" w:color="1F1C6B"/>
              <w:right w:val="single" w:sz="8" w:space="0" w:color="FFFFFF"/>
            </w:tcBorders>
            <w:shd w:fill="1F1C6B"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1F1C6B"/>
            </w:tcBorders>
            <w:shd w:fill="1F1C6B" w:val="clear"/>
            <w:tcMar>
              <w:bottom w:w="28" w:type="dxa"/>
            </w:tcMar>
            <w:vAlign w:val="center"/>
          </w:tcPr>
          <w:p>
            <w:pPr>
              <w:pStyle w:val="TableContents"/>
              <w:bidi w:val="0"/>
              <w:spacing w:before="0" w:after="0"/>
              <w:jc w:val="left"/>
              <w:rPr/>
            </w:pPr>
            <w:r>
              <w:rPr/>
              <w:t> </w:t>
            </w:r>
          </w:p>
        </w:tc>
        <w:tc>
          <w:tcPr>
            <w:tcW w:w="605" w:type="dxa"/>
            <w:tcBorders>
              <w:bottom w:val="single" w:sz="8" w:space="0" w:color="1F1C6B"/>
            </w:tcBorders>
            <w:shd w:fill="1F1C6B" w:val="clear"/>
            <w:tcMar>
              <w:bottom w:w="58" w:type="dxa"/>
            </w:tcM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Parrish</w:t>
            </w:r>
          </w:p>
        </w:tc>
        <w:tc>
          <w:tcPr>
            <w:tcW w:w="170" w:type="dxa"/>
            <w:tcBorders>
              <w:bottom w:val="single" w:sz="8" w:space="0" w:color="1F1C6B"/>
              <w:right w:val="single" w:sz="8" w:space="0" w:color="FFFFFF"/>
            </w:tcBorders>
            <w:shd w:fill="1F1C6B"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1F1C6B"/>
            </w:tcBorders>
            <w:shd w:fill="1F1C6B" w:val="clear"/>
            <w:tcMar>
              <w:bottom w:w="28" w:type="dxa"/>
            </w:tcMar>
            <w:vAlign w:val="center"/>
          </w:tcPr>
          <w:p>
            <w:pPr>
              <w:pStyle w:val="TableContents"/>
              <w:bidi w:val="0"/>
              <w:spacing w:before="0" w:after="0"/>
              <w:jc w:val="left"/>
              <w:rPr/>
            </w:pPr>
            <w:r>
              <w:rPr/>
              <w:t> </w:t>
            </w:r>
          </w:p>
        </w:tc>
        <w:tc>
          <w:tcPr>
            <w:tcW w:w="740" w:type="dxa"/>
            <w:tcBorders>
              <w:bottom w:val="single" w:sz="8" w:space="0" w:color="1F1C6B"/>
            </w:tcBorders>
            <w:shd w:fill="1F1C6B" w:val="clear"/>
            <w:tcMar>
              <w:bottom w:w="58" w:type="dxa"/>
            </w:tcM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 xml:space="preserve">Severino </w:t>
            </w:r>
          </w:p>
        </w:tc>
        <w:tc>
          <w:tcPr>
            <w:tcW w:w="170" w:type="dxa"/>
            <w:tcBorders>
              <w:bottom w:val="single" w:sz="8" w:space="0" w:color="1F1C6B"/>
              <w:right w:val="single" w:sz="8" w:space="0" w:color="FFFFFF"/>
            </w:tcBorders>
            <w:shd w:fill="1F1C6B"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1F1C6B"/>
            </w:tcBorders>
            <w:shd w:fill="1F1C6B" w:val="clear"/>
            <w:tcMar>
              <w:bottom w:w="28" w:type="dxa"/>
            </w:tcMar>
            <w:vAlign w:val="center"/>
          </w:tcPr>
          <w:p>
            <w:pPr>
              <w:pStyle w:val="TableContents"/>
              <w:bidi w:val="0"/>
              <w:spacing w:before="0" w:after="0"/>
              <w:jc w:val="left"/>
              <w:rPr/>
            </w:pPr>
            <w:r>
              <w:rPr/>
              <w:t> </w:t>
            </w:r>
          </w:p>
        </w:tc>
        <w:tc>
          <w:tcPr>
            <w:tcW w:w="800" w:type="dxa"/>
            <w:tcBorders>
              <w:bottom w:val="single" w:sz="8" w:space="0" w:color="1F1C6B"/>
            </w:tcBorders>
            <w:shd w:fill="1F1C6B" w:val="clear"/>
            <w:tcMar>
              <w:bottom w:w="58" w:type="dxa"/>
            </w:tcM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Simmons</w:t>
            </w:r>
          </w:p>
        </w:tc>
        <w:tc>
          <w:tcPr>
            <w:tcW w:w="170" w:type="dxa"/>
            <w:tcBorders>
              <w:bottom w:val="single" w:sz="8" w:space="0" w:color="1F1C6B"/>
              <w:right w:val="single" w:sz="8" w:space="0" w:color="FFFFFF"/>
            </w:tcBorders>
            <w:shd w:fill="1F1C6B"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1F1C6B"/>
            </w:tcBorders>
            <w:shd w:fill="1F1C6B" w:val="clear"/>
            <w:tcMar>
              <w:bottom w:w="28" w:type="dxa"/>
            </w:tcMar>
            <w:vAlign w:val="center"/>
          </w:tcPr>
          <w:p>
            <w:pPr>
              <w:pStyle w:val="TableContents"/>
              <w:bidi w:val="0"/>
              <w:spacing w:before="0" w:after="0"/>
              <w:jc w:val="left"/>
              <w:rPr/>
            </w:pPr>
            <w:r>
              <w:rPr/>
              <w:t> </w:t>
            </w:r>
          </w:p>
        </w:tc>
        <w:tc>
          <w:tcPr>
            <w:tcW w:w="515" w:type="dxa"/>
            <w:tcBorders>
              <w:bottom w:val="single" w:sz="8" w:space="0" w:color="1F1C6B"/>
            </w:tcBorders>
            <w:shd w:fill="1F1C6B" w:val="clear"/>
            <w:tcMar>
              <w:bottom w:w="58" w:type="dxa"/>
            </w:tcM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 xml:space="preserve">Smith </w:t>
            </w:r>
          </w:p>
        </w:tc>
        <w:tc>
          <w:tcPr>
            <w:tcW w:w="170" w:type="dxa"/>
            <w:tcBorders>
              <w:bottom w:val="single" w:sz="8" w:space="0" w:color="1F1C6B"/>
              <w:right w:val="single" w:sz="8" w:space="0" w:color="FFFFFF"/>
            </w:tcBorders>
            <w:shd w:fill="1F1C6B"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1F1C6B"/>
            </w:tcBorders>
            <w:shd w:fill="1F1C6B" w:val="clear"/>
            <w:tcMar>
              <w:bottom w:w="28" w:type="dxa"/>
            </w:tcMar>
            <w:vAlign w:val="center"/>
          </w:tcPr>
          <w:p>
            <w:pPr>
              <w:pStyle w:val="TableContents"/>
              <w:bidi w:val="0"/>
              <w:spacing w:before="0" w:after="0"/>
              <w:jc w:val="left"/>
              <w:rPr/>
            </w:pPr>
            <w:r>
              <w:rPr/>
              <w:t> </w:t>
            </w:r>
          </w:p>
        </w:tc>
        <w:tc>
          <w:tcPr>
            <w:tcW w:w="575" w:type="dxa"/>
            <w:tcBorders>
              <w:bottom w:val="single" w:sz="8" w:space="0" w:color="1F1C6B"/>
            </w:tcBorders>
            <w:shd w:fill="1F1C6B" w:val="clear"/>
            <w:tcMar>
              <w:bottom w:w="58" w:type="dxa"/>
            </w:tcM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Vivaldi</w:t>
            </w:r>
          </w:p>
        </w:tc>
        <w:tc>
          <w:tcPr>
            <w:tcW w:w="170" w:type="dxa"/>
            <w:tcBorders>
              <w:bottom w:val="single" w:sz="8" w:space="0" w:color="1F1C6B"/>
              <w:right w:val="single" w:sz="8" w:space="0" w:color="FFFFFF"/>
            </w:tcBorders>
            <w:shd w:fill="1F1C6B"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1F1C6B"/>
            </w:tcBorders>
            <w:shd w:fill="1F1C6B" w:val="clear"/>
            <w:tcMar>
              <w:bottom w:w="28" w:type="dxa"/>
            </w:tcMar>
            <w:vAlign w:val="center"/>
          </w:tcPr>
          <w:p>
            <w:pPr>
              <w:pStyle w:val="TableContents"/>
              <w:bidi w:val="0"/>
              <w:spacing w:before="0" w:after="0"/>
              <w:jc w:val="left"/>
              <w:rPr/>
            </w:pPr>
            <w:r>
              <w:rPr/>
              <w:t> </w:t>
            </w:r>
          </w:p>
        </w:tc>
        <w:tc>
          <w:tcPr>
            <w:tcW w:w="545" w:type="dxa"/>
            <w:tcBorders>
              <w:bottom w:val="single" w:sz="8" w:space="0" w:color="1F1C6B"/>
            </w:tcBorders>
            <w:shd w:fill="1F1C6B" w:val="clear"/>
            <w:tcMar>
              <w:bottom w:w="58" w:type="dxa"/>
            </w:tcM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Totals</w:t>
            </w:r>
          </w:p>
        </w:tc>
        <w:tc>
          <w:tcPr>
            <w:tcW w:w="215" w:type="dxa"/>
            <w:tcBorders>
              <w:bottom w:val="single" w:sz="8" w:space="0" w:color="1F1C6B"/>
            </w:tcBorders>
            <w:shd w:fill="1F1C6B" w:val="clear"/>
            <w:tcMar>
              <w:bottom w:w="28" w:type="dxa"/>
            </w:tcMar>
            <w:vAlign w:val="center"/>
          </w:tcPr>
          <w:p>
            <w:pPr>
              <w:pStyle w:val="TableContents"/>
              <w:bidi w:val="0"/>
              <w:spacing w:before="0" w:after="0"/>
              <w:jc w:val="left"/>
              <w:rPr/>
            </w:pPr>
            <w:r>
              <w:rPr/>
              <w:t> </w:t>
            </w:r>
          </w:p>
        </w:tc>
      </w:tr>
      <w:tr>
        <w:trPr/>
        <w:tc>
          <w:tcPr>
            <w:tcW w:w="1145"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CEO and Public Company Management Experience</w:t>
            </w:r>
          </w:p>
          <w:p>
            <w:pPr>
              <w:pStyle w:val="TableContents"/>
              <w:bidi w:val="0"/>
              <w:spacing w:before="0" w:after="283"/>
              <w:ind w:left="0" w:right="0" w:hanging="0"/>
              <w:jc w:val="left"/>
              <w:rPr>
                <w:rFonts w:ascii="Arial;Helvetica;sans-serif" w:hAnsi="Arial;Helvetica;sans-serif"/>
                <w:b w:val="false"/>
                <w:color w:val="636466"/>
                <w:sz w:val="14"/>
              </w:rPr>
            </w:pPr>
            <w:r>
              <w:rPr>
                <w:rFonts w:ascii="Arial;Helvetica;sans-serif" w:hAnsi="Arial;Helvetica;sans-serif"/>
                <w:b w:val="false"/>
                <w:color w:val="636466"/>
                <w:sz w:val="14"/>
              </w:rPr>
              <w:t>Directors who have experience in management at public companies provide valuable expertise on managing interests held among various stakeholders, including, among others, employees, patients, and shareholders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51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86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5" w:type="dxa"/>
            <w:tcBorders>
              <w:bottom w:val="single" w:sz="8" w:space="0" w:color="000000"/>
            </w:tcBorders>
            <w:tcMar>
              <w:bottom w:w="28" w:type="dxa"/>
            </w:tcMar>
            <w:vAlign w:val="center"/>
          </w:tcPr>
          <w:p>
            <w:pPr>
              <w:pStyle w:val="TableContents"/>
              <w:bidi w:val="0"/>
              <w:spacing w:before="0" w:after="0"/>
              <w:jc w:val="left"/>
              <w:rPr>
                <w:color w:val="484484"/>
              </w:rPr>
            </w:pPr>
            <w:r>
              <w:rPr>
                <w:color w:val="484484"/>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41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60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40"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 xml:space="preserve">•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57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 xml:space="preserve">•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484484"/>
                <w:sz w:val="16"/>
              </w:rPr>
            </w:pPr>
            <w:r>
              <w:rPr>
                <w:rFonts w:ascii="Arial;Helvetica;sans-serif" w:hAnsi="Arial;Helvetica;sans-serif"/>
                <w:b/>
                <w:color w:val="484484"/>
                <w:sz w:val="16"/>
              </w:rPr>
              <w:t>11/13</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145"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 xml:space="preserve">Corporate Governance/ Corporate </w:t>
            </w:r>
          </w:p>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Sustainability (CS) Experience</w:t>
            </w:r>
          </w:p>
          <w:p>
            <w:pPr>
              <w:pStyle w:val="TableContents"/>
              <w:bidi w:val="0"/>
              <w:spacing w:before="0" w:after="283"/>
              <w:ind w:left="0" w:right="0" w:hanging="0"/>
              <w:jc w:val="left"/>
              <w:rPr>
                <w:rFonts w:ascii="Arial;Helvetica;sans-serif" w:hAnsi="Arial;Helvetica;sans-serif"/>
                <w:b w:val="false"/>
                <w:color w:val="636466"/>
                <w:sz w:val="14"/>
              </w:rPr>
            </w:pPr>
            <w:r>
              <w:rPr>
                <w:rFonts w:ascii="Arial;Helvetica;sans-serif" w:hAnsi="Arial;Helvetica;sans-serif"/>
                <w:b w:val="false"/>
                <w:color w:val="636466"/>
                <w:sz w:val="14"/>
              </w:rPr>
              <w:t>Directors with Corporate Governance/CS experience are skilled in the successful operation of board oversight, cognizant of the impact that governance policies have on a public company and/or familiar with oversight of matters related to corporate sustainability</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0"/>
              <w:jc w:val="left"/>
              <w:rPr>
                <w:color w:val="484484"/>
              </w:rPr>
            </w:pPr>
            <w:r>
              <w:rPr>
                <w:color w:val="484484"/>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51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86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41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60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left"/>
              <w:rPr>
                <w:color w:val="484484"/>
              </w:rPr>
            </w:pPr>
            <w:r>
              <w:rPr>
                <w:color w:val="484484"/>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57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484484"/>
                <w:sz w:val="16"/>
              </w:rPr>
            </w:pPr>
            <w:r>
              <w:rPr>
                <w:rFonts w:ascii="Arial;Helvetica;sans-serif" w:hAnsi="Arial;Helvetica;sans-serif"/>
                <w:b/>
                <w:color w:val="484484"/>
                <w:sz w:val="16"/>
              </w:rPr>
              <w:t xml:space="preserve">10/13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145"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Finance, Accounting, and Capital Markets Experience</w:t>
            </w:r>
          </w:p>
          <w:p>
            <w:pPr>
              <w:pStyle w:val="TableContents"/>
              <w:bidi w:val="0"/>
              <w:spacing w:before="0" w:after="283"/>
              <w:ind w:left="0" w:right="0" w:hanging="0"/>
              <w:jc w:val="left"/>
              <w:rPr>
                <w:rFonts w:ascii="Arial;Helvetica;sans-serif" w:hAnsi="Arial;Helvetica;sans-serif"/>
                <w:b w:val="false"/>
                <w:color w:val="636466"/>
                <w:sz w:val="14"/>
              </w:rPr>
            </w:pPr>
            <w:r>
              <w:rPr>
                <w:rFonts w:ascii="Arial;Helvetica;sans-serif" w:hAnsi="Arial;Helvetica;sans-serif"/>
                <w:b w:val="false"/>
                <w:color w:val="636466"/>
                <w:sz w:val="14"/>
              </w:rPr>
              <w:t>Directors with a strong understanding of finance and accounting are essential for the Board to oversee our global financial reporting, internal controls, and capital structure, among other matters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51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86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41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60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40"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57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484484"/>
                <w:sz w:val="16"/>
              </w:rPr>
            </w:pPr>
            <w:r>
              <w:rPr>
                <w:rFonts w:ascii="Arial;Helvetica;sans-serif" w:hAnsi="Arial;Helvetica;sans-serif"/>
                <w:b/>
                <w:color w:val="484484"/>
                <w:sz w:val="16"/>
              </w:rPr>
              <w:t>11/13</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145"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Global Business Experience</w:t>
            </w:r>
          </w:p>
          <w:p>
            <w:pPr>
              <w:pStyle w:val="TableContents"/>
              <w:bidi w:val="0"/>
              <w:spacing w:before="0" w:after="283"/>
              <w:ind w:left="0" w:right="0" w:hanging="0"/>
              <w:jc w:val="left"/>
              <w:rPr>
                <w:rFonts w:ascii="Arial;Helvetica;sans-serif" w:hAnsi="Arial;Helvetica;sans-serif"/>
                <w:b w:val="false"/>
                <w:color w:val="636466"/>
                <w:sz w:val="14"/>
              </w:rPr>
            </w:pPr>
            <w:r>
              <w:rPr>
                <w:rFonts w:ascii="Arial;Helvetica;sans-serif" w:hAnsi="Arial;Helvetica;sans-serif"/>
                <w:b w:val="false"/>
                <w:color w:val="636466"/>
                <w:sz w:val="14"/>
              </w:rPr>
              <w:t>Viatris has operations and facilities around the world and, as such, benefits from Directors who have experience working for companies with multinational reach and who provide insight on unique opportunities, challenges, and requirements associated with working across international markets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51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86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41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60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40"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57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484484"/>
                <w:sz w:val="16"/>
              </w:rPr>
            </w:pPr>
            <w:r>
              <w:rPr>
                <w:rFonts w:ascii="Arial;Helvetica;sans-serif" w:hAnsi="Arial;Helvetica;sans-serif"/>
                <w:b/>
                <w:color w:val="484484"/>
                <w:sz w:val="16"/>
              </w:rPr>
              <w:t>13/13</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145"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Healthcare Industry Experience</w:t>
            </w:r>
          </w:p>
          <w:p>
            <w:pPr>
              <w:pStyle w:val="TableContents"/>
              <w:bidi w:val="0"/>
              <w:spacing w:before="0" w:after="283"/>
              <w:ind w:left="0" w:right="0" w:hanging="0"/>
              <w:jc w:val="left"/>
              <w:rPr>
                <w:rFonts w:ascii="Arial;Helvetica;sans-serif" w:hAnsi="Arial;Helvetica;sans-serif"/>
                <w:b w:val="false"/>
                <w:color w:val="636466"/>
                <w:sz w:val="14"/>
              </w:rPr>
            </w:pPr>
            <w:r>
              <w:rPr>
                <w:rFonts w:ascii="Arial;Helvetica;sans-serif" w:hAnsi="Arial;Helvetica;sans-serif"/>
                <w:b w:val="false"/>
                <w:color w:val="636466"/>
                <w:sz w:val="14"/>
              </w:rPr>
              <w:t>Directors with experience in the healthcare industry provide valuable perspectives to our Board and management team regarding a broad range of issues and opportunities facing the Company, including industry conditions, product research and development (“R&amp;D”), supply chain, customers, sustainable access to medicine, product quality and patient safety, and marketing</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51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86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5" w:type="dxa"/>
            <w:tcBorders>
              <w:bottom w:val="single" w:sz="8" w:space="0" w:color="000000"/>
            </w:tcBorders>
            <w:tcMar>
              <w:bottom w:w="28" w:type="dxa"/>
            </w:tcMar>
            <w:vAlign w:val="center"/>
          </w:tcPr>
          <w:p>
            <w:pPr>
              <w:pStyle w:val="TableContents"/>
              <w:bidi w:val="0"/>
              <w:spacing w:before="0" w:after="0"/>
              <w:jc w:val="left"/>
              <w:rPr>
                <w:color w:val="484484"/>
              </w:rPr>
            </w:pPr>
            <w:r>
              <w:rPr>
                <w:color w:val="484484"/>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41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60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40"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57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484484"/>
                <w:sz w:val="16"/>
              </w:rPr>
            </w:pPr>
            <w:r>
              <w:rPr>
                <w:rFonts w:ascii="Arial;Helvetica;sans-serif" w:hAnsi="Arial;Helvetica;sans-serif"/>
                <w:b/>
                <w:color w:val="484484"/>
                <w:sz w:val="16"/>
              </w:rPr>
              <w:t>10/13</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145"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Human Capital Management Experience</w:t>
            </w:r>
          </w:p>
          <w:p>
            <w:pPr>
              <w:pStyle w:val="TableContents"/>
              <w:bidi w:val="0"/>
              <w:spacing w:before="0" w:after="283"/>
              <w:ind w:left="0" w:right="0" w:hanging="0"/>
              <w:jc w:val="left"/>
              <w:rPr>
                <w:rFonts w:ascii="Arial;Helvetica;sans-serif" w:hAnsi="Arial;Helvetica;sans-serif"/>
                <w:b w:val="false"/>
                <w:color w:val="636466"/>
                <w:sz w:val="14"/>
              </w:rPr>
            </w:pPr>
            <w:r>
              <w:rPr>
                <w:rFonts w:ascii="Arial;Helvetica;sans-serif" w:hAnsi="Arial;Helvetica;sans-serif"/>
                <w:b w:val="false"/>
                <w:color w:val="636466"/>
                <w:sz w:val="14"/>
              </w:rPr>
              <w:t>Attracting, developing, and retaining talent globally are crucial to all aspects of the Company’s business, success, and strategy. We continue to build an inclusive culture that inspires leadership and accountability and encourages innovation. Directors with experience in succession planning, executive and/or Director compensation, company culture and/or employee engagement (among other relevant areas) help to ensure that the Company’s culture reflects our mission and values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51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86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41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28" w:type="dxa"/>
            </w:tcMar>
            <w:vAlign w:val="center"/>
          </w:tcPr>
          <w:p>
            <w:pPr>
              <w:pStyle w:val="TableContents"/>
              <w:bidi w:val="0"/>
              <w:spacing w:before="0" w:after="0"/>
              <w:jc w:val="left"/>
              <w:rPr>
                <w:color w:val="484484"/>
              </w:rPr>
            </w:pPr>
            <w:r>
              <w:rPr>
                <w:color w:val="484484"/>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60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40"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57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484484"/>
                <w:sz w:val="16"/>
              </w:rPr>
            </w:pPr>
            <w:r>
              <w:rPr>
                <w:rFonts w:ascii="Arial;Helvetica;sans-serif" w:hAnsi="Arial;Helvetica;sans-serif"/>
                <w:b/>
                <w:color w:val="484484"/>
                <w:sz w:val="16"/>
              </w:rPr>
              <w:t>11/13</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145" w:type="dxa"/>
            <w:tcBorders>
              <w:bottom w:val="single" w:sz="8" w:space="0" w:color="000000"/>
            </w:tcBorders>
            <w:tcMar>
              <w:bottom w:w="58"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Information Security Experience</w:t>
            </w:r>
          </w:p>
          <w:p>
            <w:pPr>
              <w:pStyle w:val="TableContents"/>
              <w:bidi w:val="0"/>
              <w:spacing w:before="0" w:after="283"/>
              <w:ind w:left="0" w:right="0" w:hanging="0"/>
              <w:jc w:val="left"/>
              <w:rPr>
                <w:rFonts w:ascii="Arial;Helvetica;sans-serif" w:hAnsi="Arial;Helvetica;sans-serif"/>
                <w:b w:val="false"/>
                <w:color w:val="636466"/>
                <w:sz w:val="14"/>
              </w:rPr>
            </w:pPr>
            <w:r>
              <w:rPr>
                <w:rFonts w:ascii="Arial;Helvetica;sans-serif" w:hAnsi="Arial;Helvetica;sans-serif"/>
                <w:b w:val="false"/>
                <w:color w:val="636466"/>
                <w:sz w:val="14"/>
              </w:rPr>
              <w:t>Experience in information security, data privacy, cybersecurity, or use of technology to facilitate business operations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E7E0EF" w:val="clear"/>
            <w:tcMar>
              <w:bottom w:w="5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58" w:type="dxa"/>
            </w:tcMar>
            <w:vAlign w:val="center"/>
          </w:tcPr>
          <w:p>
            <w:pPr>
              <w:pStyle w:val="TableContents"/>
              <w:bidi w:val="0"/>
              <w:spacing w:before="0" w:after="0"/>
              <w:jc w:val="left"/>
              <w:rPr>
                <w:color w:val="484484"/>
              </w:rPr>
            </w:pPr>
            <w:r>
              <w:rPr>
                <w:color w:val="484484"/>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515" w:type="dxa"/>
            <w:tcBorders>
              <w:bottom w:val="single" w:sz="8" w:space="0" w:color="000000"/>
            </w:tcBorders>
            <w:shd w:fill="E7E0EF" w:val="clear"/>
            <w:tcMar>
              <w:bottom w:w="5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0" w:type="dxa"/>
            <w:tcBorders>
              <w:bottom w:val="single" w:sz="8" w:space="0" w:color="000000"/>
            </w:tcBorders>
            <w:tcMar>
              <w:bottom w:w="5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860" w:type="dxa"/>
            <w:tcBorders>
              <w:bottom w:val="single" w:sz="8" w:space="0" w:color="000000"/>
            </w:tcBorders>
            <w:shd w:fill="E7E0EF" w:val="clear"/>
            <w:tcMar>
              <w:bottom w:w="58" w:type="dxa"/>
            </w:tcMar>
            <w:vAlign w:val="center"/>
          </w:tcPr>
          <w:p>
            <w:pPr>
              <w:pStyle w:val="TableContents"/>
              <w:bidi w:val="0"/>
              <w:spacing w:before="0" w:after="283"/>
              <w:jc w:val="center"/>
              <w:rPr>
                <w:color w:val="484484"/>
              </w:rPr>
            </w:pPr>
            <w:r>
              <w:rPr>
                <w:color w:val="484484"/>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5" w:type="dxa"/>
            <w:tcBorders>
              <w:bottom w:val="single" w:sz="8" w:space="0" w:color="000000"/>
            </w:tcBorders>
            <w:tcMar>
              <w:bottom w:w="58" w:type="dxa"/>
            </w:tcMar>
            <w:vAlign w:val="center"/>
          </w:tcPr>
          <w:p>
            <w:pPr>
              <w:pStyle w:val="TableContents"/>
              <w:bidi w:val="0"/>
              <w:spacing w:before="0" w:after="0"/>
              <w:jc w:val="left"/>
              <w:rPr>
                <w:color w:val="484484"/>
              </w:rPr>
            </w:pPr>
            <w:r>
              <w:rPr>
                <w:color w:val="484484"/>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410" w:type="dxa"/>
            <w:tcBorders>
              <w:bottom w:val="single" w:sz="8" w:space="0" w:color="000000"/>
            </w:tcBorders>
            <w:shd w:fill="E7E0EF" w:val="clear"/>
            <w:tcMar>
              <w:bottom w:w="58" w:type="dxa"/>
            </w:tcMar>
            <w:vAlign w:val="center"/>
          </w:tcPr>
          <w:p>
            <w:pPr>
              <w:pStyle w:val="TableContents"/>
              <w:bidi w:val="0"/>
              <w:spacing w:before="0" w:after="283"/>
              <w:jc w:val="center"/>
              <w:rPr>
                <w:color w:val="484484"/>
              </w:rPr>
            </w:pPr>
            <w:r>
              <w:rPr>
                <w:color w:val="484484"/>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5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605" w:type="dxa"/>
            <w:tcBorders>
              <w:bottom w:val="single" w:sz="8" w:space="0" w:color="000000"/>
            </w:tcBorders>
            <w:shd w:fill="E7E0EF" w:val="clear"/>
            <w:tcMar>
              <w:bottom w:w="5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40" w:type="dxa"/>
            <w:tcBorders>
              <w:bottom w:val="single" w:sz="8" w:space="0" w:color="000000"/>
            </w:tcBorders>
            <w:tcMar>
              <w:bottom w:w="58" w:type="dxa"/>
            </w:tcMar>
            <w:vAlign w:val="center"/>
          </w:tcPr>
          <w:p>
            <w:pPr>
              <w:pStyle w:val="TableContents"/>
              <w:bidi w:val="0"/>
              <w:spacing w:before="0" w:after="0"/>
              <w:jc w:val="left"/>
              <w:rPr>
                <w:color w:val="484484"/>
              </w:rPr>
            </w:pPr>
            <w:r>
              <w:rPr>
                <w:color w:val="484484"/>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E7E0EF" w:val="clear"/>
            <w:tcMar>
              <w:bottom w:w="58" w:type="dxa"/>
            </w:tcMar>
            <w:vAlign w:val="center"/>
          </w:tcPr>
          <w:p>
            <w:pPr>
              <w:pStyle w:val="TableContents"/>
              <w:bidi w:val="0"/>
              <w:spacing w:before="0" w:after="283"/>
              <w:jc w:val="center"/>
              <w:rPr>
                <w:color w:val="484484"/>
              </w:rPr>
            </w:pPr>
            <w:r>
              <w:rPr>
                <w:color w:val="484484"/>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58" w:type="dxa"/>
            </w:tcMar>
            <w:vAlign w:val="center"/>
          </w:tcPr>
          <w:p>
            <w:pPr>
              <w:pStyle w:val="TableContents"/>
              <w:bidi w:val="0"/>
              <w:spacing w:before="0" w:after="0"/>
              <w:jc w:val="left"/>
              <w:rPr>
                <w:color w:val="484484"/>
              </w:rPr>
            </w:pPr>
            <w:r>
              <w:rPr>
                <w:color w:val="484484"/>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575" w:type="dxa"/>
            <w:tcBorders>
              <w:bottom w:val="single" w:sz="8" w:space="0" w:color="000000"/>
            </w:tcBorders>
            <w:shd w:fill="E7E0EF" w:val="clear"/>
            <w:tcMar>
              <w:bottom w:w="58" w:type="dxa"/>
            </w:tcMar>
            <w:vAlign w:val="center"/>
          </w:tcPr>
          <w:p>
            <w:pPr>
              <w:pStyle w:val="TableContents"/>
              <w:bidi w:val="0"/>
              <w:spacing w:before="0" w:after="283"/>
              <w:jc w:val="center"/>
              <w:rPr>
                <w:color w:val="484484"/>
              </w:rPr>
            </w:pPr>
            <w:r>
              <w:rPr>
                <w:color w:val="484484"/>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58" w:type="dxa"/>
            </w:tcMar>
            <w:vAlign w:val="center"/>
          </w:tcPr>
          <w:p>
            <w:pPr>
              <w:pStyle w:val="TableContents"/>
              <w:bidi w:val="0"/>
              <w:spacing w:before="0" w:after="283"/>
              <w:jc w:val="center"/>
              <w:rPr>
                <w:rFonts w:ascii="Arial;Helvetica;sans-serif" w:hAnsi="Arial;Helvetica;sans-serif"/>
                <w:b/>
                <w:color w:val="484484"/>
                <w:sz w:val="16"/>
              </w:rPr>
            </w:pPr>
            <w:r>
              <w:rPr>
                <w:rFonts w:ascii="Arial;Helvetica;sans-serif" w:hAnsi="Arial;Helvetica;sans-serif"/>
                <w:b/>
                <w:color w:val="484484"/>
                <w:sz w:val="16"/>
              </w:rPr>
              <w:t>5/13</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145" w:type="dxa"/>
            <w:tcBorders>
              <w:bottom w:val="single" w:sz="8" w:space="0" w:color="000000"/>
            </w:tcBorders>
            <w:tcMar>
              <w:bottom w:w="58"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Legal and Regulatory Oversight Experience</w:t>
            </w:r>
          </w:p>
          <w:p>
            <w:pPr>
              <w:pStyle w:val="TableContents"/>
              <w:bidi w:val="0"/>
              <w:spacing w:before="0" w:after="283"/>
              <w:ind w:left="0" w:right="0" w:hanging="0"/>
              <w:jc w:val="left"/>
              <w:rPr>
                <w:rFonts w:ascii="Arial;Helvetica;sans-serif" w:hAnsi="Arial;Helvetica;sans-serif"/>
                <w:b w:val="false"/>
                <w:color w:val="636466"/>
                <w:sz w:val="14"/>
              </w:rPr>
            </w:pPr>
            <w:r>
              <w:rPr>
                <w:rFonts w:ascii="Arial;Helvetica;sans-serif" w:hAnsi="Arial;Helvetica;sans-serif"/>
                <w:b w:val="false"/>
                <w:color w:val="636466"/>
                <w:sz w:val="14"/>
              </w:rPr>
              <w:t>We operate in an industry that is closely scrutinized and highly regulated. Directors who have experience navigating challenges associated with this environment provide valuable insight to our Board and management team</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E7E0EF" w:val="clear"/>
            <w:tcMar>
              <w:bottom w:w="5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58" w:type="dxa"/>
            </w:tcMar>
            <w:vAlign w:val="center"/>
          </w:tcPr>
          <w:p>
            <w:pPr>
              <w:pStyle w:val="TableContents"/>
              <w:bidi w:val="0"/>
              <w:spacing w:before="0" w:after="0"/>
              <w:jc w:val="left"/>
              <w:rPr>
                <w:color w:val="484484"/>
              </w:rPr>
            </w:pPr>
            <w:r>
              <w:rPr>
                <w:color w:val="484484"/>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515" w:type="dxa"/>
            <w:tcBorders>
              <w:bottom w:val="single" w:sz="8" w:space="0" w:color="000000"/>
            </w:tcBorders>
            <w:shd w:fill="E7E0EF" w:val="clear"/>
            <w:tcMar>
              <w:bottom w:w="5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0" w:type="dxa"/>
            <w:tcBorders>
              <w:bottom w:val="single" w:sz="8" w:space="0" w:color="000000"/>
            </w:tcBorders>
            <w:tcMar>
              <w:bottom w:w="58" w:type="dxa"/>
            </w:tcMar>
            <w:vAlign w:val="center"/>
          </w:tcPr>
          <w:p>
            <w:pPr>
              <w:pStyle w:val="TableContents"/>
              <w:bidi w:val="0"/>
              <w:spacing w:before="0" w:after="0"/>
              <w:jc w:val="left"/>
              <w:rPr>
                <w:color w:val="484484"/>
              </w:rPr>
            </w:pPr>
            <w:r>
              <w:rPr>
                <w:color w:val="484484"/>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860" w:type="dxa"/>
            <w:tcBorders>
              <w:bottom w:val="single" w:sz="8" w:space="0" w:color="000000"/>
            </w:tcBorders>
            <w:shd w:fill="E7E0EF" w:val="clear"/>
            <w:tcMar>
              <w:bottom w:w="5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5" w:type="dxa"/>
            <w:tcBorders>
              <w:bottom w:val="single" w:sz="8" w:space="0" w:color="000000"/>
            </w:tcBorders>
            <w:tcMar>
              <w:bottom w:w="58" w:type="dxa"/>
            </w:tcMar>
            <w:vAlign w:val="center"/>
          </w:tcPr>
          <w:p>
            <w:pPr>
              <w:pStyle w:val="TableContents"/>
              <w:bidi w:val="0"/>
              <w:spacing w:before="0" w:after="0"/>
              <w:jc w:val="left"/>
              <w:rPr>
                <w:color w:val="484484"/>
              </w:rPr>
            </w:pPr>
            <w:r>
              <w:rPr>
                <w:color w:val="484484"/>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410" w:type="dxa"/>
            <w:tcBorders>
              <w:bottom w:val="single" w:sz="8" w:space="0" w:color="000000"/>
            </w:tcBorders>
            <w:shd w:fill="E7E0EF" w:val="clear"/>
            <w:tcMar>
              <w:bottom w:w="58" w:type="dxa"/>
            </w:tcMar>
            <w:vAlign w:val="center"/>
          </w:tcPr>
          <w:p>
            <w:pPr>
              <w:pStyle w:val="TableContents"/>
              <w:bidi w:val="0"/>
              <w:spacing w:before="0" w:after="283"/>
              <w:jc w:val="center"/>
              <w:rPr>
                <w:color w:val="484484"/>
              </w:rPr>
            </w:pPr>
            <w:r>
              <w:rPr>
                <w:color w:val="484484"/>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58" w:type="dxa"/>
            </w:tcMar>
            <w:vAlign w:val="center"/>
          </w:tcPr>
          <w:p>
            <w:pPr>
              <w:pStyle w:val="TableContents"/>
              <w:bidi w:val="0"/>
              <w:spacing w:before="0" w:after="0"/>
              <w:jc w:val="left"/>
              <w:rPr>
                <w:color w:val="484484"/>
              </w:rPr>
            </w:pPr>
            <w:r>
              <w:rPr>
                <w:color w:val="484484"/>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605" w:type="dxa"/>
            <w:tcBorders>
              <w:bottom w:val="single" w:sz="8" w:space="0" w:color="000000"/>
            </w:tcBorders>
            <w:shd w:fill="E7E0EF" w:val="clear"/>
            <w:tcMar>
              <w:bottom w:w="58" w:type="dxa"/>
            </w:tcMar>
            <w:vAlign w:val="center"/>
          </w:tcPr>
          <w:p>
            <w:pPr>
              <w:pStyle w:val="TableContents"/>
              <w:bidi w:val="0"/>
              <w:spacing w:before="0" w:after="283"/>
              <w:jc w:val="center"/>
              <w:rPr>
                <w:color w:val="484484"/>
              </w:rPr>
            </w:pPr>
            <w:r>
              <w:rPr>
                <w:color w:val="484484"/>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40" w:type="dxa"/>
            <w:tcBorders>
              <w:bottom w:val="single" w:sz="8" w:space="0" w:color="000000"/>
            </w:tcBorders>
            <w:tcMar>
              <w:bottom w:w="58" w:type="dxa"/>
            </w:tcMar>
            <w:vAlign w:val="center"/>
          </w:tcPr>
          <w:p>
            <w:pPr>
              <w:pStyle w:val="TableContents"/>
              <w:bidi w:val="0"/>
              <w:spacing w:before="0" w:after="0"/>
              <w:jc w:val="left"/>
              <w:rPr>
                <w:color w:val="484484"/>
              </w:rPr>
            </w:pPr>
            <w:r>
              <w:rPr>
                <w:color w:val="484484"/>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E7E0EF" w:val="clear"/>
            <w:tcMar>
              <w:bottom w:w="58" w:type="dxa"/>
            </w:tcMar>
            <w:vAlign w:val="center"/>
          </w:tcPr>
          <w:p>
            <w:pPr>
              <w:pStyle w:val="TableContents"/>
              <w:bidi w:val="0"/>
              <w:spacing w:before="0" w:after="283"/>
              <w:jc w:val="center"/>
              <w:rPr>
                <w:color w:val="484484"/>
              </w:rPr>
            </w:pPr>
            <w:r>
              <w:rPr>
                <w:color w:val="484484"/>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58" w:type="dxa"/>
            </w:tcMar>
            <w:vAlign w:val="center"/>
          </w:tcPr>
          <w:p>
            <w:pPr>
              <w:pStyle w:val="TableContents"/>
              <w:bidi w:val="0"/>
              <w:spacing w:before="0" w:after="0"/>
              <w:jc w:val="left"/>
              <w:rPr>
                <w:color w:val="484484"/>
              </w:rPr>
            </w:pPr>
            <w:r>
              <w:rPr>
                <w:color w:val="484484"/>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575" w:type="dxa"/>
            <w:tcBorders>
              <w:bottom w:val="single" w:sz="8" w:space="0" w:color="000000"/>
            </w:tcBorders>
            <w:shd w:fill="E7E0EF" w:val="clear"/>
            <w:tcMar>
              <w:bottom w:w="58" w:type="dxa"/>
            </w:tcMar>
            <w:vAlign w:val="center"/>
          </w:tcPr>
          <w:p>
            <w:pPr>
              <w:pStyle w:val="TableContents"/>
              <w:bidi w:val="0"/>
              <w:spacing w:before="0" w:after="283"/>
              <w:jc w:val="center"/>
              <w:rPr>
                <w:color w:val="484484"/>
              </w:rPr>
            </w:pPr>
            <w:r>
              <w:rPr>
                <w:color w:val="484484"/>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58" w:type="dxa"/>
            </w:tcMar>
            <w:vAlign w:val="center"/>
          </w:tcPr>
          <w:p>
            <w:pPr>
              <w:pStyle w:val="TableContents"/>
              <w:bidi w:val="0"/>
              <w:spacing w:before="0" w:after="283"/>
              <w:jc w:val="center"/>
              <w:rPr>
                <w:rFonts w:ascii="Arial;Helvetica;sans-serif" w:hAnsi="Arial;Helvetica;sans-serif"/>
                <w:b/>
                <w:color w:val="484484"/>
                <w:sz w:val="16"/>
              </w:rPr>
            </w:pPr>
            <w:r>
              <w:rPr>
                <w:rFonts w:ascii="Arial;Helvetica;sans-serif" w:hAnsi="Arial;Helvetica;sans-serif"/>
                <w:b/>
                <w:color w:val="484484"/>
                <w:sz w:val="16"/>
              </w:rPr>
              <w:t>3/13</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145"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Risk Oversight/Compliance Experience</w:t>
            </w:r>
          </w:p>
          <w:p>
            <w:pPr>
              <w:pStyle w:val="TableContents"/>
              <w:bidi w:val="0"/>
              <w:spacing w:before="0" w:after="283"/>
              <w:ind w:left="0" w:right="0" w:hanging="0"/>
              <w:jc w:val="left"/>
              <w:rPr>
                <w:rFonts w:ascii="Arial;Helvetica;sans-serif" w:hAnsi="Arial;Helvetica;sans-serif"/>
                <w:b w:val="false"/>
                <w:color w:val="636466"/>
                <w:sz w:val="14"/>
              </w:rPr>
            </w:pPr>
            <w:r>
              <w:rPr>
                <w:rFonts w:ascii="Arial;Helvetica;sans-serif" w:hAnsi="Arial;Helvetica;sans-serif"/>
                <w:b w:val="false"/>
                <w:color w:val="636466"/>
                <w:sz w:val="14"/>
              </w:rPr>
              <w:t>Pharmaceutical companies face a variety of complex opportunities, risks, and compliance challenges. Directors who have experience monitoring and creating plans to address risk provide important insights that assist our Board and management in ensuring the long-term sustainability of our business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0"/>
              <w:jc w:val="left"/>
              <w:rPr>
                <w:color w:val="484484"/>
              </w:rPr>
            </w:pPr>
            <w:r>
              <w:rPr>
                <w:color w:val="484484"/>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51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86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41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60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left"/>
              <w:rPr>
                <w:color w:val="484484"/>
              </w:rPr>
            </w:pPr>
            <w:r>
              <w:rPr>
                <w:color w:val="484484"/>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57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484484"/>
                <w:sz w:val="16"/>
              </w:rPr>
            </w:pPr>
            <w:r>
              <w:rPr>
                <w:rFonts w:ascii="Arial;Helvetica;sans-serif" w:hAnsi="Arial;Helvetica;sans-serif"/>
                <w:b/>
                <w:color w:val="484484"/>
                <w:sz w:val="16"/>
              </w:rPr>
              <w:t>8/13</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145" w:type="dxa"/>
            <w:tcBorders/>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Strategy and M&amp;A Experience</w:t>
            </w:r>
          </w:p>
          <w:p>
            <w:pPr>
              <w:pStyle w:val="TableContents"/>
              <w:bidi w:val="0"/>
              <w:spacing w:before="0" w:after="283"/>
              <w:ind w:left="0" w:right="0" w:hanging="0"/>
              <w:jc w:val="left"/>
              <w:rPr>
                <w:rFonts w:ascii="Arial;Helvetica;sans-serif" w:hAnsi="Arial;Helvetica;sans-serif"/>
                <w:b w:val="false"/>
                <w:color w:val="636466"/>
                <w:sz w:val="14"/>
              </w:rPr>
            </w:pPr>
            <w:r>
              <w:rPr>
                <w:rFonts w:ascii="Arial;Helvetica;sans-serif" w:hAnsi="Arial;Helvetica;sans-serif"/>
                <w:b w:val="false"/>
                <w:color w:val="636466"/>
                <w:sz w:val="14"/>
              </w:rPr>
              <w:t>Viatris’ Directors are responsible for developing the Company’s successful differentiated strategy, both organically and through strategic and opportunistic acquisitions</w:t>
            </w:r>
          </w:p>
        </w:tc>
        <w:tc>
          <w:tcPr>
            <w:tcW w:w="170" w:type="dxa"/>
            <w:tcBorders/>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55" w:type="dxa"/>
            <w:tcBorders/>
            <w:shd w:fill="E7E0EF" w:val="clear"/>
            <w:vAlign w:val="center"/>
          </w:tcPr>
          <w:p>
            <w:pPr>
              <w:pStyle w:val="TableContents"/>
              <w:bidi w:val="0"/>
              <w:spacing w:before="0" w:after="283"/>
              <w:jc w:val="center"/>
              <w:rPr>
                <w:color w:val="484484"/>
              </w:rPr>
            </w:pPr>
            <w:r>
              <w:rPr>
                <w:color w:val="484484"/>
              </w:rPr>
              <w:t>•</w:t>
            </w:r>
          </w:p>
        </w:tc>
        <w:tc>
          <w:tcPr>
            <w:tcW w:w="170" w:type="dxa"/>
            <w:tcBorders/>
            <w:shd w:fill="E7E0EF"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center"/>
              <w:rPr>
                <w:color w:val="484484"/>
              </w:rPr>
            </w:pPr>
            <w:r>
              <w:rPr>
                <w:color w:val="484484"/>
              </w:rPr>
              <w:t>•</w:t>
            </w:r>
          </w:p>
        </w:tc>
        <w:tc>
          <w:tcPr>
            <w:tcW w:w="170" w:type="dxa"/>
            <w:tcBorders/>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15" w:type="dxa"/>
            <w:tcBorders/>
            <w:shd w:fill="E7E0EF" w:val="clear"/>
            <w:vAlign w:val="center"/>
          </w:tcPr>
          <w:p>
            <w:pPr>
              <w:pStyle w:val="TableContents"/>
              <w:bidi w:val="0"/>
              <w:spacing w:before="0" w:after="283"/>
              <w:jc w:val="center"/>
              <w:rPr>
                <w:color w:val="484484"/>
              </w:rPr>
            </w:pPr>
            <w:r>
              <w:rPr>
                <w:color w:val="484484"/>
              </w:rPr>
              <w:t>•</w:t>
            </w:r>
          </w:p>
        </w:tc>
        <w:tc>
          <w:tcPr>
            <w:tcW w:w="170" w:type="dxa"/>
            <w:tcBorders/>
            <w:shd w:fill="E7E0EF"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color w:val="484484"/>
              </w:rPr>
            </w:pPr>
            <w:r>
              <w:rPr>
                <w:color w:val="484484"/>
              </w:rPr>
              <w:t>•</w:t>
            </w:r>
          </w:p>
        </w:tc>
        <w:tc>
          <w:tcPr>
            <w:tcW w:w="170" w:type="dxa"/>
            <w:tcBorders/>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jc w:val="center"/>
              <w:rPr>
                <w:color w:val="484484"/>
              </w:rPr>
            </w:pPr>
            <w:r>
              <w:rPr>
                <w:color w:val="484484"/>
              </w:rPr>
              <w:t>•</w:t>
            </w:r>
          </w:p>
        </w:tc>
        <w:tc>
          <w:tcPr>
            <w:tcW w:w="170" w:type="dxa"/>
            <w:tcBorders/>
            <w:shd w:fill="E7E0EF"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center"/>
              <w:rPr>
                <w:color w:val="484484"/>
              </w:rPr>
            </w:pPr>
            <w:r>
              <w:rPr>
                <w:color w:val="484484"/>
              </w:rPr>
              <w:t>•</w:t>
            </w:r>
          </w:p>
        </w:tc>
        <w:tc>
          <w:tcPr>
            <w:tcW w:w="170" w:type="dxa"/>
            <w:tcBorders/>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10" w:type="dxa"/>
            <w:tcBorders/>
            <w:shd w:fill="E7E0EF" w:val="clear"/>
            <w:vAlign w:val="center"/>
          </w:tcPr>
          <w:p>
            <w:pPr>
              <w:pStyle w:val="TableContents"/>
              <w:bidi w:val="0"/>
              <w:spacing w:before="0" w:after="283"/>
              <w:jc w:val="center"/>
              <w:rPr>
                <w:color w:val="484484"/>
              </w:rPr>
            </w:pPr>
            <w:r>
              <w:rPr>
                <w:color w:val="484484"/>
              </w:rPr>
              <w:t>•</w:t>
            </w:r>
          </w:p>
        </w:tc>
        <w:tc>
          <w:tcPr>
            <w:tcW w:w="170" w:type="dxa"/>
            <w:tcBorders/>
            <w:shd w:fill="E7E0EF"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color w:val="484484"/>
              </w:rPr>
            </w:pPr>
            <w:r>
              <w:rPr>
                <w:color w:val="484484"/>
              </w:rPr>
              <w:t>•</w:t>
            </w:r>
          </w:p>
        </w:tc>
        <w:tc>
          <w:tcPr>
            <w:tcW w:w="170" w:type="dxa"/>
            <w:tcBorders/>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05" w:type="dxa"/>
            <w:tcBorders/>
            <w:shd w:fill="E7E0EF" w:val="clear"/>
            <w:vAlign w:val="center"/>
          </w:tcPr>
          <w:p>
            <w:pPr>
              <w:pStyle w:val="TableContents"/>
              <w:bidi w:val="0"/>
              <w:spacing w:before="0" w:after="283"/>
              <w:jc w:val="center"/>
              <w:rPr>
                <w:color w:val="484484"/>
              </w:rPr>
            </w:pPr>
            <w:r>
              <w:rPr>
                <w:color w:val="484484"/>
              </w:rPr>
              <w:t>•</w:t>
            </w:r>
          </w:p>
        </w:tc>
        <w:tc>
          <w:tcPr>
            <w:tcW w:w="170" w:type="dxa"/>
            <w:tcBorders/>
            <w:shd w:fill="E7E0EF"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center"/>
              <w:rPr>
                <w:color w:val="484484"/>
              </w:rPr>
            </w:pPr>
            <w:r>
              <w:rPr>
                <w:color w:val="484484"/>
              </w:rPr>
              <w:t>•</w:t>
            </w:r>
          </w:p>
        </w:tc>
        <w:tc>
          <w:tcPr>
            <w:tcW w:w="170" w:type="dxa"/>
            <w:tcBorders/>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00" w:type="dxa"/>
            <w:tcBorders/>
            <w:shd w:fill="E7E0EF" w:val="clear"/>
            <w:vAlign w:val="center"/>
          </w:tcPr>
          <w:p>
            <w:pPr>
              <w:pStyle w:val="TableContents"/>
              <w:bidi w:val="0"/>
              <w:spacing w:before="0" w:after="283"/>
              <w:jc w:val="center"/>
              <w:rPr>
                <w:color w:val="484484"/>
              </w:rPr>
            </w:pPr>
            <w:r>
              <w:rPr>
                <w:color w:val="484484"/>
              </w:rPr>
              <w:t>•</w:t>
            </w:r>
          </w:p>
        </w:tc>
        <w:tc>
          <w:tcPr>
            <w:tcW w:w="170" w:type="dxa"/>
            <w:tcBorders/>
            <w:shd w:fill="E7E0EF"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jc w:val="center"/>
              <w:rPr>
                <w:color w:val="484484"/>
              </w:rPr>
            </w:pPr>
            <w:r>
              <w:rPr>
                <w:color w:val="484484"/>
              </w:rPr>
              <w:t>•</w:t>
            </w:r>
          </w:p>
        </w:tc>
        <w:tc>
          <w:tcPr>
            <w:tcW w:w="170" w:type="dxa"/>
            <w:tcBorders/>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75" w:type="dxa"/>
            <w:tcBorders/>
            <w:shd w:fill="E7E0EF" w:val="clear"/>
            <w:vAlign w:val="center"/>
          </w:tcPr>
          <w:p>
            <w:pPr>
              <w:pStyle w:val="TableContents"/>
              <w:bidi w:val="0"/>
              <w:spacing w:before="0" w:after="283"/>
              <w:jc w:val="center"/>
              <w:rPr>
                <w:color w:val="484484"/>
              </w:rPr>
            </w:pPr>
            <w:r>
              <w:rPr>
                <w:color w:val="484484"/>
              </w:rPr>
              <w:t>•</w:t>
            </w:r>
          </w:p>
        </w:tc>
        <w:tc>
          <w:tcPr>
            <w:tcW w:w="170" w:type="dxa"/>
            <w:tcBorders/>
            <w:shd w:fill="E7E0EF"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Arial;Helvetica;sans-serif" w:hAnsi="Arial;Helvetica;sans-serif"/>
                <w:b/>
                <w:color w:val="484484"/>
                <w:sz w:val="16"/>
              </w:rPr>
            </w:pPr>
            <w:r>
              <w:rPr>
                <w:rFonts w:ascii="Arial;Helvetica;sans-serif" w:hAnsi="Arial;Helvetica;sans-serif"/>
                <w:b/>
                <w:color w:val="484484"/>
                <w:sz w:val="16"/>
              </w:rPr>
              <w:t>13/13</w:t>
            </w:r>
          </w:p>
        </w:tc>
        <w:tc>
          <w:tcPr>
            <w:tcW w:w="215" w:type="dxa"/>
            <w:tcBorders/>
            <w:vAlign w:val="center"/>
          </w:tcPr>
          <w:p>
            <w:pPr>
              <w:pStyle w:val="TableContents"/>
              <w:bidi w:val="0"/>
              <w:spacing w:before="0" w:after="0"/>
              <w:jc w:val="left"/>
              <w:rPr/>
            </w:pPr>
            <w:r>
              <w:rPr/>
              <w:t> </w:t>
            </w:r>
          </w:p>
        </w:tc>
      </w:tr>
      <w:tr>
        <w:trPr/>
        <w:tc>
          <w:tcPr>
            <w:tcW w:w="1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5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1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1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0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0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7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4875" w:type="dxa"/>
        <w:jc w:val="left"/>
        <w:tblInd w:w="1060" w:type="dxa"/>
        <w:tblLayout w:type="fixed"/>
        <w:tblCellMar>
          <w:top w:w="0" w:type="dxa"/>
          <w:left w:w="0" w:type="dxa"/>
          <w:bottom w:w="0" w:type="dxa"/>
          <w:right w:w="0" w:type="dxa"/>
        </w:tblCellMar>
      </w:tblPr>
      <w:tblGrid>
        <w:gridCol w:w="2130"/>
        <w:gridCol w:w="170"/>
        <w:gridCol w:w="170"/>
        <w:gridCol w:w="2405"/>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5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9" descr=""/>
                          <pic:cNvPicPr>
                            <a:picLocks noChangeAspect="1" noChangeArrowheads="1"/>
                          </pic:cNvPicPr>
                        </pic:nvPicPr>
                        <pic:blipFill>
                          <a:blip r:embed="rId48"/>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Statement | 7</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5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0" descr=""/>
                    <pic:cNvPicPr>
                      <a:picLocks noChangeAspect="1" noChangeArrowheads="1"/>
                    </pic:cNvPicPr>
                  </pic:nvPicPr>
                  <pic:blipFill>
                    <a:blip r:embed="rId49"/>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31" w:name="ny20055082x771_def14a_106-directors_pg3"/>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left"/>
        <w:rPr>
          <w:caps/>
          <w:color w:val="1F1C6B"/>
          <w:u w:val="single"/>
        </w:rPr>
      </w:pPr>
      <w:r>
        <w:rPr>
          <w:caps/>
          <w:color w:val="1F1C6B"/>
          <w:u w:val="single"/>
        </w:rPr>
        <w:t> </w:t>
      </w:r>
      <w:r>
        <w:rPr>
          <w:rFonts w:ascii="Arial;Helvetica;sans-serif" w:hAnsi="Arial;Helvetica;sans-serif"/>
          <w:caps/>
          <w:color w:val="1F1C6B"/>
          <w:sz w:val="18"/>
          <w:u w:val="single"/>
        </w:rPr>
        <w:t>Viatris’ Board of Directors </w:t>
      </w:r>
    </w:p>
    <w:p>
      <w:pPr>
        <w:pStyle w:val="TextBody"/>
        <w:bidi w:val="0"/>
        <w:spacing w:before="200" w:after="283"/>
        <w:ind w:left="1060" w:right="0" w:hanging="0"/>
        <w:jc w:val="left"/>
        <w:rPr>
          <w:rFonts w:ascii="Arial;Helvetica;sans-serif" w:hAnsi="Arial;Helvetica;sans-serif"/>
          <w:color w:val="1F1C6B"/>
          <w:sz w:val="30"/>
        </w:rPr>
      </w:pPr>
      <w:r>
        <w:rPr>
          <w:rFonts w:ascii="Arial;Helvetica;sans-serif" w:hAnsi="Arial;Helvetica;sans-serif"/>
          <w:color w:val="1F1C6B"/>
          <w:sz w:val="30"/>
        </w:rPr>
        <w:t>Director Nominee Attributes</w:t>
      </w:r>
    </w:p>
    <w:p>
      <w:pPr>
        <w:pStyle w:val="TextBody"/>
        <w:bidi w:val="0"/>
        <w:spacing w:before="220" w:after="283"/>
        <w:ind w:left="1060" w:right="0" w:hanging="0"/>
        <w:jc w:val="left"/>
        <w:rPr>
          <w:color w:val="636466"/>
        </w:rPr>
      </w:pPr>
      <w:r>
        <w:rPr>
          <w:color w:val="636466"/>
        </w:rPr>
        <w:drawing>
          <wp:inline distT="0" distB="0" distL="0" distR="0">
            <wp:extent cx="6638925" cy="1171575"/>
            <wp:effectExtent l="0" t="0" r="0" b="0"/>
            <wp:docPr id="5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1" descr=""/>
                    <pic:cNvPicPr>
                      <a:picLocks noChangeAspect="1" noChangeArrowheads="1"/>
                    </pic:cNvPicPr>
                  </pic:nvPicPr>
                  <pic:blipFill>
                    <a:blip r:embed="rId50"/>
                    <a:stretch>
                      <a:fillRect/>
                    </a:stretch>
                  </pic:blipFill>
                  <pic:spPr bwMode="auto">
                    <a:xfrm>
                      <a:off x="0" y="0"/>
                      <a:ext cx="6638925" cy="1171575"/>
                    </a:xfrm>
                    <a:prstGeom prst="rect">
                      <a:avLst/>
                    </a:prstGeom>
                  </pic:spPr>
                </pic:pic>
              </a:graphicData>
            </a:graphic>
          </wp:inline>
        </w:drawing>
      </w:r>
      <w:r>
        <w:rPr>
          <w:color w:val="636466"/>
        </w:rPr>
        <w:t xml:space="preserve">  </w:t>
      </w:r>
    </w:p>
    <w:tbl>
      <w:tblPr>
        <w:tblW w:w="4875" w:type="dxa"/>
        <w:jc w:val="left"/>
        <w:tblInd w:w="1060" w:type="dxa"/>
        <w:tblLayout w:type="fixed"/>
        <w:tblCellMar>
          <w:top w:w="0" w:type="dxa"/>
          <w:left w:w="0" w:type="dxa"/>
          <w:bottom w:w="0" w:type="dxa"/>
          <w:right w:w="0" w:type="dxa"/>
        </w:tblCellMar>
      </w:tblPr>
      <w:tblGrid>
        <w:gridCol w:w="2375"/>
        <w:gridCol w:w="170"/>
        <w:gridCol w:w="170"/>
        <w:gridCol w:w="2160"/>
      </w:tblGrid>
      <w:tr>
        <w:trPr/>
        <w:tc>
          <w:tcPr>
            <w:tcW w:w="23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375"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8 | 2025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5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2" descr=""/>
                          <pic:cNvPicPr>
                            <a:picLocks noChangeAspect="1" noChangeArrowheads="1"/>
                          </pic:cNvPicPr>
                        </pic:nvPicPr>
                        <pic:blipFill>
                          <a:blip r:embed="rId51"/>
                          <a:stretch>
                            <a:fillRect/>
                          </a:stretch>
                        </pic:blipFill>
                        <pic:spPr bwMode="auto">
                          <a:xfrm>
                            <a:off x="0" y="0"/>
                            <a:ext cx="1323975" cy="352425"/>
                          </a:xfrm>
                          <a:prstGeom prst="rect">
                            <a:avLst/>
                          </a:prstGeom>
                        </pic:spPr>
                      </pic:pic>
                    </a:graphicData>
                  </a:graphic>
                </wp:inline>
              </w:drawing>
            </w:r>
          </w:p>
        </w:tc>
      </w:tr>
      <w:tr>
        <w:trPr/>
        <w:tc>
          <w:tcPr>
            <w:tcW w:w="23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5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3" descr=""/>
                    <pic:cNvPicPr>
                      <a:picLocks noChangeAspect="1" noChangeArrowheads="1"/>
                    </pic:cNvPicPr>
                  </pic:nvPicPr>
                  <pic:blipFill>
                    <a:blip r:embed="rId52"/>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32" w:name="ny20055082x771_def14a_106-directors_pg4"/>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1060" w:right="0" w:hanging="0"/>
        <w:jc w:val="left"/>
        <w:rPr>
          <w:color w:val="000000"/>
        </w:rPr>
      </w:pPr>
      <w:r>
        <w:rPr>
          <w:color w:val="000000"/>
        </w:rPr>
        <w:drawing>
          <wp:inline distT="0" distB="0" distL="0" distR="0">
            <wp:extent cx="685800" cy="190500"/>
            <wp:effectExtent l="0" t="0" r="0" b="0"/>
            <wp:docPr id="6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4" descr=""/>
                    <pic:cNvPicPr>
                      <a:picLocks noChangeAspect="1" noChangeArrowheads="1"/>
                    </pic:cNvPicPr>
                  </pic:nvPicPr>
                  <pic:blipFill>
                    <a:blip r:embed="rId53"/>
                    <a:stretch>
                      <a:fillRect/>
                    </a:stretch>
                  </pic:blipFill>
                  <pic:spPr bwMode="auto">
                    <a:xfrm>
                      <a:off x="0" y="0"/>
                      <a:ext cx="685800" cy="190500"/>
                    </a:xfrm>
                    <a:prstGeom prst="rect">
                      <a:avLst/>
                    </a:prstGeom>
                  </pic:spPr>
                </pic:pic>
              </a:graphicData>
            </a:graphic>
          </wp:inline>
        </w:drawing>
      </w:r>
    </w:p>
    <w:p>
      <w:pPr>
        <w:pStyle w:val="Normal"/>
        <w:bidi w:val="0"/>
        <w:spacing w:before="0" w:after="0"/>
        <w:ind w:left="1060" w:right="0" w:hanging="0"/>
        <w:jc w:val="left"/>
        <w:rPr>
          <w:sz w:val="4"/>
          <w:szCs w:val="4"/>
        </w:rPr>
      </w:pPr>
      <w:r>
        <w:rPr>
          <w:sz w:val="4"/>
          <w:szCs w:val="4"/>
        </w:rPr>
      </w:r>
      <w:r>
        <mc:AlternateContent>
          <mc:Choice Requires="wps">
            <w:drawing>
              <wp:anchor behindDoc="0" distT="0" distB="0" distL="304800" distR="0" simplePos="0" locked="0" layoutInCell="1" allowOverlap="1" relativeHeight="154">
                <wp:simplePos x="0" y="0"/>
                <wp:positionH relativeFrom="column">
                  <wp:align>left</wp:align>
                </wp:positionH>
                <wp:positionV relativeFrom="line">
                  <wp:posOffset>635</wp:posOffset>
                </wp:positionV>
                <wp:extent cx="1993900" cy="8644255"/>
                <wp:effectExtent l="0" t="0" r="0" b="0"/>
                <wp:wrapSquare wrapText="right"/>
                <wp:docPr id="61" name="Frame10"/>
                <a:graphic xmlns:a="http://schemas.openxmlformats.org/drawingml/2006/main">
                  <a:graphicData uri="http://schemas.microsoft.com/office/word/2010/wordprocessingShape">
                    <wps:wsp>
                      <wps:cNvSpPr txBox="1"/>
                      <wps:spPr>
                        <a:xfrm>
                          <a:off x="0" y="0"/>
                          <a:ext cx="1993900" cy="8644255"/>
                        </a:xfrm>
                        <a:prstGeom prst="rect"/>
                        <a:solidFill>
                          <a:srgbClr val="FFFFFF"/>
                        </a:solidFill>
                      </wps:spPr>
                      <wps:txbx>
                        <w:txbxContent>
                          <w:tbl>
                            <w:tblPr>
                              <w:tblW w:w="2700" w:type="dxa"/>
                              <w:jc w:val="left"/>
                              <w:tblInd w:w="1060" w:type="dxa"/>
                              <w:tblLayout w:type="fixed"/>
                              <w:tblCellMar>
                                <w:top w:w="0" w:type="dxa"/>
                                <w:left w:w="0" w:type="dxa"/>
                                <w:bottom w:w="0" w:type="dxa"/>
                                <w:right w:w="0" w:type="dxa"/>
                              </w:tblCellMar>
                            </w:tblPr>
                            <w:tblGrid>
                              <w:gridCol w:w="185"/>
                              <w:gridCol w:w="2300"/>
                              <w:gridCol w:w="215"/>
                            </w:tblGrid>
                            <w:tr>
                              <w:trPr/>
                              <w:tc>
                                <w:tcPr>
                                  <w:tcW w:w="185" w:type="dxa"/>
                                  <w:tcBorders/>
                                  <w:shd w:fill="DEDEF6" w:val="clear"/>
                                  <w:vAlign w:val="center"/>
                                </w:tcPr>
                                <w:p>
                                  <w:pPr>
                                    <w:pStyle w:val="TableContents"/>
                                    <w:bidi w:val="0"/>
                                    <w:spacing w:before="0" w:after="0"/>
                                    <w:jc w:val="left"/>
                                    <w:rPr/>
                                  </w:pPr>
                                  <w:r>
                                    <w:rPr/>
                                    <w:t> </w:t>
                                  </w:r>
                                </w:p>
                              </w:tc>
                              <w:tc>
                                <w:tcPr>
                                  <w:tcW w:w="2300" w:type="dxa"/>
                                  <w:tcBorders/>
                                  <w:shd w:fill="DEDEF6" w:val="clear"/>
                                  <w:vAlign w:val="center"/>
                                </w:tcPr>
                                <w:p>
                                  <w:pPr>
                                    <w:pStyle w:val="TableContents"/>
                                    <w:bidi w:val="0"/>
                                    <w:spacing w:before="0" w:after="0"/>
                                    <w:jc w:val="left"/>
                                    <w:rPr/>
                                  </w:pPr>
                                  <w:r>
                                    <w:rPr/>
                                    <w:t> </w:t>
                                  </w:r>
                                </w:p>
                              </w:tc>
                              <w:tc>
                                <w:tcPr>
                                  <w:tcW w:w="215" w:type="dxa"/>
                                  <w:tcBorders/>
                                  <w:shd w:fill="DEDEF6" w:val="clear"/>
                                  <w:vAlign w:val="center"/>
                                </w:tcPr>
                                <w:p>
                                  <w:pPr>
                                    <w:pStyle w:val="TableContents"/>
                                    <w:bidi w:val="0"/>
                                    <w:spacing w:before="0" w:after="0"/>
                                    <w:jc w:val="left"/>
                                    <w:rPr/>
                                  </w:pPr>
                                  <w:r>
                                    <w:rPr/>
                                    <w:t> </w:t>
                                  </w:r>
                                </w:p>
                              </w:tc>
                            </w:tr>
                            <w:tr>
                              <w:trPr/>
                              <w:tc>
                                <w:tcPr>
                                  <w:tcW w:w="185" w:type="dxa"/>
                                  <w:tcBorders/>
                                  <w:shd w:fill="DEDEF6" w:val="clear"/>
                                  <w:vAlign w:val="center"/>
                                </w:tcPr>
                                <w:p>
                                  <w:pPr>
                                    <w:pStyle w:val="TableContents"/>
                                    <w:bidi w:val="0"/>
                                    <w:spacing w:before="0" w:after="0"/>
                                    <w:jc w:val="left"/>
                                    <w:rPr/>
                                  </w:pPr>
                                  <w:r>
                                    <w:rPr/>
                                    <w:t> </w:t>
                                  </w:r>
                                </w:p>
                              </w:tc>
                              <w:tc>
                                <w:tcPr>
                                  <w:tcW w:w="2300" w:type="dxa"/>
                                  <w:tcBorders/>
                                  <w:shd w:fill="DEDEF6" w:val="clear"/>
                                  <w:vAlign w:val="center"/>
                                </w:tcPr>
                                <w:p>
                                  <w:pPr>
                                    <w:pStyle w:val="TableContents"/>
                                    <w:bidi w:val="0"/>
                                    <w:spacing w:before="0" w:after="283"/>
                                    <w:ind w:left="120" w:right="0" w:hanging="0"/>
                                    <w:jc w:val="left"/>
                                    <w:rPr>
                                      <w:rFonts w:ascii="Arial;Helvetica;sans-serif" w:hAnsi="Arial;Helvetica;sans-serif"/>
                                      <w:b/>
                                      <w:color w:val="484484"/>
                                      <w:sz w:val="20"/>
                                    </w:rPr>
                                  </w:pPr>
                                  <w:r>
                                    <w:rPr>
                                      <w:rFonts w:ascii="Arial;Helvetica;sans-serif" w:hAnsi="Arial;Helvetica;sans-serif"/>
                                      <w:b/>
                                      <w:color w:val="484484"/>
                                      <w:sz w:val="20"/>
                                    </w:rPr>
                                    <w:t>Board Recommendation</w:t>
                                  </w:r>
                                </w:p>
                              </w:tc>
                              <w:tc>
                                <w:tcPr>
                                  <w:tcW w:w="215" w:type="dxa"/>
                                  <w:tcBorders/>
                                  <w:shd w:fill="DEDEF6" w:val="clear"/>
                                  <w:vAlign w:val="center"/>
                                </w:tcPr>
                                <w:p>
                                  <w:pPr>
                                    <w:pStyle w:val="TableContents"/>
                                    <w:bidi w:val="0"/>
                                    <w:spacing w:before="0" w:after="0"/>
                                    <w:jc w:val="left"/>
                                    <w:rPr/>
                                  </w:pPr>
                                  <w:r>
                                    <w:rPr/>
                                    <w:t> </w:t>
                                  </w:r>
                                </w:p>
                              </w:tc>
                            </w:tr>
                            <w:tr>
                              <w:trPr/>
                              <w:tc>
                                <w:tcPr>
                                  <w:tcW w:w="185" w:type="dxa"/>
                                  <w:tcBorders/>
                                  <w:shd w:fill="DEDEF6" w:val="clear"/>
                                  <w:vAlign w:val="center"/>
                                </w:tcPr>
                                <w:p>
                                  <w:pPr>
                                    <w:pStyle w:val="TableContents"/>
                                    <w:bidi w:val="0"/>
                                    <w:spacing w:before="0" w:after="0"/>
                                    <w:jc w:val="left"/>
                                    <w:rPr/>
                                  </w:pPr>
                                  <w:r>
                                    <w:rPr/>
                                    <w:t> </w:t>
                                  </w:r>
                                </w:p>
                              </w:tc>
                              <w:tc>
                                <w:tcPr>
                                  <w:tcW w:w="2300" w:type="dxa"/>
                                  <w:tcBorders/>
                                  <w:shd w:fill="DEDEF6" w:val="clear"/>
                                  <w:vAlign w:val="center"/>
                                </w:tcPr>
                                <w:p>
                                  <w:pPr>
                                    <w:pStyle w:val="TableContents"/>
                                    <w:bidi w:val="0"/>
                                    <w:spacing w:before="0" w:after="0"/>
                                    <w:jc w:val="left"/>
                                    <w:rPr/>
                                  </w:pPr>
                                  <w:r>
                                    <w:rPr/>
                                    <w:t> </w:t>
                                  </w:r>
                                </w:p>
                              </w:tc>
                              <w:tc>
                                <w:tcPr>
                                  <w:tcW w:w="215" w:type="dxa"/>
                                  <w:tcBorders/>
                                  <w:shd w:fill="DEDEF6" w:val="clear"/>
                                  <w:vAlign w:val="center"/>
                                </w:tcPr>
                                <w:p>
                                  <w:pPr>
                                    <w:pStyle w:val="TableContents"/>
                                    <w:bidi w:val="0"/>
                                    <w:spacing w:before="0" w:after="0"/>
                                    <w:jc w:val="left"/>
                                    <w:rPr/>
                                  </w:pPr>
                                  <w:r>
                                    <w:rPr/>
                                    <w:t> </w:t>
                                  </w:r>
                                </w:p>
                              </w:tc>
                            </w:tr>
                          </w:tbl>
                          <w:tbl>
                            <w:tblPr>
                              <w:tblW w:w="5625" w:type="dxa"/>
                              <w:jc w:val="left"/>
                              <w:tblInd w:w="1060" w:type="dxa"/>
                              <w:tblLayout w:type="fixed"/>
                              <w:tblCellMar>
                                <w:top w:w="0" w:type="dxa"/>
                                <w:left w:w="0" w:type="dxa"/>
                                <w:bottom w:w="0" w:type="dxa"/>
                                <w:right w:w="0" w:type="dxa"/>
                              </w:tblCellMar>
                            </w:tblPr>
                            <w:tblGrid>
                              <w:gridCol w:w="185"/>
                              <w:gridCol w:w="5225"/>
                              <w:gridCol w:w="215"/>
                            </w:tblGrid>
                            <w:tr>
                              <w:trPr/>
                              <w:tc>
                                <w:tcPr>
                                  <w:tcW w:w="185" w:type="dxa"/>
                                  <w:tcBorders/>
                                  <w:shd w:fill="E7E0EF" w:val="clear"/>
                                  <w:vAlign w:val="center"/>
                                </w:tcPr>
                                <w:p>
                                  <w:pPr>
                                    <w:pStyle w:val="TableContents"/>
                                    <w:bidi w:val="0"/>
                                    <w:spacing w:before="0" w:after="0"/>
                                    <w:jc w:val="left"/>
                                    <w:rPr/>
                                  </w:pPr>
                                  <w:r>
                                    <w:rPr/>
                                    <w:t> </w:t>
                                  </w:r>
                                </w:p>
                              </w:tc>
                              <w:tc>
                                <w:tcPr>
                                  <w:tcW w:w="522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225" w:type="dxa"/>
                                  <w:tcBorders/>
                                  <w:shd w:fill="E7E0EF" w:val="clear"/>
                                  <w:vAlign w:val="center"/>
                                </w:tcPr>
                                <w:p>
                                  <w:pPr>
                                    <w:pStyle w:val="TableContents"/>
                                    <w:bidi w:val="0"/>
                                    <w:spacing w:before="0" w:after="283"/>
                                    <w:ind w:left="120" w:right="0" w:hanging="0"/>
                                    <w:jc w:val="left"/>
                                    <w:rPr>
                                      <w:rFonts w:ascii="Arial;Helvetica;sans-serif" w:hAnsi="Arial;Helvetica;sans-serif"/>
                                      <w:color w:val="636466"/>
                                      <w:sz w:val="26"/>
                                    </w:rPr>
                                  </w:pPr>
                                  <w:r>
                                    <w:rPr>
                                      <w:rFonts w:ascii="Arial;Helvetica;sans-serif" w:hAnsi="Arial;Helvetica;sans-serif"/>
                                      <w:color w:val="636466"/>
                                      <w:sz w:val="26"/>
                                    </w:rPr>
                                    <w:t xml:space="preserve">Viatris’ Board recommends a vote </w:t>
                                  </w:r>
                                  <w:r>
                                    <w:rPr>
                                      <w:rFonts w:ascii="Arial;Helvetica;sans-serif" w:hAnsi="Arial;Helvetica;sans-serif"/>
                                      <w:color w:val="8A58A0"/>
                                      <w:sz w:val="26"/>
                                    </w:rPr>
                                    <w:t>“</w:t>
                                  </w:r>
                                  <w:r>
                                    <w:rPr>
                                      <w:rFonts w:ascii="Arial;Helvetica;sans-serif" w:hAnsi="Arial;Helvetica;sans-serif"/>
                                      <w:color w:val="8A58A0"/>
                                      <w:sz w:val="44"/>
                                    </w:rPr>
                                    <w:t xml:space="preserve">FOR” </w:t>
                                  </w:r>
                                </w:p>
                                <w:p>
                                  <w:pPr>
                                    <w:pStyle w:val="TableContents"/>
                                    <w:bidi w:val="0"/>
                                    <w:spacing w:before="0" w:after="283"/>
                                    <w:ind w:left="120" w:right="0" w:hanging="0"/>
                                    <w:jc w:val="left"/>
                                    <w:rPr>
                                      <w:rFonts w:ascii="Arial;Helvetica;sans-serif" w:hAnsi="Arial;Helvetica;sans-serif"/>
                                      <w:color w:val="636466"/>
                                      <w:sz w:val="26"/>
                                    </w:rPr>
                                  </w:pPr>
                                  <w:r>
                                    <w:rPr>
                                      <w:rFonts w:ascii="Arial;Helvetica;sans-serif" w:hAnsi="Arial;Helvetica;sans-serif"/>
                                      <w:color w:val="636466"/>
                                      <w:sz w:val="26"/>
                                    </w:rPr>
                                    <w:t>the election of each Nominee.</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22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p>
                            <w:pPr>
                              <w:pStyle w:val="TextBody"/>
                              <w:bidi w:val="0"/>
                              <w:spacing w:before="190" w:after="283"/>
                              <w:ind w:left="1060" w:right="0" w:hanging="0"/>
                              <w:jc w:val="center"/>
                              <w:rPr>
                                <w:color w:val="636466"/>
                              </w:rPr>
                            </w:pPr>
                            <w:r>
                              <w:rPr>
                                <w:color w:val="636466"/>
                              </w:rPr>
                              <w:drawing>
                                <wp:inline distT="0" distB="0" distL="0" distR="0">
                                  <wp:extent cx="1981200" cy="5934075"/>
                                  <wp:effectExtent l="0" t="0" r="0" b="0"/>
                                  <wp:docPr id="6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5" descr=""/>
                                          <pic:cNvPicPr>
                                            <a:picLocks noChangeAspect="1" noChangeArrowheads="1"/>
                                          </pic:cNvPicPr>
                                        </pic:nvPicPr>
                                        <pic:blipFill>
                                          <a:blip r:embed="rId54"/>
                                          <a:stretch>
                                            <a:fillRect/>
                                          </a:stretch>
                                        </pic:blipFill>
                                        <pic:spPr bwMode="auto">
                                          <a:xfrm>
                                            <a:off x="0" y="0"/>
                                            <a:ext cx="1981200" cy="5934075"/>
                                          </a:xfrm>
                                          <a:prstGeom prst="rect">
                                            <a:avLst/>
                                          </a:prstGeom>
                                        </pic:spPr>
                                      </pic:pic>
                                    </a:graphicData>
                                  </a:graphic>
                                </wp:inline>
                              </w:drawing>
                            </w:r>
                          </w:p>
                          <w:p>
                            <w:pPr>
                              <w:pStyle w:val="TextBody"/>
                              <w:bidi w:val="0"/>
                              <w:spacing w:before="0" w:after="283"/>
                              <w:ind w:left="1060" w:right="0" w:hanging="0"/>
                              <w:jc w:val="left"/>
                              <w:rPr>
                                <w:color w:val="636466"/>
                              </w:rPr>
                            </w:pPr>
                            <w:r>
                              <w:rPr>
                                <w:color w:val="636466"/>
                              </w:rPr>
                              <w:t> </w:t>
                            </w:r>
                          </w:p>
                        </w:txbxContent>
                      </wps:txbx>
                      <wps:bodyPr anchor="t" lIns="0" tIns="0" rIns="0" bIns="0">
                        <a:noAutofit/>
                      </wps:bodyPr>
                    </wps:wsp>
                  </a:graphicData>
                </a:graphic>
              </wp:anchor>
            </w:drawing>
          </mc:Choice>
          <mc:Fallback>
            <w:pict>
              <v:rect style="position:absolute;rotation:-0;width:157pt;height:680.65pt;mso-wrap-distance-left:24pt;mso-wrap-distance-right:0pt;mso-wrap-distance-top:0pt;mso-wrap-distance-bottom:0pt;margin-top:0pt;mso-position-vertical:top;mso-position-vertical-relative:text;margin-left:24pt;mso-position-horizontal:left;mso-position-horizontal-relative:text">
                <v:textbox>
                  <w:txbxContent>
                    <w:tbl>
                      <w:tblPr>
                        <w:tblW w:w="2700" w:type="dxa"/>
                        <w:jc w:val="left"/>
                        <w:tblInd w:w="1060" w:type="dxa"/>
                        <w:tblLayout w:type="fixed"/>
                        <w:tblCellMar>
                          <w:top w:w="0" w:type="dxa"/>
                          <w:left w:w="0" w:type="dxa"/>
                          <w:bottom w:w="0" w:type="dxa"/>
                          <w:right w:w="0" w:type="dxa"/>
                        </w:tblCellMar>
                      </w:tblPr>
                      <w:tblGrid>
                        <w:gridCol w:w="185"/>
                        <w:gridCol w:w="2300"/>
                        <w:gridCol w:w="215"/>
                      </w:tblGrid>
                      <w:tr>
                        <w:trPr/>
                        <w:tc>
                          <w:tcPr>
                            <w:tcW w:w="185" w:type="dxa"/>
                            <w:tcBorders/>
                            <w:shd w:fill="DEDEF6" w:val="clear"/>
                            <w:vAlign w:val="center"/>
                          </w:tcPr>
                          <w:p>
                            <w:pPr>
                              <w:pStyle w:val="TableContents"/>
                              <w:bidi w:val="0"/>
                              <w:spacing w:before="0" w:after="0"/>
                              <w:jc w:val="left"/>
                              <w:rPr/>
                            </w:pPr>
                            <w:r>
                              <w:rPr/>
                              <w:t> </w:t>
                            </w:r>
                          </w:p>
                        </w:tc>
                        <w:tc>
                          <w:tcPr>
                            <w:tcW w:w="2300" w:type="dxa"/>
                            <w:tcBorders/>
                            <w:shd w:fill="DEDEF6" w:val="clear"/>
                            <w:vAlign w:val="center"/>
                          </w:tcPr>
                          <w:p>
                            <w:pPr>
                              <w:pStyle w:val="TableContents"/>
                              <w:bidi w:val="0"/>
                              <w:spacing w:before="0" w:after="0"/>
                              <w:jc w:val="left"/>
                              <w:rPr/>
                            </w:pPr>
                            <w:r>
                              <w:rPr/>
                              <w:t> </w:t>
                            </w:r>
                          </w:p>
                        </w:tc>
                        <w:tc>
                          <w:tcPr>
                            <w:tcW w:w="215" w:type="dxa"/>
                            <w:tcBorders/>
                            <w:shd w:fill="DEDEF6" w:val="clear"/>
                            <w:vAlign w:val="center"/>
                          </w:tcPr>
                          <w:p>
                            <w:pPr>
                              <w:pStyle w:val="TableContents"/>
                              <w:bidi w:val="0"/>
                              <w:spacing w:before="0" w:after="0"/>
                              <w:jc w:val="left"/>
                              <w:rPr/>
                            </w:pPr>
                            <w:r>
                              <w:rPr/>
                              <w:t> </w:t>
                            </w:r>
                          </w:p>
                        </w:tc>
                      </w:tr>
                      <w:tr>
                        <w:trPr/>
                        <w:tc>
                          <w:tcPr>
                            <w:tcW w:w="185" w:type="dxa"/>
                            <w:tcBorders/>
                            <w:shd w:fill="DEDEF6" w:val="clear"/>
                            <w:vAlign w:val="center"/>
                          </w:tcPr>
                          <w:p>
                            <w:pPr>
                              <w:pStyle w:val="TableContents"/>
                              <w:bidi w:val="0"/>
                              <w:spacing w:before="0" w:after="0"/>
                              <w:jc w:val="left"/>
                              <w:rPr/>
                            </w:pPr>
                            <w:r>
                              <w:rPr/>
                              <w:t> </w:t>
                            </w:r>
                          </w:p>
                        </w:tc>
                        <w:tc>
                          <w:tcPr>
                            <w:tcW w:w="2300" w:type="dxa"/>
                            <w:tcBorders/>
                            <w:shd w:fill="DEDEF6" w:val="clear"/>
                            <w:vAlign w:val="center"/>
                          </w:tcPr>
                          <w:p>
                            <w:pPr>
                              <w:pStyle w:val="TableContents"/>
                              <w:bidi w:val="0"/>
                              <w:spacing w:before="0" w:after="283"/>
                              <w:ind w:left="120" w:right="0" w:hanging="0"/>
                              <w:jc w:val="left"/>
                              <w:rPr>
                                <w:rFonts w:ascii="Arial;Helvetica;sans-serif" w:hAnsi="Arial;Helvetica;sans-serif"/>
                                <w:b/>
                                <w:color w:val="484484"/>
                                <w:sz w:val="20"/>
                              </w:rPr>
                            </w:pPr>
                            <w:r>
                              <w:rPr>
                                <w:rFonts w:ascii="Arial;Helvetica;sans-serif" w:hAnsi="Arial;Helvetica;sans-serif"/>
                                <w:b/>
                                <w:color w:val="484484"/>
                                <w:sz w:val="20"/>
                              </w:rPr>
                              <w:t>Board Recommendation</w:t>
                            </w:r>
                          </w:p>
                        </w:tc>
                        <w:tc>
                          <w:tcPr>
                            <w:tcW w:w="215" w:type="dxa"/>
                            <w:tcBorders/>
                            <w:shd w:fill="DEDEF6" w:val="clear"/>
                            <w:vAlign w:val="center"/>
                          </w:tcPr>
                          <w:p>
                            <w:pPr>
                              <w:pStyle w:val="TableContents"/>
                              <w:bidi w:val="0"/>
                              <w:spacing w:before="0" w:after="0"/>
                              <w:jc w:val="left"/>
                              <w:rPr/>
                            </w:pPr>
                            <w:r>
                              <w:rPr/>
                              <w:t> </w:t>
                            </w:r>
                          </w:p>
                        </w:tc>
                      </w:tr>
                      <w:tr>
                        <w:trPr/>
                        <w:tc>
                          <w:tcPr>
                            <w:tcW w:w="185" w:type="dxa"/>
                            <w:tcBorders/>
                            <w:shd w:fill="DEDEF6" w:val="clear"/>
                            <w:vAlign w:val="center"/>
                          </w:tcPr>
                          <w:p>
                            <w:pPr>
                              <w:pStyle w:val="TableContents"/>
                              <w:bidi w:val="0"/>
                              <w:spacing w:before="0" w:after="0"/>
                              <w:jc w:val="left"/>
                              <w:rPr/>
                            </w:pPr>
                            <w:r>
                              <w:rPr/>
                              <w:t> </w:t>
                            </w:r>
                          </w:p>
                        </w:tc>
                        <w:tc>
                          <w:tcPr>
                            <w:tcW w:w="2300" w:type="dxa"/>
                            <w:tcBorders/>
                            <w:shd w:fill="DEDEF6" w:val="clear"/>
                            <w:vAlign w:val="center"/>
                          </w:tcPr>
                          <w:p>
                            <w:pPr>
                              <w:pStyle w:val="TableContents"/>
                              <w:bidi w:val="0"/>
                              <w:spacing w:before="0" w:after="0"/>
                              <w:jc w:val="left"/>
                              <w:rPr/>
                            </w:pPr>
                            <w:r>
                              <w:rPr/>
                              <w:t> </w:t>
                            </w:r>
                          </w:p>
                        </w:tc>
                        <w:tc>
                          <w:tcPr>
                            <w:tcW w:w="215" w:type="dxa"/>
                            <w:tcBorders/>
                            <w:shd w:fill="DEDEF6" w:val="clear"/>
                            <w:vAlign w:val="center"/>
                          </w:tcPr>
                          <w:p>
                            <w:pPr>
                              <w:pStyle w:val="TableContents"/>
                              <w:bidi w:val="0"/>
                              <w:spacing w:before="0" w:after="0"/>
                              <w:jc w:val="left"/>
                              <w:rPr/>
                            </w:pPr>
                            <w:r>
                              <w:rPr/>
                              <w:t> </w:t>
                            </w:r>
                          </w:p>
                        </w:tc>
                      </w:tr>
                    </w:tbl>
                    <w:tbl>
                      <w:tblPr>
                        <w:tblW w:w="5625" w:type="dxa"/>
                        <w:jc w:val="left"/>
                        <w:tblInd w:w="1060" w:type="dxa"/>
                        <w:tblLayout w:type="fixed"/>
                        <w:tblCellMar>
                          <w:top w:w="0" w:type="dxa"/>
                          <w:left w:w="0" w:type="dxa"/>
                          <w:bottom w:w="0" w:type="dxa"/>
                          <w:right w:w="0" w:type="dxa"/>
                        </w:tblCellMar>
                      </w:tblPr>
                      <w:tblGrid>
                        <w:gridCol w:w="185"/>
                        <w:gridCol w:w="5225"/>
                        <w:gridCol w:w="215"/>
                      </w:tblGrid>
                      <w:tr>
                        <w:trPr/>
                        <w:tc>
                          <w:tcPr>
                            <w:tcW w:w="185" w:type="dxa"/>
                            <w:tcBorders/>
                            <w:shd w:fill="E7E0EF" w:val="clear"/>
                            <w:vAlign w:val="center"/>
                          </w:tcPr>
                          <w:p>
                            <w:pPr>
                              <w:pStyle w:val="TableContents"/>
                              <w:bidi w:val="0"/>
                              <w:spacing w:before="0" w:after="0"/>
                              <w:jc w:val="left"/>
                              <w:rPr/>
                            </w:pPr>
                            <w:r>
                              <w:rPr/>
                              <w:t> </w:t>
                            </w:r>
                          </w:p>
                        </w:tc>
                        <w:tc>
                          <w:tcPr>
                            <w:tcW w:w="522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225" w:type="dxa"/>
                            <w:tcBorders/>
                            <w:shd w:fill="E7E0EF" w:val="clear"/>
                            <w:vAlign w:val="center"/>
                          </w:tcPr>
                          <w:p>
                            <w:pPr>
                              <w:pStyle w:val="TableContents"/>
                              <w:bidi w:val="0"/>
                              <w:spacing w:before="0" w:after="283"/>
                              <w:ind w:left="120" w:right="0" w:hanging="0"/>
                              <w:jc w:val="left"/>
                              <w:rPr>
                                <w:rFonts w:ascii="Arial;Helvetica;sans-serif" w:hAnsi="Arial;Helvetica;sans-serif"/>
                                <w:color w:val="636466"/>
                                <w:sz w:val="26"/>
                              </w:rPr>
                            </w:pPr>
                            <w:r>
                              <w:rPr>
                                <w:rFonts w:ascii="Arial;Helvetica;sans-serif" w:hAnsi="Arial;Helvetica;sans-serif"/>
                                <w:color w:val="636466"/>
                                <w:sz w:val="26"/>
                              </w:rPr>
                              <w:t xml:space="preserve">Viatris’ Board recommends a vote </w:t>
                            </w:r>
                            <w:r>
                              <w:rPr>
                                <w:rFonts w:ascii="Arial;Helvetica;sans-serif" w:hAnsi="Arial;Helvetica;sans-serif"/>
                                <w:color w:val="8A58A0"/>
                                <w:sz w:val="26"/>
                              </w:rPr>
                              <w:t>“</w:t>
                            </w:r>
                            <w:r>
                              <w:rPr>
                                <w:rFonts w:ascii="Arial;Helvetica;sans-serif" w:hAnsi="Arial;Helvetica;sans-serif"/>
                                <w:color w:val="8A58A0"/>
                                <w:sz w:val="44"/>
                              </w:rPr>
                              <w:t xml:space="preserve">FOR” </w:t>
                            </w:r>
                          </w:p>
                          <w:p>
                            <w:pPr>
                              <w:pStyle w:val="TableContents"/>
                              <w:bidi w:val="0"/>
                              <w:spacing w:before="0" w:after="283"/>
                              <w:ind w:left="120" w:right="0" w:hanging="0"/>
                              <w:jc w:val="left"/>
                              <w:rPr>
                                <w:rFonts w:ascii="Arial;Helvetica;sans-serif" w:hAnsi="Arial;Helvetica;sans-serif"/>
                                <w:color w:val="636466"/>
                                <w:sz w:val="26"/>
                              </w:rPr>
                            </w:pPr>
                            <w:r>
                              <w:rPr>
                                <w:rFonts w:ascii="Arial;Helvetica;sans-serif" w:hAnsi="Arial;Helvetica;sans-serif"/>
                                <w:color w:val="636466"/>
                                <w:sz w:val="26"/>
                              </w:rPr>
                              <w:t>the election of each Nominee.</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22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p>
                      <w:pPr>
                        <w:pStyle w:val="TextBody"/>
                        <w:bidi w:val="0"/>
                        <w:spacing w:before="190" w:after="283"/>
                        <w:ind w:left="1060" w:right="0" w:hanging="0"/>
                        <w:jc w:val="center"/>
                        <w:rPr>
                          <w:color w:val="636466"/>
                        </w:rPr>
                      </w:pPr>
                      <w:r>
                        <w:rPr>
                          <w:color w:val="636466"/>
                        </w:rPr>
                        <w:drawing>
                          <wp:inline distT="0" distB="0" distL="0" distR="0">
                            <wp:extent cx="1981200" cy="5934075"/>
                            <wp:effectExtent l="0" t="0" r="0" b="0"/>
                            <wp:docPr id="6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5" descr=""/>
                                    <pic:cNvPicPr>
                                      <a:picLocks noChangeAspect="1" noChangeArrowheads="1"/>
                                    </pic:cNvPicPr>
                                  </pic:nvPicPr>
                                  <pic:blipFill>
                                    <a:blip r:embed="rId55"/>
                                    <a:stretch>
                                      <a:fillRect/>
                                    </a:stretch>
                                  </pic:blipFill>
                                  <pic:spPr bwMode="auto">
                                    <a:xfrm>
                                      <a:off x="0" y="0"/>
                                      <a:ext cx="1981200" cy="5934075"/>
                                    </a:xfrm>
                                    <a:prstGeom prst="rect">
                                      <a:avLst/>
                                    </a:prstGeom>
                                  </pic:spPr>
                                </pic:pic>
                              </a:graphicData>
                            </a:graphic>
                          </wp:inline>
                        </w:drawing>
                      </w:r>
                    </w:p>
                    <w:p>
                      <w:pPr>
                        <w:pStyle w:val="TextBody"/>
                        <w:bidi w:val="0"/>
                        <w:spacing w:before="0" w:after="283"/>
                        <w:ind w:left="1060" w:right="0" w:hanging="0"/>
                        <w:jc w:val="left"/>
                        <w:rPr>
                          <w:color w:val="636466"/>
                        </w:rPr>
                      </w:pPr>
                      <w:r>
                        <w:rPr>
                          <w:color w:val="636466"/>
                        </w:rPr>
                        <w:t> </w:t>
                      </w:r>
                    </w:p>
                  </w:txbxContent>
                </v:textbox>
                <w10:wrap type="square" side="right"/>
              </v:rect>
            </w:pict>
          </mc:Fallback>
        </mc:AlternateContent>
      </w:r>
      <w:r>
        <mc:AlternateContent>
          <mc:Choice Requires="wps">
            <w:drawing>
              <wp:anchor behindDoc="0" distT="0" distB="0" distL="0" distR="0" simplePos="0" locked="0" layoutInCell="1" allowOverlap="1" relativeHeight="302">
                <wp:simplePos x="0" y="0"/>
                <wp:positionH relativeFrom="column">
                  <wp:align>left</wp:align>
                </wp:positionH>
                <wp:positionV relativeFrom="line">
                  <wp:posOffset>635</wp:posOffset>
                </wp:positionV>
                <wp:extent cx="4330700" cy="6967855"/>
                <wp:effectExtent l="0" t="0" r="0" b="0"/>
                <wp:wrapSquare wrapText="right"/>
                <wp:docPr id="64" name="Frame9"/>
                <a:graphic xmlns:a="http://schemas.openxmlformats.org/drawingml/2006/main">
                  <a:graphicData uri="http://schemas.microsoft.com/office/word/2010/wordprocessingShape">
                    <wps:wsp>
                      <wps:cNvSpPr txBox="1"/>
                      <wps:spPr>
                        <a:xfrm>
                          <a:off x="0" y="0"/>
                          <a:ext cx="4330700" cy="6967855"/>
                        </a:xfrm>
                        <a:prstGeom prst="rect"/>
                        <a:solidFill>
                          <a:srgbClr val="FFFFFF"/>
                        </a:solidFill>
                      </wps:spPr>
                      <wps:txbx>
                        <w:txbxContent>
                          <w:p>
                            <w:pPr>
                              <w:pStyle w:val="TextBody"/>
                              <w:bidi w:val="0"/>
                              <w:spacing w:before="295" w:after="283"/>
                              <w:ind w:left="1060" w:right="0" w:hanging="0"/>
                              <w:jc w:val="left"/>
                              <w:rPr>
                                <w:rFonts w:ascii="Arial;Helvetica;sans-serif" w:hAnsi="Arial;Helvetica;sans-serif"/>
                                <w:color w:val="72288A"/>
                                <w:sz w:val="30"/>
                              </w:rPr>
                            </w:pPr>
                            <w:bookmarkStart w:id="33" w:name="tEOD"/>
                            <w:bookmarkEnd w:id="33"/>
                            <w:r>
                              <w:rPr>
                                <w:rFonts w:ascii="Arial;Helvetica;sans-serif" w:hAnsi="Arial;Helvetica;sans-serif"/>
                                <w:color w:val="72288A"/>
                                <w:sz w:val="30"/>
                              </w:rPr>
                              <w:t>Item 1</w:t>
                            </w:r>
                            <w:r>
                              <w:rPr>
                                <w:rFonts w:ascii="Arial;Helvetica;sans-serif" w:hAnsi="Arial;Helvetica;sans-serif"/>
                                <w:color w:val="1F1C6B"/>
                                <w:sz w:val="30"/>
                              </w:rPr>
                              <w:t xml:space="preserve"> </w:t>
                            </w:r>
                          </w:p>
                          <w:p>
                            <w:pPr>
                              <w:pStyle w:val="TextBody"/>
                              <w:bidi w:val="0"/>
                              <w:spacing w:before="0" w:after="283"/>
                              <w:ind w:left="1060" w:right="0" w:hanging="0"/>
                              <w:jc w:val="left"/>
                              <w:rPr>
                                <w:rFonts w:ascii="Arial;Helvetica;sans-serif" w:hAnsi="Arial;Helvetica;sans-serif"/>
                                <w:color w:val="1F1C6B"/>
                                <w:sz w:val="44"/>
                              </w:rPr>
                            </w:pPr>
                            <w:r>
                              <w:rPr>
                                <w:rFonts w:ascii="Arial;Helvetica;sans-serif" w:hAnsi="Arial;Helvetica;sans-serif"/>
                                <w:color w:val="1F1C6B"/>
                                <w:sz w:val="44"/>
                              </w:rPr>
                              <w:t xml:space="preserve">Election of Directors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While Viatris' Board currently consists of 15 Directors, the Board has reduced the size of the Board to 13 Directors, effective after the 2025 Annual Meeting. The first item for consideration at the 2025 Annual Meeting is the election of 13 Director nominees. The Board has, upon the recommendation of our Governance and Sustainability Committee, nominated W. Don Cornwell, Frank D’Amelio, JoEllen Lyons Dillon, Elisha Finney, Leo Groothuis, Melina Higgins, James M. Kilts, Richard Mark, Mark Parrish, Michael Severino, David Simmons, Scott A. Smith, and Rogério Vivaldi Coelho (the “Nominees”) for re-election at our 2025 Annual Meeting. If re-elected, each Nominee will serve as a Director until our 2026 annual meeting of shareholders and until their successor is duly elected and qualified, or until their earlier death, resignation, removal or retirement.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The Board and the Governance and Sustainability Committee have carefully evaluated the experience, structure, culture, operation, interactions, collaboration, and performance of the full Board; the talents, expertise, and contributions of individual Directors, including the Nominees; the Board’s leadership; the integration and evolution of the Company; the Board’s critical role in governance, risk oversight, and continuing to develop and lead the strategic direction of the Company; the Board’s ability to respond to the continued change and disruption in the healthcare industry; anticipated future opportunities and challenges facing the Company; and the Board’s ongoing commitment to ensuring shareholder value creation and long-term sustainability for the benefit of shareholders and other stakeholders. Based on these considerations, among others, Viatris’ Board recommends a vote “FOR” the election of each of the Nominees. </w:t>
                            </w:r>
                          </w:p>
                          <w:p>
                            <w:pPr>
                              <w:pStyle w:val="TextBody"/>
                              <w:bidi w:val="0"/>
                              <w:spacing w:before="240" w:after="283"/>
                              <w:ind w:left="1060" w:right="0" w:hanging="0"/>
                              <w:jc w:val="left"/>
                              <w:rPr/>
                            </w:pPr>
                            <w:r>
                              <w:rPr>
                                <w:rFonts w:ascii="Arial;Helvetica;sans-serif" w:hAnsi="Arial;Helvetica;sans-serif"/>
                                <w:color w:val="636466"/>
                                <w:sz w:val="18"/>
                              </w:rPr>
                              <w:t xml:space="preserve">The Board’s general criteria for nomination to the Board are set forth in “How Our Directors Are Selected and Evaluated” beginning on page </w:t>
                            </w:r>
                            <w:hyperlink w:anchor="tHOD">
                              <w:r>
                                <w:rPr>
                                  <w:rStyle w:val="InternetLink"/>
                                  <w:rFonts w:ascii="Arial;Helvetica;sans-serif" w:hAnsi="Arial;Helvetica;sans-serif"/>
                                  <w:color w:val="000080"/>
                                  <w:sz w:val="18"/>
                                </w:rPr>
                                <w:t>34</w:t>
                              </w:r>
                            </w:hyperlink>
                            <w:r>
                              <w:rPr>
                                <w:rFonts w:ascii="Arial;Helvetica;sans-serif" w:hAnsi="Arial;Helvetica;sans-serif"/>
                                <w:color w:val="636466"/>
                                <w:sz w:val="18"/>
                              </w:rPr>
                              <w:t xml:space="preserve">. </w:t>
                            </w:r>
                          </w:p>
                          <w:p>
                            <w:pPr>
                              <w:pStyle w:val="TextBody"/>
                              <w:bidi w:val="0"/>
                              <w:spacing w:before="240" w:after="283"/>
                              <w:ind w:left="1060" w:right="0" w:hanging="0"/>
                              <w:jc w:val="left"/>
                              <w:rPr/>
                            </w:pPr>
                            <w:r>
                              <w:rPr>
                                <w:rFonts w:ascii="Arial;Helvetica;sans-serif" w:hAnsi="Arial;Helvetica;sans-serif"/>
                                <w:color w:val="636466"/>
                                <w:sz w:val="18"/>
                              </w:rPr>
                              <w:t xml:space="preserve">Information about each Nominee’s specific experience, qualifications, attributes or skills that led the Board to conclude that he or she should be re-elected as a Director is set forth below on pages </w:t>
                            </w:r>
                            <w:hyperlink w:anchor="tDNE">
                              <w:r>
                                <w:rPr>
                                  <w:rStyle w:val="InternetLink"/>
                                  <w:rFonts w:ascii="Arial;Helvetica;sans-serif" w:hAnsi="Arial;Helvetica;sans-serif"/>
                                  <w:color w:val="000080"/>
                                  <w:sz w:val="18"/>
                                </w:rPr>
                                <w:t>10</w:t>
                              </w:r>
                            </w:hyperlink>
                            <w:r>
                              <w:rPr>
                                <w:rFonts w:ascii="Arial;Helvetica;sans-serif" w:hAnsi="Arial;Helvetica;sans-serif"/>
                                <w:color w:val="636466"/>
                                <w:sz w:val="18"/>
                              </w:rPr>
                              <w:t xml:space="preserve"> to </w:t>
                            </w:r>
                            <w:hyperlink w:anchor="tRVCM">
                              <w:r>
                                <w:rPr>
                                  <w:rStyle w:val="InternetLink"/>
                                  <w:rFonts w:ascii="Arial;Helvetica;sans-serif" w:hAnsi="Arial;Helvetica;sans-serif"/>
                                  <w:color w:val="000080"/>
                                  <w:sz w:val="18"/>
                                </w:rPr>
                                <w:t>22</w:t>
                              </w:r>
                            </w:hyperlink>
                            <w:r>
                              <w:rPr>
                                <w:rFonts w:ascii="Arial;Helvetica;sans-serif" w:hAnsi="Arial;Helvetica;sans-serif"/>
                                <w:color w:val="636466"/>
                                <w:sz w:val="18"/>
                              </w:rPr>
                              <w:t xml:space="preserve">. Each Nominee is currently on Viatris’ Board and each has consented to act as a Director if elected at the 2025 Annual Meeting. Proxies cannot be voted for a greater number of persons than the number of nominees named in this Proxy Statement. </w:t>
                            </w:r>
                          </w:p>
                        </w:txbxContent>
                      </wps:txbx>
                      <wps:bodyPr anchor="t" lIns="0" tIns="0" rIns="0" bIns="0">
                        <a:noAutofit/>
                      </wps:bodyPr>
                    </wps:wsp>
                  </a:graphicData>
                </a:graphic>
              </wp:anchor>
            </w:drawing>
          </mc:Choice>
          <mc:Fallback>
            <w:pict>
              <v:rect style="position:absolute;rotation:-0;width:341pt;height:548.65pt;mso-wrap-distance-left:0pt;mso-wrap-distance-right:0pt;mso-wrap-distance-top:0pt;mso-wrap-distance-bottom:0pt;margin-top:0pt;mso-position-vertical:top;mso-position-vertical-relative:text;margin-left:181pt;mso-position-horizontal:left;mso-position-horizontal-relative:text">
                <v:textbox>
                  <w:txbxContent>
                    <w:p>
                      <w:pPr>
                        <w:pStyle w:val="TextBody"/>
                        <w:bidi w:val="0"/>
                        <w:spacing w:before="295" w:after="283"/>
                        <w:ind w:left="1060" w:right="0" w:hanging="0"/>
                        <w:jc w:val="left"/>
                        <w:rPr>
                          <w:rFonts w:ascii="Arial;Helvetica;sans-serif" w:hAnsi="Arial;Helvetica;sans-serif"/>
                          <w:color w:val="72288A"/>
                          <w:sz w:val="30"/>
                        </w:rPr>
                      </w:pPr>
                      <w:bookmarkStart w:id="34" w:name="tEOD"/>
                      <w:bookmarkEnd w:id="34"/>
                      <w:r>
                        <w:rPr>
                          <w:rFonts w:ascii="Arial;Helvetica;sans-serif" w:hAnsi="Arial;Helvetica;sans-serif"/>
                          <w:color w:val="72288A"/>
                          <w:sz w:val="30"/>
                        </w:rPr>
                        <w:t>Item 1</w:t>
                      </w:r>
                      <w:r>
                        <w:rPr>
                          <w:rFonts w:ascii="Arial;Helvetica;sans-serif" w:hAnsi="Arial;Helvetica;sans-serif"/>
                          <w:color w:val="1F1C6B"/>
                          <w:sz w:val="30"/>
                        </w:rPr>
                        <w:t xml:space="preserve"> </w:t>
                      </w:r>
                    </w:p>
                    <w:p>
                      <w:pPr>
                        <w:pStyle w:val="TextBody"/>
                        <w:bidi w:val="0"/>
                        <w:spacing w:before="0" w:after="283"/>
                        <w:ind w:left="1060" w:right="0" w:hanging="0"/>
                        <w:jc w:val="left"/>
                        <w:rPr>
                          <w:rFonts w:ascii="Arial;Helvetica;sans-serif" w:hAnsi="Arial;Helvetica;sans-serif"/>
                          <w:color w:val="1F1C6B"/>
                          <w:sz w:val="44"/>
                        </w:rPr>
                      </w:pPr>
                      <w:r>
                        <w:rPr>
                          <w:rFonts w:ascii="Arial;Helvetica;sans-serif" w:hAnsi="Arial;Helvetica;sans-serif"/>
                          <w:color w:val="1F1C6B"/>
                          <w:sz w:val="44"/>
                        </w:rPr>
                        <w:t xml:space="preserve">Election of Directors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While Viatris' Board currently consists of 15 Directors, the Board has reduced the size of the Board to 13 Directors, effective after the 2025 Annual Meeting. The first item for consideration at the 2025 Annual Meeting is the election of 13 Director nominees. The Board has, upon the recommendation of our Governance and Sustainability Committee, nominated W. Don Cornwell, Frank D’Amelio, JoEllen Lyons Dillon, Elisha Finney, Leo Groothuis, Melina Higgins, James M. Kilts, Richard Mark, Mark Parrish, Michael Severino, David Simmons, Scott A. Smith, and Rogério Vivaldi Coelho (the “Nominees”) for re-election at our 2025 Annual Meeting. If re-elected, each Nominee will serve as a Director until our 2026 annual meeting of shareholders and until their successor is duly elected and qualified, or until their earlier death, resignation, removal or retirement.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The Board and the Governance and Sustainability Committee have carefully evaluated the experience, structure, culture, operation, interactions, collaboration, and performance of the full Board; the talents, expertise, and contributions of individual Directors, including the Nominees; the Board’s leadership; the integration and evolution of the Company; the Board’s critical role in governance, risk oversight, and continuing to develop and lead the strategic direction of the Company; the Board’s ability to respond to the continued change and disruption in the healthcare industry; anticipated future opportunities and challenges facing the Company; and the Board’s ongoing commitment to ensuring shareholder value creation and long-term sustainability for the benefit of shareholders and other stakeholders. Based on these considerations, among others, Viatris’ Board recommends a vote “FOR” the election of each of the Nominees. </w:t>
                      </w:r>
                    </w:p>
                    <w:p>
                      <w:pPr>
                        <w:pStyle w:val="TextBody"/>
                        <w:bidi w:val="0"/>
                        <w:spacing w:before="240" w:after="283"/>
                        <w:ind w:left="1060" w:right="0" w:hanging="0"/>
                        <w:jc w:val="left"/>
                        <w:rPr/>
                      </w:pPr>
                      <w:r>
                        <w:rPr>
                          <w:rFonts w:ascii="Arial;Helvetica;sans-serif" w:hAnsi="Arial;Helvetica;sans-serif"/>
                          <w:color w:val="636466"/>
                          <w:sz w:val="18"/>
                        </w:rPr>
                        <w:t xml:space="preserve">The Board’s general criteria for nomination to the Board are set forth in “How Our Directors Are Selected and Evaluated” beginning on page </w:t>
                      </w:r>
                      <w:hyperlink w:anchor="tHOD">
                        <w:r>
                          <w:rPr>
                            <w:rStyle w:val="InternetLink"/>
                            <w:rFonts w:ascii="Arial;Helvetica;sans-serif" w:hAnsi="Arial;Helvetica;sans-serif"/>
                            <w:color w:val="000080"/>
                            <w:sz w:val="18"/>
                          </w:rPr>
                          <w:t>34</w:t>
                        </w:r>
                      </w:hyperlink>
                      <w:r>
                        <w:rPr>
                          <w:rFonts w:ascii="Arial;Helvetica;sans-serif" w:hAnsi="Arial;Helvetica;sans-serif"/>
                          <w:color w:val="636466"/>
                          <w:sz w:val="18"/>
                        </w:rPr>
                        <w:t xml:space="preserve">. </w:t>
                      </w:r>
                    </w:p>
                    <w:p>
                      <w:pPr>
                        <w:pStyle w:val="TextBody"/>
                        <w:bidi w:val="0"/>
                        <w:spacing w:before="240" w:after="283"/>
                        <w:ind w:left="1060" w:right="0" w:hanging="0"/>
                        <w:jc w:val="left"/>
                        <w:rPr/>
                      </w:pPr>
                      <w:r>
                        <w:rPr>
                          <w:rFonts w:ascii="Arial;Helvetica;sans-serif" w:hAnsi="Arial;Helvetica;sans-serif"/>
                          <w:color w:val="636466"/>
                          <w:sz w:val="18"/>
                        </w:rPr>
                        <w:t xml:space="preserve">Information about each Nominee’s specific experience, qualifications, attributes or skills that led the Board to conclude that he or she should be re-elected as a Director is set forth below on pages </w:t>
                      </w:r>
                      <w:hyperlink w:anchor="tDNE">
                        <w:r>
                          <w:rPr>
                            <w:rStyle w:val="InternetLink"/>
                            <w:rFonts w:ascii="Arial;Helvetica;sans-serif" w:hAnsi="Arial;Helvetica;sans-serif"/>
                            <w:color w:val="000080"/>
                            <w:sz w:val="18"/>
                          </w:rPr>
                          <w:t>10</w:t>
                        </w:r>
                      </w:hyperlink>
                      <w:r>
                        <w:rPr>
                          <w:rFonts w:ascii="Arial;Helvetica;sans-serif" w:hAnsi="Arial;Helvetica;sans-serif"/>
                          <w:color w:val="636466"/>
                          <w:sz w:val="18"/>
                        </w:rPr>
                        <w:t xml:space="preserve"> to </w:t>
                      </w:r>
                      <w:hyperlink w:anchor="tRVCM">
                        <w:r>
                          <w:rPr>
                            <w:rStyle w:val="InternetLink"/>
                            <w:rFonts w:ascii="Arial;Helvetica;sans-serif" w:hAnsi="Arial;Helvetica;sans-serif"/>
                            <w:color w:val="000080"/>
                            <w:sz w:val="18"/>
                          </w:rPr>
                          <w:t>22</w:t>
                        </w:r>
                      </w:hyperlink>
                      <w:r>
                        <w:rPr>
                          <w:rFonts w:ascii="Arial;Helvetica;sans-serif" w:hAnsi="Arial;Helvetica;sans-serif"/>
                          <w:color w:val="636466"/>
                          <w:sz w:val="18"/>
                        </w:rPr>
                        <w:t xml:space="preserve">. Each Nominee is currently on Viatris’ Board and each has consented to act as a Director if elected at the 2025 Annual Meeting. Proxies cannot be voted for a greater number of persons than the number of nominees named in this Proxy Statement. </w:t>
                      </w:r>
                    </w:p>
                  </w:txbxContent>
                </v:textbox>
                <w10:wrap type="square" side="right"/>
              </v:rect>
            </w:pict>
          </mc:Fallback>
        </mc:AlternateContent>
      </w:r>
    </w:p>
    <w:tbl>
      <w:tblPr>
        <w:tblW w:w="4875" w:type="dxa"/>
        <w:jc w:val="left"/>
        <w:tblInd w:w="1060" w:type="dxa"/>
        <w:tblLayout w:type="fixed"/>
        <w:tblCellMar>
          <w:top w:w="0" w:type="dxa"/>
          <w:left w:w="0" w:type="dxa"/>
          <w:bottom w:w="0" w:type="dxa"/>
          <w:right w:w="0" w:type="dxa"/>
        </w:tblCellMar>
      </w:tblPr>
      <w:tblGrid>
        <w:gridCol w:w="2130"/>
        <w:gridCol w:w="170"/>
        <w:gridCol w:w="170"/>
        <w:gridCol w:w="2405"/>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65"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46" descr=""/>
                          <pic:cNvPicPr>
                            <a:picLocks noChangeAspect="1" noChangeArrowheads="1"/>
                          </pic:cNvPicPr>
                        </pic:nvPicPr>
                        <pic:blipFill>
                          <a:blip r:embed="rId56"/>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Statement | 9</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66"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7" descr=""/>
                    <pic:cNvPicPr>
                      <a:picLocks noChangeAspect="1" noChangeArrowheads="1"/>
                    </pic:cNvPicPr>
                  </pic:nvPicPr>
                  <pic:blipFill>
                    <a:blip r:embed="rId57"/>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35" w:name="ny20055082x771_def14a_106-directors_pg5"/>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lef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p>
      <w:pPr>
        <w:pStyle w:val="TextBody"/>
        <w:bidi w:val="0"/>
        <w:spacing w:before="200" w:after="283"/>
        <w:ind w:left="1060" w:right="0" w:hanging="0"/>
        <w:jc w:val="left"/>
        <w:rPr>
          <w:rFonts w:ascii="Arial;Helvetica;sans-serif" w:hAnsi="Arial;Helvetica;sans-serif"/>
          <w:color w:val="1F1C6B"/>
          <w:sz w:val="30"/>
        </w:rPr>
      </w:pPr>
      <w:bookmarkStart w:id="36" w:name="tDNE"/>
      <w:bookmarkEnd w:id="36"/>
      <w:r>
        <w:rPr>
          <w:rFonts w:ascii="Arial;Helvetica;sans-serif" w:hAnsi="Arial;Helvetica;sans-serif"/>
          <w:color w:val="1F1C6B"/>
          <w:sz w:val="30"/>
        </w:rPr>
        <w:t xml:space="preserve">Directors Nominated for Election at the 2025 Annual Meeting </w:t>
      </w:r>
    </w:p>
    <w:tbl>
      <w:tblPr>
        <w:tblW w:w="9145" w:type="dxa"/>
        <w:jc w:val="left"/>
        <w:tblInd w:w="1060" w:type="dxa"/>
        <w:tblLayout w:type="fixed"/>
        <w:tblCellMar>
          <w:top w:w="0" w:type="dxa"/>
          <w:left w:w="0" w:type="dxa"/>
          <w:bottom w:w="0" w:type="dxa"/>
          <w:right w:w="0" w:type="dxa"/>
        </w:tblCellMar>
      </w:tblPr>
      <w:tblGrid>
        <w:gridCol w:w="1905"/>
        <w:gridCol w:w="170"/>
        <w:gridCol w:w="170"/>
        <w:gridCol w:w="6900"/>
      </w:tblGrid>
      <w:tr>
        <w:trPr/>
        <w:tc>
          <w:tcPr>
            <w:tcW w:w="1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0" w:type="dxa"/>
            <w:tcBorders/>
            <w:vAlign w:val="center"/>
          </w:tcPr>
          <w:p>
            <w:pPr>
              <w:pStyle w:val="TableContents"/>
              <w:bidi w:val="0"/>
              <w:spacing w:before="0" w:after="0"/>
              <w:jc w:val="left"/>
              <w:rPr/>
            </w:pPr>
            <w:r>
              <w:rPr/>
              <w:t> </w:t>
            </w:r>
          </w:p>
        </w:tc>
      </w:tr>
      <w:tr>
        <w:trPr/>
        <w:tc>
          <w:tcPr>
            <w:tcW w:w="1905" w:type="dxa"/>
            <w:vMerge w:val="restart"/>
            <w:tcBorders/>
            <w:vAlign w:val="center"/>
          </w:tcPr>
          <w:p>
            <w:pPr>
              <w:pStyle w:val="TableContents"/>
              <w:bidi w:val="0"/>
              <w:spacing w:before="0" w:after="283"/>
              <w:jc w:val="center"/>
              <w:rPr>
                <w:color w:val="636466"/>
              </w:rPr>
            </w:pPr>
            <w:r>
              <w:rPr>
                <w:color w:val="636466"/>
              </w:rPr>
              <w:drawing>
                <wp:inline distT="0" distB="0" distL="0" distR="0">
                  <wp:extent cx="1181100" cy="1181100"/>
                  <wp:effectExtent l="0" t="0" r="0" b="0"/>
                  <wp:docPr id="67"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48" descr=""/>
                          <pic:cNvPicPr>
                            <a:picLocks noChangeAspect="1" noChangeArrowheads="1"/>
                          </pic:cNvPicPr>
                        </pic:nvPicPr>
                        <pic:blipFill>
                          <a:blip r:embed="rId58"/>
                          <a:stretch>
                            <a:fillRect/>
                          </a:stretch>
                        </pic:blipFill>
                        <pic:spPr bwMode="auto">
                          <a:xfrm>
                            <a:off x="0" y="0"/>
                            <a:ext cx="1181100" cy="1181100"/>
                          </a:xfrm>
                          <a:prstGeom prst="rect">
                            <a:avLst/>
                          </a:prstGeom>
                        </pic:spPr>
                      </pic:pic>
                    </a:graphicData>
                  </a:graphic>
                </wp:inline>
              </w:drawing>
            </w:r>
          </w:p>
          <w:p>
            <w:pPr>
              <w:pStyle w:val="TableContents"/>
              <w:bidi w:val="0"/>
              <w:spacing w:before="0" w:after="283"/>
              <w:ind w:left="0" w:right="0" w:hanging="0"/>
              <w:jc w:val="left"/>
              <w:rPr>
                <w:color w:val="636466"/>
              </w:rPr>
            </w:pPr>
            <w:r>
              <w:rPr>
                <w:color w:val="636466"/>
              </w:rPr>
              <w:t> </w:t>
            </w:r>
          </w:p>
          <w:p>
            <w:pPr>
              <w:pStyle w:val="TableContents"/>
              <w:bidi w:val="0"/>
              <w:spacing w:before="180" w:after="283"/>
              <w:ind w:left="0" w:right="0" w:hanging="0"/>
              <w:jc w:val="left"/>
              <w:rPr>
                <w:rFonts w:ascii="Arial;Helvetica;sans-serif" w:hAnsi="Arial;Helvetica;sans-serif"/>
                <w:color w:val="636466"/>
                <w:sz w:val="16"/>
              </w:rPr>
            </w:pPr>
            <w:r>
              <w:rPr>
                <w:rFonts w:ascii="Arial;Helvetica;sans-serif" w:hAnsi="Arial;Helvetica;sans-serif"/>
                <w:b/>
                <w:color w:val="1F1C6B"/>
                <w:sz w:val="16"/>
              </w:rPr>
              <w:t>Age:</w:t>
            </w:r>
            <w:r>
              <w:rPr>
                <w:rFonts w:ascii="Arial;Helvetica;sans-serif" w:hAnsi="Arial;Helvetica;sans-serif"/>
                <w:color w:val="636466"/>
                <w:sz w:val="16"/>
              </w:rPr>
              <w:t xml:space="preserve"> 77* </w:t>
            </w:r>
          </w:p>
          <w:p>
            <w:pPr>
              <w:pStyle w:val="TableContents"/>
              <w:bidi w:val="0"/>
              <w:spacing w:before="180" w:after="283"/>
              <w:ind w:left="0" w:right="0" w:hanging="0"/>
              <w:jc w:val="left"/>
              <w:rPr>
                <w:rFonts w:ascii="Arial;Helvetica;sans-serif" w:hAnsi="Arial;Helvetica;sans-serif"/>
                <w:color w:val="636466"/>
                <w:sz w:val="16"/>
              </w:rPr>
            </w:pPr>
            <w:r>
              <w:rPr>
                <w:rFonts w:ascii="Arial;Helvetica;sans-serif" w:hAnsi="Arial;Helvetica;sans-serif"/>
                <w:b/>
                <w:color w:val="1F1C6B"/>
                <w:sz w:val="16"/>
              </w:rPr>
              <w:t>Director since</w:t>
            </w:r>
            <w:r>
              <w:rPr>
                <w:rFonts w:ascii="Arial;Helvetica;sans-serif" w:hAnsi="Arial;Helvetica;sans-serif"/>
                <w:color w:val="636466"/>
                <w:sz w:val="16"/>
              </w:rPr>
              <w:t xml:space="preserve"> 2020 </w:t>
            </w:r>
          </w:p>
          <w:p>
            <w:pPr>
              <w:pStyle w:val="TableContents"/>
              <w:bidi w:val="0"/>
              <w:spacing w:before="180" w:after="283"/>
              <w:ind w:left="0" w:right="0" w:hanging="0"/>
              <w:jc w:val="left"/>
              <w:rPr>
                <w:rFonts w:ascii="Arial;Helvetica;sans-serif" w:hAnsi="Arial;Helvetica;sans-serif"/>
                <w:color w:val="636466"/>
                <w:sz w:val="16"/>
              </w:rPr>
            </w:pPr>
            <w:r>
              <w:rPr>
                <w:rFonts w:ascii="Arial;Helvetica;sans-serif" w:hAnsi="Arial;Helvetica;sans-serif"/>
                <w:b/>
                <w:color w:val="1F1C6B"/>
                <w:sz w:val="16"/>
              </w:rPr>
              <w:t>Independent Director</w:t>
            </w:r>
            <w:r>
              <w:rPr>
                <w:rFonts w:ascii="Arial;Helvetica;sans-serif" w:hAnsi="Arial;Helvetica;sans-serif"/>
                <w:color w:val="636466"/>
                <w:sz w:val="16"/>
              </w:rPr>
              <w:t xml:space="preserve"> </w:t>
            </w:r>
          </w:p>
          <w:p>
            <w:pPr>
              <w:pStyle w:val="TableContents"/>
              <w:bidi w:val="0"/>
              <w:spacing w:before="18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Board Committees:</w:t>
            </w:r>
          </w:p>
          <w:p>
            <w:pPr>
              <w:pStyle w:val="TableContents"/>
              <w:bidi w:val="0"/>
              <w:spacing w:before="60" w:after="283"/>
              <w:ind w:left="0" w:right="0" w:hanging="0"/>
              <w:jc w:val="left"/>
              <w:rPr>
                <w:rFonts w:ascii="Arial;Helvetica;sans-serif" w:hAnsi="Arial;Helvetica;sans-serif"/>
                <w:color w:val="636466"/>
                <w:sz w:val="16"/>
              </w:rPr>
            </w:pPr>
            <w:r>
              <w:rPr>
                <w:rFonts w:ascii="Arial;Helvetica;sans-serif" w:hAnsi="Arial;Helvetica;sans-serif"/>
                <w:color w:val="636466"/>
                <w:sz w:val="16"/>
              </w:rPr>
              <w:t>Audit</w:t>
            </w:r>
          </w:p>
          <w:p>
            <w:pPr>
              <w:pStyle w:val="TableContents"/>
              <w:bidi w:val="0"/>
              <w:spacing w:before="6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Compliance and </w:t>
            </w:r>
          </w:p>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Risk Oversight</w:t>
            </w:r>
          </w:p>
        </w:tc>
        <w:tc>
          <w:tcPr>
            <w:tcW w:w="170" w:type="dxa"/>
            <w:vMerge w:val="restart"/>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0" w:type="dxa"/>
            <w:tcBorders/>
            <w:vAlign w:val="center"/>
          </w:tcPr>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t xml:space="preserve">W. Don Cornwell </w:t>
            </w:r>
            <w:r>
              <w:rPr>
                <w:rFonts w:ascii="Arial;Helvetica;sans-serif" w:hAnsi="Arial;Helvetica;sans-serif"/>
                <w:b/>
                <w:color w:val="636466"/>
                <w:sz w:val="26"/>
              </w:rPr>
              <w:t> </w:t>
            </w:r>
          </w:p>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0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Vice Chair (2009), Founder, Chairman, and Chief Executive Officer (1988 - 2009), </w:t>
            </w:r>
            <w:r>
              <w:rPr>
                <w:rFonts w:ascii="Arial;Helvetica;sans-serif" w:hAnsi="Arial;Helvetica;sans-serif"/>
                <w:b/>
                <w:color w:val="636466"/>
                <w:sz w:val="16"/>
              </w:rPr>
              <w:t>Granite Broadcasting Corporation</w:t>
            </w:r>
            <w:r>
              <w:rPr>
                <w:rFonts w:ascii="Arial;Helvetica;sans-serif" w:hAnsi="Arial;Helvetica;sans-serif"/>
                <w:color w:val="636466"/>
                <w:sz w:val="16"/>
              </w:rPr>
              <w:t xml:space="preserve"> </w:t>
            </w:r>
          </w:p>
          <w:p>
            <w:pPr>
              <w:pStyle w:val="TableContents"/>
              <w:bidi w:val="0"/>
              <w:spacing w:before="12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Chief Operating Officer (“COO”), Corporate Finance Department (1980 - 1988), </w:t>
            </w:r>
          </w:p>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Vice President, Investment Banking (1976 - 1988); joined the company in 1971, </w:t>
            </w:r>
            <w:r>
              <w:rPr>
                <w:rFonts w:ascii="Arial;Helvetica;sans-serif" w:hAnsi="Arial;Helvetica;sans-serif"/>
                <w:b/>
                <w:color w:val="636466"/>
                <w:sz w:val="16"/>
              </w:rPr>
              <w:t>Goldman, Sachs &amp; Co.</w:t>
            </w:r>
            <w:r>
              <w:rPr>
                <w:rFonts w:ascii="Arial;Helvetica;sans-serif" w:hAnsi="Arial;Helvetica;sans-serif"/>
                <w:color w:val="636466"/>
                <w:sz w:val="16"/>
              </w:rPr>
              <w:t xml:space="preserve"> </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0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Key Skills and Experience:</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CEO and Public Company Management, Corporate Governance, Finance, Accounting, and Capital Markets, Global Business, </w:t>
            </w:r>
            <w:r>
              <w:rPr>
                <w:rFonts w:ascii="Arial;Helvetica;sans-serif" w:hAnsi="Arial;Helvetica;sans-serif"/>
                <w:b w:val="false"/>
                <w:color w:val="636466"/>
                <w:sz w:val="16"/>
              </w:rPr>
              <w:t>and</w:t>
            </w:r>
            <w:r>
              <w:rPr>
                <w:rFonts w:ascii="Arial;Helvetica;sans-serif" w:hAnsi="Arial;Helvetica;sans-serif"/>
                <w:b/>
                <w:color w:val="636466"/>
                <w:sz w:val="16"/>
              </w:rPr>
              <w:t xml:space="preserve"> Strategy and M&amp;A Experience </w:t>
            </w:r>
            <w:r>
              <w:rPr>
                <w:rFonts w:ascii="Arial;Helvetica;sans-serif" w:hAnsi="Arial;Helvetica;sans-serif"/>
                <w:b w:val="false"/>
                <w:color w:val="636466"/>
                <w:sz w:val="16"/>
              </w:rPr>
              <w:t>developed during his various executive roles, more specifically during his years at Goldman Sachs, where he engaged in public and private financing and advised mergers and acquisitions (“M&amp;A”) transactions for publicly traded and privately owned companies, and further advanced through his founding and leadership of Granite Broadcasting</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Human Capital Management </w:t>
            </w:r>
            <w:r>
              <w:rPr>
                <w:rFonts w:ascii="Arial;Helvetica;sans-serif" w:hAnsi="Arial;Helvetica;sans-serif"/>
                <w:b w:val="false"/>
                <w:color w:val="636466"/>
                <w:sz w:val="16"/>
              </w:rPr>
              <w:t xml:space="preserve">and </w:t>
            </w:r>
            <w:r>
              <w:rPr>
                <w:rFonts w:ascii="Arial;Helvetica;sans-serif" w:hAnsi="Arial;Helvetica;sans-serif"/>
                <w:b/>
                <w:color w:val="636466"/>
                <w:sz w:val="16"/>
              </w:rPr>
              <w:t xml:space="preserve">Information Security Experience </w:t>
            </w:r>
            <w:r>
              <w:rPr>
                <w:rFonts w:ascii="Arial;Helvetica;sans-serif" w:hAnsi="Arial;Helvetica;sans-serif"/>
                <w:b w:val="false"/>
                <w:color w:val="636466"/>
                <w:sz w:val="16"/>
              </w:rPr>
              <w:t>gained while serving as the COO of the Corporate Finance Department of the Investment Banking Division of Goldman Sachs where he was responsible for the management of the department including building the operational infrastructure—information technology (“IT”), document production, training, and recruiting—while the department of over 150 investment banking professionals was experiencing significant staffing growth in response to a dramatic increase in the volume of transactions they were handling</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636466"/>
                <w:sz w:val="16"/>
              </w:rPr>
              <w:t xml:space="preserve">Mr. Cornwell also brings </w:t>
            </w:r>
            <w:r>
              <w:rPr>
                <w:rFonts w:ascii="Arial;Helvetica;sans-serif" w:hAnsi="Arial;Helvetica;sans-serif"/>
                <w:b/>
                <w:color w:val="636466"/>
                <w:sz w:val="16"/>
              </w:rPr>
              <w:t xml:space="preserve">Healthcare Industry </w:t>
            </w:r>
            <w:r>
              <w:rPr>
                <w:rFonts w:ascii="Arial;Helvetica;sans-serif" w:hAnsi="Arial;Helvetica;sans-serif"/>
                <w:b w:val="false"/>
                <w:color w:val="636466"/>
                <w:sz w:val="16"/>
              </w:rPr>
              <w:t xml:space="preserve">and </w:t>
            </w:r>
            <w:r>
              <w:rPr>
                <w:rFonts w:ascii="Arial;Helvetica;sans-serif" w:hAnsi="Arial;Helvetica;sans-serif"/>
                <w:b/>
                <w:color w:val="636466"/>
                <w:sz w:val="16"/>
              </w:rPr>
              <w:t xml:space="preserve">Legal and Regulatory Oversight Experience </w:t>
            </w:r>
            <w:r>
              <w:rPr>
                <w:rFonts w:ascii="Arial;Helvetica;sans-serif" w:hAnsi="Arial;Helvetica;sans-serif"/>
                <w:b w:val="false"/>
                <w:color w:val="636466"/>
                <w:sz w:val="16"/>
              </w:rPr>
              <w:t xml:space="preserve">to the Board </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0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Former Public Company Boards: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American International Group, Inc. </w:t>
            </w:r>
            <w:r>
              <w:rPr>
                <w:rFonts w:ascii="Arial;Helvetica;sans-serif" w:hAnsi="Arial;Helvetica;sans-serif"/>
                <w:b w:val="false"/>
                <w:color w:val="636466"/>
                <w:sz w:val="16"/>
              </w:rPr>
              <w:t xml:space="preserve">(NYSE: AIG)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(2011 - 2024), Director, and most recently member of the Audit and Nominating and Corporate Governance Committees; also previously Chairman of the Compensation and Management Resources Committee</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Natura &amp; Co Holding S.A. </w:t>
            </w:r>
            <w:r>
              <w:rPr>
                <w:rFonts w:ascii="Arial;Helvetica;sans-serif" w:hAnsi="Arial;Helvetica;sans-serif"/>
                <w:b w:val="false"/>
                <w:color w:val="636466"/>
                <w:sz w:val="16"/>
              </w:rPr>
              <w:t xml:space="preserve">(NYSE: NTCO)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(2020 - 2023), Director and most recently member of the Corporate Governance Committee</w:t>
            </w:r>
          </w:p>
          <w:p>
            <w:pPr>
              <w:pStyle w:val="TableContents"/>
              <w:bidi w:val="0"/>
              <w:spacing w:before="120" w:after="283"/>
              <w:ind w:left="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Avon Products, Inc.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(2002 - 2020 when acquired by Natura), Director and Lead Independent Director</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Pfizer, Inc. </w:t>
            </w:r>
            <w:r>
              <w:rPr>
                <w:rFonts w:ascii="Arial;Helvetica;sans-serif" w:hAnsi="Arial;Helvetica;sans-serif"/>
                <w:b w:val="false"/>
                <w:color w:val="636466"/>
                <w:sz w:val="16"/>
              </w:rPr>
              <w:t xml:space="preserve">(NYSE: PFE)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 xml:space="preserve">(“Pfizer”) (1997 - the closing of the combination of Mylan N.V. (“Mylan”) with Pfizer's Upjohn business (the “Upjohn business”) through a Reverse Morris Trust transaction (the “Combination”) in 2020), Director, and most recently Chair of the Regulatory and Compliance Committee and member of the Governance and Sustainability Committee; also, previously Chair of the Audit Committee </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900" w:type="dxa"/>
            <w:tcBorders/>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Other Organizations: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636466"/>
                <w:sz w:val="16"/>
              </w:rPr>
              <w:t xml:space="preserve">Board of Trustees, </w:t>
            </w:r>
            <w:r>
              <w:rPr>
                <w:rFonts w:ascii="Arial;Helvetica;sans-serif" w:hAnsi="Arial;Helvetica;sans-serif"/>
                <w:b/>
                <w:color w:val="636466"/>
                <w:sz w:val="16"/>
              </w:rPr>
              <w:t>Big Brothers Big Sisters of New York City</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636466"/>
                <w:sz w:val="16"/>
              </w:rPr>
              <w:t xml:space="preserve">Vice Chairman and Lead Director of the Board of Directors, </w:t>
            </w:r>
            <w:r>
              <w:rPr>
                <w:rFonts w:ascii="Arial;Helvetica;sans-serif" w:hAnsi="Arial;Helvetica;sans-serif"/>
                <w:b/>
                <w:color w:val="636466"/>
                <w:sz w:val="16"/>
              </w:rPr>
              <w:t>Blue Meridian Partners</w:t>
            </w:r>
            <w:r>
              <w:rPr>
                <w:rFonts w:ascii="Arial;Helvetica;sans-serif" w:hAnsi="Arial;Helvetica;sans-serif"/>
                <w:b w:val="false"/>
                <w:color w:val="636466"/>
                <w:sz w:val="16"/>
              </w:rPr>
              <w:t>, a partnership of philanthropists that invests in strategies to impact social problems confronting young people and families in poverty</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636466"/>
                <w:sz w:val="16"/>
              </w:rPr>
              <w:t xml:space="preserve">Board of Trustees, </w:t>
            </w:r>
            <w:r>
              <w:rPr>
                <w:rFonts w:ascii="Arial;Helvetica;sans-serif" w:hAnsi="Arial;Helvetica;sans-serif"/>
                <w:b/>
                <w:color w:val="636466"/>
                <w:sz w:val="16"/>
              </w:rPr>
              <w:t>Occidental College</w:t>
            </w:r>
            <w:r>
              <w:rPr>
                <w:rFonts w:ascii="Arial;Helvetica;sans-serif" w:hAnsi="Arial;Helvetica;sans-serif"/>
                <w:b w:val="false"/>
                <w:color w:val="636466"/>
                <w:sz w:val="16"/>
              </w:rPr>
              <w:t>, and Vice Chair of the Investment Committee</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636466"/>
                <w:sz w:val="16"/>
              </w:rPr>
              <w:t xml:space="preserve">Advisory, </w:t>
            </w:r>
            <w:r>
              <w:rPr>
                <w:rFonts w:ascii="Arial;Helvetica;sans-serif" w:hAnsi="Arial;Helvetica;sans-serif"/>
                <w:b/>
                <w:color w:val="636466"/>
                <w:sz w:val="16"/>
              </w:rPr>
              <w:t>Orca Biosystems, Inc.</w:t>
            </w:r>
            <w:r>
              <w:rPr>
                <w:rFonts w:ascii="Arial;Helvetica;sans-serif" w:hAnsi="Arial;Helvetica;sans-serif"/>
                <w:b w:val="false"/>
                <w:color w:val="636466"/>
                <w:sz w:val="16"/>
              </w:rPr>
              <w:t>, a private biotechnology company developing high-precision cell therapies for the treatment of cancer and autoimmune diseases</w:t>
            </w:r>
          </w:p>
        </w:tc>
      </w:tr>
      <w:tr>
        <w:trPr/>
        <w:tc>
          <w:tcPr>
            <w:tcW w:w="1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0" w:type="dxa"/>
            <w:tcBorders/>
            <w:vAlign w:val="center"/>
          </w:tcPr>
          <w:p>
            <w:pPr>
              <w:pStyle w:val="TableContents"/>
              <w:bidi w:val="0"/>
              <w:spacing w:before="0" w:after="0"/>
              <w:jc w:val="left"/>
              <w:rPr/>
            </w:pPr>
            <w:r>
              <w:rPr/>
              <w:t> </w:t>
            </w:r>
          </w:p>
        </w:tc>
      </w:tr>
    </w:tbl>
    <w:tbl>
      <w:tblPr>
        <w:tblW w:w="9145" w:type="dxa"/>
        <w:jc w:val="left"/>
        <w:tblInd w:w="1060" w:type="dxa"/>
        <w:tblLayout w:type="fixed"/>
        <w:tblCellMar>
          <w:top w:w="0" w:type="dxa"/>
          <w:left w:w="0" w:type="dxa"/>
          <w:bottom w:w="0" w:type="dxa"/>
          <w:right w:w="0" w:type="dxa"/>
        </w:tblCellMar>
      </w:tblPr>
      <w:tblGrid>
        <w:gridCol w:w="110"/>
        <w:gridCol w:w="9035"/>
      </w:tblGrid>
      <w:tr>
        <w:trPr/>
        <w:tc>
          <w:tcPr>
            <w:tcW w:w="11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w:t>
            </w:r>
          </w:p>
        </w:tc>
        <w:tc>
          <w:tcPr>
            <w:tcW w:w="903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The Board, on the recommendation of the Governance and Sustainability Committee, has, in accordance with its Corporate Governance Principles, approved a waiver to the mandatory retirement age for Directors for Mr. Cornwell and determined that such waiver was in the best interests of the Company because of his continued extensive contributions to the Board, his knowledge and familiarity with the acquired Upjohn business and the importance of maintaining continuity of certain legacy directors given the number of new directors that the Company has recently onboarded.</w:t>
            </w:r>
          </w:p>
        </w:tc>
      </w:tr>
    </w:tbl>
    <w:tbl>
      <w:tblPr>
        <w:tblW w:w="4980" w:type="dxa"/>
        <w:jc w:val="left"/>
        <w:tblInd w:w="106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10 | 2025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68"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9" descr=""/>
                          <pic:cNvPicPr>
                            <a:picLocks noChangeAspect="1" noChangeArrowheads="1"/>
                          </pic:cNvPicPr>
                        </pic:nvPicPr>
                        <pic:blipFill>
                          <a:blip r:embed="rId59"/>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69"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0" descr=""/>
                    <pic:cNvPicPr>
                      <a:picLocks noChangeAspect="1" noChangeArrowheads="1"/>
                    </pic:cNvPicPr>
                  </pic:nvPicPr>
                  <pic:blipFill>
                    <a:blip r:embed="rId60"/>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37" w:name="ny20055082x771_def14a_106-directors_pg6"/>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righ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tbl>
      <w:tblPr>
        <w:tblW w:w="9145" w:type="dxa"/>
        <w:jc w:val="left"/>
        <w:tblInd w:w="1060" w:type="dxa"/>
        <w:tblLayout w:type="fixed"/>
        <w:tblCellMar>
          <w:top w:w="0" w:type="dxa"/>
          <w:left w:w="0" w:type="dxa"/>
          <w:bottom w:w="0" w:type="dxa"/>
          <w:right w:w="0" w:type="dxa"/>
        </w:tblCellMar>
      </w:tblPr>
      <w:tblGrid>
        <w:gridCol w:w="1905"/>
        <w:gridCol w:w="170"/>
        <w:gridCol w:w="170"/>
        <w:gridCol w:w="6900"/>
      </w:tblGrid>
      <w:tr>
        <w:trPr/>
        <w:tc>
          <w:tcPr>
            <w:tcW w:w="1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0" w:type="dxa"/>
            <w:tcBorders/>
            <w:vAlign w:val="center"/>
          </w:tcPr>
          <w:p>
            <w:pPr>
              <w:pStyle w:val="TableContents"/>
              <w:bidi w:val="0"/>
              <w:spacing w:before="0" w:after="0"/>
              <w:jc w:val="left"/>
              <w:rPr/>
            </w:pPr>
            <w:r>
              <w:rPr/>
              <w:t> </w:t>
            </w:r>
          </w:p>
        </w:tc>
      </w:tr>
      <w:tr>
        <w:trPr/>
        <w:tc>
          <w:tcPr>
            <w:tcW w:w="1905" w:type="dxa"/>
            <w:vMerge w:val="restart"/>
            <w:tcBorders/>
            <w:vAlign w:val="center"/>
          </w:tcPr>
          <w:p>
            <w:pPr>
              <w:pStyle w:val="TableContents"/>
              <w:bidi w:val="0"/>
              <w:spacing w:before="0" w:after="283"/>
              <w:jc w:val="center"/>
              <w:rPr>
                <w:color w:val="636466"/>
              </w:rPr>
            </w:pPr>
            <w:r>
              <w:rPr>
                <w:color w:val="636466"/>
              </w:rPr>
              <w:drawing>
                <wp:inline distT="0" distB="0" distL="0" distR="0">
                  <wp:extent cx="1181100" cy="1181100"/>
                  <wp:effectExtent l="0" t="0" r="0" b="0"/>
                  <wp:docPr id="70"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1" descr=""/>
                          <pic:cNvPicPr>
                            <a:picLocks noChangeAspect="1" noChangeArrowheads="1"/>
                          </pic:cNvPicPr>
                        </pic:nvPicPr>
                        <pic:blipFill>
                          <a:blip r:embed="rId61"/>
                          <a:stretch>
                            <a:fillRect/>
                          </a:stretch>
                        </pic:blipFill>
                        <pic:spPr bwMode="auto">
                          <a:xfrm>
                            <a:off x="0" y="0"/>
                            <a:ext cx="1181100" cy="1181100"/>
                          </a:xfrm>
                          <a:prstGeom prst="rect">
                            <a:avLst/>
                          </a:prstGeom>
                        </pic:spPr>
                      </pic:pic>
                    </a:graphicData>
                  </a:graphic>
                </wp:inline>
              </w:drawing>
            </w:r>
          </w:p>
          <w:p>
            <w:pPr>
              <w:pStyle w:val="TableContents"/>
              <w:bidi w:val="0"/>
              <w:spacing w:before="0" w:after="283"/>
              <w:ind w:left="0" w:right="0" w:hanging="0"/>
              <w:jc w:val="left"/>
              <w:rPr>
                <w:color w:val="636466"/>
              </w:rPr>
            </w:pPr>
            <w:r>
              <w:rPr>
                <w:color w:val="636466"/>
              </w:rPr>
              <w:t> </w:t>
            </w:r>
          </w:p>
          <w:p>
            <w:pPr>
              <w:pStyle w:val="TableContents"/>
              <w:bidi w:val="0"/>
              <w:spacing w:before="180" w:after="283"/>
              <w:ind w:left="0" w:right="0" w:hanging="0"/>
              <w:jc w:val="left"/>
              <w:rPr>
                <w:rFonts w:ascii="Arial;Helvetica;sans-serif" w:hAnsi="Arial;Helvetica;sans-serif"/>
                <w:color w:val="636466"/>
                <w:sz w:val="16"/>
              </w:rPr>
            </w:pPr>
            <w:r>
              <w:rPr>
                <w:rFonts w:ascii="Arial;Helvetica;sans-serif" w:hAnsi="Arial;Helvetica;sans-serif"/>
                <w:b/>
                <w:color w:val="1F1C6B"/>
                <w:sz w:val="16"/>
              </w:rPr>
              <w:t xml:space="preserve">Age: </w:t>
            </w:r>
            <w:r>
              <w:rPr>
                <w:rFonts w:ascii="Arial;Helvetica;sans-serif" w:hAnsi="Arial;Helvetica;sans-serif"/>
                <w:color w:val="636466"/>
                <w:sz w:val="16"/>
              </w:rPr>
              <w:t xml:space="preserve">67 </w:t>
            </w:r>
          </w:p>
          <w:p>
            <w:pPr>
              <w:pStyle w:val="TableContents"/>
              <w:bidi w:val="0"/>
              <w:spacing w:before="180" w:after="283"/>
              <w:ind w:left="0" w:right="0" w:hanging="0"/>
              <w:jc w:val="left"/>
              <w:rPr>
                <w:rFonts w:ascii="Arial;Helvetica;sans-serif" w:hAnsi="Arial;Helvetica;sans-serif"/>
                <w:color w:val="636466"/>
                <w:sz w:val="16"/>
              </w:rPr>
            </w:pPr>
            <w:r>
              <w:rPr>
                <w:rFonts w:ascii="Arial;Helvetica;sans-serif" w:hAnsi="Arial;Helvetica;sans-serif"/>
                <w:b/>
                <w:color w:val="1F1C6B"/>
                <w:sz w:val="16"/>
              </w:rPr>
              <w:t>Director since</w:t>
            </w:r>
            <w:r>
              <w:rPr>
                <w:rFonts w:ascii="Arial;Helvetica;sans-serif" w:hAnsi="Arial;Helvetica;sans-serif"/>
                <w:color w:val="636466"/>
                <w:sz w:val="16"/>
              </w:rPr>
              <w:t xml:space="preserve"> 2025</w:t>
            </w:r>
          </w:p>
          <w:p>
            <w:pPr>
              <w:pStyle w:val="TableContents"/>
              <w:bidi w:val="0"/>
              <w:spacing w:before="180" w:after="283"/>
              <w:ind w:left="0" w:right="0" w:hanging="0"/>
              <w:jc w:val="left"/>
              <w:rPr>
                <w:rFonts w:ascii="Arial;Helvetica;sans-serif" w:hAnsi="Arial;Helvetica;sans-serif"/>
                <w:color w:val="636466"/>
                <w:sz w:val="16"/>
              </w:rPr>
            </w:pPr>
            <w:r>
              <w:rPr>
                <w:rFonts w:ascii="Arial;Helvetica;sans-serif" w:hAnsi="Arial;Helvetica;sans-serif"/>
                <w:b/>
                <w:color w:val="72288A"/>
                <w:sz w:val="16"/>
              </w:rPr>
              <w:t>Independent Director</w:t>
            </w:r>
            <w:r>
              <w:rPr>
                <w:rFonts w:ascii="Arial;Helvetica;sans-serif" w:hAnsi="Arial;Helvetica;sans-serif"/>
                <w:color w:val="636466"/>
                <w:sz w:val="16"/>
              </w:rPr>
              <w:t xml:space="preserve"> </w:t>
            </w:r>
          </w:p>
          <w:p>
            <w:pPr>
              <w:pStyle w:val="TableContents"/>
              <w:bidi w:val="0"/>
              <w:spacing w:before="18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Board Committees:</w:t>
            </w:r>
          </w:p>
          <w:p>
            <w:pPr>
              <w:pStyle w:val="TableContents"/>
              <w:bidi w:val="0"/>
              <w:spacing w:before="60" w:after="283"/>
              <w:ind w:left="0" w:right="0" w:hanging="0"/>
              <w:jc w:val="left"/>
              <w:rPr>
                <w:rFonts w:ascii="Arial;Helvetica;sans-serif" w:hAnsi="Arial;Helvetica;sans-serif"/>
                <w:color w:val="636466"/>
                <w:sz w:val="16"/>
              </w:rPr>
            </w:pPr>
            <w:r>
              <w:rPr>
                <w:rFonts w:ascii="Arial;Helvetica;sans-serif" w:hAnsi="Arial;Helvetica;sans-serif"/>
                <w:color w:val="636466"/>
                <w:sz w:val="16"/>
              </w:rPr>
              <w:t>Finance</w:t>
            </w:r>
          </w:p>
        </w:tc>
        <w:tc>
          <w:tcPr>
            <w:tcW w:w="170" w:type="dxa"/>
            <w:vMerge w:val="restart"/>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0" w:type="dxa"/>
            <w:tcBorders/>
            <w:vAlign w:val="center"/>
          </w:tcPr>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t>Frank D’Amelio</w:t>
            </w:r>
            <w:r>
              <w:rPr>
                <w:rFonts w:ascii="Arial;Helvetica;sans-serif" w:hAnsi="Arial;Helvetica;sans-serif"/>
                <w:b/>
                <w:color w:val="636466"/>
                <w:sz w:val="26"/>
              </w:rPr>
              <w:t> </w:t>
            </w:r>
          </w:p>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0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Executive Vice President and Chief Financial Officer (2020 - 2022), management roles of increasing responsibility (2007 – 2020) including Executive Vice President, Global Supply and Business Operations, Executive Vice President, Business Operations and Global Supply and Chief Financial Officer, and Executive Vice President, Business Operations and Chief Financial Officer, </w:t>
            </w:r>
            <w:r>
              <w:rPr>
                <w:rFonts w:ascii="Arial;Helvetica;sans-serif" w:hAnsi="Arial;Helvetica;sans-serif"/>
                <w:b/>
                <w:color w:val="636466"/>
                <w:sz w:val="16"/>
              </w:rPr>
              <w:t>Pfizer</w:t>
            </w:r>
            <w:r>
              <w:rPr>
                <w:rFonts w:ascii="Arial;Helvetica;sans-serif" w:hAnsi="Arial;Helvetica;sans-serif"/>
                <w:color w:val="636466"/>
                <w:sz w:val="16"/>
              </w:rPr>
              <w:t xml:space="preserve"> (NYSE: PFE), a global pharmaceutical company </w:t>
            </w:r>
          </w:p>
          <w:p>
            <w:pPr>
              <w:pStyle w:val="TableContents"/>
              <w:bidi w:val="0"/>
              <w:spacing w:before="12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Senior Vice President of Integration and Chief Administrative Officer (2006 - 2007), </w:t>
            </w:r>
            <w:r>
              <w:rPr>
                <w:rFonts w:ascii="Arial;Helvetica;sans-serif" w:hAnsi="Arial;Helvetica;sans-serif"/>
                <w:b/>
                <w:color w:val="636466"/>
                <w:sz w:val="16"/>
              </w:rPr>
              <w:t>Alcatel-Lucent</w:t>
            </w:r>
            <w:r>
              <w:rPr>
                <w:rFonts w:ascii="Arial;Helvetica;sans-serif" w:hAnsi="Arial;Helvetica;sans-serif"/>
                <w:color w:val="636466"/>
                <w:sz w:val="16"/>
              </w:rPr>
              <w:t xml:space="preserve">, a global telecommunications equipment company </w:t>
            </w:r>
          </w:p>
          <w:p>
            <w:pPr>
              <w:pStyle w:val="TableContents"/>
              <w:bidi w:val="0"/>
              <w:spacing w:before="12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Held management roles of increasing responsibility (2001 - 2006) including COO and Executive Vice President, Administration and Chief Financial Officer, </w:t>
            </w:r>
            <w:r>
              <w:rPr>
                <w:rFonts w:ascii="Arial;Helvetica;sans-serif" w:hAnsi="Arial;Helvetica;sans-serif"/>
                <w:b/>
                <w:color w:val="636466"/>
                <w:sz w:val="16"/>
              </w:rPr>
              <w:t>Lucent Technologies Inc.</w:t>
            </w:r>
            <w:r>
              <w:rPr>
                <w:rFonts w:ascii="Arial;Helvetica;sans-serif" w:hAnsi="Arial;Helvetica;sans-serif"/>
                <w:color w:val="636466"/>
                <w:sz w:val="16"/>
              </w:rPr>
              <w:t xml:space="preserve"> (“Lucent”), a global telecommunications equipment company that was acquired by Alcatel SA in 2006</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0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Key Skills and Experience:</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CEO and Public Company Management, Finance, Accounting, and Capital Markets, Global Business, </w:t>
            </w:r>
            <w:r>
              <w:rPr>
                <w:rFonts w:ascii="Arial;Helvetica;sans-serif" w:hAnsi="Arial;Helvetica;sans-serif"/>
                <w:b w:val="false"/>
                <w:color w:val="636466"/>
                <w:sz w:val="16"/>
              </w:rPr>
              <w:t>and</w:t>
            </w:r>
            <w:r>
              <w:rPr>
                <w:rFonts w:ascii="Arial;Helvetica;sans-serif" w:hAnsi="Arial;Helvetica;sans-serif"/>
                <w:b/>
                <w:color w:val="636466"/>
                <w:sz w:val="16"/>
              </w:rPr>
              <w:t xml:space="preserve"> Strategy and M&amp;A Experience </w:t>
            </w:r>
            <w:r>
              <w:rPr>
                <w:rFonts w:ascii="Arial;Helvetica;sans-serif" w:hAnsi="Arial;Helvetica;sans-serif"/>
                <w:b w:val="false"/>
                <w:color w:val="636466"/>
                <w:sz w:val="16"/>
              </w:rPr>
              <w:t>developed during his various executive roles at Pfizer where, during his tenure, he led many acquisitions and partnerships valued at nearly $200 billion in the aggregate, including numerous transformative transactions, and oversaw the company’s IT function and global supply chain</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Human Capital Management </w:t>
            </w:r>
            <w:r>
              <w:rPr>
                <w:rFonts w:ascii="Arial;Helvetica;sans-serif" w:hAnsi="Arial;Helvetica;sans-serif"/>
                <w:b w:val="false"/>
                <w:color w:val="636466"/>
                <w:sz w:val="16"/>
              </w:rPr>
              <w:t xml:space="preserve">gained while serving as the COO at Lucent </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636466"/>
                <w:sz w:val="16"/>
              </w:rPr>
              <w:t xml:space="preserve">Mr. D’Amelio also brings </w:t>
            </w:r>
            <w:r>
              <w:rPr>
                <w:rFonts w:ascii="Arial;Helvetica;sans-serif" w:hAnsi="Arial;Helvetica;sans-serif"/>
                <w:b/>
                <w:color w:val="636466"/>
                <w:sz w:val="16"/>
              </w:rPr>
              <w:t xml:space="preserve">Healthcare Industry Experience </w:t>
            </w:r>
            <w:r>
              <w:rPr>
                <w:rFonts w:ascii="Arial;Helvetica;sans-serif" w:hAnsi="Arial;Helvetica;sans-serif"/>
                <w:b w:val="false"/>
                <w:color w:val="636466"/>
                <w:sz w:val="16"/>
              </w:rPr>
              <w:t>to the Board</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0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Other Current Public Company Boards: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Hewlett Packard Enterprise Company </w:t>
            </w:r>
            <w:r>
              <w:rPr>
                <w:rFonts w:ascii="Arial;Helvetica;sans-serif" w:hAnsi="Arial;Helvetica;sans-serif"/>
                <w:b w:val="false"/>
                <w:color w:val="636466"/>
                <w:sz w:val="16"/>
              </w:rPr>
              <w:t xml:space="preserve">(NYSE: HPE)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 xml:space="preserve">(since 2023), Director and member of the Audit and Finance and Investment Committees </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Humana Inc. </w:t>
            </w:r>
            <w:r>
              <w:rPr>
                <w:rFonts w:ascii="Arial;Helvetica;sans-serif" w:hAnsi="Arial;Helvetica;sans-serif"/>
                <w:b w:val="false"/>
                <w:color w:val="636466"/>
                <w:sz w:val="16"/>
              </w:rPr>
              <w:t xml:space="preserve">(NYSE: HUM)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(since 2003), Director, Chair of the Audit Committee, and member of the Nominating, Governance &amp; Sustainability Committee</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Zoetis Inc. </w:t>
            </w:r>
            <w:r>
              <w:rPr>
                <w:rFonts w:ascii="Arial;Helvetica;sans-serif" w:hAnsi="Arial;Helvetica;sans-serif"/>
                <w:b w:val="false"/>
                <w:color w:val="636466"/>
                <w:sz w:val="16"/>
              </w:rPr>
              <w:t xml:space="preserve">(NYSE: ZTS)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(since 2012), Director, Chair of the Human Resources Committee and member of the Audit Committee</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0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Current Private Company Boards:</w:t>
            </w:r>
          </w:p>
          <w:p>
            <w:pPr>
              <w:pStyle w:val="TableContents"/>
              <w:bidi w:val="0"/>
              <w:spacing w:before="120" w:after="283"/>
              <w:ind w:left="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EntityRisk, Inc.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(since 2023), Director</w:t>
            </w:r>
          </w:p>
          <w:p>
            <w:pPr>
              <w:pStyle w:val="TableContents"/>
              <w:bidi w:val="0"/>
              <w:spacing w:before="120" w:after="283"/>
              <w:ind w:left="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Sail Biomedicines, Inc.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 xml:space="preserve">(since 2024), Director </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0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Former Public Company Boards: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Catalent Inc. </w:t>
            </w:r>
            <w:r>
              <w:rPr>
                <w:rFonts w:ascii="Arial;Helvetica;sans-serif" w:hAnsi="Arial;Helvetica;sans-serif"/>
                <w:b w:val="false"/>
                <w:color w:val="636466"/>
                <w:sz w:val="16"/>
              </w:rPr>
              <w:t xml:space="preserve">(NYSE: CTLT)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(2023 - 2024), Director and member of the Compensation and Leadership and Quality and Regulatory Compliance Committees</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900" w:type="dxa"/>
            <w:tcBorders/>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Other Organizations: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636466"/>
                <w:sz w:val="16"/>
              </w:rPr>
              <w:t xml:space="preserve">Director, </w:t>
            </w:r>
            <w:r>
              <w:rPr>
                <w:rFonts w:ascii="Arial;Helvetica;sans-serif" w:hAnsi="Arial;Helvetica;sans-serif"/>
                <w:b/>
                <w:color w:val="636466"/>
                <w:sz w:val="16"/>
              </w:rPr>
              <w:t>Michael J. Fox Foundation for Parkinson’s Research</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636466"/>
                <w:sz w:val="16"/>
              </w:rPr>
              <w:t xml:space="preserve">Strategic Advisor, </w:t>
            </w:r>
            <w:r>
              <w:rPr>
                <w:rFonts w:ascii="Arial;Helvetica;sans-serif" w:hAnsi="Arial;Helvetica;sans-serif"/>
                <w:b/>
                <w:color w:val="636466"/>
                <w:sz w:val="16"/>
              </w:rPr>
              <w:t xml:space="preserve">Formation Bio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(since 2025)</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636466"/>
                <w:sz w:val="16"/>
              </w:rPr>
              <w:t xml:space="preserve">CFO-in-residence and independent advisor, </w:t>
            </w:r>
            <w:r>
              <w:rPr>
                <w:rFonts w:ascii="Arial;Helvetica;sans-serif" w:hAnsi="Arial;Helvetica;sans-serif"/>
                <w:b/>
                <w:color w:val="636466"/>
                <w:sz w:val="16"/>
              </w:rPr>
              <w:t xml:space="preserve">Deloitte &amp; Touch LLP CFO Program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(2023 - 2024)</w:t>
            </w:r>
          </w:p>
        </w:tc>
      </w:tr>
      <w:tr>
        <w:trPr/>
        <w:tc>
          <w:tcPr>
            <w:tcW w:w="1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0" w:type="dxa"/>
            <w:tcBorders/>
            <w:vAlign w:val="center"/>
          </w:tcPr>
          <w:p>
            <w:pPr>
              <w:pStyle w:val="TableContents"/>
              <w:bidi w:val="0"/>
              <w:spacing w:before="0" w:after="0"/>
              <w:jc w:val="left"/>
              <w:rPr/>
            </w:pPr>
            <w:r>
              <w:rPr/>
              <w:t> </w:t>
            </w:r>
          </w:p>
        </w:tc>
      </w:tr>
    </w:tbl>
    <w:tbl>
      <w:tblPr>
        <w:tblW w:w="4980" w:type="dxa"/>
        <w:jc w:val="left"/>
        <w:tblInd w:w="106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71"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2" descr=""/>
                          <pic:cNvPicPr>
                            <a:picLocks noChangeAspect="1" noChangeArrowheads="1"/>
                          </pic:cNvPicPr>
                        </pic:nvPicPr>
                        <pic:blipFill>
                          <a:blip r:embed="rId62"/>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Statement | 11</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72"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3" descr=""/>
                    <pic:cNvPicPr>
                      <a:picLocks noChangeAspect="1" noChangeArrowheads="1"/>
                    </pic:cNvPicPr>
                  </pic:nvPicPr>
                  <pic:blipFill>
                    <a:blip r:embed="rId63"/>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38" w:name="ny20055082x771_def14a_106-directors_pg7"/>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lef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tbl>
      <w:tblPr>
        <w:tblW w:w="9145" w:type="dxa"/>
        <w:jc w:val="left"/>
        <w:tblInd w:w="1060" w:type="dxa"/>
        <w:tblLayout w:type="fixed"/>
        <w:tblCellMar>
          <w:top w:w="0" w:type="dxa"/>
          <w:left w:w="0" w:type="dxa"/>
          <w:bottom w:w="0" w:type="dxa"/>
          <w:right w:w="0" w:type="dxa"/>
        </w:tblCellMar>
      </w:tblPr>
      <w:tblGrid>
        <w:gridCol w:w="1977"/>
        <w:gridCol w:w="170"/>
        <w:gridCol w:w="170"/>
        <w:gridCol w:w="6828"/>
      </w:tblGrid>
      <w:tr>
        <w:trPr/>
        <w:tc>
          <w:tcPr>
            <w:tcW w:w="1977"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28" w:type="dxa"/>
            <w:tcBorders/>
            <w:vAlign w:val="center"/>
          </w:tcPr>
          <w:p>
            <w:pPr>
              <w:pStyle w:val="TableContents"/>
              <w:bidi w:val="0"/>
              <w:spacing w:before="0" w:after="0"/>
              <w:jc w:val="left"/>
              <w:rPr/>
            </w:pPr>
            <w:r>
              <w:rPr/>
              <w:t> </w:t>
            </w:r>
          </w:p>
        </w:tc>
      </w:tr>
      <w:tr>
        <w:trPr/>
        <w:tc>
          <w:tcPr>
            <w:tcW w:w="1977" w:type="dxa"/>
            <w:vMerge w:val="restart"/>
            <w:tcBorders/>
            <w:vAlign w:val="center"/>
          </w:tcPr>
          <w:p>
            <w:pPr>
              <w:pStyle w:val="TableContents"/>
              <w:bidi w:val="0"/>
              <w:spacing w:before="0" w:after="283"/>
              <w:jc w:val="center"/>
              <w:rPr>
                <w:color w:val="636466"/>
              </w:rPr>
            </w:pPr>
            <w:r>
              <w:rPr>
                <w:color w:val="636466"/>
              </w:rPr>
              <w:drawing>
                <wp:inline distT="0" distB="0" distL="0" distR="0">
                  <wp:extent cx="1181100" cy="1181100"/>
                  <wp:effectExtent l="0" t="0" r="0" b="0"/>
                  <wp:docPr id="73"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4" descr=""/>
                          <pic:cNvPicPr>
                            <a:picLocks noChangeAspect="1" noChangeArrowheads="1"/>
                          </pic:cNvPicPr>
                        </pic:nvPicPr>
                        <pic:blipFill>
                          <a:blip r:embed="rId64"/>
                          <a:stretch>
                            <a:fillRect/>
                          </a:stretch>
                        </pic:blipFill>
                        <pic:spPr bwMode="auto">
                          <a:xfrm>
                            <a:off x="0" y="0"/>
                            <a:ext cx="1181100" cy="1181100"/>
                          </a:xfrm>
                          <a:prstGeom prst="rect">
                            <a:avLst/>
                          </a:prstGeom>
                        </pic:spPr>
                      </pic:pic>
                    </a:graphicData>
                  </a:graphic>
                </wp:inline>
              </w:drawing>
            </w:r>
          </w:p>
          <w:p>
            <w:pPr>
              <w:pStyle w:val="TableContents"/>
              <w:bidi w:val="0"/>
              <w:spacing w:before="0" w:after="283"/>
              <w:ind w:left="0" w:right="0" w:hanging="0"/>
              <w:jc w:val="left"/>
              <w:rPr>
                <w:color w:val="636466"/>
              </w:rPr>
            </w:pPr>
            <w:r>
              <w:rPr>
                <w:color w:val="636466"/>
              </w:rPr>
              <w:t> </w:t>
            </w:r>
          </w:p>
          <w:p>
            <w:pPr>
              <w:pStyle w:val="TableContents"/>
              <w:bidi w:val="0"/>
              <w:spacing w:before="180" w:after="283"/>
              <w:ind w:left="0" w:right="0" w:hanging="0"/>
              <w:jc w:val="left"/>
              <w:rPr>
                <w:rFonts w:ascii="Arial;Helvetica;sans-serif" w:hAnsi="Arial;Helvetica;sans-serif"/>
                <w:color w:val="636466"/>
                <w:sz w:val="16"/>
              </w:rPr>
            </w:pPr>
            <w:r>
              <w:rPr>
                <w:rFonts w:ascii="Arial;Helvetica;sans-serif" w:hAnsi="Arial;Helvetica;sans-serif"/>
                <w:b/>
                <w:color w:val="1F1C6B"/>
                <w:sz w:val="16"/>
              </w:rPr>
              <w:t xml:space="preserve">Age: </w:t>
            </w:r>
            <w:r>
              <w:rPr>
                <w:rFonts w:ascii="Arial;Helvetica;sans-serif" w:hAnsi="Arial;Helvetica;sans-serif"/>
                <w:color w:val="636466"/>
                <w:sz w:val="16"/>
              </w:rPr>
              <w:t>62</w:t>
            </w:r>
          </w:p>
          <w:p>
            <w:pPr>
              <w:pStyle w:val="TableContents"/>
              <w:bidi w:val="0"/>
              <w:spacing w:before="180" w:after="283"/>
              <w:ind w:left="0" w:right="0" w:hanging="0"/>
              <w:jc w:val="left"/>
              <w:rPr>
                <w:rFonts w:ascii="Arial;Helvetica;sans-serif" w:hAnsi="Arial;Helvetica;sans-serif"/>
                <w:color w:val="636466"/>
                <w:sz w:val="16"/>
              </w:rPr>
            </w:pPr>
            <w:r>
              <w:rPr>
                <w:rFonts w:ascii="Arial;Helvetica;sans-serif" w:hAnsi="Arial;Helvetica;sans-serif"/>
                <w:b/>
                <w:color w:val="1F1C6B"/>
                <w:sz w:val="16"/>
              </w:rPr>
              <w:t xml:space="preserve">Director since </w:t>
            </w:r>
            <w:r>
              <w:rPr>
                <w:rFonts w:ascii="Arial;Helvetica;sans-serif" w:hAnsi="Arial;Helvetica;sans-serif"/>
                <w:color w:val="636466"/>
                <w:sz w:val="16"/>
              </w:rPr>
              <w:t xml:space="preserve">2020 </w:t>
            </w:r>
          </w:p>
          <w:p>
            <w:pPr>
              <w:pStyle w:val="TableContents"/>
              <w:bidi w:val="0"/>
              <w:spacing w:before="180" w:after="283"/>
              <w:ind w:left="0" w:right="0" w:hanging="0"/>
              <w:jc w:val="left"/>
              <w:rPr>
                <w:rFonts w:ascii="Arial;Helvetica;sans-serif" w:hAnsi="Arial;Helvetica;sans-serif"/>
                <w:color w:val="636466"/>
                <w:sz w:val="16"/>
              </w:rPr>
            </w:pPr>
            <w:r>
              <w:rPr>
                <w:rFonts w:ascii="Arial;Helvetica;sans-serif" w:hAnsi="Arial;Helvetica;sans-serif"/>
                <w:b/>
                <w:color w:val="1F1C6B"/>
                <w:sz w:val="16"/>
              </w:rPr>
              <w:t>Independent Director</w:t>
            </w:r>
            <w:r>
              <w:rPr>
                <w:rFonts w:ascii="Arial;Helvetica;sans-serif" w:hAnsi="Arial;Helvetica;sans-serif"/>
                <w:color w:val="636466"/>
                <w:sz w:val="16"/>
              </w:rPr>
              <w:t xml:space="preserve"> </w:t>
            </w:r>
          </w:p>
          <w:p>
            <w:pPr>
              <w:pStyle w:val="TableContents"/>
              <w:bidi w:val="0"/>
              <w:spacing w:before="18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Board Committees:</w:t>
            </w:r>
          </w:p>
          <w:p>
            <w:pPr>
              <w:pStyle w:val="TableContents"/>
              <w:bidi w:val="0"/>
              <w:spacing w:before="60" w:after="283"/>
              <w:ind w:left="0" w:right="0" w:hanging="0"/>
              <w:jc w:val="left"/>
              <w:rPr>
                <w:rFonts w:ascii="Arial;Helvetica;sans-serif" w:hAnsi="Arial;Helvetica;sans-serif"/>
                <w:color w:val="636466"/>
                <w:sz w:val="16"/>
              </w:rPr>
            </w:pPr>
            <w:r>
              <w:rPr>
                <w:rFonts w:ascii="Arial;Helvetica;sans-serif" w:hAnsi="Arial;Helvetica;sans-serif"/>
                <w:color w:val="636466"/>
                <w:sz w:val="16"/>
              </w:rPr>
              <w:t>Audit</w:t>
            </w:r>
          </w:p>
          <w:p>
            <w:pPr>
              <w:pStyle w:val="TableContents"/>
              <w:bidi w:val="0"/>
              <w:spacing w:before="60" w:after="283"/>
              <w:ind w:left="0" w:right="0" w:hanging="0"/>
              <w:jc w:val="left"/>
              <w:rPr>
                <w:rFonts w:ascii="Arial;Helvetica;sans-serif" w:hAnsi="Arial;Helvetica;sans-serif"/>
                <w:color w:val="636466"/>
                <w:sz w:val="16"/>
              </w:rPr>
            </w:pPr>
            <w:r>
              <w:rPr>
                <w:rFonts w:ascii="Arial;Helvetica;sans-serif" w:hAnsi="Arial;Helvetica;sans-serif"/>
                <w:color w:val="636466"/>
                <w:sz w:val="16"/>
              </w:rPr>
              <w:t>Compensation</w:t>
            </w:r>
          </w:p>
          <w:p>
            <w:pPr>
              <w:pStyle w:val="TableContents"/>
              <w:bidi w:val="0"/>
              <w:spacing w:before="60" w:after="283"/>
              <w:ind w:left="0" w:right="0" w:hanging="0"/>
              <w:jc w:val="left"/>
              <w:rPr>
                <w:rFonts w:ascii="Arial;Helvetica;sans-serif" w:hAnsi="Arial;Helvetica;sans-serif"/>
                <w:color w:val="636466"/>
                <w:sz w:val="16"/>
              </w:rPr>
            </w:pPr>
            <w:r>
              <w:rPr>
                <w:rFonts w:ascii="Arial;Helvetica;sans-serif" w:hAnsi="Arial;Helvetica;sans-serif"/>
                <w:color w:val="636466"/>
                <w:sz w:val="16"/>
              </w:rPr>
              <w:t>Executive</w:t>
            </w:r>
          </w:p>
          <w:p>
            <w:pPr>
              <w:pStyle w:val="TableContents"/>
              <w:bidi w:val="0"/>
              <w:spacing w:before="60" w:after="283"/>
              <w:ind w:left="0" w:right="0" w:hanging="0"/>
              <w:jc w:val="left"/>
              <w:rPr>
                <w:rFonts w:ascii="Arial;Helvetica;sans-serif" w:hAnsi="Arial;Helvetica;sans-serif"/>
                <w:color w:val="636466"/>
                <w:sz w:val="16"/>
              </w:rPr>
            </w:pPr>
            <w:r>
              <w:rPr>
                <w:rFonts w:ascii="Arial;Helvetica;sans-serif" w:hAnsi="Arial;Helvetica;sans-serif"/>
                <w:color w:val="636466"/>
                <w:sz w:val="16"/>
              </w:rPr>
              <w:t>Governance and Sustainability (Chair)</w:t>
            </w:r>
          </w:p>
        </w:tc>
        <w:tc>
          <w:tcPr>
            <w:tcW w:w="170" w:type="dxa"/>
            <w:vMerge w:val="restart"/>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28" w:type="dxa"/>
            <w:tcBorders/>
            <w:vAlign w:val="center"/>
          </w:tcPr>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t>JoEllen Lyons Dillon</w:t>
            </w:r>
            <w:r>
              <w:rPr>
                <w:rFonts w:ascii="Arial;Helvetica;sans-serif" w:hAnsi="Arial;Helvetica;sans-serif"/>
                <w:b/>
                <w:color w:val="636466"/>
                <w:sz w:val="26"/>
              </w:rPr>
              <w:t> </w:t>
            </w:r>
          </w:p>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r>
          </w:p>
        </w:tc>
      </w:tr>
      <w:tr>
        <w:trPr/>
        <w:tc>
          <w:tcPr>
            <w:tcW w:w="1977"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28"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Executive Vice President, Strategic Developments and Capital Markets (2014 - 2017); Chief Legal Officer and Corporate Secretary, </w:t>
            </w:r>
            <w:r>
              <w:rPr>
                <w:rFonts w:ascii="Arial;Helvetica;sans-serif" w:hAnsi="Arial;Helvetica;sans-serif"/>
                <w:b/>
                <w:color w:val="636466"/>
                <w:sz w:val="16"/>
              </w:rPr>
              <w:t>The ExOne Company</w:t>
            </w:r>
            <w:r>
              <w:rPr>
                <w:rFonts w:ascii="Arial;Helvetica;sans-serif" w:hAnsi="Arial;Helvetica;sans-serif"/>
                <w:color w:val="636466"/>
                <w:sz w:val="16"/>
              </w:rPr>
              <w:t xml:space="preserve"> (2013 - 2017). ExOne merged with Desktop Metal (NYSE: DM) in November 2021. ExOne was a global provider of three-dimensional (3D) printing machines and printed products, materials, and other services to industrial customers creating products in metal on a worldwide basis </w:t>
            </w:r>
          </w:p>
          <w:p>
            <w:pPr>
              <w:pStyle w:val="TableContents"/>
              <w:bidi w:val="0"/>
              <w:spacing w:before="12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Partner (2002 - 2011), </w:t>
            </w:r>
            <w:r>
              <w:rPr>
                <w:rFonts w:ascii="Arial;Helvetica;sans-serif" w:hAnsi="Arial;Helvetica;sans-serif"/>
                <w:b/>
                <w:color w:val="636466"/>
                <w:sz w:val="16"/>
              </w:rPr>
              <w:t>Reed Smith LLP</w:t>
            </w:r>
            <w:r>
              <w:rPr>
                <w:rFonts w:ascii="Arial;Helvetica;sans-serif" w:hAnsi="Arial;Helvetica;sans-serif"/>
                <w:color w:val="636466"/>
                <w:sz w:val="16"/>
              </w:rPr>
              <w:t xml:space="preserve">, a law firm </w:t>
            </w:r>
          </w:p>
          <w:p>
            <w:pPr>
              <w:pStyle w:val="TableContents"/>
              <w:bidi w:val="0"/>
              <w:spacing w:before="12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Partner (1997 - 2002), </w:t>
            </w:r>
            <w:r>
              <w:rPr>
                <w:rFonts w:ascii="Arial;Helvetica;sans-serif" w:hAnsi="Arial;Helvetica;sans-serif"/>
                <w:b/>
                <w:color w:val="636466"/>
                <w:sz w:val="16"/>
              </w:rPr>
              <w:t>Buchanan Ingersoll &amp; Rooney PC</w:t>
            </w:r>
            <w:r>
              <w:rPr>
                <w:rFonts w:ascii="Arial;Helvetica;sans-serif" w:hAnsi="Arial;Helvetica;sans-serif"/>
                <w:color w:val="636466"/>
                <w:sz w:val="16"/>
              </w:rPr>
              <w:t>, a law firm (joined the firm in 1988)</w:t>
            </w:r>
          </w:p>
        </w:tc>
      </w:tr>
      <w:tr>
        <w:trPr/>
        <w:tc>
          <w:tcPr>
            <w:tcW w:w="1977"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28"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Key Skills and Experience:</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Public Company Management, Corporate Governance, Finance, Accounting, and Capital Markets, Global Business, Human Capital Management, Information Security, Legal and Regulatory Oversight, Risk Oversight/Compliance, </w:t>
            </w:r>
            <w:r>
              <w:rPr>
                <w:rFonts w:ascii="Arial;Helvetica;sans-serif" w:hAnsi="Arial;Helvetica;sans-serif"/>
                <w:b w:val="false"/>
                <w:color w:val="636466"/>
                <w:sz w:val="16"/>
              </w:rPr>
              <w:t xml:space="preserve">and </w:t>
            </w:r>
            <w:r>
              <w:rPr>
                <w:rFonts w:ascii="Arial;Helvetica;sans-serif" w:hAnsi="Arial;Helvetica;sans-serif"/>
                <w:b/>
                <w:color w:val="636466"/>
                <w:sz w:val="16"/>
              </w:rPr>
              <w:t xml:space="preserve">Strategy and M&amp;A Experience </w:t>
            </w:r>
            <w:r>
              <w:rPr>
                <w:rFonts w:ascii="Arial;Helvetica;sans-serif" w:hAnsi="Arial;Helvetica;sans-serif"/>
                <w:b w:val="false"/>
                <w:color w:val="636466"/>
                <w:sz w:val="16"/>
              </w:rPr>
              <w:t>gained during her almost 25-year legal career in corporate M&amp;A and securities, where she represented both public and private companies in a variety of complex matters, and further developed while at ExOne, where she was responsible for capital markets development, corporate strategic planning, human resources, global compliance, investor relations, and international business development within Europe and Asia, through which she became a thought leader in the areas of corporate governance, legal and regulatory oversight, capital markets, and M&amp;A and is regularly invited to speak at major conferences, including, among others, the 2023 and 2024 Stanford Directors’ College, on such topics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636466"/>
                <w:sz w:val="16"/>
              </w:rPr>
              <w:t xml:space="preserve">Ms. Dillon also brings </w:t>
            </w:r>
            <w:r>
              <w:rPr>
                <w:rFonts w:ascii="Arial;Helvetica;sans-serif" w:hAnsi="Arial;Helvetica;sans-serif"/>
                <w:b/>
                <w:color w:val="636466"/>
                <w:sz w:val="16"/>
              </w:rPr>
              <w:t xml:space="preserve">CS Experience </w:t>
            </w:r>
            <w:r>
              <w:rPr>
                <w:rFonts w:ascii="Arial;Helvetica;sans-serif" w:hAnsi="Arial;Helvetica;sans-serif"/>
                <w:b w:val="false"/>
                <w:color w:val="636466"/>
                <w:sz w:val="16"/>
              </w:rPr>
              <w:t>obtained through her legal and regulatory background, in addition to ongoing education programs</w:t>
            </w:r>
          </w:p>
          <w:p>
            <w:pPr>
              <w:pStyle w:val="TableContents"/>
              <w:bidi w:val="0"/>
              <w:spacing w:before="12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Completed certification “Board Governance: Navigating Emerging Technologies and More in a Complex World” at Cornell University in November 2023</w:t>
            </w:r>
          </w:p>
        </w:tc>
      </w:tr>
      <w:tr>
        <w:trPr/>
        <w:tc>
          <w:tcPr>
            <w:tcW w:w="1977"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28"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Former Public Company Boards:</w:t>
            </w:r>
          </w:p>
          <w:p>
            <w:pPr>
              <w:pStyle w:val="TableContents"/>
              <w:bidi w:val="0"/>
              <w:spacing w:before="120" w:after="283"/>
              <w:ind w:left="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World Wrestling Entertainment, Inc.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(2022 - 2023) (now known as World Wrestling, LLC), Director</w:t>
            </w:r>
          </w:p>
          <w:p>
            <w:pPr>
              <w:pStyle w:val="TableContents"/>
              <w:bidi w:val="0"/>
              <w:spacing w:before="120" w:after="283"/>
              <w:ind w:left="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Mylan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(2014 - the closing of the Combination in 2020), Director, most recently Chair of the Compensation and Governance and Nominating Committees and member of the Audit, Compliance, and Executive Committees</w:t>
            </w:r>
          </w:p>
        </w:tc>
      </w:tr>
      <w:tr>
        <w:trPr/>
        <w:tc>
          <w:tcPr>
            <w:tcW w:w="1977"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828" w:type="dxa"/>
            <w:tcBorders/>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Other Organizations: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636466"/>
                <w:sz w:val="16"/>
              </w:rPr>
              <w:t xml:space="preserve">Trustee, </w:t>
            </w:r>
            <w:r>
              <w:rPr>
                <w:rFonts w:ascii="Arial;Helvetica;sans-serif" w:hAnsi="Arial;Helvetica;sans-serif"/>
                <w:b/>
                <w:color w:val="636466"/>
                <w:sz w:val="16"/>
              </w:rPr>
              <w:t xml:space="preserve">S. K. Rockwell Conservation Fund, </w:t>
            </w:r>
            <w:r>
              <w:rPr>
                <w:rFonts w:ascii="Arial;Helvetica;sans-serif" w:hAnsi="Arial;Helvetica;sans-serif"/>
                <w:b w:val="false"/>
                <w:color w:val="636466"/>
                <w:sz w:val="16"/>
              </w:rPr>
              <w:t>a non-profit corporation established with the principal concept to preserve and enhance environmental resources</w:t>
            </w:r>
          </w:p>
        </w:tc>
      </w:tr>
      <w:tr>
        <w:trPr/>
        <w:tc>
          <w:tcPr>
            <w:tcW w:w="1977"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28" w:type="dxa"/>
            <w:tcBorders/>
            <w:vAlign w:val="center"/>
          </w:tcPr>
          <w:p>
            <w:pPr>
              <w:pStyle w:val="TableContents"/>
              <w:bidi w:val="0"/>
              <w:spacing w:before="0" w:after="0"/>
              <w:jc w:val="left"/>
              <w:rPr/>
            </w:pPr>
            <w:r>
              <w:rPr/>
              <w:t> </w:t>
            </w:r>
          </w:p>
        </w:tc>
      </w:tr>
    </w:tbl>
    <w:tbl>
      <w:tblPr>
        <w:tblW w:w="4980" w:type="dxa"/>
        <w:jc w:val="left"/>
        <w:tblInd w:w="106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12 | 2025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74"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5" descr=""/>
                          <pic:cNvPicPr>
                            <a:picLocks noChangeAspect="1" noChangeArrowheads="1"/>
                          </pic:cNvPicPr>
                        </pic:nvPicPr>
                        <pic:blipFill>
                          <a:blip r:embed="rId65"/>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75"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56" descr=""/>
                    <pic:cNvPicPr>
                      <a:picLocks noChangeAspect="1" noChangeArrowheads="1"/>
                    </pic:cNvPicPr>
                  </pic:nvPicPr>
                  <pic:blipFill>
                    <a:blip r:embed="rId66"/>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39" w:name="ny20055082x771_def14a_106-directors_pg8"/>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righ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tbl>
      <w:tblPr>
        <w:tblW w:w="9145" w:type="dxa"/>
        <w:jc w:val="left"/>
        <w:tblInd w:w="1060" w:type="dxa"/>
        <w:tblLayout w:type="fixed"/>
        <w:tblCellMar>
          <w:top w:w="0" w:type="dxa"/>
          <w:left w:w="0" w:type="dxa"/>
          <w:bottom w:w="0" w:type="dxa"/>
          <w:right w:w="0" w:type="dxa"/>
        </w:tblCellMar>
      </w:tblPr>
      <w:tblGrid>
        <w:gridCol w:w="1905"/>
        <w:gridCol w:w="170"/>
        <w:gridCol w:w="170"/>
        <w:gridCol w:w="6900"/>
      </w:tblGrid>
      <w:tr>
        <w:trPr/>
        <w:tc>
          <w:tcPr>
            <w:tcW w:w="1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0" w:type="dxa"/>
            <w:tcBorders/>
            <w:vAlign w:val="center"/>
          </w:tcPr>
          <w:p>
            <w:pPr>
              <w:pStyle w:val="TableContents"/>
              <w:bidi w:val="0"/>
              <w:spacing w:before="0" w:after="0"/>
              <w:jc w:val="left"/>
              <w:rPr/>
            </w:pPr>
            <w:r>
              <w:rPr/>
              <w:t> </w:t>
            </w:r>
          </w:p>
        </w:tc>
      </w:tr>
      <w:tr>
        <w:trPr/>
        <w:tc>
          <w:tcPr>
            <w:tcW w:w="1905" w:type="dxa"/>
            <w:vMerge w:val="restart"/>
            <w:tcBorders/>
            <w:vAlign w:val="center"/>
          </w:tcPr>
          <w:p>
            <w:pPr>
              <w:pStyle w:val="TableContents"/>
              <w:bidi w:val="0"/>
              <w:spacing w:before="0" w:after="283"/>
              <w:jc w:val="center"/>
              <w:rPr>
                <w:color w:val="636466"/>
              </w:rPr>
            </w:pPr>
            <w:r>
              <w:rPr>
                <w:color w:val="636466"/>
              </w:rPr>
              <w:drawing>
                <wp:inline distT="0" distB="0" distL="0" distR="0">
                  <wp:extent cx="1181100" cy="1181100"/>
                  <wp:effectExtent l="0" t="0" r="0" b="0"/>
                  <wp:docPr id="76"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7" descr=""/>
                          <pic:cNvPicPr>
                            <a:picLocks noChangeAspect="1" noChangeArrowheads="1"/>
                          </pic:cNvPicPr>
                        </pic:nvPicPr>
                        <pic:blipFill>
                          <a:blip r:embed="rId67"/>
                          <a:stretch>
                            <a:fillRect/>
                          </a:stretch>
                        </pic:blipFill>
                        <pic:spPr bwMode="auto">
                          <a:xfrm>
                            <a:off x="0" y="0"/>
                            <a:ext cx="1181100" cy="1181100"/>
                          </a:xfrm>
                          <a:prstGeom prst="rect">
                            <a:avLst/>
                          </a:prstGeom>
                        </pic:spPr>
                      </pic:pic>
                    </a:graphicData>
                  </a:graphic>
                </wp:inline>
              </w:drawing>
            </w:r>
          </w:p>
          <w:p>
            <w:pPr>
              <w:pStyle w:val="TableContents"/>
              <w:bidi w:val="0"/>
              <w:spacing w:before="0" w:after="283"/>
              <w:ind w:left="0" w:right="0" w:hanging="0"/>
              <w:jc w:val="left"/>
              <w:rPr>
                <w:color w:val="636466"/>
              </w:rPr>
            </w:pPr>
            <w:r>
              <w:rPr>
                <w:color w:val="636466"/>
              </w:rPr>
              <w:t> </w:t>
            </w:r>
          </w:p>
          <w:p>
            <w:pPr>
              <w:pStyle w:val="TableContents"/>
              <w:bidi w:val="0"/>
              <w:spacing w:before="180" w:after="283"/>
              <w:ind w:left="0" w:right="0" w:hanging="0"/>
              <w:jc w:val="left"/>
              <w:rPr>
                <w:rFonts w:ascii="Arial;Helvetica;sans-serif" w:hAnsi="Arial;Helvetica;sans-serif"/>
                <w:color w:val="636466"/>
                <w:sz w:val="16"/>
              </w:rPr>
            </w:pPr>
            <w:r>
              <w:rPr>
                <w:rFonts w:ascii="Arial;Helvetica;sans-serif" w:hAnsi="Arial;Helvetica;sans-serif"/>
                <w:b/>
                <w:color w:val="1F1C6B"/>
                <w:sz w:val="16"/>
              </w:rPr>
              <w:t xml:space="preserve">Age: </w:t>
            </w:r>
            <w:r>
              <w:rPr>
                <w:rFonts w:ascii="Arial;Helvetica;sans-serif" w:hAnsi="Arial;Helvetica;sans-serif"/>
                <w:color w:val="636466"/>
                <w:sz w:val="16"/>
              </w:rPr>
              <w:t>64</w:t>
            </w:r>
          </w:p>
          <w:p>
            <w:pPr>
              <w:pStyle w:val="TableContents"/>
              <w:bidi w:val="0"/>
              <w:spacing w:before="180" w:after="283"/>
              <w:ind w:left="0" w:right="0" w:hanging="0"/>
              <w:jc w:val="left"/>
              <w:rPr>
                <w:rFonts w:ascii="Arial;Helvetica;sans-serif" w:hAnsi="Arial;Helvetica;sans-serif"/>
                <w:color w:val="636466"/>
                <w:sz w:val="16"/>
              </w:rPr>
            </w:pPr>
            <w:r>
              <w:rPr>
                <w:rFonts w:ascii="Arial;Helvetica;sans-serif" w:hAnsi="Arial;Helvetica;sans-serif"/>
                <w:b/>
                <w:color w:val="1F1C6B"/>
                <w:sz w:val="16"/>
              </w:rPr>
              <w:t xml:space="preserve">Director since </w:t>
            </w:r>
            <w:r>
              <w:rPr>
                <w:rFonts w:ascii="Arial;Helvetica;sans-serif" w:hAnsi="Arial;Helvetica;sans-serif"/>
                <w:color w:val="636466"/>
                <w:sz w:val="16"/>
              </w:rPr>
              <w:t xml:space="preserve">2022 </w:t>
            </w:r>
          </w:p>
          <w:p>
            <w:pPr>
              <w:pStyle w:val="TableContents"/>
              <w:bidi w:val="0"/>
              <w:spacing w:before="180" w:after="283"/>
              <w:ind w:left="0" w:right="0" w:hanging="0"/>
              <w:jc w:val="left"/>
              <w:rPr>
                <w:rFonts w:ascii="Arial;Helvetica;sans-serif" w:hAnsi="Arial;Helvetica;sans-serif"/>
                <w:color w:val="636466"/>
                <w:sz w:val="16"/>
              </w:rPr>
            </w:pPr>
            <w:r>
              <w:rPr>
                <w:rFonts w:ascii="Arial;Helvetica;sans-serif" w:hAnsi="Arial;Helvetica;sans-serif"/>
                <w:b/>
                <w:color w:val="1F1C6B"/>
                <w:sz w:val="16"/>
              </w:rPr>
              <w:t>Independent Director</w:t>
            </w:r>
            <w:r>
              <w:rPr>
                <w:rFonts w:ascii="Arial;Helvetica;sans-serif" w:hAnsi="Arial;Helvetica;sans-serif"/>
                <w:color w:val="636466"/>
                <w:sz w:val="16"/>
              </w:rPr>
              <w:t xml:space="preserve"> </w:t>
            </w:r>
          </w:p>
          <w:p>
            <w:pPr>
              <w:pStyle w:val="TableContents"/>
              <w:bidi w:val="0"/>
              <w:spacing w:before="18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Board Committees:</w:t>
            </w:r>
          </w:p>
          <w:p>
            <w:pPr>
              <w:pStyle w:val="TableContents"/>
              <w:bidi w:val="0"/>
              <w:spacing w:before="60" w:after="283"/>
              <w:ind w:left="0" w:right="0" w:hanging="0"/>
              <w:jc w:val="left"/>
              <w:rPr>
                <w:rFonts w:ascii="Arial;Helvetica;sans-serif" w:hAnsi="Arial;Helvetica;sans-serif"/>
                <w:color w:val="636466"/>
                <w:sz w:val="16"/>
              </w:rPr>
            </w:pPr>
            <w:r>
              <w:rPr>
                <w:rFonts w:ascii="Arial;Helvetica;sans-serif" w:hAnsi="Arial;Helvetica;sans-serif"/>
                <w:color w:val="636466"/>
                <w:sz w:val="16"/>
              </w:rPr>
              <w:t>Audit</w:t>
            </w:r>
          </w:p>
          <w:p>
            <w:pPr>
              <w:pStyle w:val="TableContents"/>
              <w:bidi w:val="0"/>
              <w:spacing w:before="60" w:after="283"/>
              <w:ind w:left="0" w:right="0" w:hanging="0"/>
              <w:jc w:val="left"/>
              <w:rPr>
                <w:rFonts w:ascii="Arial;Helvetica;sans-serif" w:hAnsi="Arial;Helvetica;sans-serif"/>
                <w:color w:val="636466"/>
                <w:sz w:val="16"/>
              </w:rPr>
            </w:pPr>
            <w:r>
              <w:rPr>
                <w:rFonts w:ascii="Arial;Helvetica;sans-serif" w:hAnsi="Arial;Helvetica;sans-serif"/>
                <w:color w:val="636466"/>
                <w:sz w:val="16"/>
              </w:rPr>
              <w:t>Finance</w:t>
            </w:r>
          </w:p>
        </w:tc>
        <w:tc>
          <w:tcPr>
            <w:tcW w:w="170" w:type="dxa"/>
            <w:vMerge w:val="restart"/>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0" w:type="dxa"/>
            <w:tcBorders/>
            <w:vAlign w:val="center"/>
          </w:tcPr>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t>Elisha Finney</w:t>
            </w:r>
            <w:r>
              <w:rPr>
                <w:rFonts w:ascii="Arial;Helvetica;sans-serif" w:hAnsi="Arial;Helvetica;sans-serif"/>
                <w:b/>
                <w:color w:val="636466"/>
                <w:sz w:val="26"/>
              </w:rPr>
              <w:t> </w:t>
            </w:r>
          </w:p>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0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Executive Vice President (2012 - 2017), Chief Financial Officer (April 1999 - May 2017), Senior Vice President (2005 - 2012), Vice President of Finance (1999 - 2005), joined the company in 1988, </w:t>
            </w:r>
            <w:r>
              <w:rPr>
                <w:rFonts w:ascii="Arial;Helvetica;sans-serif" w:hAnsi="Arial;Helvetica;sans-serif"/>
                <w:b/>
                <w:color w:val="636466"/>
                <w:sz w:val="16"/>
              </w:rPr>
              <w:t>Varian Medical Systems, Inc.</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0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Key Skills and Experience:</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Public Company Management, Corporate Governance, Finance, Accounting, and Capital Markets, Healthcare Industry, Human Capital Management, Information Security, </w:t>
            </w:r>
            <w:r>
              <w:rPr>
                <w:rFonts w:ascii="Arial;Helvetica;sans-serif" w:hAnsi="Arial;Helvetica;sans-serif"/>
                <w:b w:val="false"/>
                <w:color w:val="636466"/>
                <w:sz w:val="16"/>
              </w:rPr>
              <w:t xml:space="preserve">and </w:t>
            </w:r>
            <w:r>
              <w:rPr>
                <w:rFonts w:ascii="Arial;Helvetica;sans-serif" w:hAnsi="Arial;Helvetica;sans-serif"/>
                <w:b/>
                <w:color w:val="636466"/>
                <w:sz w:val="16"/>
              </w:rPr>
              <w:t xml:space="preserve">Risk Oversight/Compliance Experience </w:t>
            </w:r>
            <w:r>
              <w:rPr>
                <w:rFonts w:ascii="Arial;Helvetica;sans-serif" w:hAnsi="Arial;Helvetica;sans-serif"/>
                <w:b w:val="false"/>
                <w:color w:val="636466"/>
                <w:sz w:val="16"/>
              </w:rPr>
              <w:t>gained during her time at Varian Medical Systems, where she oversaw corporate accounting, corporate communications and investor relations, internal audit, risk management, tax and treasury, and corporate information systems, and helped the company grow to be a world-leading manufacturer of medical devices and software for treating cancer and other medical conditions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636466"/>
                <w:sz w:val="16"/>
              </w:rPr>
              <w:t xml:space="preserve">Ms. Finney also brings </w:t>
            </w:r>
            <w:r>
              <w:rPr>
                <w:rFonts w:ascii="Arial;Helvetica;sans-serif" w:hAnsi="Arial;Helvetica;sans-serif"/>
                <w:b/>
                <w:color w:val="636466"/>
                <w:sz w:val="16"/>
              </w:rPr>
              <w:t xml:space="preserve">Global Business </w:t>
            </w:r>
            <w:r>
              <w:rPr>
                <w:rFonts w:ascii="Arial;Helvetica;sans-serif" w:hAnsi="Arial;Helvetica;sans-serif"/>
                <w:b w:val="false"/>
                <w:color w:val="636466"/>
                <w:sz w:val="16"/>
              </w:rPr>
              <w:t xml:space="preserve">and </w:t>
            </w:r>
            <w:r>
              <w:rPr>
                <w:rFonts w:ascii="Arial;Helvetica;sans-serif" w:hAnsi="Arial;Helvetica;sans-serif"/>
                <w:b/>
                <w:color w:val="636466"/>
                <w:sz w:val="16"/>
              </w:rPr>
              <w:t xml:space="preserve">Strategy and M&amp;A Experience </w:t>
            </w:r>
            <w:r>
              <w:rPr>
                <w:rFonts w:ascii="Arial;Helvetica;sans-serif" w:hAnsi="Arial;Helvetica;sans-serif"/>
                <w:b w:val="false"/>
                <w:color w:val="636466"/>
                <w:sz w:val="16"/>
              </w:rPr>
              <w:t>to the Board</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0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Other Current Public Company Boards: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Mettler-Toledo International Inc. </w:t>
            </w:r>
            <w:r>
              <w:rPr>
                <w:rFonts w:ascii="Arial;Helvetica;sans-serif" w:hAnsi="Arial;Helvetica;sans-serif"/>
                <w:b w:val="false"/>
                <w:color w:val="636466"/>
                <w:sz w:val="16"/>
              </w:rPr>
              <w:t>(NYSE: MTD) (since 2017), Director and Chair of the Audit Committee</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ICU Medical, Inc. </w:t>
            </w:r>
            <w:r>
              <w:rPr>
                <w:rFonts w:ascii="Arial;Helvetica;sans-serif" w:hAnsi="Arial;Helvetica;sans-serif"/>
                <w:b w:val="false"/>
                <w:color w:val="636466"/>
                <w:sz w:val="16"/>
              </w:rPr>
              <w:t>(NASDAQ: ICUI) (since 2016), Director, Chair of the Nominating and Governance Committee, and member of the Audit and Compliance Committee</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900" w:type="dxa"/>
            <w:tcBorders/>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Former Public Company Boards:</w:t>
            </w:r>
          </w:p>
          <w:p>
            <w:pPr>
              <w:pStyle w:val="TableContents"/>
              <w:bidi w:val="0"/>
              <w:spacing w:before="120" w:after="283"/>
              <w:ind w:left="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NanoString Technologies, Inc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(2017 - 2024), Director and Chair of the Audit Committee</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iRobot Corporation </w:t>
            </w:r>
            <w:r>
              <w:rPr>
                <w:rFonts w:ascii="Arial;Helvetica;sans-serif" w:hAnsi="Arial;Helvetica;sans-serif"/>
                <w:b w:val="false"/>
                <w:color w:val="636466"/>
                <w:sz w:val="16"/>
              </w:rPr>
              <w:t xml:space="preserve">(NASDAQ: IRBT)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(2017 - 2021), Director and member of the Audit and Compensation and Talent Committees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Cutera, Inc. </w:t>
            </w:r>
            <w:r>
              <w:rPr>
                <w:rFonts w:ascii="Arial;Helvetica;sans-serif" w:hAnsi="Arial;Helvetica;sans-serif"/>
                <w:b w:val="false"/>
                <w:color w:val="636466"/>
                <w:sz w:val="16"/>
              </w:rPr>
              <w:t xml:space="preserve">(NASDAQ: CUTR)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(2017 - 2019), Director, Chair of the Audit Committee, and member of the Enterprise Risk Committee</w:t>
            </w:r>
          </w:p>
          <w:p>
            <w:pPr>
              <w:pStyle w:val="TableContents"/>
              <w:bidi w:val="0"/>
              <w:spacing w:before="120" w:after="283"/>
              <w:ind w:left="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Altera Corporation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(2011 - 2015 when acquired by Intel Corporation), Director and Chair of the Audit Committee</w:t>
            </w:r>
          </w:p>
          <w:p>
            <w:pPr>
              <w:pStyle w:val="TableContents"/>
              <w:bidi w:val="0"/>
              <w:spacing w:before="120" w:after="283"/>
              <w:ind w:left="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Thoratec Corporation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(2007 - 2013), Director and Chair of the Audit Committee</w:t>
            </w:r>
          </w:p>
        </w:tc>
      </w:tr>
      <w:tr>
        <w:trPr/>
        <w:tc>
          <w:tcPr>
            <w:tcW w:w="1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0" w:type="dxa"/>
            <w:tcBorders/>
            <w:vAlign w:val="center"/>
          </w:tcPr>
          <w:p>
            <w:pPr>
              <w:pStyle w:val="TableContents"/>
              <w:bidi w:val="0"/>
              <w:spacing w:before="0" w:after="0"/>
              <w:jc w:val="left"/>
              <w:rPr/>
            </w:pPr>
            <w:r>
              <w:rPr/>
              <w:t> </w:t>
            </w:r>
          </w:p>
        </w:tc>
      </w:tr>
    </w:tbl>
    <w:tbl>
      <w:tblPr>
        <w:tblW w:w="4980" w:type="dxa"/>
        <w:jc w:val="left"/>
        <w:tblInd w:w="106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77"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58" descr=""/>
                          <pic:cNvPicPr>
                            <a:picLocks noChangeAspect="1" noChangeArrowheads="1"/>
                          </pic:cNvPicPr>
                        </pic:nvPicPr>
                        <pic:blipFill>
                          <a:blip r:embed="rId68"/>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Statement | 13</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78"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59" descr=""/>
                    <pic:cNvPicPr>
                      <a:picLocks noChangeAspect="1" noChangeArrowheads="1"/>
                    </pic:cNvPicPr>
                  </pic:nvPicPr>
                  <pic:blipFill>
                    <a:blip r:embed="rId69"/>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40" w:name="ny20055082x771_def14a_106-directors_pg9"/>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lef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tbl>
      <w:tblPr>
        <w:tblW w:w="9145" w:type="dxa"/>
        <w:jc w:val="left"/>
        <w:tblInd w:w="1060" w:type="dxa"/>
        <w:tblLayout w:type="fixed"/>
        <w:tblCellMar>
          <w:top w:w="0" w:type="dxa"/>
          <w:left w:w="0" w:type="dxa"/>
          <w:bottom w:w="0" w:type="dxa"/>
          <w:right w:w="0" w:type="dxa"/>
        </w:tblCellMar>
      </w:tblPr>
      <w:tblGrid>
        <w:gridCol w:w="1956"/>
        <w:gridCol w:w="170"/>
        <w:gridCol w:w="170"/>
        <w:gridCol w:w="6849"/>
      </w:tblGrid>
      <w:tr>
        <w:trPr/>
        <w:tc>
          <w:tcPr>
            <w:tcW w:w="1956"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49" w:type="dxa"/>
            <w:tcBorders/>
            <w:vAlign w:val="center"/>
          </w:tcPr>
          <w:p>
            <w:pPr>
              <w:pStyle w:val="TableContents"/>
              <w:bidi w:val="0"/>
              <w:spacing w:before="0" w:after="0"/>
              <w:jc w:val="left"/>
              <w:rPr/>
            </w:pPr>
            <w:r>
              <w:rPr/>
              <w:t> </w:t>
            </w:r>
          </w:p>
        </w:tc>
      </w:tr>
      <w:tr>
        <w:trPr/>
        <w:tc>
          <w:tcPr>
            <w:tcW w:w="1956" w:type="dxa"/>
            <w:vMerge w:val="restart"/>
            <w:tcBorders/>
            <w:vAlign w:val="center"/>
          </w:tcPr>
          <w:p>
            <w:pPr>
              <w:pStyle w:val="TableContents"/>
              <w:bidi w:val="0"/>
              <w:spacing w:before="0" w:after="283"/>
              <w:jc w:val="center"/>
              <w:rPr>
                <w:color w:val="636466"/>
              </w:rPr>
            </w:pPr>
            <w:r>
              <w:rPr>
                <w:color w:val="636466"/>
              </w:rPr>
              <w:drawing>
                <wp:inline distT="0" distB="0" distL="0" distR="0">
                  <wp:extent cx="1181100" cy="1181100"/>
                  <wp:effectExtent l="0" t="0" r="0" b="0"/>
                  <wp:docPr id="79"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60" descr=""/>
                          <pic:cNvPicPr>
                            <a:picLocks noChangeAspect="1" noChangeArrowheads="1"/>
                          </pic:cNvPicPr>
                        </pic:nvPicPr>
                        <pic:blipFill>
                          <a:blip r:embed="rId70"/>
                          <a:stretch>
                            <a:fillRect/>
                          </a:stretch>
                        </pic:blipFill>
                        <pic:spPr bwMode="auto">
                          <a:xfrm>
                            <a:off x="0" y="0"/>
                            <a:ext cx="1181100" cy="1181100"/>
                          </a:xfrm>
                          <a:prstGeom prst="rect">
                            <a:avLst/>
                          </a:prstGeom>
                        </pic:spPr>
                      </pic:pic>
                    </a:graphicData>
                  </a:graphic>
                </wp:inline>
              </w:drawing>
            </w:r>
          </w:p>
          <w:p>
            <w:pPr>
              <w:pStyle w:val="TableContents"/>
              <w:bidi w:val="0"/>
              <w:spacing w:before="0" w:after="283"/>
              <w:ind w:left="0" w:right="0" w:hanging="0"/>
              <w:jc w:val="left"/>
              <w:rPr>
                <w:color w:val="636466"/>
              </w:rPr>
            </w:pPr>
            <w:r>
              <w:rPr>
                <w:color w:val="636466"/>
              </w:rPr>
              <w:t> </w:t>
            </w:r>
          </w:p>
          <w:p>
            <w:pPr>
              <w:pStyle w:val="TableContents"/>
              <w:bidi w:val="0"/>
              <w:spacing w:before="180" w:after="283"/>
              <w:ind w:left="0" w:right="0" w:hanging="0"/>
              <w:jc w:val="left"/>
              <w:rPr>
                <w:rFonts w:ascii="Arial;Helvetica;sans-serif" w:hAnsi="Arial;Helvetica;sans-serif"/>
                <w:color w:val="636466"/>
                <w:sz w:val="16"/>
              </w:rPr>
            </w:pPr>
            <w:r>
              <w:rPr>
                <w:rFonts w:ascii="Arial;Helvetica;sans-serif" w:hAnsi="Arial;Helvetica;sans-serif"/>
                <w:b/>
                <w:color w:val="1F1C6B"/>
                <w:sz w:val="16"/>
              </w:rPr>
              <w:t xml:space="preserve">Age: </w:t>
            </w:r>
            <w:r>
              <w:rPr>
                <w:rFonts w:ascii="Arial;Helvetica;sans-serif" w:hAnsi="Arial;Helvetica;sans-serif"/>
                <w:color w:val="636466"/>
                <w:sz w:val="16"/>
              </w:rPr>
              <w:t xml:space="preserve">53 </w:t>
            </w:r>
          </w:p>
          <w:p>
            <w:pPr>
              <w:pStyle w:val="TableContents"/>
              <w:bidi w:val="0"/>
              <w:spacing w:before="180" w:after="283"/>
              <w:ind w:left="0" w:right="0" w:hanging="0"/>
              <w:jc w:val="left"/>
              <w:rPr>
                <w:rFonts w:ascii="Arial;Helvetica;sans-serif" w:hAnsi="Arial;Helvetica;sans-serif"/>
                <w:color w:val="636466"/>
                <w:sz w:val="16"/>
              </w:rPr>
            </w:pPr>
            <w:r>
              <w:rPr>
                <w:rFonts w:ascii="Arial;Helvetica;sans-serif" w:hAnsi="Arial;Helvetica;sans-serif"/>
                <w:b/>
                <w:color w:val="1F1C6B"/>
                <w:sz w:val="16"/>
              </w:rPr>
              <w:t>Director since</w:t>
            </w:r>
            <w:r>
              <w:rPr>
                <w:rFonts w:ascii="Arial;Helvetica;sans-serif" w:hAnsi="Arial;Helvetica;sans-serif"/>
                <w:color w:val="636466"/>
                <w:sz w:val="16"/>
              </w:rPr>
              <w:t xml:space="preserve"> 2023</w:t>
            </w:r>
          </w:p>
          <w:p>
            <w:pPr>
              <w:pStyle w:val="TableContents"/>
              <w:bidi w:val="0"/>
              <w:spacing w:before="18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Independent Director</w:t>
            </w:r>
          </w:p>
          <w:p>
            <w:pPr>
              <w:pStyle w:val="TableContents"/>
              <w:bidi w:val="0"/>
              <w:spacing w:before="18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Board Committees:</w:t>
            </w:r>
          </w:p>
          <w:p>
            <w:pPr>
              <w:pStyle w:val="TableContents"/>
              <w:bidi w:val="0"/>
              <w:spacing w:before="6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Compliance and </w:t>
            </w:r>
          </w:p>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Risk Oversight</w:t>
            </w:r>
          </w:p>
          <w:p>
            <w:pPr>
              <w:pStyle w:val="TableContents"/>
              <w:bidi w:val="0"/>
              <w:spacing w:before="60" w:after="283"/>
              <w:ind w:left="0" w:right="0" w:hanging="0"/>
              <w:jc w:val="left"/>
              <w:rPr>
                <w:rFonts w:ascii="Arial;Helvetica;sans-serif" w:hAnsi="Arial;Helvetica;sans-serif"/>
                <w:color w:val="636466"/>
                <w:sz w:val="16"/>
              </w:rPr>
            </w:pPr>
            <w:r>
              <w:rPr>
                <w:rFonts w:ascii="Arial;Helvetica;sans-serif" w:hAnsi="Arial;Helvetica;sans-serif"/>
                <w:color w:val="636466"/>
                <w:sz w:val="16"/>
              </w:rPr>
              <w:t>Executive</w:t>
            </w:r>
          </w:p>
          <w:p>
            <w:pPr>
              <w:pStyle w:val="TableContents"/>
              <w:bidi w:val="0"/>
              <w:spacing w:before="60" w:after="283"/>
              <w:ind w:left="0" w:right="0" w:hanging="0"/>
              <w:jc w:val="left"/>
              <w:rPr>
                <w:rFonts w:ascii="Arial;Helvetica;sans-serif" w:hAnsi="Arial;Helvetica;sans-serif"/>
                <w:color w:val="636466"/>
                <w:sz w:val="16"/>
              </w:rPr>
            </w:pPr>
            <w:r>
              <w:rPr>
                <w:rFonts w:ascii="Arial;Helvetica;sans-serif" w:hAnsi="Arial;Helvetica;sans-serif"/>
                <w:color w:val="636466"/>
                <w:sz w:val="16"/>
              </w:rPr>
              <w:t>Governance and Sustainability</w:t>
            </w:r>
          </w:p>
        </w:tc>
        <w:tc>
          <w:tcPr>
            <w:tcW w:w="170" w:type="dxa"/>
            <w:vMerge w:val="restart"/>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49" w:type="dxa"/>
            <w:tcBorders/>
            <w:vAlign w:val="center"/>
          </w:tcPr>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t>Leo Groothuis</w:t>
            </w:r>
            <w:r>
              <w:rPr>
                <w:rFonts w:ascii="Arial;Helvetica;sans-serif" w:hAnsi="Arial;Helvetica;sans-serif"/>
                <w:b/>
                <w:color w:val="636466"/>
                <w:sz w:val="26"/>
              </w:rPr>
              <w:t> </w:t>
            </w:r>
          </w:p>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r>
          </w:p>
        </w:tc>
      </w:tr>
      <w:tr>
        <w:trPr/>
        <w:tc>
          <w:tcPr>
            <w:tcW w:w="1956"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49"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General Counsel (2022 - present), </w:t>
            </w:r>
            <w:r>
              <w:rPr>
                <w:rFonts w:ascii="Arial;Helvetica;sans-serif" w:hAnsi="Arial;Helvetica;sans-serif"/>
                <w:b/>
                <w:color w:val="636466"/>
                <w:sz w:val="16"/>
              </w:rPr>
              <w:t>HAL Investments</w:t>
            </w:r>
            <w:r>
              <w:rPr>
                <w:rFonts w:ascii="Arial;Helvetica;sans-serif" w:hAnsi="Arial;Helvetica;sans-serif"/>
                <w:color w:val="636466"/>
                <w:sz w:val="16"/>
              </w:rPr>
              <w:t>, the Dutch investment subsidiary of HAL Holding N.V., a public international investment company listed on the Amsterdam stock exchange, which is focused on increasing shareholder value</w:t>
            </w:r>
          </w:p>
          <w:p>
            <w:pPr>
              <w:pStyle w:val="TableContents"/>
              <w:bidi w:val="0"/>
              <w:spacing w:before="12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Partner (2006 - 2022), </w:t>
            </w:r>
            <w:r>
              <w:rPr>
                <w:rFonts w:ascii="Arial;Helvetica;sans-serif" w:hAnsi="Arial;Helvetica;sans-serif"/>
                <w:b/>
                <w:color w:val="636466"/>
                <w:sz w:val="16"/>
              </w:rPr>
              <w:t>NautaDutilh</w:t>
            </w:r>
            <w:r>
              <w:rPr>
                <w:rFonts w:ascii="Arial;Helvetica;sans-serif" w:hAnsi="Arial;Helvetica;sans-serif"/>
                <w:color w:val="636466"/>
                <w:sz w:val="16"/>
              </w:rPr>
              <w:t>, a law firm (joined the firm in October 1996)</w:t>
            </w:r>
          </w:p>
        </w:tc>
      </w:tr>
      <w:tr>
        <w:trPr/>
        <w:tc>
          <w:tcPr>
            <w:tcW w:w="1956"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49"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Key Skills and Experience:</w:t>
            </w:r>
          </w:p>
          <w:p>
            <w:pPr>
              <w:pStyle w:val="TableContents"/>
              <w:bidi w:val="0"/>
              <w:spacing w:before="6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Corporate Governance, Global Business, Legal and Regulatory Oversight, Risk Oversight/Compliance, </w:t>
            </w:r>
            <w:r>
              <w:rPr>
                <w:rFonts w:ascii="Arial;Helvetica;sans-serif" w:hAnsi="Arial;Helvetica;sans-serif"/>
                <w:b w:val="false"/>
                <w:color w:val="636466"/>
                <w:sz w:val="16"/>
              </w:rPr>
              <w:t xml:space="preserve">and </w:t>
            </w:r>
            <w:r>
              <w:rPr>
                <w:rFonts w:ascii="Arial;Helvetica;sans-serif" w:hAnsi="Arial;Helvetica;sans-serif"/>
                <w:b/>
                <w:color w:val="636466"/>
                <w:sz w:val="16"/>
              </w:rPr>
              <w:t xml:space="preserve">Strategy and M&amp;A Experience </w:t>
            </w:r>
            <w:r>
              <w:rPr>
                <w:rFonts w:ascii="Arial;Helvetica;sans-serif" w:hAnsi="Arial;Helvetica;sans-serif"/>
                <w:b w:val="false"/>
                <w:color w:val="636466"/>
                <w:sz w:val="16"/>
              </w:rPr>
              <w:t>acquired during his legal career at NautaDutilh, where he had been a trusted C-suite and board advisor to some of the largest companies in both Europe and the U.S., which resulted in him being recognized as a top lawyer and thought leader in corporate governance, capital markets, and M&amp;A for the guidance he had provided to numerous multi-national private and public companies on significant complex strategic transactions</w:t>
            </w:r>
          </w:p>
          <w:p>
            <w:pPr>
              <w:pStyle w:val="TableContents"/>
              <w:bidi w:val="0"/>
              <w:spacing w:before="60" w:after="283"/>
              <w:ind w:left="0" w:right="0" w:hanging="0"/>
              <w:jc w:val="left"/>
              <w:rPr>
                <w:rFonts w:ascii="Arial;Helvetica;sans-serif" w:hAnsi="Arial;Helvetica;sans-serif"/>
                <w:b/>
                <w:color w:val="1F1C6B"/>
                <w:sz w:val="16"/>
              </w:rPr>
            </w:pPr>
            <w:r>
              <w:rPr>
                <w:rFonts w:ascii="Arial;Helvetica;sans-serif" w:hAnsi="Arial;Helvetica;sans-serif"/>
                <w:b w:val="false"/>
                <w:color w:val="636466"/>
                <w:sz w:val="16"/>
              </w:rPr>
              <w:t xml:space="preserve">Mr. Groothuis also brings </w:t>
            </w:r>
            <w:r>
              <w:rPr>
                <w:rFonts w:ascii="Arial;Helvetica;sans-serif" w:hAnsi="Arial;Helvetica;sans-serif"/>
                <w:b/>
                <w:color w:val="636466"/>
                <w:sz w:val="16"/>
              </w:rPr>
              <w:t xml:space="preserve">CS Experience </w:t>
            </w:r>
            <w:r>
              <w:rPr>
                <w:rFonts w:ascii="Arial;Helvetica;sans-serif" w:hAnsi="Arial;Helvetica;sans-serif"/>
                <w:b w:val="false"/>
                <w:color w:val="636466"/>
                <w:sz w:val="16"/>
              </w:rPr>
              <w:t>obtained through his active involvement in the development and execution of HAL Investments’ CS strategies</w:t>
            </w:r>
          </w:p>
        </w:tc>
      </w:tr>
      <w:tr>
        <w:trPr/>
        <w:tc>
          <w:tcPr>
            <w:tcW w:w="1956"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49"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Current Private Company Boards:</w:t>
            </w:r>
          </w:p>
          <w:p>
            <w:pPr>
              <w:pStyle w:val="TableContents"/>
              <w:bidi w:val="0"/>
              <w:spacing w:before="6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Non-executive Director (since 2025), Koppert Group B.V., a private company that provides natural solutions to cultivate healthier and safer agricultural crops</w:t>
            </w:r>
          </w:p>
        </w:tc>
      </w:tr>
      <w:tr>
        <w:trPr/>
        <w:tc>
          <w:tcPr>
            <w:tcW w:w="1956"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849" w:type="dxa"/>
            <w:tcBorders/>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Other Organizations:</w:t>
            </w:r>
          </w:p>
          <w:p>
            <w:pPr>
              <w:pStyle w:val="TableContents"/>
              <w:bidi w:val="0"/>
              <w:spacing w:before="60" w:after="283"/>
              <w:ind w:left="0" w:right="0" w:hanging="0"/>
              <w:jc w:val="left"/>
              <w:rPr>
                <w:rFonts w:ascii="Arial;Helvetica;sans-serif" w:hAnsi="Arial;Helvetica;sans-serif"/>
                <w:b/>
                <w:color w:val="1F1C6B"/>
                <w:sz w:val="16"/>
              </w:rPr>
            </w:pPr>
            <w:r>
              <w:rPr>
                <w:rFonts w:ascii="Arial;Helvetica;sans-serif" w:hAnsi="Arial;Helvetica;sans-serif"/>
                <w:b w:val="false"/>
                <w:color w:val="636466"/>
                <w:sz w:val="16"/>
              </w:rPr>
              <w:t xml:space="preserve">Director, </w:t>
            </w:r>
            <w:r>
              <w:rPr>
                <w:rFonts w:ascii="Arial;Helvetica;sans-serif" w:hAnsi="Arial;Helvetica;sans-serif"/>
                <w:b/>
                <w:color w:val="636466"/>
                <w:sz w:val="16"/>
              </w:rPr>
              <w:t xml:space="preserve">Stichting Continuiteit IHC </w:t>
            </w:r>
            <w:r>
              <w:rPr>
                <w:rFonts w:ascii="Arial;Helvetica;sans-serif" w:hAnsi="Arial;Helvetica;sans-serif"/>
                <w:b w:val="false"/>
                <w:color w:val="636466"/>
                <w:sz w:val="16"/>
              </w:rPr>
              <w:t xml:space="preserve">and </w:t>
            </w:r>
            <w:r>
              <w:rPr>
                <w:rFonts w:ascii="Arial;Helvetica;sans-serif" w:hAnsi="Arial;Helvetica;sans-serif"/>
                <w:b/>
                <w:color w:val="636466"/>
                <w:sz w:val="16"/>
              </w:rPr>
              <w:t>B.V. Finance Continuiteit IHC</w:t>
            </w:r>
            <w:r>
              <w:rPr>
                <w:rFonts w:ascii="Arial;Helvetica;sans-serif" w:hAnsi="Arial;Helvetica;sans-serif"/>
                <w:b w:val="false"/>
                <w:color w:val="636466"/>
                <w:sz w:val="16"/>
              </w:rPr>
              <w:t>, Dutch entities that together are the sole shareholders of Royal IHC, a private international shipbuilding company</w:t>
            </w:r>
          </w:p>
        </w:tc>
      </w:tr>
      <w:tr>
        <w:trPr/>
        <w:tc>
          <w:tcPr>
            <w:tcW w:w="1956"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49" w:type="dxa"/>
            <w:tcBorders/>
            <w:vAlign w:val="center"/>
          </w:tcPr>
          <w:p>
            <w:pPr>
              <w:pStyle w:val="TableContents"/>
              <w:bidi w:val="0"/>
              <w:spacing w:before="0" w:after="0"/>
              <w:jc w:val="left"/>
              <w:rPr/>
            </w:pPr>
            <w:r>
              <w:rPr/>
              <w:t> </w:t>
            </w:r>
          </w:p>
        </w:tc>
      </w:tr>
    </w:tbl>
    <w:tbl>
      <w:tblPr>
        <w:tblW w:w="4980" w:type="dxa"/>
        <w:jc w:val="left"/>
        <w:tblInd w:w="106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14 | 2025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80"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1" descr=""/>
                          <pic:cNvPicPr>
                            <a:picLocks noChangeAspect="1" noChangeArrowheads="1"/>
                          </pic:cNvPicPr>
                        </pic:nvPicPr>
                        <pic:blipFill>
                          <a:blip r:embed="rId71"/>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81"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2" descr=""/>
                    <pic:cNvPicPr>
                      <a:picLocks noChangeAspect="1" noChangeArrowheads="1"/>
                    </pic:cNvPicPr>
                  </pic:nvPicPr>
                  <pic:blipFill>
                    <a:blip r:embed="rId72"/>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41" w:name="ny20055082x771_def14a_106-directors_pg10"/>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righ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p>
      <w:pPr>
        <w:pStyle w:val="Normal"/>
        <w:bidi w:val="0"/>
        <w:spacing w:before="0" w:after="0"/>
        <w:ind w:left="1060" w:right="0" w:hanging="0"/>
        <w:jc w:val="left"/>
        <w:rPr>
          <w:sz w:val="4"/>
          <w:szCs w:val="4"/>
        </w:rPr>
      </w:pPr>
      <w:r>
        <w:rPr>
          <w:sz w:val="4"/>
          <w:szCs w:val="4"/>
        </w:rPr>
      </w:r>
      <w:bookmarkStart w:id="42" w:name="tMH"/>
      <w:bookmarkStart w:id="43" w:name="tMH"/>
      <w:bookmarkEnd w:id="43"/>
    </w:p>
    <w:tbl>
      <w:tblPr>
        <w:tblW w:w="9145" w:type="dxa"/>
        <w:jc w:val="left"/>
        <w:tblInd w:w="1060" w:type="dxa"/>
        <w:tblLayout w:type="fixed"/>
        <w:tblCellMar>
          <w:top w:w="0" w:type="dxa"/>
          <w:left w:w="0" w:type="dxa"/>
          <w:bottom w:w="0" w:type="dxa"/>
          <w:right w:w="0" w:type="dxa"/>
        </w:tblCellMar>
      </w:tblPr>
      <w:tblGrid>
        <w:gridCol w:w="2115"/>
        <w:gridCol w:w="170"/>
        <w:gridCol w:w="170"/>
        <w:gridCol w:w="6690"/>
      </w:tblGrid>
      <w:tr>
        <w:trPr/>
        <w:tc>
          <w:tcPr>
            <w:tcW w:w="211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90" w:type="dxa"/>
            <w:tcBorders/>
            <w:vAlign w:val="center"/>
          </w:tcPr>
          <w:p>
            <w:pPr>
              <w:pStyle w:val="TableContents"/>
              <w:bidi w:val="0"/>
              <w:spacing w:before="0" w:after="0"/>
              <w:jc w:val="left"/>
              <w:rPr/>
            </w:pPr>
            <w:r>
              <w:rPr/>
              <w:t> </w:t>
            </w:r>
          </w:p>
        </w:tc>
      </w:tr>
      <w:tr>
        <w:trPr/>
        <w:tc>
          <w:tcPr>
            <w:tcW w:w="2115" w:type="dxa"/>
            <w:vMerge w:val="restart"/>
            <w:tcBorders/>
            <w:vAlign w:val="center"/>
          </w:tcPr>
          <w:p>
            <w:pPr>
              <w:pStyle w:val="TableContents"/>
              <w:bidi w:val="0"/>
              <w:spacing w:before="0" w:after="283"/>
              <w:jc w:val="center"/>
              <w:rPr>
                <w:color w:val="636466"/>
              </w:rPr>
            </w:pPr>
            <w:r>
              <w:rPr>
                <w:color w:val="636466"/>
              </w:rPr>
              <w:drawing>
                <wp:inline distT="0" distB="0" distL="0" distR="0">
                  <wp:extent cx="1181100" cy="1181100"/>
                  <wp:effectExtent l="0" t="0" r="0" b="0"/>
                  <wp:docPr id="82"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63" descr=""/>
                          <pic:cNvPicPr>
                            <a:picLocks noChangeAspect="1" noChangeArrowheads="1"/>
                          </pic:cNvPicPr>
                        </pic:nvPicPr>
                        <pic:blipFill>
                          <a:blip r:embed="rId73"/>
                          <a:stretch>
                            <a:fillRect/>
                          </a:stretch>
                        </pic:blipFill>
                        <pic:spPr bwMode="auto">
                          <a:xfrm>
                            <a:off x="0" y="0"/>
                            <a:ext cx="1181100" cy="1181100"/>
                          </a:xfrm>
                          <a:prstGeom prst="rect">
                            <a:avLst/>
                          </a:prstGeom>
                        </pic:spPr>
                      </pic:pic>
                    </a:graphicData>
                  </a:graphic>
                </wp:inline>
              </w:drawing>
            </w:r>
          </w:p>
          <w:p>
            <w:pPr>
              <w:pStyle w:val="TableContents"/>
              <w:bidi w:val="0"/>
              <w:spacing w:before="0" w:after="283"/>
              <w:ind w:left="0" w:right="0" w:hanging="0"/>
              <w:jc w:val="left"/>
              <w:rPr>
                <w:color w:val="636466"/>
              </w:rPr>
            </w:pPr>
            <w:r>
              <w:rPr>
                <w:color w:val="636466"/>
              </w:rPr>
              <w:t xml:space="preserve">  </w:t>
            </w:r>
          </w:p>
          <w:p>
            <w:pPr>
              <w:pStyle w:val="TableContents"/>
              <w:bidi w:val="0"/>
              <w:spacing w:before="180" w:after="283"/>
              <w:ind w:left="0" w:right="0" w:hanging="0"/>
              <w:jc w:val="left"/>
              <w:rPr>
                <w:rFonts w:ascii="Arial;Helvetica;sans-serif" w:hAnsi="Arial;Helvetica;sans-serif"/>
                <w:color w:val="636466"/>
                <w:sz w:val="16"/>
              </w:rPr>
            </w:pPr>
            <w:r>
              <w:rPr>
                <w:rFonts w:ascii="Arial;Helvetica;sans-serif" w:hAnsi="Arial;Helvetica;sans-serif"/>
                <w:b/>
                <w:color w:val="1F1C6B"/>
                <w:sz w:val="16"/>
              </w:rPr>
              <w:t xml:space="preserve">Age: </w:t>
            </w:r>
            <w:r>
              <w:rPr>
                <w:rFonts w:ascii="Arial;Helvetica;sans-serif" w:hAnsi="Arial;Helvetica;sans-serif"/>
                <w:color w:val="636466"/>
                <w:sz w:val="16"/>
              </w:rPr>
              <w:t>58</w:t>
            </w:r>
          </w:p>
          <w:p>
            <w:pPr>
              <w:pStyle w:val="TableContents"/>
              <w:bidi w:val="0"/>
              <w:spacing w:before="180" w:after="283"/>
              <w:ind w:left="0" w:right="0" w:hanging="0"/>
              <w:jc w:val="left"/>
              <w:rPr>
                <w:rFonts w:ascii="Arial;Helvetica;sans-serif" w:hAnsi="Arial;Helvetica;sans-serif"/>
                <w:color w:val="636466"/>
                <w:sz w:val="16"/>
              </w:rPr>
            </w:pPr>
            <w:r>
              <w:rPr>
                <w:rFonts w:ascii="Arial;Helvetica;sans-serif" w:hAnsi="Arial;Helvetica;sans-serif"/>
                <w:b/>
                <w:color w:val="1F1C6B"/>
                <w:sz w:val="16"/>
              </w:rPr>
              <w:t>Director since</w:t>
            </w:r>
            <w:r>
              <w:rPr>
                <w:rFonts w:ascii="Arial;Helvetica;sans-serif" w:hAnsi="Arial;Helvetica;sans-serif"/>
                <w:color w:val="636466"/>
                <w:sz w:val="16"/>
              </w:rPr>
              <w:t xml:space="preserve"> 2020 </w:t>
            </w:r>
          </w:p>
          <w:p>
            <w:pPr>
              <w:pStyle w:val="TableContents"/>
              <w:bidi w:val="0"/>
              <w:spacing w:lineRule="atLeast" w:line="180" w:before="180" w:after="283"/>
              <w:ind w:left="0" w:right="0" w:hanging="0"/>
              <w:jc w:val="left"/>
              <w:rPr>
                <w:rFonts w:ascii="Arial;Helvetica;sans-serif" w:hAnsi="Arial;Helvetica;sans-serif"/>
                <w:color w:val="636466"/>
                <w:sz w:val="16"/>
              </w:rPr>
            </w:pPr>
            <w:r>
              <w:rPr>
                <w:rFonts w:ascii="Arial;Helvetica;sans-serif" w:hAnsi="Arial;Helvetica;sans-serif"/>
                <w:b/>
                <w:color w:val="1F1C6B"/>
                <w:sz w:val="16"/>
              </w:rPr>
              <w:t>Chair of the Board and Independent Director</w:t>
            </w:r>
            <w:r>
              <w:rPr>
                <w:rFonts w:ascii="Arial;Helvetica;sans-serif" w:hAnsi="Arial;Helvetica;sans-serif"/>
                <w:color w:val="636466"/>
                <w:sz w:val="16"/>
              </w:rPr>
              <w:t xml:space="preserve"> </w:t>
            </w:r>
          </w:p>
          <w:p>
            <w:pPr>
              <w:pStyle w:val="TableContents"/>
              <w:bidi w:val="0"/>
              <w:spacing w:before="18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Board Committees:</w:t>
            </w:r>
          </w:p>
          <w:p>
            <w:pPr>
              <w:pStyle w:val="TableContents"/>
              <w:bidi w:val="0"/>
              <w:spacing w:before="60" w:after="283"/>
              <w:ind w:left="0" w:right="0" w:hanging="0"/>
              <w:jc w:val="left"/>
              <w:rPr>
                <w:rFonts w:ascii="Arial;Helvetica;sans-serif" w:hAnsi="Arial;Helvetica;sans-serif"/>
                <w:color w:val="636466"/>
                <w:sz w:val="16"/>
              </w:rPr>
            </w:pPr>
            <w:r>
              <w:rPr>
                <w:rFonts w:ascii="Arial;Helvetica;sans-serif" w:hAnsi="Arial;Helvetica;sans-serif"/>
                <w:color w:val="636466"/>
                <w:sz w:val="16"/>
              </w:rPr>
              <w:t>Executive (Chair)</w:t>
            </w:r>
          </w:p>
          <w:p>
            <w:pPr>
              <w:pStyle w:val="TableContents"/>
              <w:bidi w:val="0"/>
              <w:spacing w:before="60" w:after="283"/>
              <w:ind w:left="0" w:right="0" w:hanging="0"/>
              <w:jc w:val="left"/>
              <w:rPr>
                <w:rFonts w:ascii="Arial;Helvetica;sans-serif" w:hAnsi="Arial;Helvetica;sans-serif"/>
                <w:color w:val="636466"/>
                <w:sz w:val="16"/>
              </w:rPr>
            </w:pPr>
            <w:r>
              <w:rPr>
                <w:rFonts w:ascii="Arial;Helvetica;sans-serif" w:hAnsi="Arial;Helvetica;sans-serif"/>
                <w:color w:val="636466"/>
                <w:sz w:val="16"/>
              </w:rPr>
              <w:t>Finance (Chair)</w:t>
            </w:r>
          </w:p>
        </w:tc>
        <w:tc>
          <w:tcPr>
            <w:tcW w:w="170" w:type="dxa"/>
            <w:vMerge w:val="restart"/>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90" w:type="dxa"/>
            <w:tcBorders/>
            <w:vAlign w:val="center"/>
          </w:tcPr>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t>Melina Higgins</w:t>
            </w:r>
            <w:r>
              <w:rPr>
                <w:rFonts w:ascii="Arial;Helvetica;sans-serif" w:hAnsi="Arial;Helvetica;sans-serif"/>
                <w:b/>
                <w:color w:val="636466"/>
                <w:sz w:val="26"/>
              </w:rPr>
              <w:t> </w:t>
            </w:r>
          </w:p>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r>
          </w:p>
        </w:tc>
      </w:tr>
      <w:tr>
        <w:trPr/>
        <w:tc>
          <w:tcPr>
            <w:tcW w:w="211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9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Held senior roles of increasing responsibility including Partner (2002 - 2010) and Managing Director (2001 - 2010) and served as a member of the Investment Committee of the Principal Investment Area, Head of the Americas for Private Debt, and co-Chairperson of the Investment Advisory Committee for GS Mezzanine Partners funds, </w:t>
            </w:r>
            <w:r>
              <w:rPr>
                <w:rFonts w:ascii="Arial;Helvetica;sans-serif" w:hAnsi="Arial;Helvetica;sans-serif"/>
                <w:b/>
                <w:color w:val="636466"/>
                <w:sz w:val="16"/>
              </w:rPr>
              <w:t>The Goldman Sachs Group, Inc.</w:t>
            </w:r>
            <w:r>
              <w:rPr>
                <w:rFonts w:ascii="Arial;Helvetica;sans-serif" w:hAnsi="Arial;Helvetica;sans-serif"/>
                <w:color w:val="636466"/>
                <w:sz w:val="16"/>
              </w:rPr>
              <w:t xml:space="preserve"> (NYSE: GS)</w:t>
            </w:r>
          </w:p>
        </w:tc>
      </w:tr>
      <w:tr>
        <w:trPr/>
        <w:tc>
          <w:tcPr>
            <w:tcW w:w="211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9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Key Skills and Experience:</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Corporate Governance, Finance, Accounting, and Capital Markets, Global Business, Risk Oversight/Compliance, </w:t>
            </w:r>
            <w:r>
              <w:rPr>
                <w:rFonts w:ascii="Arial;Helvetica;sans-serif" w:hAnsi="Arial;Helvetica;sans-serif"/>
                <w:b w:val="false"/>
                <w:color w:val="636466"/>
                <w:sz w:val="16"/>
              </w:rPr>
              <w:t xml:space="preserve">and </w:t>
            </w:r>
            <w:r>
              <w:rPr>
                <w:rFonts w:ascii="Arial;Helvetica;sans-serif" w:hAnsi="Arial;Helvetica;sans-serif"/>
                <w:b/>
                <w:color w:val="636466"/>
                <w:sz w:val="16"/>
              </w:rPr>
              <w:t xml:space="preserve">Strategy and M&amp;A Experience </w:t>
            </w:r>
            <w:r>
              <w:rPr>
                <w:rFonts w:ascii="Arial;Helvetica;sans-serif" w:hAnsi="Arial;Helvetica;sans-serif"/>
                <w:b w:val="false"/>
                <w:color w:val="636466"/>
                <w:sz w:val="16"/>
              </w:rPr>
              <w:t>obtained during her nearly 20 years at Goldman Sachs, where she built and led a successful investment business and became well-versed in portfolio management, assessing market risks and building businesses, especially during her time as a member of Goldman’s Investment Committee of the Principal Investment Area, one of the largest alternative asset managers in the world, where she oversaw and approved global private equity and private debt investments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636466"/>
                <w:sz w:val="16"/>
              </w:rPr>
              <w:t xml:space="preserve">Ms. Higgins also brings </w:t>
            </w:r>
            <w:r>
              <w:rPr>
                <w:rFonts w:ascii="Arial;Helvetica;sans-serif" w:hAnsi="Arial;Helvetica;sans-serif"/>
                <w:b/>
                <w:color w:val="636466"/>
                <w:sz w:val="16"/>
              </w:rPr>
              <w:t>Human Capital Management Experience</w:t>
            </w:r>
            <w:r>
              <w:rPr>
                <w:rFonts w:ascii="Arial;Helvetica;sans-serif" w:hAnsi="Arial;Helvetica;sans-serif"/>
                <w:b w:val="false"/>
                <w:color w:val="636466"/>
                <w:sz w:val="16"/>
              </w:rPr>
              <w:t>, including compensation and succession planning, to the Board</w:t>
            </w:r>
          </w:p>
        </w:tc>
      </w:tr>
      <w:tr>
        <w:trPr/>
        <w:tc>
          <w:tcPr>
            <w:tcW w:w="211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9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Other Current Public Company Boards: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Genworth Financial Inc</w:t>
            </w:r>
            <w:r>
              <w:rPr>
                <w:rFonts w:ascii="Arial;Helvetica;sans-serif" w:hAnsi="Arial;Helvetica;sans-serif"/>
                <w:b w:val="false"/>
                <w:color w:val="636466"/>
                <w:sz w:val="16"/>
              </w:rPr>
              <w:t>. (NYSE: GNW) (since 2013), non-executive Chair (since 2021) and member of the Audit and Management Development &amp; Compensation Committees</w:t>
            </w:r>
          </w:p>
        </w:tc>
      </w:tr>
      <w:tr>
        <w:trPr/>
        <w:tc>
          <w:tcPr>
            <w:tcW w:w="211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9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Current Private Company Boards: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636466"/>
                <w:sz w:val="16"/>
              </w:rPr>
              <w:t xml:space="preserve">Director and non-executive chair of the Board (since 2016), </w:t>
            </w:r>
            <w:r>
              <w:rPr>
                <w:rFonts w:ascii="Arial;Helvetica;sans-serif" w:hAnsi="Arial;Helvetica;sans-serif"/>
                <w:b/>
                <w:color w:val="636466"/>
                <w:sz w:val="16"/>
              </w:rPr>
              <w:t>Antares Midco Inc.</w:t>
            </w:r>
            <w:r>
              <w:rPr>
                <w:rFonts w:ascii="Arial;Helvetica;sans-serif" w:hAnsi="Arial;Helvetica;sans-serif"/>
                <w:b w:val="false"/>
                <w:color w:val="636466"/>
                <w:sz w:val="16"/>
              </w:rPr>
              <w:t>, a private company that provides financing solutions for middle market, private equity-backed transactions</w:t>
            </w:r>
          </w:p>
        </w:tc>
      </w:tr>
      <w:tr>
        <w:trPr/>
        <w:tc>
          <w:tcPr>
            <w:tcW w:w="211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9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Former Public Company Boards:</w:t>
            </w:r>
          </w:p>
          <w:p>
            <w:pPr>
              <w:pStyle w:val="TableContents"/>
              <w:bidi w:val="0"/>
              <w:spacing w:before="120" w:after="283"/>
              <w:ind w:left="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Mylan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(2013 - the closing of the Combination in 2020), Director, most recently Chair of the Finance Committee, and member of the Audit, Compensation, and Executive Committees</w:t>
            </w:r>
          </w:p>
          <w:p>
            <w:pPr>
              <w:pStyle w:val="TableContents"/>
              <w:bidi w:val="0"/>
              <w:spacing w:before="120" w:after="283"/>
              <w:ind w:left="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NextGen Acquisition Corp. II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(March 2021 until its merger with Virgin Orbit in December 2021) (a special purpose acquisition company), Director, Chair of the Nominating and Corporate Governance Committee and member of the Audit and Compensation Committees</w:t>
            </w:r>
          </w:p>
        </w:tc>
      </w:tr>
      <w:tr>
        <w:trPr/>
        <w:tc>
          <w:tcPr>
            <w:tcW w:w="211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690" w:type="dxa"/>
            <w:tcBorders/>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Other Organizations: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636466"/>
                <w:sz w:val="16"/>
              </w:rPr>
              <w:t xml:space="preserve">Member, </w:t>
            </w:r>
            <w:r>
              <w:rPr>
                <w:rFonts w:ascii="Arial;Helvetica;sans-serif" w:hAnsi="Arial;Helvetica;sans-serif"/>
                <w:b/>
                <w:color w:val="636466"/>
                <w:sz w:val="16"/>
              </w:rPr>
              <w:t>Women’s Leadership Board of Harvard University’s John F. Kennedy School of Government</w:t>
            </w:r>
          </w:p>
        </w:tc>
      </w:tr>
      <w:tr>
        <w:trPr/>
        <w:tc>
          <w:tcPr>
            <w:tcW w:w="211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90" w:type="dxa"/>
            <w:tcBorders/>
            <w:vAlign w:val="center"/>
          </w:tcPr>
          <w:p>
            <w:pPr>
              <w:pStyle w:val="TableContents"/>
              <w:bidi w:val="0"/>
              <w:spacing w:before="0" w:after="0"/>
              <w:jc w:val="left"/>
              <w:rPr/>
            </w:pPr>
            <w:r>
              <w:rPr/>
              <w:t> </w:t>
            </w:r>
          </w:p>
        </w:tc>
      </w:tr>
    </w:tbl>
    <w:tbl>
      <w:tblPr>
        <w:tblW w:w="4980" w:type="dxa"/>
        <w:jc w:val="left"/>
        <w:tblInd w:w="106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83"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64" descr=""/>
                          <pic:cNvPicPr>
                            <a:picLocks noChangeAspect="1" noChangeArrowheads="1"/>
                          </pic:cNvPicPr>
                        </pic:nvPicPr>
                        <pic:blipFill>
                          <a:blip r:embed="rId74"/>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Statement | 15</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84"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65" descr=""/>
                    <pic:cNvPicPr>
                      <a:picLocks noChangeAspect="1" noChangeArrowheads="1"/>
                    </pic:cNvPicPr>
                  </pic:nvPicPr>
                  <pic:blipFill>
                    <a:blip r:embed="rId75"/>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44" w:name="ny20055082x771_def14a_106-directors_pg11"/>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lef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tbl>
      <w:tblPr>
        <w:tblW w:w="9145" w:type="dxa"/>
        <w:jc w:val="left"/>
        <w:tblInd w:w="1060" w:type="dxa"/>
        <w:tblLayout w:type="fixed"/>
        <w:tblCellMar>
          <w:top w:w="0" w:type="dxa"/>
          <w:left w:w="0" w:type="dxa"/>
          <w:bottom w:w="0" w:type="dxa"/>
          <w:right w:w="0" w:type="dxa"/>
        </w:tblCellMar>
      </w:tblPr>
      <w:tblGrid>
        <w:gridCol w:w="1905"/>
        <w:gridCol w:w="170"/>
        <w:gridCol w:w="170"/>
        <w:gridCol w:w="6900"/>
      </w:tblGrid>
      <w:tr>
        <w:trPr/>
        <w:tc>
          <w:tcPr>
            <w:tcW w:w="1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0" w:type="dxa"/>
            <w:tcBorders/>
            <w:vAlign w:val="center"/>
          </w:tcPr>
          <w:p>
            <w:pPr>
              <w:pStyle w:val="TableContents"/>
              <w:bidi w:val="0"/>
              <w:spacing w:before="0" w:after="0"/>
              <w:jc w:val="left"/>
              <w:rPr/>
            </w:pPr>
            <w:r>
              <w:rPr/>
              <w:t> </w:t>
            </w:r>
          </w:p>
        </w:tc>
      </w:tr>
      <w:tr>
        <w:trPr/>
        <w:tc>
          <w:tcPr>
            <w:tcW w:w="1905" w:type="dxa"/>
            <w:vMerge w:val="restart"/>
            <w:tcBorders/>
            <w:vAlign w:val="center"/>
          </w:tcPr>
          <w:p>
            <w:pPr>
              <w:pStyle w:val="TableContents"/>
              <w:bidi w:val="0"/>
              <w:spacing w:before="0" w:after="283"/>
              <w:jc w:val="center"/>
              <w:rPr>
                <w:color w:val="636466"/>
              </w:rPr>
            </w:pPr>
            <w:r>
              <w:rPr>
                <w:color w:val="636466"/>
              </w:rPr>
              <w:drawing>
                <wp:inline distT="0" distB="0" distL="0" distR="0">
                  <wp:extent cx="1181100" cy="1181100"/>
                  <wp:effectExtent l="0" t="0" r="0" b="0"/>
                  <wp:docPr id="85"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66" descr=""/>
                          <pic:cNvPicPr>
                            <a:picLocks noChangeAspect="1" noChangeArrowheads="1"/>
                          </pic:cNvPicPr>
                        </pic:nvPicPr>
                        <pic:blipFill>
                          <a:blip r:embed="rId76"/>
                          <a:stretch>
                            <a:fillRect/>
                          </a:stretch>
                        </pic:blipFill>
                        <pic:spPr bwMode="auto">
                          <a:xfrm>
                            <a:off x="0" y="0"/>
                            <a:ext cx="1181100" cy="1181100"/>
                          </a:xfrm>
                          <a:prstGeom prst="rect">
                            <a:avLst/>
                          </a:prstGeom>
                        </pic:spPr>
                      </pic:pic>
                    </a:graphicData>
                  </a:graphic>
                </wp:inline>
              </w:drawing>
            </w:r>
          </w:p>
          <w:p>
            <w:pPr>
              <w:pStyle w:val="TableContents"/>
              <w:bidi w:val="0"/>
              <w:spacing w:before="0" w:after="283"/>
              <w:ind w:left="0" w:right="0" w:hanging="0"/>
              <w:jc w:val="left"/>
              <w:rPr>
                <w:color w:val="636466"/>
              </w:rPr>
            </w:pPr>
            <w:r>
              <w:rPr>
                <w:color w:val="636466"/>
              </w:rPr>
              <w:t> </w:t>
            </w:r>
          </w:p>
          <w:p>
            <w:pPr>
              <w:pStyle w:val="TableContents"/>
              <w:bidi w:val="0"/>
              <w:spacing w:before="180" w:after="283"/>
              <w:ind w:left="0" w:right="0" w:hanging="0"/>
              <w:jc w:val="left"/>
              <w:rPr>
                <w:rFonts w:ascii="Arial;Helvetica;sans-serif" w:hAnsi="Arial;Helvetica;sans-serif"/>
                <w:color w:val="636466"/>
                <w:sz w:val="16"/>
              </w:rPr>
            </w:pPr>
            <w:r>
              <w:rPr>
                <w:rFonts w:ascii="Arial;Helvetica;sans-serif" w:hAnsi="Arial;Helvetica;sans-serif"/>
                <w:b/>
                <w:color w:val="1F1C6B"/>
                <w:sz w:val="16"/>
              </w:rPr>
              <w:t xml:space="preserve">Age: </w:t>
            </w:r>
            <w:r>
              <w:rPr>
                <w:rFonts w:ascii="Arial;Helvetica;sans-serif" w:hAnsi="Arial;Helvetica;sans-serif"/>
                <w:color w:val="636466"/>
                <w:sz w:val="16"/>
              </w:rPr>
              <w:t xml:space="preserve">77* </w:t>
            </w:r>
          </w:p>
          <w:p>
            <w:pPr>
              <w:pStyle w:val="TableContents"/>
              <w:bidi w:val="0"/>
              <w:spacing w:before="180" w:after="283"/>
              <w:ind w:left="0" w:right="0" w:hanging="0"/>
              <w:jc w:val="left"/>
              <w:rPr>
                <w:rFonts w:ascii="Arial;Helvetica;sans-serif" w:hAnsi="Arial;Helvetica;sans-serif"/>
                <w:color w:val="636466"/>
                <w:sz w:val="16"/>
              </w:rPr>
            </w:pPr>
            <w:r>
              <w:rPr>
                <w:rFonts w:ascii="Arial;Helvetica;sans-serif" w:hAnsi="Arial;Helvetica;sans-serif"/>
                <w:b/>
                <w:color w:val="1F1C6B"/>
                <w:sz w:val="16"/>
              </w:rPr>
              <w:t>Director since</w:t>
            </w:r>
            <w:r>
              <w:rPr>
                <w:rFonts w:ascii="Arial;Helvetica;sans-serif" w:hAnsi="Arial;Helvetica;sans-serif"/>
                <w:color w:val="636466"/>
                <w:sz w:val="16"/>
              </w:rPr>
              <w:t xml:space="preserve"> 2020</w:t>
            </w:r>
          </w:p>
          <w:p>
            <w:pPr>
              <w:pStyle w:val="TableContents"/>
              <w:bidi w:val="0"/>
              <w:spacing w:before="18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Independent Director</w:t>
            </w:r>
          </w:p>
          <w:p>
            <w:pPr>
              <w:pStyle w:val="TableContents"/>
              <w:bidi w:val="0"/>
              <w:spacing w:before="18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Board Committees:</w:t>
            </w:r>
          </w:p>
          <w:p>
            <w:pPr>
              <w:pStyle w:val="TableContents"/>
              <w:bidi w:val="0"/>
              <w:spacing w:before="60" w:after="283"/>
              <w:ind w:left="0" w:right="0" w:hanging="0"/>
              <w:jc w:val="left"/>
              <w:rPr>
                <w:rFonts w:ascii="Arial;Helvetica;sans-serif" w:hAnsi="Arial;Helvetica;sans-serif"/>
                <w:color w:val="636466"/>
                <w:sz w:val="16"/>
              </w:rPr>
            </w:pPr>
            <w:r>
              <w:rPr>
                <w:rFonts w:ascii="Arial;Helvetica;sans-serif" w:hAnsi="Arial;Helvetica;sans-serif"/>
                <w:color w:val="636466"/>
                <w:sz w:val="16"/>
              </w:rPr>
              <w:t>Compensation</w:t>
            </w:r>
          </w:p>
          <w:p>
            <w:pPr>
              <w:pStyle w:val="TableContents"/>
              <w:bidi w:val="0"/>
              <w:spacing w:before="60" w:after="283"/>
              <w:ind w:left="0" w:right="0" w:hanging="0"/>
              <w:jc w:val="left"/>
              <w:rPr>
                <w:rFonts w:ascii="Arial;Helvetica;sans-serif" w:hAnsi="Arial;Helvetica;sans-serif"/>
                <w:color w:val="636466"/>
                <w:sz w:val="16"/>
              </w:rPr>
            </w:pPr>
            <w:r>
              <w:rPr>
                <w:rFonts w:ascii="Arial;Helvetica;sans-serif" w:hAnsi="Arial;Helvetica;sans-serif"/>
                <w:color w:val="636466"/>
                <w:sz w:val="16"/>
              </w:rPr>
              <w:t>Finance</w:t>
            </w:r>
          </w:p>
        </w:tc>
        <w:tc>
          <w:tcPr>
            <w:tcW w:w="170" w:type="dxa"/>
            <w:vMerge w:val="restart"/>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0" w:type="dxa"/>
            <w:tcBorders/>
            <w:vAlign w:val="center"/>
          </w:tcPr>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t>James M. Kilts</w:t>
            </w:r>
            <w:r>
              <w:rPr>
                <w:rFonts w:ascii="Arial;Helvetica;sans-serif" w:hAnsi="Arial;Helvetica;sans-serif"/>
                <w:b/>
                <w:color w:val="636466"/>
                <w:sz w:val="26"/>
              </w:rPr>
              <w:t> </w:t>
            </w:r>
          </w:p>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0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Founding Partner (since 2006), </w:t>
            </w:r>
            <w:r>
              <w:rPr>
                <w:rFonts w:ascii="Arial;Helvetica;sans-serif" w:hAnsi="Arial;Helvetica;sans-serif"/>
                <w:b/>
                <w:color w:val="636466"/>
                <w:sz w:val="16"/>
              </w:rPr>
              <w:t>Centerview Capital</w:t>
            </w:r>
            <w:r>
              <w:rPr>
                <w:rFonts w:ascii="Arial;Helvetica;sans-serif" w:hAnsi="Arial;Helvetica;sans-serif"/>
                <w:color w:val="636466"/>
                <w:sz w:val="16"/>
              </w:rPr>
              <w:t>, a private equity firm</w:t>
            </w:r>
          </w:p>
          <w:p>
            <w:pPr>
              <w:pStyle w:val="TableContents"/>
              <w:bidi w:val="0"/>
              <w:spacing w:before="12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Special Advisor to the Board (2023), Co-Chief Executive Officer (2021 - 2023), </w:t>
            </w:r>
            <w:r>
              <w:rPr>
                <w:rFonts w:ascii="Arial;Helvetica;sans-serif" w:hAnsi="Arial;Helvetica;sans-serif"/>
                <w:b/>
                <w:color w:val="636466"/>
                <w:sz w:val="16"/>
              </w:rPr>
              <w:t>Conyers Park III Acquisition Corp.</w:t>
            </w:r>
            <w:r>
              <w:rPr>
                <w:rFonts w:ascii="Arial;Helvetica;sans-serif" w:hAnsi="Arial;Helvetica;sans-serif"/>
                <w:color w:val="636466"/>
                <w:sz w:val="16"/>
              </w:rPr>
              <w:t xml:space="preserve"> (a special purpose acquisition company)</w:t>
            </w:r>
          </w:p>
          <w:p>
            <w:pPr>
              <w:pStyle w:val="TableContents"/>
              <w:bidi w:val="0"/>
              <w:spacing w:before="12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Chairman and Chief Executive Officer (2001 - 2005 when it merged with The Procter &amp; Gamble Company), President (2003 - 2005), </w:t>
            </w:r>
            <w:r>
              <w:rPr>
                <w:rFonts w:ascii="Arial;Helvetica;sans-serif" w:hAnsi="Arial;Helvetica;sans-serif"/>
                <w:b/>
                <w:color w:val="636466"/>
                <w:sz w:val="16"/>
              </w:rPr>
              <w:t>The Gillette Company</w:t>
            </w:r>
          </w:p>
          <w:p>
            <w:pPr>
              <w:pStyle w:val="TableContents"/>
              <w:bidi w:val="0"/>
              <w:spacing w:before="12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President and Chief Executive Officer (1998 - 2000 when it was acquired by The Philip Morris Companies), </w:t>
            </w:r>
            <w:r>
              <w:rPr>
                <w:rFonts w:ascii="Arial;Helvetica;sans-serif" w:hAnsi="Arial;Helvetica;sans-serif"/>
                <w:b/>
                <w:color w:val="636466"/>
                <w:sz w:val="16"/>
              </w:rPr>
              <w:t>Nabisco Group Holdings Corporation</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0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Key Skills and Experience:</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CEO and Public Company Management, Corporate Governance, Finance, Accounting, and Capital Markets, Global Business, </w:t>
            </w:r>
            <w:r>
              <w:rPr>
                <w:rFonts w:ascii="Arial;Helvetica;sans-serif" w:hAnsi="Arial;Helvetica;sans-serif"/>
                <w:b w:val="false"/>
                <w:color w:val="636466"/>
                <w:sz w:val="16"/>
              </w:rPr>
              <w:t xml:space="preserve">and </w:t>
            </w:r>
            <w:r>
              <w:rPr>
                <w:rFonts w:ascii="Arial;Helvetica;sans-serif" w:hAnsi="Arial;Helvetica;sans-serif"/>
                <w:b/>
                <w:color w:val="636466"/>
                <w:sz w:val="16"/>
              </w:rPr>
              <w:t xml:space="preserve">Strategy and M&amp;A Experience </w:t>
            </w:r>
            <w:r>
              <w:rPr>
                <w:rFonts w:ascii="Arial;Helvetica;sans-serif" w:hAnsi="Arial;Helvetica;sans-serif"/>
                <w:b w:val="false"/>
                <w:color w:val="636466"/>
                <w:sz w:val="16"/>
              </w:rPr>
              <w:t>acquired during his more than 40 years leading a range of multi-national companies and iconic brands, where he is credited with building domestic and international strategies to increase sales and successfully overseeing organizations through significant M&amp;A activity resulting in him being sought out for his business expertise and advice</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636466"/>
                <w:sz w:val="16"/>
              </w:rPr>
              <w:t xml:space="preserve">Mr. Kilts also brings </w:t>
            </w:r>
            <w:r>
              <w:rPr>
                <w:rFonts w:ascii="Arial;Helvetica;sans-serif" w:hAnsi="Arial;Helvetica;sans-serif"/>
                <w:b/>
                <w:color w:val="636466"/>
                <w:sz w:val="16"/>
              </w:rPr>
              <w:t xml:space="preserve">Healthcare Industry </w:t>
            </w:r>
            <w:r>
              <w:rPr>
                <w:rFonts w:ascii="Arial;Helvetica;sans-serif" w:hAnsi="Arial;Helvetica;sans-serif"/>
                <w:b w:val="false"/>
                <w:color w:val="636466"/>
                <w:sz w:val="16"/>
              </w:rPr>
              <w:t xml:space="preserve">and </w:t>
            </w:r>
            <w:r>
              <w:rPr>
                <w:rFonts w:ascii="Arial;Helvetica;sans-serif" w:hAnsi="Arial;Helvetica;sans-serif"/>
                <w:b/>
                <w:color w:val="636466"/>
                <w:sz w:val="16"/>
              </w:rPr>
              <w:t xml:space="preserve">Human Capital Management Experience </w:t>
            </w:r>
            <w:r>
              <w:rPr>
                <w:rFonts w:ascii="Arial;Helvetica;sans-serif" w:hAnsi="Arial;Helvetica;sans-serif"/>
                <w:b w:val="false"/>
                <w:color w:val="636466"/>
                <w:sz w:val="16"/>
              </w:rPr>
              <w:t>to the Board</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0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Other Current Public Company Boards: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Advantage Solutions Inc. </w:t>
            </w:r>
            <w:r>
              <w:rPr>
                <w:rFonts w:ascii="Arial;Helvetica;sans-serif" w:hAnsi="Arial;Helvetica;sans-serif"/>
                <w:b w:val="false"/>
                <w:color w:val="636466"/>
                <w:sz w:val="16"/>
              </w:rPr>
              <w:t>(NASDAQ: ADV) (since 2020 when it combined with Conyers Park II Acquisition Corp.), non-executive Chairman and previously Lead Director</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The Simply Good Foods Company </w:t>
            </w:r>
            <w:r>
              <w:rPr>
                <w:rFonts w:ascii="Arial;Helvetica;sans-serif" w:hAnsi="Arial;Helvetica;sans-serif"/>
                <w:b w:val="false"/>
                <w:color w:val="636466"/>
                <w:sz w:val="16"/>
              </w:rPr>
              <w:t>(NASDAQ: SMPL) (since 2017), Chairman and member of the Nominating and Corporate Governance Committee</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900" w:type="dxa"/>
            <w:tcBorders/>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Former Public Company Boards:</w:t>
            </w:r>
          </w:p>
          <w:p>
            <w:pPr>
              <w:pStyle w:val="TableContents"/>
              <w:bidi w:val="0"/>
              <w:spacing w:before="120" w:after="283"/>
              <w:ind w:left="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Unifi Inc.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(NYSE: UFI) (2016 - 2022), Director and most recently member of the Compensation Committee</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Pfizer </w:t>
            </w:r>
            <w:r>
              <w:rPr>
                <w:rFonts w:ascii="Arial;Helvetica;sans-serif" w:hAnsi="Arial;Helvetica;sans-serif"/>
                <w:b w:val="false"/>
                <w:color w:val="636466"/>
                <w:sz w:val="16"/>
              </w:rPr>
              <w:t xml:space="preserve">(NYSE: PFE)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(2007 - the closing of the Combination in 2020), Director and most recently member of the Compensation Committee</w:t>
            </w:r>
          </w:p>
          <w:p>
            <w:pPr>
              <w:pStyle w:val="TableContents"/>
              <w:bidi w:val="0"/>
              <w:spacing w:before="120" w:after="283"/>
              <w:ind w:left="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Conyers Park II Acquisition Corp.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(2019 to 2020 when it combined with Advantage Solutions Inc.), Executive Chairman</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MetLife, Inc. </w:t>
            </w:r>
            <w:r>
              <w:rPr>
                <w:rFonts w:ascii="Arial;Helvetica;sans-serif" w:hAnsi="Arial;Helvetica;sans-serif"/>
                <w:b w:val="false"/>
                <w:color w:val="636466"/>
                <w:sz w:val="16"/>
              </w:rPr>
              <w:t xml:space="preserve">(NYSE: MET)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(2005 - 2020), Director, most recently Chair of the Compensation Committee and member of the Governance and Corporate Responsibility Committee</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The Procter &amp; Gamble Company </w:t>
            </w:r>
            <w:r>
              <w:rPr>
                <w:rFonts w:ascii="Arial;Helvetica;sans-serif" w:hAnsi="Arial;Helvetica;sans-serif"/>
                <w:b w:val="false"/>
                <w:color w:val="636466"/>
                <w:sz w:val="16"/>
              </w:rPr>
              <w:t xml:space="preserve">(NYSE: PG)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(2005 - 2006), Director</w:t>
            </w:r>
          </w:p>
          <w:p>
            <w:pPr>
              <w:pStyle w:val="TableContents"/>
              <w:bidi w:val="0"/>
              <w:spacing w:before="120" w:after="283"/>
              <w:ind w:left="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Conyers Park Acquisition Corporation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(2016 - 2017 when it merged with The Simply Good Foods Company), Chairman</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Nielsen Holdings plc</w:t>
            </w:r>
            <w:r>
              <w:rPr>
                <w:rFonts w:ascii="Arial;Helvetica;sans-serif" w:hAnsi="Arial;Helvetica;sans-serif"/>
                <w:b w:val="false"/>
                <w:color w:val="636466"/>
                <w:sz w:val="16"/>
              </w:rPr>
              <w:t xml:space="preserve">, (NYSE: NLSN)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(2006 - 2017) Non-executive Director and (2011 - 2013) Chairman</w:t>
            </w:r>
          </w:p>
          <w:p>
            <w:pPr>
              <w:pStyle w:val="TableContents"/>
              <w:bidi w:val="0"/>
              <w:spacing w:before="120" w:after="283"/>
              <w:ind w:left="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Nielsen Company B.V.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(2009 - 2014), Chairman</w:t>
            </w:r>
          </w:p>
          <w:p>
            <w:pPr>
              <w:pStyle w:val="TableContents"/>
              <w:bidi w:val="0"/>
              <w:spacing w:before="120" w:after="283"/>
              <w:ind w:left="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MeadWestvaco Corporation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(2006 - 2014), Director</w:t>
            </w:r>
          </w:p>
        </w:tc>
      </w:tr>
      <w:tr>
        <w:trPr/>
        <w:tc>
          <w:tcPr>
            <w:tcW w:w="1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0" w:type="dxa"/>
            <w:tcBorders/>
            <w:vAlign w:val="center"/>
          </w:tcPr>
          <w:p>
            <w:pPr>
              <w:pStyle w:val="TableContents"/>
              <w:bidi w:val="0"/>
              <w:spacing w:before="0" w:after="0"/>
              <w:jc w:val="left"/>
              <w:rPr/>
            </w:pPr>
            <w:r>
              <w:rPr/>
              <w:t> </w:t>
            </w:r>
          </w:p>
        </w:tc>
      </w:tr>
    </w:tbl>
    <w:tbl>
      <w:tblPr>
        <w:tblW w:w="9145" w:type="dxa"/>
        <w:jc w:val="left"/>
        <w:tblInd w:w="1060" w:type="dxa"/>
        <w:tblLayout w:type="fixed"/>
        <w:tblCellMar>
          <w:top w:w="0" w:type="dxa"/>
          <w:left w:w="0" w:type="dxa"/>
          <w:bottom w:w="0" w:type="dxa"/>
          <w:right w:w="0" w:type="dxa"/>
        </w:tblCellMar>
      </w:tblPr>
      <w:tblGrid>
        <w:gridCol w:w="110"/>
        <w:gridCol w:w="9035"/>
      </w:tblGrid>
      <w:tr>
        <w:trPr/>
        <w:tc>
          <w:tcPr>
            <w:tcW w:w="11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w:t>
            </w:r>
          </w:p>
        </w:tc>
        <w:tc>
          <w:tcPr>
            <w:tcW w:w="903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The Board, on the recommendation of the Governance and Sustainability Committee, has, in accordance with its Corporate Governance Principles, approved a waiver to the mandatory retirement age for Directors for Mr. Kilts and determined that such waiver was in the best interests of the Company because of his continued extensive contributions to the Board, his knowledge and familiarity with the acquired Upjohn business and the importance of maintaining continuity of certain legacy directors given the number of new directors that the Company has recently onboarded.</w:t>
            </w:r>
          </w:p>
        </w:tc>
      </w:tr>
    </w:tbl>
    <w:tbl>
      <w:tblPr>
        <w:tblW w:w="4980" w:type="dxa"/>
        <w:jc w:val="left"/>
        <w:tblInd w:w="106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16 | 2025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86"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67" descr=""/>
                          <pic:cNvPicPr>
                            <a:picLocks noChangeAspect="1" noChangeArrowheads="1"/>
                          </pic:cNvPicPr>
                        </pic:nvPicPr>
                        <pic:blipFill>
                          <a:blip r:embed="rId77"/>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87"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68" descr=""/>
                    <pic:cNvPicPr>
                      <a:picLocks noChangeAspect="1" noChangeArrowheads="1"/>
                    </pic:cNvPicPr>
                  </pic:nvPicPr>
                  <pic:blipFill>
                    <a:blip r:embed="rId78"/>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45" w:name="ny20055082x771_def14a_106-directors_pg12"/>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righ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tbl>
      <w:tblPr>
        <w:tblW w:w="9145" w:type="dxa"/>
        <w:jc w:val="left"/>
        <w:tblInd w:w="1060" w:type="dxa"/>
        <w:tblLayout w:type="fixed"/>
        <w:tblCellMar>
          <w:top w:w="0" w:type="dxa"/>
          <w:left w:w="0" w:type="dxa"/>
          <w:bottom w:w="0" w:type="dxa"/>
          <w:right w:w="0" w:type="dxa"/>
        </w:tblCellMar>
      </w:tblPr>
      <w:tblGrid>
        <w:gridCol w:w="2095"/>
        <w:gridCol w:w="170"/>
        <w:gridCol w:w="170"/>
        <w:gridCol w:w="6710"/>
      </w:tblGrid>
      <w:tr>
        <w:trPr/>
        <w:tc>
          <w:tcPr>
            <w:tcW w:w="209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10" w:type="dxa"/>
            <w:tcBorders/>
            <w:vAlign w:val="center"/>
          </w:tcPr>
          <w:p>
            <w:pPr>
              <w:pStyle w:val="TableContents"/>
              <w:bidi w:val="0"/>
              <w:spacing w:before="0" w:after="0"/>
              <w:jc w:val="left"/>
              <w:rPr/>
            </w:pPr>
            <w:r>
              <w:rPr/>
              <w:t> </w:t>
            </w:r>
          </w:p>
        </w:tc>
      </w:tr>
      <w:tr>
        <w:trPr/>
        <w:tc>
          <w:tcPr>
            <w:tcW w:w="2095" w:type="dxa"/>
            <w:vMerge w:val="restart"/>
            <w:tcBorders/>
            <w:vAlign w:val="center"/>
          </w:tcPr>
          <w:p>
            <w:pPr>
              <w:pStyle w:val="TableContents"/>
              <w:bidi w:val="0"/>
              <w:spacing w:before="0" w:after="283"/>
              <w:jc w:val="center"/>
              <w:rPr>
                <w:color w:val="636466"/>
              </w:rPr>
            </w:pPr>
            <w:r>
              <w:rPr>
                <w:color w:val="636466"/>
              </w:rPr>
              <w:drawing>
                <wp:inline distT="0" distB="0" distL="0" distR="0">
                  <wp:extent cx="1181100" cy="1181100"/>
                  <wp:effectExtent l="0" t="0" r="0" b="0"/>
                  <wp:docPr id="88"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69" descr=""/>
                          <pic:cNvPicPr>
                            <a:picLocks noChangeAspect="1" noChangeArrowheads="1"/>
                          </pic:cNvPicPr>
                        </pic:nvPicPr>
                        <pic:blipFill>
                          <a:blip r:embed="rId79"/>
                          <a:stretch>
                            <a:fillRect/>
                          </a:stretch>
                        </pic:blipFill>
                        <pic:spPr bwMode="auto">
                          <a:xfrm>
                            <a:off x="0" y="0"/>
                            <a:ext cx="1181100" cy="1181100"/>
                          </a:xfrm>
                          <a:prstGeom prst="rect">
                            <a:avLst/>
                          </a:prstGeom>
                        </pic:spPr>
                      </pic:pic>
                    </a:graphicData>
                  </a:graphic>
                </wp:inline>
              </w:drawing>
            </w:r>
          </w:p>
          <w:p>
            <w:pPr>
              <w:pStyle w:val="TableContents"/>
              <w:bidi w:val="0"/>
              <w:spacing w:before="0" w:after="283"/>
              <w:ind w:left="0" w:right="0" w:hanging="0"/>
              <w:jc w:val="left"/>
              <w:rPr>
                <w:color w:val="636466"/>
              </w:rPr>
            </w:pPr>
            <w:r>
              <w:rPr>
                <w:color w:val="636466"/>
              </w:rPr>
              <w:t> </w:t>
            </w:r>
          </w:p>
          <w:p>
            <w:pPr>
              <w:pStyle w:val="TableContents"/>
              <w:bidi w:val="0"/>
              <w:spacing w:before="180" w:after="283"/>
              <w:ind w:left="0" w:right="0" w:hanging="0"/>
              <w:jc w:val="left"/>
              <w:rPr>
                <w:rFonts w:ascii="Arial;Helvetica;sans-serif" w:hAnsi="Arial;Helvetica;sans-serif"/>
                <w:color w:val="636466"/>
                <w:sz w:val="16"/>
              </w:rPr>
            </w:pPr>
            <w:r>
              <w:rPr>
                <w:rFonts w:ascii="Arial;Helvetica;sans-serif" w:hAnsi="Arial;Helvetica;sans-serif"/>
                <w:b/>
                <w:color w:val="1F1C6B"/>
                <w:sz w:val="16"/>
              </w:rPr>
              <w:t xml:space="preserve">Age: </w:t>
            </w:r>
            <w:r>
              <w:rPr>
                <w:rFonts w:ascii="Arial;Helvetica;sans-serif" w:hAnsi="Arial;Helvetica;sans-serif"/>
                <w:color w:val="636466"/>
                <w:sz w:val="16"/>
              </w:rPr>
              <w:t>72</w:t>
            </w:r>
          </w:p>
          <w:p>
            <w:pPr>
              <w:pStyle w:val="TableContents"/>
              <w:bidi w:val="0"/>
              <w:spacing w:before="180" w:after="283"/>
              <w:ind w:left="0" w:right="0" w:hanging="0"/>
              <w:jc w:val="left"/>
              <w:rPr>
                <w:rFonts w:ascii="Arial;Helvetica;sans-serif" w:hAnsi="Arial;Helvetica;sans-serif"/>
                <w:color w:val="636466"/>
                <w:sz w:val="16"/>
              </w:rPr>
            </w:pPr>
            <w:r>
              <w:rPr>
                <w:rFonts w:ascii="Arial;Helvetica;sans-serif" w:hAnsi="Arial;Helvetica;sans-serif"/>
                <w:b/>
                <w:color w:val="1F1C6B"/>
                <w:sz w:val="16"/>
              </w:rPr>
              <w:t>Director since</w:t>
            </w:r>
            <w:r>
              <w:rPr>
                <w:rFonts w:ascii="Arial;Helvetica;sans-serif" w:hAnsi="Arial;Helvetica;sans-serif"/>
                <w:color w:val="636466"/>
                <w:sz w:val="16"/>
              </w:rPr>
              <w:t xml:space="preserve"> 2020 </w:t>
            </w:r>
          </w:p>
          <w:p>
            <w:pPr>
              <w:pStyle w:val="TableContents"/>
              <w:bidi w:val="0"/>
              <w:spacing w:before="18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Independent Director Board Committees:</w:t>
            </w:r>
          </w:p>
          <w:p>
            <w:pPr>
              <w:pStyle w:val="TableContents"/>
              <w:bidi w:val="0"/>
              <w:spacing w:before="60" w:after="283"/>
              <w:ind w:left="0" w:right="0" w:hanging="0"/>
              <w:jc w:val="left"/>
              <w:rPr>
                <w:rFonts w:ascii="Arial;Helvetica;sans-serif" w:hAnsi="Arial;Helvetica;sans-serif"/>
                <w:color w:val="636466"/>
                <w:sz w:val="16"/>
              </w:rPr>
            </w:pPr>
            <w:r>
              <w:rPr>
                <w:rFonts w:ascii="Arial;Helvetica;sans-serif" w:hAnsi="Arial;Helvetica;sans-serif"/>
                <w:color w:val="636466"/>
                <w:sz w:val="16"/>
              </w:rPr>
              <w:t>Audit* (Chair)</w:t>
            </w:r>
          </w:p>
          <w:p>
            <w:pPr>
              <w:pStyle w:val="TableContents"/>
              <w:bidi w:val="0"/>
              <w:spacing w:before="60" w:after="283"/>
              <w:ind w:left="0" w:right="0" w:hanging="0"/>
              <w:jc w:val="left"/>
              <w:rPr>
                <w:rFonts w:ascii="Arial;Helvetica;sans-serif" w:hAnsi="Arial;Helvetica;sans-serif"/>
                <w:color w:val="636466"/>
                <w:sz w:val="16"/>
              </w:rPr>
            </w:pPr>
            <w:r>
              <w:rPr>
                <w:rFonts w:ascii="Arial;Helvetica;sans-serif" w:hAnsi="Arial;Helvetica;sans-serif"/>
                <w:color w:val="636466"/>
                <w:sz w:val="16"/>
              </w:rPr>
              <w:t>Compliance and Risk Oversight</w:t>
            </w:r>
          </w:p>
          <w:p>
            <w:pPr>
              <w:pStyle w:val="TableContents"/>
              <w:bidi w:val="0"/>
              <w:spacing w:before="60" w:after="283"/>
              <w:ind w:left="0" w:right="0" w:hanging="0"/>
              <w:jc w:val="left"/>
              <w:rPr>
                <w:rFonts w:ascii="Arial;Helvetica;sans-serif" w:hAnsi="Arial;Helvetica;sans-serif"/>
                <w:color w:val="636466"/>
                <w:sz w:val="16"/>
              </w:rPr>
            </w:pPr>
            <w:r>
              <w:rPr>
                <w:rFonts w:ascii="Arial;Helvetica;sans-serif" w:hAnsi="Arial;Helvetica;sans-serif"/>
                <w:color w:val="636466"/>
                <w:sz w:val="16"/>
              </w:rPr>
              <w:t>Executive</w:t>
            </w:r>
          </w:p>
          <w:p>
            <w:pPr>
              <w:pStyle w:val="TableContents"/>
              <w:bidi w:val="0"/>
              <w:spacing w:before="60" w:after="283"/>
              <w:ind w:left="0" w:right="0" w:hanging="0"/>
              <w:jc w:val="left"/>
              <w:rPr>
                <w:rFonts w:ascii="Arial;Helvetica;sans-serif" w:hAnsi="Arial;Helvetica;sans-serif"/>
                <w:color w:val="636466"/>
                <w:sz w:val="16"/>
              </w:rPr>
            </w:pPr>
            <w:r>
              <w:rPr>
                <w:rFonts w:ascii="Arial;Helvetica;sans-serif" w:hAnsi="Arial;Helvetica;sans-serif"/>
                <w:color w:val="636466"/>
                <w:sz w:val="16"/>
              </w:rPr>
              <w:t>Finance</w:t>
            </w:r>
          </w:p>
        </w:tc>
        <w:tc>
          <w:tcPr>
            <w:tcW w:w="170" w:type="dxa"/>
            <w:vMerge w:val="restart"/>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10" w:type="dxa"/>
            <w:tcBorders/>
            <w:vAlign w:val="center"/>
          </w:tcPr>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t>Richard Mark, C.P.A.</w:t>
            </w:r>
            <w:r>
              <w:rPr>
                <w:rFonts w:ascii="Arial;Helvetica;sans-serif" w:hAnsi="Arial;Helvetica;sans-serif"/>
                <w:b/>
                <w:color w:val="636466"/>
                <w:sz w:val="26"/>
              </w:rPr>
              <w:t> </w:t>
            </w:r>
          </w:p>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r>
          </w:p>
        </w:tc>
      </w:tr>
      <w:tr>
        <w:trPr/>
        <w:tc>
          <w:tcPr>
            <w:tcW w:w="209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1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Partner (2002 - 2015), </w:t>
            </w:r>
            <w:r>
              <w:rPr>
                <w:rFonts w:ascii="Arial;Helvetica;sans-serif" w:hAnsi="Arial;Helvetica;sans-serif"/>
                <w:b/>
                <w:color w:val="636466"/>
                <w:sz w:val="16"/>
              </w:rPr>
              <w:t>Deloitte &amp; Touche LLP</w:t>
            </w:r>
            <w:r>
              <w:rPr>
                <w:rFonts w:ascii="Arial;Helvetica;sans-serif" w:hAnsi="Arial;Helvetica;sans-serif"/>
                <w:color w:val="636466"/>
                <w:sz w:val="16"/>
              </w:rPr>
              <w:t xml:space="preserve"> (“Deloitte”)</w:t>
            </w:r>
          </w:p>
          <w:p>
            <w:pPr>
              <w:pStyle w:val="TableContents"/>
              <w:bidi w:val="0"/>
              <w:spacing w:before="12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Audit Partner (1988 - 2002), Audit Manager (1981 - 1988), Senior Auditor (1977 - 1981), </w:t>
            </w:r>
            <w:r>
              <w:rPr>
                <w:rFonts w:ascii="Arial;Helvetica;sans-serif" w:hAnsi="Arial;Helvetica;sans-serif"/>
                <w:b/>
                <w:color w:val="636466"/>
                <w:sz w:val="16"/>
              </w:rPr>
              <w:t>Arthur Andersen &amp; Co.</w:t>
            </w:r>
          </w:p>
        </w:tc>
      </w:tr>
      <w:tr>
        <w:trPr/>
        <w:tc>
          <w:tcPr>
            <w:tcW w:w="209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1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Key Skills and Experience:</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Public Company Management, Corporate Governance, Finance, Accounting, and Capital Markets, Global Business, Risk Oversight/Compliance, </w:t>
            </w:r>
            <w:r>
              <w:rPr>
                <w:rFonts w:ascii="Arial;Helvetica;sans-serif" w:hAnsi="Arial;Helvetica;sans-serif"/>
                <w:b w:val="false"/>
                <w:color w:val="636466"/>
                <w:sz w:val="16"/>
              </w:rPr>
              <w:t xml:space="preserve">and </w:t>
            </w:r>
            <w:r>
              <w:rPr>
                <w:rFonts w:ascii="Arial;Helvetica;sans-serif" w:hAnsi="Arial;Helvetica;sans-serif"/>
                <w:b/>
                <w:color w:val="636466"/>
                <w:sz w:val="16"/>
              </w:rPr>
              <w:t xml:space="preserve">Strategy and M&amp;A Experience </w:t>
            </w:r>
            <w:r>
              <w:rPr>
                <w:rFonts w:ascii="Arial;Helvetica;sans-serif" w:hAnsi="Arial;Helvetica;sans-serif"/>
                <w:b w:val="false"/>
                <w:color w:val="636466"/>
                <w:sz w:val="16"/>
              </w:rPr>
              <w:t>gained over his extensive career auditing financial statements of public and private companies, consulting on financial issues with companies, and performing transaction diligence on behalf of financial and strategic buyers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636466"/>
                <w:sz w:val="16"/>
              </w:rPr>
              <w:t xml:space="preserve">Mr. Mark also brings </w:t>
            </w:r>
            <w:r>
              <w:rPr>
                <w:rFonts w:ascii="Arial;Helvetica;sans-serif" w:hAnsi="Arial;Helvetica;sans-serif"/>
                <w:b/>
                <w:color w:val="636466"/>
                <w:sz w:val="16"/>
              </w:rPr>
              <w:t xml:space="preserve">Healthcare Industry </w:t>
            </w:r>
            <w:r>
              <w:rPr>
                <w:rFonts w:ascii="Arial;Helvetica;sans-serif" w:hAnsi="Arial;Helvetica;sans-serif"/>
                <w:b w:val="false"/>
                <w:color w:val="636466"/>
                <w:sz w:val="16"/>
              </w:rPr>
              <w:t xml:space="preserve">and </w:t>
            </w:r>
            <w:r>
              <w:rPr>
                <w:rFonts w:ascii="Arial;Helvetica;sans-serif" w:hAnsi="Arial;Helvetica;sans-serif"/>
                <w:b/>
                <w:color w:val="636466"/>
                <w:sz w:val="16"/>
              </w:rPr>
              <w:t xml:space="preserve">Information Security Experience </w:t>
            </w:r>
            <w:r>
              <w:rPr>
                <w:rFonts w:ascii="Arial;Helvetica;sans-serif" w:hAnsi="Arial;Helvetica;sans-serif"/>
                <w:b w:val="false"/>
                <w:color w:val="636466"/>
                <w:sz w:val="16"/>
              </w:rPr>
              <w:t>to the Board</w:t>
            </w:r>
          </w:p>
        </w:tc>
      </w:tr>
      <w:tr>
        <w:trPr/>
        <w:tc>
          <w:tcPr>
            <w:tcW w:w="209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1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Other Current Public Company Boards: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636466"/>
                <w:sz w:val="16"/>
              </w:rPr>
              <w:t xml:space="preserve">Four funds/business development companies in the </w:t>
            </w:r>
            <w:r>
              <w:rPr>
                <w:rFonts w:ascii="Arial;Helvetica;sans-serif" w:hAnsi="Arial;Helvetica;sans-serif"/>
                <w:b/>
                <w:color w:val="636466"/>
                <w:sz w:val="16"/>
              </w:rPr>
              <w:t xml:space="preserve">Goldman Sachs Fund Complex </w:t>
            </w:r>
            <w:r>
              <w:rPr>
                <w:rFonts w:ascii="Arial;Helvetica;sans-serif" w:hAnsi="Arial;Helvetica;sans-serif"/>
                <w:b w:val="false"/>
                <w:color w:val="636466"/>
                <w:sz w:val="16"/>
              </w:rPr>
              <w:t>(Goldman Sachs BDC, Inc. (“GSBDC”) (NYSE: GSBD) (since 2020), Director, Chair of the Audit Committee and member of the Compliance, Governance and Nominating, and Contract Review Committees; Goldman Sachs Private Credit Corp. (since 2022), and Goldman Sachs Private Middle Market Credit II LLC (since 2025), Director, member of the Audit Committee, Governance and Nominating Committee, Compliance Committee, and Contract Review Committee)</w:t>
            </w:r>
          </w:p>
        </w:tc>
      </w:tr>
      <w:tr>
        <w:trPr/>
        <w:tc>
          <w:tcPr>
            <w:tcW w:w="209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1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Former Public Company Boards:</w:t>
            </w:r>
          </w:p>
          <w:p>
            <w:pPr>
              <w:pStyle w:val="TableContents"/>
              <w:bidi w:val="0"/>
              <w:spacing w:before="120" w:after="283"/>
              <w:ind w:left="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Mylan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(2019 - the closing of the Combination in 2020), Director and most recently member of the Audit and Finance Committees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636466"/>
                <w:sz w:val="16"/>
              </w:rPr>
              <w:t xml:space="preserve">Funds/Business Development Companies in the </w:t>
            </w:r>
            <w:r>
              <w:rPr>
                <w:rFonts w:ascii="Arial;Helvetica;sans-serif" w:hAnsi="Arial;Helvetica;sans-serif"/>
                <w:b/>
                <w:color w:val="636466"/>
                <w:sz w:val="16"/>
              </w:rPr>
              <w:t xml:space="preserve">Goldman Sachs Fund Complex </w:t>
            </w:r>
            <w:r>
              <w:rPr>
                <w:rFonts w:ascii="Arial;Helvetica;sans-serif" w:hAnsi="Arial;Helvetica;sans-serif"/>
                <w:b w:val="false"/>
                <w:color w:val="636466"/>
                <w:sz w:val="16"/>
              </w:rPr>
              <w:t>(Goldman Sachs Middle Market Lending Corp. (2016 - 2020 when it merged with GSBDC), Director, most recently Chair of the Audit Committee and member of Compliance, Governance and Nominating, and Contract Review Committees and Goldman Sachs Middle Market Lending Corp. II (2020 - 2025 when it merged with Goldman Sachs Private Credit Corp), Director, Chair of the Audit Committee and member of the Compliance, Governance and Nominating, and Contract Review Committees)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Katy Industries, Inc</w:t>
            </w:r>
            <w:r>
              <w:rPr>
                <w:rFonts w:ascii="Arial;Helvetica;sans-serif" w:hAnsi="Arial;Helvetica;sans-serif"/>
                <w:b w:val="false"/>
                <w:color w:val="636466"/>
                <w:sz w:val="16"/>
              </w:rPr>
              <w:t xml:space="preserve">.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(2015 - 2016), Chairman and most recently member of the Audit Committee</w:t>
            </w:r>
          </w:p>
        </w:tc>
      </w:tr>
      <w:tr>
        <w:trPr/>
        <w:tc>
          <w:tcPr>
            <w:tcW w:w="209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1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Former Private Company Boards:</w:t>
            </w:r>
          </w:p>
          <w:p>
            <w:pPr>
              <w:pStyle w:val="TableContents"/>
              <w:bidi w:val="0"/>
              <w:spacing w:before="120" w:after="283"/>
              <w:ind w:left="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Northwestern Memorial Healthcare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(2014 - 2015), Director and member of the Executive and Nominating and Governance Committees</w:t>
            </w:r>
          </w:p>
          <w:p>
            <w:pPr>
              <w:pStyle w:val="TableContents"/>
              <w:bidi w:val="0"/>
              <w:spacing w:before="120" w:after="283"/>
              <w:ind w:left="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Cadence Health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(1993 - 2014 when it merged with Northwestern), Director</w:t>
            </w:r>
          </w:p>
        </w:tc>
      </w:tr>
      <w:tr>
        <w:trPr/>
        <w:tc>
          <w:tcPr>
            <w:tcW w:w="209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710" w:type="dxa"/>
            <w:tcBorders/>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Other Organizations: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636466"/>
                <w:sz w:val="16"/>
              </w:rPr>
              <w:t xml:space="preserve">Director and Chair of the Finance Committee, </w:t>
            </w:r>
            <w:r>
              <w:rPr>
                <w:rFonts w:ascii="Arial;Helvetica;sans-serif" w:hAnsi="Arial;Helvetica;sans-serif"/>
                <w:b/>
                <w:color w:val="636466"/>
                <w:sz w:val="16"/>
              </w:rPr>
              <w:t xml:space="preserve">Home Centered Care Institute, </w:t>
            </w:r>
            <w:r>
              <w:rPr>
                <w:rFonts w:ascii="Arial;Helvetica;sans-serif" w:hAnsi="Arial;Helvetica;sans-serif"/>
                <w:b w:val="false"/>
                <w:color w:val="636466"/>
                <w:sz w:val="16"/>
              </w:rPr>
              <w:t>a not-for-profit corporation, which promotes access to home-based primary care for medically complex patients who are either homebound or home-limited</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636466"/>
                <w:sz w:val="16"/>
              </w:rPr>
              <w:t xml:space="preserve">Former Director, </w:t>
            </w:r>
            <w:r>
              <w:rPr>
                <w:rFonts w:ascii="Arial;Helvetica;sans-serif" w:hAnsi="Arial;Helvetica;sans-serif"/>
                <w:b/>
                <w:color w:val="636466"/>
                <w:sz w:val="16"/>
              </w:rPr>
              <w:t xml:space="preserve">Almost Home Kids, </w:t>
            </w:r>
            <w:r>
              <w:rPr>
                <w:rFonts w:ascii="Arial;Helvetica;sans-serif" w:hAnsi="Arial;Helvetica;sans-serif"/>
                <w:b w:val="false"/>
                <w:color w:val="636466"/>
                <w:sz w:val="16"/>
              </w:rPr>
              <w:t>a not-for-profit corporation affiliated with Lurie Children’s Hospital of Chicago, a provider of transitional care to children with complicated health needs, training for their families, and respite care</w:t>
            </w:r>
          </w:p>
        </w:tc>
      </w:tr>
      <w:tr>
        <w:trPr/>
        <w:tc>
          <w:tcPr>
            <w:tcW w:w="209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10" w:type="dxa"/>
            <w:tcBorders/>
            <w:vAlign w:val="center"/>
          </w:tcPr>
          <w:p>
            <w:pPr>
              <w:pStyle w:val="TableContents"/>
              <w:bidi w:val="0"/>
              <w:spacing w:before="0" w:after="0"/>
              <w:jc w:val="left"/>
              <w:rPr/>
            </w:pPr>
            <w:r>
              <w:rPr/>
              <w:t> </w:t>
            </w:r>
          </w:p>
        </w:tc>
      </w:tr>
    </w:tbl>
    <w:tbl>
      <w:tblPr>
        <w:tblW w:w="9145" w:type="dxa"/>
        <w:jc w:val="left"/>
        <w:tblInd w:w="1060" w:type="dxa"/>
        <w:tblLayout w:type="fixed"/>
        <w:tblCellMar>
          <w:top w:w="0" w:type="dxa"/>
          <w:left w:w="0" w:type="dxa"/>
          <w:bottom w:w="0" w:type="dxa"/>
          <w:right w:w="0" w:type="dxa"/>
        </w:tblCellMar>
      </w:tblPr>
      <w:tblGrid>
        <w:gridCol w:w="110"/>
        <w:gridCol w:w="9035"/>
      </w:tblGrid>
      <w:tr>
        <w:trPr/>
        <w:tc>
          <w:tcPr>
            <w:tcW w:w="11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w:t>
            </w:r>
          </w:p>
        </w:tc>
        <w:tc>
          <w:tcPr>
            <w:tcW w:w="903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The Board has, in accordance with its Corporate Governance Principles, approved Mr. Mark’s concurrent service on the Audit Committee and the audit committees of more than two other public companies and determined that such service does not impair his ability to effectively serve on the Audit Committee, particularly given that all of the other audit committees Mr. Mark serves on are part of the Goldman Sachs Fund Complex.</w:t>
            </w:r>
          </w:p>
        </w:tc>
      </w:tr>
    </w:tbl>
    <w:tbl>
      <w:tblPr>
        <w:tblW w:w="4980" w:type="dxa"/>
        <w:jc w:val="left"/>
        <w:tblInd w:w="106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89"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70" descr=""/>
                          <pic:cNvPicPr>
                            <a:picLocks noChangeAspect="1" noChangeArrowheads="1"/>
                          </pic:cNvPicPr>
                        </pic:nvPicPr>
                        <pic:blipFill>
                          <a:blip r:embed="rId80"/>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Statement | 17</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90"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1" descr=""/>
                    <pic:cNvPicPr>
                      <a:picLocks noChangeAspect="1" noChangeArrowheads="1"/>
                    </pic:cNvPicPr>
                  </pic:nvPicPr>
                  <pic:blipFill>
                    <a:blip r:embed="rId81"/>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46" w:name="ny20055082x771_def14a_106-directors_pg13"/>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lef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tbl>
      <w:tblPr>
        <w:tblW w:w="9145" w:type="dxa"/>
        <w:jc w:val="left"/>
        <w:tblInd w:w="1060" w:type="dxa"/>
        <w:tblLayout w:type="fixed"/>
        <w:tblCellMar>
          <w:top w:w="0" w:type="dxa"/>
          <w:left w:w="0" w:type="dxa"/>
          <w:bottom w:w="0" w:type="dxa"/>
          <w:right w:w="0" w:type="dxa"/>
        </w:tblCellMar>
      </w:tblPr>
      <w:tblGrid>
        <w:gridCol w:w="2262"/>
        <w:gridCol w:w="170"/>
        <w:gridCol w:w="170"/>
        <w:gridCol w:w="6543"/>
      </w:tblGrid>
      <w:tr>
        <w:trPr/>
        <w:tc>
          <w:tcPr>
            <w:tcW w:w="2262"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43" w:type="dxa"/>
            <w:tcBorders/>
            <w:vAlign w:val="center"/>
          </w:tcPr>
          <w:p>
            <w:pPr>
              <w:pStyle w:val="TableContents"/>
              <w:bidi w:val="0"/>
              <w:spacing w:before="0" w:after="0"/>
              <w:jc w:val="left"/>
              <w:rPr/>
            </w:pPr>
            <w:r>
              <w:rPr/>
              <w:t> </w:t>
            </w:r>
          </w:p>
        </w:tc>
      </w:tr>
      <w:tr>
        <w:trPr/>
        <w:tc>
          <w:tcPr>
            <w:tcW w:w="2262" w:type="dxa"/>
            <w:vMerge w:val="restart"/>
            <w:tcBorders/>
            <w:vAlign w:val="center"/>
          </w:tcPr>
          <w:p>
            <w:pPr>
              <w:pStyle w:val="TableContents"/>
              <w:bidi w:val="0"/>
              <w:spacing w:before="0" w:after="283"/>
              <w:jc w:val="center"/>
              <w:rPr>
                <w:color w:val="636466"/>
              </w:rPr>
            </w:pPr>
            <w:r>
              <w:rPr>
                <w:color w:val="636466"/>
              </w:rPr>
              <w:drawing>
                <wp:inline distT="0" distB="0" distL="0" distR="0">
                  <wp:extent cx="1181100" cy="1181100"/>
                  <wp:effectExtent l="0" t="0" r="0" b="0"/>
                  <wp:docPr id="91"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72" descr=""/>
                          <pic:cNvPicPr>
                            <a:picLocks noChangeAspect="1" noChangeArrowheads="1"/>
                          </pic:cNvPicPr>
                        </pic:nvPicPr>
                        <pic:blipFill>
                          <a:blip r:embed="rId82"/>
                          <a:stretch>
                            <a:fillRect/>
                          </a:stretch>
                        </pic:blipFill>
                        <pic:spPr bwMode="auto">
                          <a:xfrm>
                            <a:off x="0" y="0"/>
                            <a:ext cx="1181100" cy="1181100"/>
                          </a:xfrm>
                          <a:prstGeom prst="rect">
                            <a:avLst/>
                          </a:prstGeom>
                        </pic:spPr>
                      </pic:pic>
                    </a:graphicData>
                  </a:graphic>
                </wp:inline>
              </w:drawing>
            </w:r>
          </w:p>
          <w:p>
            <w:pPr>
              <w:pStyle w:val="TableContents"/>
              <w:bidi w:val="0"/>
              <w:spacing w:before="0" w:after="283"/>
              <w:ind w:left="0" w:right="0" w:hanging="0"/>
              <w:jc w:val="left"/>
              <w:rPr>
                <w:color w:val="636466"/>
              </w:rPr>
            </w:pPr>
            <w:r>
              <w:rPr>
                <w:color w:val="636466"/>
              </w:rPr>
              <w:t> </w:t>
            </w:r>
          </w:p>
          <w:p>
            <w:pPr>
              <w:pStyle w:val="TableContents"/>
              <w:bidi w:val="0"/>
              <w:spacing w:before="180" w:after="283"/>
              <w:ind w:left="0" w:right="0" w:hanging="0"/>
              <w:jc w:val="left"/>
              <w:rPr>
                <w:rFonts w:ascii="Arial;Helvetica;sans-serif" w:hAnsi="Arial;Helvetica;sans-serif"/>
                <w:color w:val="636466"/>
                <w:sz w:val="16"/>
              </w:rPr>
            </w:pPr>
            <w:r>
              <w:rPr>
                <w:rFonts w:ascii="Arial;Helvetica;sans-serif" w:hAnsi="Arial;Helvetica;sans-serif"/>
                <w:b/>
                <w:color w:val="1F1C6B"/>
                <w:sz w:val="16"/>
              </w:rPr>
              <w:t xml:space="preserve">Age: </w:t>
            </w:r>
            <w:r>
              <w:rPr>
                <w:rFonts w:ascii="Arial;Helvetica;sans-serif" w:hAnsi="Arial;Helvetica;sans-serif"/>
                <w:color w:val="636466"/>
                <w:sz w:val="16"/>
              </w:rPr>
              <w:t xml:space="preserve">70 </w:t>
            </w:r>
          </w:p>
          <w:p>
            <w:pPr>
              <w:pStyle w:val="TableContents"/>
              <w:bidi w:val="0"/>
              <w:spacing w:before="180" w:after="283"/>
              <w:ind w:left="0" w:right="0" w:hanging="0"/>
              <w:jc w:val="left"/>
              <w:rPr>
                <w:rFonts w:ascii="Arial;Helvetica;sans-serif" w:hAnsi="Arial;Helvetica;sans-serif"/>
                <w:color w:val="636466"/>
                <w:sz w:val="16"/>
              </w:rPr>
            </w:pPr>
            <w:r>
              <w:rPr>
                <w:rFonts w:ascii="Arial;Helvetica;sans-serif" w:hAnsi="Arial;Helvetica;sans-serif"/>
                <w:b/>
                <w:color w:val="1F1C6B"/>
                <w:sz w:val="16"/>
              </w:rPr>
              <w:t>Director since</w:t>
            </w:r>
            <w:r>
              <w:rPr>
                <w:rFonts w:ascii="Arial;Helvetica;sans-serif" w:hAnsi="Arial;Helvetica;sans-serif"/>
                <w:color w:val="636466"/>
                <w:sz w:val="16"/>
              </w:rPr>
              <w:t xml:space="preserve"> 2020</w:t>
            </w:r>
          </w:p>
          <w:p>
            <w:pPr>
              <w:pStyle w:val="TableContents"/>
              <w:bidi w:val="0"/>
              <w:spacing w:before="18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Vice Chair of the Board and Independent Director</w:t>
            </w:r>
          </w:p>
          <w:p>
            <w:pPr>
              <w:pStyle w:val="TableContents"/>
              <w:bidi w:val="0"/>
              <w:spacing w:before="18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Board Committees:</w:t>
            </w:r>
          </w:p>
          <w:p>
            <w:pPr>
              <w:pStyle w:val="TableContents"/>
              <w:bidi w:val="0"/>
              <w:spacing w:before="60" w:after="283"/>
              <w:ind w:left="0" w:right="0" w:hanging="0"/>
              <w:jc w:val="left"/>
              <w:rPr>
                <w:rFonts w:ascii="Arial;Helvetica;sans-serif" w:hAnsi="Arial;Helvetica;sans-serif"/>
                <w:color w:val="636466"/>
                <w:sz w:val="16"/>
              </w:rPr>
            </w:pPr>
            <w:r>
              <w:rPr>
                <w:rFonts w:ascii="Arial;Helvetica;sans-serif" w:hAnsi="Arial;Helvetica;sans-serif"/>
                <w:color w:val="636466"/>
                <w:sz w:val="16"/>
              </w:rPr>
              <w:t>Compliance and Risk Oversight (Chair)</w:t>
            </w:r>
          </w:p>
          <w:p>
            <w:pPr>
              <w:pStyle w:val="TableContents"/>
              <w:bidi w:val="0"/>
              <w:spacing w:before="60" w:after="283"/>
              <w:ind w:left="0" w:right="0" w:hanging="0"/>
              <w:jc w:val="left"/>
              <w:rPr>
                <w:rFonts w:ascii="Arial;Helvetica;sans-serif" w:hAnsi="Arial;Helvetica;sans-serif"/>
                <w:color w:val="636466"/>
                <w:sz w:val="16"/>
              </w:rPr>
            </w:pPr>
            <w:r>
              <w:rPr>
                <w:rFonts w:ascii="Arial;Helvetica;sans-serif" w:hAnsi="Arial;Helvetica;sans-serif"/>
                <w:color w:val="636466"/>
                <w:sz w:val="16"/>
              </w:rPr>
              <w:t>Executive</w:t>
            </w:r>
          </w:p>
          <w:p>
            <w:pPr>
              <w:pStyle w:val="TableContents"/>
              <w:bidi w:val="0"/>
              <w:spacing w:before="60" w:after="283"/>
              <w:ind w:left="0" w:right="0" w:hanging="0"/>
              <w:jc w:val="left"/>
              <w:rPr>
                <w:rFonts w:ascii="Arial;Helvetica;sans-serif" w:hAnsi="Arial;Helvetica;sans-serif"/>
                <w:color w:val="636466"/>
                <w:sz w:val="16"/>
              </w:rPr>
            </w:pPr>
            <w:r>
              <w:rPr>
                <w:rFonts w:ascii="Arial;Helvetica;sans-serif" w:hAnsi="Arial;Helvetica;sans-serif"/>
                <w:color w:val="636466"/>
                <w:sz w:val="16"/>
              </w:rPr>
              <w:t>Governance and Sustainability</w:t>
            </w:r>
          </w:p>
          <w:p>
            <w:pPr>
              <w:pStyle w:val="TableContents"/>
              <w:bidi w:val="0"/>
              <w:spacing w:before="60" w:after="283"/>
              <w:ind w:left="0" w:right="0" w:hanging="0"/>
              <w:jc w:val="left"/>
              <w:rPr>
                <w:rFonts w:ascii="Arial;Helvetica;sans-serif" w:hAnsi="Arial;Helvetica;sans-serif"/>
                <w:color w:val="636466"/>
                <w:sz w:val="16"/>
              </w:rPr>
            </w:pPr>
            <w:r>
              <w:rPr>
                <w:rFonts w:ascii="Arial;Helvetica;sans-serif" w:hAnsi="Arial;Helvetica;sans-serif"/>
                <w:color w:val="636466"/>
                <w:sz w:val="16"/>
              </w:rPr>
              <w:t>Science and Technology</w:t>
            </w:r>
          </w:p>
        </w:tc>
        <w:tc>
          <w:tcPr>
            <w:tcW w:w="170" w:type="dxa"/>
            <w:vMerge w:val="restart"/>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43" w:type="dxa"/>
            <w:tcBorders/>
            <w:vAlign w:val="center"/>
          </w:tcPr>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t>Mark Parrish</w:t>
            </w:r>
            <w:r>
              <w:rPr>
                <w:rFonts w:ascii="Arial;Helvetica;sans-serif" w:hAnsi="Arial;Helvetica;sans-serif"/>
                <w:b/>
                <w:color w:val="636466"/>
                <w:sz w:val="26"/>
              </w:rPr>
              <w:t> </w:t>
            </w:r>
          </w:p>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r>
          </w:p>
        </w:tc>
      </w:tr>
      <w:tr>
        <w:trPr/>
        <w:tc>
          <w:tcPr>
            <w:tcW w:w="2262"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43"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Senior Advisor, </w:t>
            </w:r>
            <w:r>
              <w:rPr>
                <w:rFonts w:ascii="Arial;Helvetica;sans-serif" w:hAnsi="Arial;Helvetica;sans-serif"/>
                <w:b/>
                <w:color w:val="636466"/>
                <w:sz w:val="16"/>
              </w:rPr>
              <w:t>Frazier Healthcare Ventures</w:t>
            </w:r>
            <w:r>
              <w:rPr>
                <w:rFonts w:ascii="Arial;Helvetica;sans-serif" w:hAnsi="Arial;Helvetica;sans-serif"/>
                <w:color w:val="636466"/>
                <w:sz w:val="16"/>
              </w:rPr>
              <w:t>, a healthcare-oriented growth equity firm</w:t>
            </w:r>
          </w:p>
          <w:p>
            <w:pPr>
              <w:pStyle w:val="TableContents"/>
              <w:bidi w:val="0"/>
              <w:spacing w:before="12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Executive Chairman (2018 - 2019), Chief Executive Officer (2008 - 2018), Executive Chairman (2008 - 2013), </w:t>
            </w:r>
            <w:r>
              <w:rPr>
                <w:rFonts w:ascii="Arial;Helvetica;sans-serif" w:hAnsi="Arial;Helvetica;sans-serif"/>
                <w:b/>
                <w:color w:val="636466"/>
                <w:sz w:val="16"/>
              </w:rPr>
              <w:t>TridentUSA Health Services</w:t>
            </w:r>
            <w:r>
              <w:rPr>
                <w:rFonts w:ascii="Arial;Helvetica;sans-serif" w:hAnsi="Arial;Helvetica;sans-serif"/>
                <w:color w:val="636466"/>
                <w:sz w:val="16"/>
              </w:rPr>
              <w:t>, a provider of mobile X-ray and laboratory services to the long-term care industry. In February 2019, TridentUSA filed for protection under Chapter 11 of the U.S. Bankruptcy Code and emerged from bankruptcy in September 2019</w:t>
            </w:r>
          </w:p>
          <w:p>
            <w:pPr>
              <w:pStyle w:val="TableContents"/>
              <w:bidi w:val="0"/>
              <w:spacing w:before="12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Held management roles of increasing responsibility (1993 - 2007) including Chief Executive Officer, Healthcare Supply Chain Services (2006 - 2007), </w:t>
            </w:r>
            <w:r>
              <w:rPr>
                <w:rFonts w:ascii="Arial;Helvetica;sans-serif" w:hAnsi="Arial;Helvetica;sans-serif"/>
                <w:b/>
                <w:color w:val="636466"/>
                <w:sz w:val="16"/>
              </w:rPr>
              <w:t>Cardinal Health Inc.</w:t>
            </w:r>
            <w:r>
              <w:rPr>
                <w:rFonts w:ascii="Arial;Helvetica;sans-serif" w:hAnsi="Arial;Helvetica;sans-serif"/>
                <w:color w:val="636466"/>
                <w:sz w:val="16"/>
              </w:rPr>
              <w:t xml:space="preserve"> and its affiliates</w:t>
            </w:r>
          </w:p>
        </w:tc>
      </w:tr>
      <w:tr>
        <w:trPr/>
        <w:tc>
          <w:tcPr>
            <w:tcW w:w="2262"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43"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Key Skills and Experience:</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CEO and Public Company Management, Corporate Governance, Finance, Accounting, and Capital Markets, Healthcare Industry, Risk Oversight/Compliance, </w:t>
            </w:r>
            <w:r>
              <w:rPr>
                <w:rFonts w:ascii="Arial;Helvetica;sans-serif" w:hAnsi="Arial;Helvetica;sans-serif"/>
                <w:b w:val="false"/>
                <w:color w:val="636466"/>
                <w:sz w:val="16"/>
              </w:rPr>
              <w:t xml:space="preserve">and </w:t>
            </w:r>
            <w:r>
              <w:rPr>
                <w:rFonts w:ascii="Arial;Helvetica;sans-serif" w:hAnsi="Arial;Helvetica;sans-serif"/>
                <w:b/>
                <w:color w:val="636466"/>
                <w:sz w:val="16"/>
              </w:rPr>
              <w:t xml:space="preserve">Strategy and M&amp;A Experience </w:t>
            </w:r>
            <w:r>
              <w:rPr>
                <w:rFonts w:ascii="Arial;Helvetica;sans-serif" w:hAnsi="Arial;Helvetica;sans-serif"/>
                <w:b w:val="false"/>
                <w:color w:val="636466"/>
                <w:sz w:val="16"/>
              </w:rPr>
              <w:t>obtained over his many years in leadership positions in the healthcare industry, where he gained extensive expertise in managing governmental oversight, as well as experience in business restructuring and M&amp;A</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CS Experience </w:t>
            </w:r>
            <w:r>
              <w:rPr>
                <w:rFonts w:ascii="Arial;Helvetica;sans-serif" w:hAnsi="Arial;Helvetica;sans-serif"/>
                <w:b w:val="false"/>
                <w:color w:val="636466"/>
                <w:sz w:val="16"/>
              </w:rPr>
              <w:t>obtained through his public company and executive experience and his work in the heavily regulated healthcare industry</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636466"/>
                <w:sz w:val="16"/>
              </w:rPr>
              <w:t xml:space="preserve">Mr. Parrish also brings </w:t>
            </w:r>
            <w:r>
              <w:rPr>
                <w:rFonts w:ascii="Arial;Helvetica;sans-serif" w:hAnsi="Arial;Helvetica;sans-serif"/>
                <w:b/>
                <w:color w:val="636466"/>
                <w:sz w:val="16"/>
              </w:rPr>
              <w:t>Global Business</w:t>
            </w:r>
            <w:r>
              <w:rPr>
                <w:rFonts w:ascii="Arial;Helvetica;sans-serif" w:hAnsi="Arial;Helvetica;sans-serif"/>
                <w:b w:val="false"/>
                <w:color w:val="636466"/>
                <w:sz w:val="16"/>
              </w:rPr>
              <w:t xml:space="preserve">, </w:t>
            </w:r>
            <w:r>
              <w:rPr>
                <w:rFonts w:ascii="Arial;Helvetica;sans-serif" w:hAnsi="Arial;Helvetica;sans-serif"/>
                <w:b/>
                <w:color w:val="636466"/>
                <w:sz w:val="16"/>
              </w:rPr>
              <w:t xml:space="preserve">Human Capital Management, </w:t>
            </w:r>
            <w:r>
              <w:rPr>
                <w:rFonts w:ascii="Arial;Helvetica;sans-serif" w:hAnsi="Arial;Helvetica;sans-serif"/>
                <w:b w:val="false"/>
                <w:color w:val="636466"/>
                <w:sz w:val="16"/>
              </w:rPr>
              <w:t xml:space="preserve">and </w:t>
            </w:r>
            <w:r>
              <w:rPr>
                <w:rFonts w:ascii="Arial;Helvetica;sans-serif" w:hAnsi="Arial;Helvetica;sans-serif"/>
                <w:b/>
                <w:color w:val="636466"/>
                <w:sz w:val="16"/>
              </w:rPr>
              <w:t xml:space="preserve">Information Security Experience </w:t>
            </w:r>
            <w:r>
              <w:rPr>
                <w:rFonts w:ascii="Arial;Helvetica;sans-serif" w:hAnsi="Arial;Helvetica;sans-serif"/>
                <w:b w:val="false"/>
                <w:color w:val="636466"/>
                <w:sz w:val="16"/>
              </w:rPr>
              <w:t>to the Board</w:t>
            </w:r>
          </w:p>
        </w:tc>
      </w:tr>
      <w:tr>
        <w:trPr/>
        <w:tc>
          <w:tcPr>
            <w:tcW w:w="2262"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43"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Other Current Public Company Boards: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Omnicell, Inc. </w:t>
            </w:r>
            <w:r>
              <w:rPr>
                <w:rFonts w:ascii="Arial;Helvetica;sans-serif" w:hAnsi="Arial;Helvetica;sans-serif"/>
                <w:b w:val="false"/>
                <w:color w:val="636466"/>
                <w:sz w:val="16"/>
              </w:rPr>
              <w:t>(NASDAQ: OMCL) (since 2013), Director, and member of the Audit and Compensation Committees</w:t>
            </w:r>
          </w:p>
        </w:tc>
      </w:tr>
      <w:tr>
        <w:trPr/>
        <w:tc>
          <w:tcPr>
            <w:tcW w:w="2262"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43"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Current Private Company Boards: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Safecor Health, LLC </w:t>
            </w:r>
            <w:r>
              <w:rPr>
                <w:rFonts w:ascii="Arial;Helvetica;sans-serif" w:hAnsi="Arial;Helvetica;sans-serif"/>
                <w:b w:val="false"/>
                <w:color w:val="636466"/>
                <w:sz w:val="16"/>
              </w:rPr>
              <w:t>(since 2022), a private limited liability company that provides unit dose drug packaging services to hospitals and long-term care facilities, non-executive Chair</w:t>
            </w:r>
          </w:p>
        </w:tc>
      </w:tr>
      <w:tr>
        <w:trPr/>
        <w:tc>
          <w:tcPr>
            <w:tcW w:w="2262"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43"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Former Public Company Boards:</w:t>
            </w:r>
          </w:p>
          <w:p>
            <w:pPr>
              <w:pStyle w:val="TableContents"/>
              <w:bidi w:val="0"/>
              <w:spacing w:before="120" w:after="283"/>
              <w:ind w:left="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Mylan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(2009 - the closing of the Combination in 2020), most recently Lead Independent Director and Vice Chairman, Chair of the Compliance Committee and member of the Audit, Executive, Governance and Nominating, and Risk Oversight Committees</w:t>
            </w:r>
          </w:p>
        </w:tc>
      </w:tr>
      <w:tr>
        <w:trPr/>
        <w:tc>
          <w:tcPr>
            <w:tcW w:w="2262"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43"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Former Private Company Boards:</w:t>
            </w:r>
          </w:p>
          <w:p>
            <w:pPr>
              <w:pStyle w:val="TableContents"/>
              <w:bidi w:val="0"/>
              <w:spacing w:before="120" w:after="283"/>
              <w:ind w:left="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Comprehensive Pharmacy Services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(2019 - 2023), a private company that specializes in the outsourcing of hospital pharmacies, Director</w:t>
            </w:r>
          </w:p>
          <w:p>
            <w:pPr>
              <w:pStyle w:val="TableContents"/>
              <w:bidi w:val="0"/>
              <w:spacing w:before="120" w:after="283"/>
              <w:ind w:left="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Golden State Medical Supply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(2014 - 2019 when it was acquired by Court Square), a private company that specializes in meeting unique labeling and sizing needs and pharmaceutical packaging, serialization, and distribution, Director</w:t>
            </w:r>
          </w:p>
          <w:p>
            <w:pPr>
              <w:pStyle w:val="TableContents"/>
              <w:bidi w:val="0"/>
              <w:spacing w:before="120" w:after="283"/>
              <w:ind w:left="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Silvergate Pharmaceuticals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(2013 - 2019), a private company that develops and commercializes pediatric medications, Director</w:t>
            </w:r>
          </w:p>
        </w:tc>
      </w:tr>
      <w:tr>
        <w:trPr/>
        <w:tc>
          <w:tcPr>
            <w:tcW w:w="2262"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543" w:type="dxa"/>
            <w:tcBorders/>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Other Organizations: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636466"/>
                <w:sz w:val="16"/>
              </w:rPr>
              <w:t xml:space="preserve">President and Chief Executive Officer (2008-2025), </w:t>
            </w:r>
            <w:r>
              <w:rPr>
                <w:rFonts w:ascii="Arial;Helvetica;sans-serif" w:hAnsi="Arial;Helvetica;sans-serif"/>
                <w:b/>
                <w:color w:val="636466"/>
                <w:sz w:val="16"/>
              </w:rPr>
              <w:t xml:space="preserve">International Federation of Pharmaceutical Wholesalers, </w:t>
            </w:r>
            <w:r>
              <w:rPr>
                <w:rFonts w:ascii="Arial;Helvetica;sans-serif" w:hAnsi="Arial;Helvetica;sans-serif"/>
                <w:b w:val="false"/>
                <w:color w:val="636466"/>
                <w:sz w:val="16"/>
              </w:rPr>
              <w:t>an association of pharmaceutical wholesalers and pharmaceutical supply chain service companies</w:t>
            </w:r>
          </w:p>
        </w:tc>
      </w:tr>
      <w:tr>
        <w:trPr/>
        <w:tc>
          <w:tcPr>
            <w:tcW w:w="2262"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43" w:type="dxa"/>
            <w:tcBorders/>
            <w:vAlign w:val="center"/>
          </w:tcPr>
          <w:p>
            <w:pPr>
              <w:pStyle w:val="TableContents"/>
              <w:bidi w:val="0"/>
              <w:spacing w:before="0" w:after="0"/>
              <w:jc w:val="left"/>
              <w:rPr/>
            </w:pPr>
            <w:r>
              <w:rPr/>
              <w:t> </w:t>
            </w:r>
          </w:p>
        </w:tc>
      </w:tr>
    </w:tbl>
    <w:tbl>
      <w:tblPr>
        <w:tblW w:w="4980" w:type="dxa"/>
        <w:jc w:val="left"/>
        <w:tblInd w:w="106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18 | 2025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92"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73" descr=""/>
                          <pic:cNvPicPr>
                            <a:picLocks noChangeAspect="1" noChangeArrowheads="1"/>
                          </pic:cNvPicPr>
                        </pic:nvPicPr>
                        <pic:blipFill>
                          <a:blip r:embed="rId83"/>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93"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74" descr=""/>
                    <pic:cNvPicPr>
                      <a:picLocks noChangeAspect="1" noChangeArrowheads="1"/>
                    </pic:cNvPicPr>
                  </pic:nvPicPr>
                  <pic:blipFill>
                    <a:blip r:embed="rId84"/>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47" w:name="ny20055082x771_def14a_106-directors_pg14"/>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righ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tbl>
      <w:tblPr>
        <w:tblW w:w="9145" w:type="dxa"/>
        <w:jc w:val="left"/>
        <w:tblInd w:w="1060" w:type="dxa"/>
        <w:tblLayout w:type="fixed"/>
        <w:tblCellMar>
          <w:top w:w="0" w:type="dxa"/>
          <w:left w:w="0" w:type="dxa"/>
          <w:bottom w:w="0" w:type="dxa"/>
          <w:right w:w="0" w:type="dxa"/>
        </w:tblCellMar>
      </w:tblPr>
      <w:tblGrid>
        <w:gridCol w:w="1905"/>
        <w:gridCol w:w="170"/>
        <w:gridCol w:w="170"/>
        <w:gridCol w:w="6900"/>
      </w:tblGrid>
      <w:tr>
        <w:trPr/>
        <w:tc>
          <w:tcPr>
            <w:tcW w:w="1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0" w:type="dxa"/>
            <w:tcBorders/>
            <w:vAlign w:val="center"/>
          </w:tcPr>
          <w:p>
            <w:pPr>
              <w:pStyle w:val="TableContents"/>
              <w:bidi w:val="0"/>
              <w:spacing w:before="0" w:after="0"/>
              <w:jc w:val="left"/>
              <w:rPr/>
            </w:pPr>
            <w:r>
              <w:rPr/>
              <w:t> </w:t>
            </w:r>
          </w:p>
        </w:tc>
      </w:tr>
      <w:tr>
        <w:trPr/>
        <w:tc>
          <w:tcPr>
            <w:tcW w:w="1905" w:type="dxa"/>
            <w:vMerge w:val="restart"/>
            <w:tcBorders/>
            <w:vAlign w:val="center"/>
          </w:tcPr>
          <w:p>
            <w:pPr>
              <w:pStyle w:val="TableContents"/>
              <w:bidi w:val="0"/>
              <w:spacing w:before="0" w:after="283"/>
              <w:jc w:val="center"/>
              <w:rPr>
                <w:color w:val="636466"/>
              </w:rPr>
            </w:pPr>
            <w:r>
              <w:rPr>
                <w:color w:val="636466"/>
              </w:rPr>
              <w:drawing>
                <wp:inline distT="0" distB="0" distL="0" distR="0">
                  <wp:extent cx="1181100" cy="1181100"/>
                  <wp:effectExtent l="0" t="0" r="0" b="0"/>
                  <wp:docPr id="94"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75" descr=""/>
                          <pic:cNvPicPr>
                            <a:picLocks noChangeAspect="1" noChangeArrowheads="1"/>
                          </pic:cNvPicPr>
                        </pic:nvPicPr>
                        <pic:blipFill>
                          <a:blip r:embed="rId85"/>
                          <a:stretch>
                            <a:fillRect/>
                          </a:stretch>
                        </pic:blipFill>
                        <pic:spPr bwMode="auto">
                          <a:xfrm>
                            <a:off x="0" y="0"/>
                            <a:ext cx="1181100" cy="1181100"/>
                          </a:xfrm>
                          <a:prstGeom prst="rect">
                            <a:avLst/>
                          </a:prstGeom>
                        </pic:spPr>
                      </pic:pic>
                    </a:graphicData>
                  </a:graphic>
                </wp:inline>
              </w:drawing>
            </w:r>
          </w:p>
          <w:p>
            <w:pPr>
              <w:pStyle w:val="TableContents"/>
              <w:bidi w:val="0"/>
              <w:spacing w:before="0" w:after="283"/>
              <w:ind w:left="0" w:right="0" w:hanging="0"/>
              <w:jc w:val="left"/>
              <w:rPr>
                <w:color w:val="636466"/>
              </w:rPr>
            </w:pPr>
            <w:r>
              <w:rPr>
                <w:color w:val="636466"/>
              </w:rPr>
              <w:t> </w:t>
            </w:r>
          </w:p>
          <w:p>
            <w:pPr>
              <w:pStyle w:val="TableContents"/>
              <w:bidi w:val="0"/>
              <w:spacing w:before="180" w:after="283"/>
              <w:ind w:left="0" w:right="0" w:hanging="0"/>
              <w:jc w:val="left"/>
              <w:rPr>
                <w:rFonts w:ascii="Arial;Helvetica;sans-serif" w:hAnsi="Arial;Helvetica;sans-serif"/>
                <w:color w:val="636466"/>
                <w:sz w:val="16"/>
              </w:rPr>
            </w:pPr>
            <w:r>
              <w:rPr>
                <w:rFonts w:ascii="Arial;Helvetica;sans-serif" w:hAnsi="Arial;Helvetica;sans-serif"/>
                <w:b/>
                <w:color w:val="1F1C6B"/>
                <w:sz w:val="16"/>
              </w:rPr>
              <w:t xml:space="preserve">Age: </w:t>
            </w:r>
            <w:r>
              <w:rPr>
                <w:rFonts w:ascii="Arial;Helvetica;sans-serif" w:hAnsi="Arial;Helvetica;sans-serif"/>
                <w:color w:val="636466"/>
                <w:sz w:val="16"/>
              </w:rPr>
              <w:t xml:space="preserve">59 </w:t>
            </w:r>
          </w:p>
          <w:p>
            <w:pPr>
              <w:pStyle w:val="TableContents"/>
              <w:bidi w:val="0"/>
              <w:spacing w:before="180" w:after="283"/>
              <w:ind w:left="0" w:right="0" w:hanging="0"/>
              <w:jc w:val="left"/>
              <w:rPr>
                <w:rFonts w:ascii="Arial;Helvetica;sans-serif" w:hAnsi="Arial;Helvetica;sans-serif"/>
                <w:color w:val="636466"/>
                <w:sz w:val="16"/>
              </w:rPr>
            </w:pPr>
            <w:r>
              <w:rPr>
                <w:rFonts w:ascii="Arial;Helvetica;sans-serif" w:hAnsi="Arial;Helvetica;sans-serif"/>
                <w:b/>
                <w:color w:val="1F1C6B"/>
                <w:sz w:val="16"/>
              </w:rPr>
              <w:t xml:space="preserve">Director since </w:t>
            </w:r>
            <w:r>
              <w:rPr>
                <w:rFonts w:ascii="Arial;Helvetica;sans-serif" w:hAnsi="Arial;Helvetica;sans-serif"/>
                <w:color w:val="636466"/>
                <w:sz w:val="16"/>
              </w:rPr>
              <w:t>2025</w:t>
            </w:r>
          </w:p>
          <w:p>
            <w:pPr>
              <w:pStyle w:val="TableContents"/>
              <w:bidi w:val="0"/>
              <w:spacing w:before="18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Independent Director</w:t>
            </w:r>
          </w:p>
          <w:p>
            <w:pPr>
              <w:pStyle w:val="TableContents"/>
              <w:bidi w:val="0"/>
              <w:spacing w:before="18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Board Committees:</w:t>
            </w:r>
          </w:p>
          <w:p>
            <w:pPr>
              <w:pStyle w:val="TableContents"/>
              <w:bidi w:val="0"/>
              <w:spacing w:before="60" w:after="283"/>
              <w:ind w:left="0" w:right="0" w:hanging="0"/>
              <w:jc w:val="left"/>
              <w:rPr>
                <w:rFonts w:ascii="Arial;Helvetica;sans-serif" w:hAnsi="Arial;Helvetica;sans-serif"/>
                <w:color w:val="636466"/>
                <w:sz w:val="16"/>
              </w:rPr>
            </w:pPr>
            <w:r>
              <w:rPr>
                <w:rFonts w:ascii="Arial;Helvetica;sans-serif" w:hAnsi="Arial;Helvetica;sans-serif"/>
                <w:color w:val="636466"/>
                <w:sz w:val="16"/>
              </w:rPr>
              <w:t>Science and Technology</w:t>
            </w:r>
          </w:p>
        </w:tc>
        <w:tc>
          <w:tcPr>
            <w:tcW w:w="170" w:type="dxa"/>
            <w:vMerge w:val="restart"/>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0" w:type="dxa"/>
            <w:tcBorders/>
            <w:vAlign w:val="center"/>
          </w:tcPr>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t>Michael Severino, M.D.</w:t>
            </w:r>
            <w:r>
              <w:rPr>
                <w:rFonts w:ascii="Arial;Helvetica;sans-serif" w:hAnsi="Arial;Helvetica;sans-serif"/>
                <w:b/>
                <w:color w:val="636466"/>
                <w:sz w:val="26"/>
              </w:rPr>
              <w:t> </w:t>
            </w:r>
          </w:p>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0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Chief Executive Officer (since 2022), </w:t>
            </w:r>
            <w:r>
              <w:rPr>
                <w:rFonts w:ascii="Arial;Helvetica;sans-serif" w:hAnsi="Arial;Helvetica;sans-serif"/>
                <w:b/>
                <w:color w:val="636466"/>
                <w:sz w:val="16"/>
              </w:rPr>
              <w:t>Tessera Therapeutics, Inc.</w:t>
            </w:r>
            <w:r>
              <w:rPr>
                <w:rFonts w:ascii="Arial;Helvetica;sans-serif" w:hAnsi="Arial;Helvetica;sans-serif"/>
                <w:color w:val="636466"/>
                <w:sz w:val="16"/>
              </w:rPr>
              <w:t xml:space="preserve"> (“Tessera”), a private biotechnology company focused on genome engineering</w:t>
            </w:r>
          </w:p>
          <w:p>
            <w:pPr>
              <w:pStyle w:val="TableContents"/>
              <w:bidi w:val="0"/>
              <w:spacing w:before="12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CEO-Partner (since 2022), </w:t>
            </w:r>
            <w:r>
              <w:rPr>
                <w:rFonts w:ascii="Arial;Helvetica;sans-serif" w:hAnsi="Arial;Helvetica;sans-serif"/>
                <w:b/>
                <w:color w:val="636466"/>
                <w:sz w:val="16"/>
              </w:rPr>
              <w:t>Flagship Pioneering</w:t>
            </w:r>
            <w:r>
              <w:rPr>
                <w:rFonts w:ascii="Arial;Helvetica;sans-serif" w:hAnsi="Arial;Helvetica;sans-serif"/>
                <w:color w:val="636466"/>
                <w:sz w:val="16"/>
              </w:rPr>
              <w:t>, a life sciences venture capital company</w:t>
            </w:r>
          </w:p>
          <w:p>
            <w:pPr>
              <w:pStyle w:val="TableContents"/>
              <w:bidi w:val="0"/>
              <w:spacing w:before="12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Held management roles of increasing responsibility (2014 - 2022) including Vice Chairman and President, (2018 - 2022), </w:t>
            </w:r>
            <w:r>
              <w:rPr>
                <w:rFonts w:ascii="Arial;Helvetica;sans-serif" w:hAnsi="Arial;Helvetica;sans-serif"/>
                <w:b/>
                <w:color w:val="636466"/>
                <w:sz w:val="16"/>
              </w:rPr>
              <w:t>AbbVie Inc.</w:t>
            </w:r>
            <w:r>
              <w:rPr>
                <w:rFonts w:ascii="Arial;Helvetica;sans-serif" w:hAnsi="Arial;Helvetica;sans-serif"/>
                <w:color w:val="636466"/>
                <w:sz w:val="16"/>
              </w:rPr>
              <w:t xml:space="preserve"> (NYSE: ABBV), a pharmaceutical company </w:t>
            </w:r>
          </w:p>
          <w:p>
            <w:pPr>
              <w:pStyle w:val="TableContents"/>
              <w:bidi w:val="0"/>
              <w:spacing w:before="12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Held management roles of increasing responsibility (2004 - 2014) including Senior Vice President, Global Development, and Chief Medical Officer (2012 - 2014), </w:t>
            </w:r>
            <w:r>
              <w:rPr>
                <w:rFonts w:ascii="Arial;Helvetica;sans-serif" w:hAnsi="Arial;Helvetica;sans-serif"/>
                <w:b/>
                <w:color w:val="636466"/>
                <w:sz w:val="16"/>
              </w:rPr>
              <w:t>Amgen Inc.</w:t>
            </w:r>
            <w:r>
              <w:rPr>
                <w:rFonts w:ascii="Arial;Helvetica;sans-serif" w:hAnsi="Arial;Helvetica;sans-serif"/>
                <w:color w:val="636466"/>
                <w:sz w:val="16"/>
              </w:rPr>
              <w:t xml:space="preserve"> (Nasdaq: AMGN), a pharmaceutical company</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0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Key Skills and Experience:</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CEO and Public Company Management, Finance, Accounting, and Capital Markets, Global Business, </w:t>
            </w:r>
            <w:r>
              <w:rPr>
                <w:rFonts w:ascii="Arial;Helvetica;sans-serif" w:hAnsi="Arial;Helvetica;sans-serif"/>
                <w:b w:val="false"/>
                <w:color w:val="636466"/>
                <w:sz w:val="16"/>
              </w:rPr>
              <w:t xml:space="preserve">and </w:t>
            </w:r>
            <w:r>
              <w:rPr>
                <w:rFonts w:ascii="Arial;Helvetica;sans-serif" w:hAnsi="Arial;Helvetica;sans-serif"/>
                <w:b/>
                <w:color w:val="636466"/>
                <w:sz w:val="16"/>
              </w:rPr>
              <w:t xml:space="preserve">Strategy and M&amp;A Experience </w:t>
            </w:r>
            <w:r>
              <w:rPr>
                <w:rFonts w:ascii="Arial;Helvetica;sans-serif" w:hAnsi="Arial;Helvetica;sans-serif"/>
                <w:b w:val="false"/>
                <w:color w:val="636466"/>
                <w:sz w:val="16"/>
              </w:rPr>
              <w:t xml:space="preserve">developed during his various executive roles where he oversaw clinical development projects, financial reporting and capital markets activity, along with leading business development initiatives, along with all other aspects of company management </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Human Capital Management </w:t>
            </w:r>
            <w:r>
              <w:rPr>
                <w:rFonts w:ascii="Arial;Helvetica;sans-serif" w:hAnsi="Arial;Helvetica;sans-serif"/>
                <w:b w:val="false"/>
                <w:color w:val="636466"/>
                <w:sz w:val="16"/>
              </w:rPr>
              <w:t>gained as the Chief Executive Officer of Tessera</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636466"/>
                <w:sz w:val="16"/>
              </w:rPr>
              <w:t xml:space="preserve">Dr. Severino also brings </w:t>
            </w:r>
            <w:r>
              <w:rPr>
                <w:rFonts w:ascii="Arial;Helvetica;sans-serif" w:hAnsi="Arial;Helvetica;sans-serif"/>
                <w:b/>
                <w:color w:val="636466"/>
                <w:sz w:val="16"/>
              </w:rPr>
              <w:t xml:space="preserve">Healthcare Industry Experience </w:t>
            </w:r>
            <w:r>
              <w:rPr>
                <w:rFonts w:ascii="Arial;Helvetica;sans-serif" w:hAnsi="Arial;Helvetica;sans-serif"/>
                <w:b w:val="false"/>
                <w:color w:val="636466"/>
                <w:sz w:val="16"/>
              </w:rPr>
              <w:t>to the Board</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0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Other Current Public Company Boards: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Avantor, Inc. </w:t>
            </w:r>
            <w:r>
              <w:rPr>
                <w:rFonts w:ascii="Arial;Helvetica;sans-serif" w:hAnsi="Arial;Helvetica;sans-serif"/>
                <w:b w:val="false"/>
                <w:color w:val="636466"/>
                <w:sz w:val="16"/>
              </w:rPr>
              <w:t>(NYSE: AVTR) (since 2020), Director and Chair of the Compensation and Human Resources Committee and member of the Science and Technology Committee</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0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Other Current Private Company Boards:</w:t>
            </w:r>
          </w:p>
          <w:p>
            <w:pPr>
              <w:pStyle w:val="TableContents"/>
              <w:bidi w:val="0"/>
              <w:spacing w:before="120" w:after="283"/>
              <w:ind w:left="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Tessera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 xml:space="preserve">(since 2022), Director </w:t>
            </w:r>
          </w:p>
          <w:p>
            <w:pPr>
              <w:pStyle w:val="TableContents"/>
              <w:bidi w:val="0"/>
              <w:spacing w:before="120" w:after="283"/>
              <w:ind w:left="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Montai Therapeutics, Inc.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 xml:space="preserve">(since 2023), Director </w:t>
            </w:r>
          </w:p>
          <w:p>
            <w:pPr>
              <w:pStyle w:val="TableContents"/>
              <w:bidi w:val="0"/>
              <w:spacing w:before="120" w:after="283"/>
              <w:ind w:left="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Quotient Therapeutics, Inc.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(since 2023), Director</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900" w:type="dxa"/>
            <w:tcBorders/>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Other Organizations: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636466"/>
                <w:sz w:val="16"/>
              </w:rPr>
              <w:t xml:space="preserve">Former Director, </w:t>
            </w:r>
            <w:r>
              <w:rPr>
                <w:rFonts w:ascii="Arial;Helvetica;sans-serif" w:hAnsi="Arial;Helvetica;sans-serif"/>
                <w:b/>
                <w:color w:val="636466"/>
                <w:sz w:val="16"/>
              </w:rPr>
              <w:t>The Field Museum of Natural History</w:t>
            </w:r>
          </w:p>
        </w:tc>
      </w:tr>
      <w:tr>
        <w:trPr/>
        <w:tc>
          <w:tcPr>
            <w:tcW w:w="1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0" w:type="dxa"/>
            <w:tcBorders/>
            <w:vAlign w:val="center"/>
          </w:tcPr>
          <w:p>
            <w:pPr>
              <w:pStyle w:val="TableContents"/>
              <w:bidi w:val="0"/>
              <w:spacing w:before="0" w:after="0"/>
              <w:jc w:val="left"/>
              <w:rPr/>
            </w:pPr>
            <w:r>
              <w:rPr/>
              <w:t> </w:t>
            </w:r>
          </w:p>
        </w:tc>
      </w:tr>
    </w:tbl>
    <w:tbl>
      <w:tblPr>
        <w:tblW w:w="4980" w:type="dxa"/>
        <w:jc w:val="left"/>
        <w:tblInd w:w="106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95"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76" descr=""/>
                          <pic:cNvPicPr>
                            <a:picLocks noChangeAspect="1" noChangeArrowheads="1"/>
                          </pic:cNvPicPr>
                        </pic:nvPicPr>
                        <pic:blipFill>
                          <a:blip r:embed="rId86"/>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Statement | 19</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96"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77" descr=""/>
                    <pic:cNvPicPr>
                      <a:picLocks noChangeAspect="1" noChangeArrowheads="1"/>
                    </pic:cNvPicPr>
                  </pic:nvPicPr>
                  <pic:blipFill>
                    <a:blip r:embed="rId87"/>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48" w:name="ny20055082x771_def14a_106-directors_pg15"/>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lef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tbl>
      <w:tblPr>
        <w:tblW w:w="9145" w:type="dxa"/>
        <w:jc w:val="left"/>
        <w:tblInd w:w="1060" w:type="dxa"/>
        <w:tblLayout w:type="fixed"/>
        <w:tblCellMar>
          <w:top w:w="0" w:type="dxa"/>
          <w:left w:w="0" w:type="dxa"/>
          <w:bottom w:w="0" w:type="dxa"/>
          <w:right w:w="0" w:type="dxa"/>
        </w:tblCellMar>
      </w:tblPr>
      <w:tblGrid>
        <w:gridCol w:w="1905"/>
        <w:gridCol w:w="170"/>
        <w:gridCol w:w="170"/>
        <w:gridCol w:w="6900"/>
      </w:tblGrid>
      <w:tr>
        <w:trPr/>
        <w:tc>
          <w:tcPr>
            <w:tcW w:w="1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0" w:type="dxa"/>
            <w:tcBorders/>
            <w:vAlign w:val="center"/>
          </w:tcPr>
          <w:p>
            <w:pPr>
              <w:pStyle w:val="TableContents"/>
              <w:bidi w:val="0"/>
              <w:spacing w:before="0" w:after="0"/>
              <w:jc w:val="left"/>
              <w:rPr/>
            </w:pPr>
            <w:r>
              <w:rPr/>
              <w:t> </w:t>
            </w:r>
          </w:p>
        </w:tc>
      </w:tr>
      <w:tr>
        <w:trPr/>
        <w:tc>
          <w:tcPr>
            <w:tcW w:w="1905" w:type="dxa"/>
            <w:vMerge w:val="restart"/>
            <w:tcBorders/>
            <w:vAlign w:val="center"/>
          </w:tcPr>
          <w:p>
            <w:pPr>
              <w:pStyle w:val="TableContents"/>
              <w:bidi w:val="0"/>
              <w:spacing w:before="0" w:after="283"/>
              <w:jc w:val="center"/>
              <w:rPr>
                <w:color w:val="636466"/>
              </w:rPr>
            </w:pPr>
            <w:r>
              <w:rPr>
                <w:color w:val="636466"/>
              </w:rPr>
              <w:drawing>
                <wp:inline distT="0" distB="0" distL="0" distR="0">
                  <wp:extent cx="1181100" cy="1181100"/>
                  <wp:effectExtent l="0" t="0" r="0" b="0"/>
                  <wp:docPr id="97"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78" descr=""/>
                          <pic:cNvPicPr>
                            <a:picLocks noChangeAspect="1" noChangeArrowheads="1"/>
                          </pic:cNvPicPr>
                        </pic:nvPicPr>
                        <pic:blipFill>
                          <a:blip r:embed="rId88"/>
                          <a:stretch>
                            <a:fillRect/>
                          </a:stretch>
                        </pic:blipFill>
                        <pic:spPr bwMode="auto">
                          <a:xfrm>
                            <a:off x="0" y="0"/>
                            <a:ext cx="1181100" cy="1181100"/>
                          </a:xfrm>
                          <a:prstGeom prst="rect">
                            <a:avLst/>
                          </a:prstGeom>
                        </pic:spPr>
                      </pic:pic>
                    </a:graphicData>
                  </a:graphic>
                </wp:inline>
              </w:drawing>
            </w:r>
          </w:p>
          <w:p>
            <w:pPr>
              <w:pStyle w:val="TableContents"/>
              <w:bidi w:val="0"/>
              <w:spacing w:before="0" w:after="283"/>
              <w:ind w:left="0" w:right="0" w:hanging="0"/>
              <w:jc w:val="left"/>
              <w:rPr>
                <w:color w:val="636466"/>
              </w:rPr>
            </w:pPr>
            <w:r>
              <w:rPr>
                <w:color w:val="636466"/>
              </w:rPr>
              <w:t> </w:t>
            </w:r>
          </w:p>
          <w:p>
            <w:pPr>
              <w:pStyle w:val="TableContents"/>
              <w:bidi w:val="0"/>
              <w:spacing w:before="180" w:after="283"/>
              <w:ind w:left="0" w:right="0" w:hanging="0"/>
              <w:jc w:val="left"/>
              <w:rPr>
                <w:rFonts w:ascii="Arial;Helvetica;sans-serif" w:hAnsi="Arial;Helvetica;sans-serif"/>
                <w:color w:val="636466"/>
                <w:sz w:val="16"/>
              </w:rPr>
            </w:pPr>
            <w:r>
              <w:rPr>
                <w:rFonts w:ascii="Arial;Helvetica;sans-serif" w:hAnsi="Arial;Helvetica;sans-serif"/>
                <w:b/>
                <w:color w:val="1F1C6B"/>
                <w:sz w:val="16"/>
              </w:rPr>
              <w:t>Age:</w:t>
            </w:r>
            <w:r>
              <w:rPr>
                <w:rFonts w:ascii="Arial;Helvetica;sans-serif" w:hAnsi="Arial;Helvetica;sans-serif"/>
                <w:color w:val="636466"/>
                <w:sz w:val="16"/>
              </w:rPr>
              <w:t xml:space="preserve"> 61</w:t>
            </w:r>
          </w:p>
          <w:p>
            <w:pPr>
              <w:pStyle w:val="TableContents"/>
              <w:bidi w:val="0"/>
              <w:spacing w:before="180" w:after="283"/>
              <w:ind w:left="0" w:right="0" w:hanging="0"/>
              <w:jc w:val="left"/>
              <w:rPr>
                <w:rFonts w:ascii="Arial;Helvetica;sans-serif" w:hAnsi="Arial;Helvetica;sans-serif"/>
                <w:color w:val="636466"/>
                <w:sz w:val="16"/>
              </w:rPr>
            </w:pPr>
            <w:r>
              <w:rPr>
                <w:rFonts w:ascii="Arial;Helvetica;sans-serif" w:hAnsi="Arial;Helvetica;sans-serif"/>
                <w:b/>
                <w:color w:val="1F1C6B"/>
                <w:sz w:val="16"/>
              </w:rPr>
              <w:t>Director since</w:t>
            </w:r>
            <w:r>
              <w:rPr>
                <w:rFonts w:ascii="Arial;Helvetica;sans-serif" w:hAnsi="Arial;Helvetica;sans-serif"/>
                <w:color w:val="636466"/>
                <w:sz w:val="16"/>
              </w:rPr>
              <w:t xml:space="preserve"> 2025 </w:t>
            </w:r>
          </w:p>
          <w:p>
            <w:pPr>
              <w:pStyle w:val="TableContents"/>
              <w:bidi w:val="0"/>
              <w:spacing w:before="180" w:after="283"/>
              <w:ind w:left="0" w:right="0" w:hanging="0"/>
              <w:jc w:val="left"/>
              <w:rPr>
                <w:rFonts w:ascii="Arial;Helvetica;sans-serif" w:hAnsi="Arial;Helvetica;sans-serif"/>
                <w:color w:val="636466"/>
                <w:sz w:val="16"/>
              </w:rPr>
            </w:pPr>
            <w:r>
              <w:rPr>
                <w:rFonts w:ascii="Arial;Helvetica;sans-serif" w:hAnsi="Arial;Helvetica;sans-serif"/>
                <w:b/>
                <w:color w:val="1F1C6B"/>
                <w:sz w:val="16"/>
              </w:rPr>
              <w:t>Independent Director</w:t>
            </w:r>
            <w:r>
              <w:rPr>
                <w:rFonts w:ascii="Arial;Helvetica;sans-serif" w:hAnsi="Arial;Helvetica;sans-serif"/>
                <w:color w:val="636466"/>
                <w:sz w:val="16"/>
              </w:rPr>
              <w:t xml:space="preserve"> </w:t>
            </w:r>
          </w:p>
          <w:p>
            <w:pPr>
              <w:pStyle w:val="TableContents"/>
              <w:bidi w:val="0"/>
              <w:spacing w:before="18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Board Committees:</w:t>
            </w:r>
          </w:p>
          <w:p>
            <w:pPr>
              <w:pStyle w:val="TableContents"/>
              <w:bidi w:val="0"/>
              <w:spacing w:before="60" w:after="283"/>
              <w:ind w:left="0" w:right="0" w:hanging="0"/>
              <w:jc w:val="left"/>
              <w:rPr>
                <w:rFonts w:ascii="Arial;Helvetica;sans-serif" w:hAnsi="Arial;Helvetica;sans-serif"/>
                <w:color w:val="636466"/>
                <w:sz w:val="16"/>
              </w:rPr>
            </w:pPr>
            <w:r>
              <w:rPr>
                <w:rFonts w:ascii="Arial;Helvetica;sans-serif" w:hAnsi="Arial;Helvetica;sans-serif"/>
                <w:color w:val="636466"/>
                <w:sz w:val="16"/>
              </w:rPr>
              <w:t>N/A</w:t>
            </w:r>
          </w:p>
        </w:tc>
        <w:tc>
          <w:tcPr>
            <w:tcW w:w="170" w:type="dxa"/>
            <w:vMerge w:val="restart"/>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0" w:type="dxa"/>
            <w:tcBorders/>
            <w:vAlign w:val="center"/>
          </w:tcPr>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t>David Simmons</w:t>
            </w:r>
            <w:r>
              <w:rPr>
                <w:rFonts w:ascii="Arial;Helvetica;sans-serif" w:hAnsi="Arial;Helvetica;sans-serif"/>
                <w:b/>
                <w:color w:val="636466"/>
                <w:sz w:val="26"/>
              </w:rPr>
              <w:t> </w:t>
            </w:r>
          </w:p>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0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Chief Executive Officer (since 2023), </w:t>
            </w:r>
            <w:r>
              <w:rPr>
                <w:rFonts w:ascii="Arial;Helvetica;sans-serif" w:hAnsi="Arial;Helvetica;sans-serif"/>
                <w:b/>
                <w:color w:val="636466"/>
                <w:sz w:val="16"/>
              </w:rPr>
              <w:t>Caliber Holdings Corporation</w:t>
            </w:r>
            <w:r>
              <w:rPr>
                <w:rFonts w:ascii="Arial;Helvetica;sans-serif" w:hAnsi="Arial;Helvetica;sans-serif"/>
                <w:color w:val="636466"/>
                <w:sz w:val="16"/>
              </w:rPr>
              <w:t>, a private multi-site operator of auto body collision repair centers (“Caliber”)</w:t>
            </w:r>
          </w:p>
          <w:p>
            <w:pPr>
              <w:pStyle w:val="TableContents"/>
              <w:bidi w:val="0"/>
              <w:spacing w:before="12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Senior Advisor (since 2012), </w:t>
            </w:r>
            <w:r>
              <w:rPr>
                <w:rFonts w:ascii="Arial;Helvetica;sans-serif" w:hAnsi="Arial;Helvetica;sans-serif"/>
                <w:b/>
                <w:color w:val="636466"/>
                <w:sz w:val="16"/>
              </w:rPr>
              <w:t>Abingworth LLP</w:t>
            </w:r>
            <w:r>
              <w:rPr>
                <w:rFonts w:ascii="Arial;Helvetica;sans-serif" w:hAnsi="Arial;Helvetica;sans-serif"/>
                <w:color w:val="636466"/>
                <w:sz w:val="16"/>
              </w:rPr>
              <w:t>, a life sciences venture capital firm</w:t>
            </w:r>
          </w:p>
          <w:p>
            <w:pPr>
              <w:pStyle w:val="TableContents"/>
              <w:bidi w:val="0"/>
              <w:spacing w:before="12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Operating Partner (2022 - 2023), </w:t>
            </w:r>
            <w:r>
              <w:rPr>
                <w:rFonts w:ascii="Arial;Helvetica;sans-serif" w:hAnsi="Arial;Helvetica;sans-serif"/>
                <w:b/>
                <w:color w:val="636466"/>
                <w:sz w:val="16"/>
              </w:rPr>
              <w:t>Hellman &amp; Friedman, LLC</w:t>
            </w:r>
            <w:r>
              <w:rPr>
                <w:rFonts w:ascii="Arial;Helvetica;sans-serif" w:hAnsi="Arial;Helvetica;sans-serif"/>
                <w:color w:val="636466"/>
                <w:sz w:val="16"/>
              </w:rPr>
              <w:t>, a private equity firm</w:t>
            </w:r>
          </w:p>
          <w:p>
            <w:pPr>
              <w:pStyle w:val="TableContents"/>
              <w:bidi w:val="0"/>
              <w:spacing w:before="12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Chairman and Chief Executive Officer (2012 -2022) </w:t>
            </w:r>
            <w:r>
              <w:rPr>
                <w:rFonts w:ascii="Arial;Helvetica;sans-serif" w:hAnsi="Arial;Helvetica;sans-serif"/>
                <w:b/>
                <w:color w:val="636466"/>
                <w:sz w:val="16"/>
              </w:rPr>
              <w:t>PPD, Inc.</w:t>
            </w:r>
            <w:r>
              <w:rPr>
                <w:rFonts w:ascii="Arial;Helvetica;sans-serif" w:hAnsi="Arial;Helvetica;sans-serif"/>
                <w:color w:val="636466"/>
                <w:sz w:val="16"/>
              </w:rPr>
              <w:t>, a global contract pharmaceutical research organization acquired by Themo Fisher Scientific Inc. in 2021</w:t>
            </w:r>
          </w:p>
          <w:p>
            <w:pPr>
              <w:pStyle w:val="TableContents"/>
              <w:bidi w:val="0"/>
              <w:spacing w:before="12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President and General Manager, Emerging Markets and Established Products (2010 - 2012), management roles of increasing responsibility (1996 - 2010), including President and General Manager, Established Products, President, Pharmaceuticals Eastern Europe, Vice President, Marketing Canada, President, Pharmaceuticals Greece, Cyprus and Malta Affiliates, </w:t>
            </w:r>
            <w:r>
              <w:rPr>
                <w:rFonts w:ascii="Arial;Helvetica;sans-serif" w:hAnsi="Arial;Helvetica;sans-serif"/>
                <w:b/>
                <w:color w:val="636466"/>
                <w:sz w:val="16"/>
              </w:rPr>
              <w:t>Pfizer</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0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Key Skills and Experience:</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CEO and Public Company Management, Global Business, Healthcare Industry </w:t>
            </w:r>
            <w:r>
              <w:rPr>
                <w:rFonts w:ascii="Arial;Helvetica;sans-serif" w:hAnsi="Arial;Helvetica;sans-serif"/>
                <w:b w:val="false"/>
                <w:color w:val="636466"/>
                <w:sz w:val="16"/>
              </w:rPr>
              <w:t>and</w:t>
            </w:r>
            <w:r>
              <w:rPr>
                <w:rFonts w:ascii="Arial;Helvetica;sans-serif" w:hAnsi="Arial;Helvetica;sans-serif"/>
                <w:b/>
                <w:color w:val="636466"/>
                <w:sz w:val="16"/>
              </w:rPr>
              <w:t xml:space="preserve"> Strategy and M&amp;A Experience </w:t>
            </w:r>
            <w:r>
              <w:rPr>
                <w:rFonts w:ascii="Arial;Helvetica;sans-serif" w:hAnsi="Arial;Helvetica;sans-serif"/>
                <w:b w:val="false"/>
                <w:color w:val="636466"/>
                <w:sz w:val="16"/>
              </w:rPr>
              <w:t>developed during his various executive roles, giving him significant knowledge and insights regarding the global pharmaceutical industry, drug development and capital markets; along with direct experience with our established products portfolio from his days overseeing that division while at Pfizer</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Human Capital Management </w:t>
            </w:r>
            <w:r>
              <w:rPr>
                <w:rFonts w:ascii="Arial;Helvetica;sans-serif" w:hAnsi="Arial;Helvetica;sans-serif"/>
                <w:b w:val="false"/>
                <w:color w:val="636466"/>
                <w:sz w:val="16"/>
              </w:rPr>
              <w:t xml:space="preserve">gained as the Chief Executive Officer of Caliber </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0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Other Current Private Company Boards:</w:t>
            </w:r>
          </w:p>
          <w:p>
            <w:pPr>
              <w:pStyle w:val="TableContents"/>
              <w:bidi w:val="0"/>
              <w:spacing w:before="120" w:after="283"/>
              <w:ind w:left="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Cordis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(since 2022), Director</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0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Former Private Company Boards:</w:t>
            </w:r>
          </w:p>
          <w:p>
            <w:pPr>
              <w:pStyle w:val="TableContents"/>
              <w:bidi w:val="0"/>
              <w:spacing w:before="120" w:after="283"/>
              <w:ind w:left="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Launch Therapeutics, Inc.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 xml:space="preserve">(2022 - 2025), Chairman </w:t>
            </w:r>
          </w:p>
          <w:p>
            <w:pPr>
              <w:pStyle w:val="TableContents"/>
              <w:bidi w:val="0"/>
              <w:spacing w:before="120" w:after="283"/>
              <w:ind w:left="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Curia Global, Inc.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(2018 - 2020), Director</w:t>
            </w:r>
          </w:p>
          <w:p>
            <w:pPr>
              <w:pStyle w:val="TableContents"/>
              <w:bidi w:val="0"/>
              <w:spacing w:before="120" w:after="283"/>
              <w:ind w:left="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Medline Industries, Inc.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(2022 - 2024), Director</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0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Former Public Company Boards:</w:t>
            </w:r>
          </w:p>
          <w:p>
            <w:pPr>
              <w:pStyle w:val="TableContents"/>
              <w:bidi w:val="0"/>
              <w:spacing w:before="120" w:after="283"/>
              <w:ind w:left="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PPD </w:t>
            </w:r>
          </w:p>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val="false"/>
                <w:color w:val="636466"/>
                <w:sz w:val="16"/>
              </w:rPr>
              <w:t>(2012 - 2022 following its acquisition by Thermo Fisher Scientific, Inc.), Chairman</w:t>
            </w:r>
            <w:r>
              <w:rPr>
                <w:rFonts w:ascii="Arial;Helvetica;sans-serif" w:hAnsi="Arial;Helvetica;sans-serif"/>
                <w:b/>
                <w:color w:val="636466"/>
                <w:sz w:val="16"/>
              </w:rPr>
              <w:t xml:space="preserve"> </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Owens &amp; Minor, Inc. </w:t>
            </w:r>
            <w:r>
              <w:rPr>
                <w:rFonts w:ascii="Arial;Helvetica;sans-serif" w:hAnsi="Arial;Helvetica;sans-serif"/>
                <w:b w:val="false"/>
                <w:color w:val="636466"/>
                <w:sz w:val="16"/>
              </w:rPr>
              <w:t xml:space="preserve">(NYSE: OMI) </w:t>
            </w:r>
          </w:p>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val="false"/>
                <w:color w:val="636466"/>
                <w:sz w:val="16"/>
              </w:rPr>
              <w:t>(2013 - 2018), Director</w:t>
            </w:r>
            <w:r>
              <w:rPr>
                <w:rFonts w:ascii="Arial;Helvetica;sans-serif" w:hAnsi="Arial;Helvetica;sans-serif"/>
                <w:b/>
                <w:color w:val="636466"/>
                <w:sz w:val="16"/>
              </w:rPr>
              <w:t xml:space="preserve"> </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900" w:type="dxa"/>
            <w:tcBorders/>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Other Organizations: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636466"/>
                <w:sz w:val="16"/>
              </w:rPr>
              <w:t xml:space="preserve">Trustee, </w:t>
            </w:r>
            <w:r>
              <w:rPr>
                <w:rFonts w:ascii="Arial;Helvetica;sans-serif" w:hAnsi="Arial;Helvetica;sans-serif"/>
                <w:b/>
                <w:color w:val="636466"/>
                <w:sz w:val="16"/>
              </w:rPr>
              <w:t>David and Melissa Simmons Family Foundation</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636466"/>
                <w:sz w:val="16"/>
              </w:rPr>
              <w:t>Trustee,</w:t>
            </w:r>
            <w:r>
              <w:rPr>
                <w:rFonts w:ascii="Arial;Helvetica;sans-serif" w:hAnsi="Arial;Helvetica;sans-serif"/>
                <w:b/>
                <w:color w:val="636466"/>
                <w:sz w:val="16"/>
              </w:rPr>
              <w:t xml:space="preserve"> The Linsly School</w:t>
            </w:r>
          </w:p>
        </w:tc>
      </w:tr>
      <w:tr>
        <w:trPr/>
        <w:tc>
          <w:tcPr>
            <w:tcW w:w="1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0" w:type="dxa"/>
            <w:tcBorders/>
            <w:vAlign w:val="center"/>
          </w:tcPr>
          <w:p>
            <w:pPr>
              <w:pStyle w:val="TableContents"/>
              <w:bidi w:val="0"/>
              <w:spacing w:before="0" w:after="0"/>
              <w:jc w:val="left"/>
              <w:rPr/>
            </w:pPr>
            <w:r>
              <w:rPr/>
              <w:t> </w:t>
            </w:r>
          </w:p>
        </w:tc>
      </w:tr>
    </w:tbl>
    <w:tbl>
      <w:tblPr>
        <w:tblW w:w="4980" w:type="dxa"/>
        <w:jc w:val="left"/>
        <w:tblInd w:w="106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20 | 2025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98"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79" descr=""/>
                          <pic:cNvPicPr>
                            <a:picLocks noChangeAspect="1" noChangeArrowheads="1"/>
                          </pic:cNvPicPr>
                        </pic:nvPicPr>
                        <pic:blipFill>
                          <a:blip r:embed="rId89"/>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99"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80" descr=""/>
                    <pic:cNvPicPr>
                      <a:picLocks noChangeAspect="1" noChangeArrowheads="1"/>
                    </pic:cNvPicPr>
                  </pic:nvPicPr>
                  <pic:blipFill>
                    <a:blip r:embed="rId90"/>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49" w:name="ny20055082x771_def14a_106-directors_pg16"/>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righ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p>
      <w:pPr>
        <w:pStyle w:val="Normal"/>
        <w:bidi w:val="0"/>
        <w:spacing w:before="0" w:after="0"/>
        <w:ind w:left="1060" w:right="0" w:hanging="0"/>
        <w:jc w:val="left"/>
        <w:rPr>
          <w:sz w:val="4"/>
          <w:szCs w:val="4"/>
        </w:rPr>
      </w:pPr>
      <w:r>
        <w:rPr>
          <w:sz w:val="4"/>
          <w:szCs w:val="4"/>
        </w:rPr>
      </w:r>
      <w:bookmarkStart w:id="50" w:name="tVBOAD"/>
      <w:bookmarkStart w:id="51" w:name="tVBOAD"/>
      <w:bookmarkEnd w:id="51"/>
    </w:p>
    <w:tbl>
      <w:tblPr>
        <w:tblW w:w="9145" w:type="dxa"/>
        <w:jc w:val="left"/>
        <w:tblInd w:w="1060" w:type="dxa"/>
        <w:tblLayout w:type="fixed"/>
        <w:tblCellMar>
          <w:top w:w="0" w:type="dxa"/>
          <w:left w:w="0" w:type="dxa"/>
          <w:bottom w:w="0" w:type="dxa"/>
          <w:right w:w="0" w:type="dxa"/>
        </w:tblCellMar>
      </w:tblPr>
      <w:tblGrid>
        <w:gridCol w:w="1981"/>
        <w:gridCol w:w="170"/>
        <w:gridCol w:w="170"/>
        <w:gridCol w:w="6824"/>
      </w:tblGrid>
      <w:tr>
        <w:trPr/>
        <w:tc>
          <w:tcPr>
            <w:tcW w:w="1981"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24" w:type="dxa"/>
            <w:tcBorders/>
            <w:vAlign w:val="center"/>
          </w:tcPr>
          <w:p>
            <w:pPr>
              <w:pStyle w:val="TableContents"/>
              <w:bidi w:val="0"/>
              <w:spacing w:before="0" w:after="0"/>
              <w:jc w:val="left"/>
              <w:rPr/>
            </w:pPr>
            <w:r>
              <w:rPr/>
              <w:t> </w:t>
            </w:r>
          </w:p>
        </w:tc>
      </w:tr>
      <w:tr>
        <w:trPr/>
        <w:tc>
          <w:tcPr>
            <w:tcW w:w="1981" w:type="dxa"/>
            <w:vMerge w:val="restart"/>
            <w:tcBorders/>
            <w:vAlign w:val="center"/>
          </w:tcPr>
          <w:p>
            <w:pPr>
              <w:pStyle w:val="TableContents"/>
              <w:bidi w:val="0"/>
              <w:spacing w:before="0" w:after="283"/>
              <w:jc w:val="center"/>
              <w:rPr>
                <w:color w:val="636466"/>
              </w:rPr>
            </w:pPr>
            <w:r>
              <w:rPr>
                <w:color w:val="636466"/>
              </w:rPr>
              <w:drawing>
                <wp:inline distT="0" distB="0" distL="0" distR="0">
                  <wp:extent cx="1181100" cy="1181100"/>
                  <wp:effectExtent l="0" t="0" r="0" b="0"/>
                  <wp:docPr id="100"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81" descr=""/>
                          <pic:cNvPicPr>
                            <a:picLocks noChangeAspect="1" noChangeArrowheads="1"/>
                          </pic:cNvPicPr>
                        </pic:nvPicPr>
                        <pic:blipFill>
                          <a:blip r:embed="rId91"/>
                          <a:stretch>
                            <a:fillRect/>
                          </a:stretch>
                        </pic:blipFill>
                        <pic:spPr bwMode="auto">
                          <a:xfrm>
                            <a:off x="0" y="0"/>
                            <a:ext cx="1181100" cy="1181100"/>
                          </a:xfrm>
                          <a:prstGeom prst="rect">
                            <a:avLst/>
                          </a:prstGeom>
                        </pic:spPr>
                      </pic:pic>
                    </a:graphicData>
                  </a:graphic>
                </wp:inline>
              </w:drawing>
            </w:r>
          </w:p>
          <w:p>
            <w:pPr>
              <w:pStyle w:val="TableContents"/>
              <w:bidi w:val="0"/>
              <w:spacing w:before="0" w:after="283"/>
              <w:ind w:left="0" w:right="0" w:hanging="0"/>
              <w:jc w:val="left"/>
              <w:rPr>
                <w:color w:val="636466"/>
              </w:rPr>
            </w:pPr>
            <w:r>
              <w:rPr>
                <w:color w:val="636466"/>
              </w:rPr>
              <w:t> </w:t>
            </w:r>
          </w:p>
          <w:p>
            <w:pPr>
              <w:pStyle w:val="TableContents"/>
              <w:bidi w:val="0"/>
              <w:spacing w:before="180" w:after="283"/>
              <w:ind w:left="0" w:right="0" w:hanging="0"/>
              <w:jc w:val="left"/>
              <w:rPr>
                <w:rFonts w:ascii="Arial;Helvetica;sans-serif" w:hAnsi="Arial;Helvetica;sans-serif"/>
                <w:color w:val="636466"/>
                <w:sz w:val="16"/>
              </w:rPr>
            </w:pPr>
            <w:r>
              <w:rPr>
                <w:rFonts w:ascii="Arial;Helvetica;sans-serif" w:hAnsi="Arial;Helvetica;sans-serif"/>
                <w:b/>
                <w:color w:val="1F1C6B"/>
                <w:sz w:val="16"/>
              </w:rPr>
              <w:t xml:space="preserve">Age: </w:t>
            </w:r>
            <w:r>
              <w:rPr>
                <w:rFonts w:ascii="Arial;Helvetica;sans-serif" w:hAnsi="Arial;Helvetica;sans-serif"/>
                <w:color w:val="636466"/>
                <w:sz w:val="16"/>
              </w:rPr>
              <w:t xml:space="preserve">63 </w:t>
            </w:r>
          </w:p>
          <w:p>
            <w:pPr>
              <w:pStyle w:val="TableContents"/>
              <w:bidi w:val="0"/>
              <w:spacing w:before="180" w:after="283"/>
              <w:ind w:left="0" w:right="0" w:hanging="0"/>
              <w:jc w:val="left"/>
              <w:rPr>
                <w:rFonts w:ascii="Arial;Helvetica;sans-serif" w:hAnsi="Arial;Helvetica;sans-serif"/>
                <w:color w:val="636466"/>
                <w:sz w:val="16"/>
              </w:rPr>
            </w:pPr>
            <w:r>
              <w:rPr>
                <w:rFonts w:ascii="Arial;Helvetica;sans-serif" w:hAnsi="Arial;Helvetica;sans-serif"/>
                <w:b/>
                <w:color w:val="1F1C6B"/>
                <w:sz w:val="16"/>
              </w:rPr>
              <w:t xml:space="preserve">Director since </w:t>
            </w:r>
            <w:r>
              <w:rPr>
                <w:rFonts w:ascii="Arial;Helvetica;sans-serif" w:hAnsi="Arial;Helvetica;sans-serif"/>
                <w:color w:val="636466"/>
                <w:sz w:val="16"/>
              </w:rPr>
              <w:t>2022</w:t>
            </w:r>
          </w:p>
          <w:p>
            <w:pPr>
              <w:pStyle w:val="TableContents"/>
              <w:bidi w:val="0"/>
              <w:spacing w:before="18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Chief Executive Officer and Director</w:t>
            </w:r>
          </w:p>
          <w:p>
            <w:pPr>
              <w:pStyle w:val="TableContents"/>
              <w:bidi w:val="0"/>
              <w:spacing w:before="18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Board Committees:</w:t>
            </w:r>
          </w:p>
          <w:p>
            <w:pPr>
              <w:pStyle w:val="TableContents"/>
              <w:bidi w:val="0"/>
              <w:spacing w:before="60" w:after="283"/>
              <w:ind w:left="0" w:right="0" w:hanging="0"/>
              <w:jc w:val="left"/>
              <w:rPr>
                <w:rFonts w:ascii="Arial;Helvetica;sans-serif" w:hAnsi="Arial;Helvetica;sans-serif"/>
                <w:color w:val="636466"/>
                <w:sz w:val="16"/>
              </w:rPr>
            </w:pPr>
            <w:r>
              <w:rPr>
                <w:rFonts w:ascii="Arial;Helvetica;sans-serif" w:hAnsi="Arial;Helvetica;sans-serif"/>
                <w:color w:val="636466"/>
                <w:sz w:val="16"/>
              </w:rPr>
              <w:t>Science and Technology</w:t>
            </w:r>
          </w:p>
        </w:tc>
        <w:tc>
          <w:tcPr>
            <w:tcW w:w="170" w:type="dxa"/>
            <w:vMerge w:val="restart"/>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24" w:type="dxa"/>
            <w:tcBorders/>
            <w:vAlign w:val="center"/>
          </w:tcPr>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t>Scott A. Smith</w:t>
            </w:r>
            <w:r>
              <w:rPr>
                <w:rFonts w:ascii="Arial;Helvetica;sans-serif" w:hAnsi="Arial;Helvetica;sans-serif"/>
                <w:b/>
                <w:color w:val="636466"/>
                <w:sz w:val="26"/>
              </w:rPr>
              <w:t> </w:t>
            </w:r>
          </w:p>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r>
          </w:p>
        </w:tc>
      </w:tr>
      <w:tr>
        <w:trPr/>
        <w:tc>
          <w:tcPr>
            <w:tcW w:w="1981"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24"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Chief Executive Officer (since April 2023), </w:t>
            </w:r>
            <w:r>
              <w:rPr>
                <w:rFonts w:ascii="Arial;Helvetica;sans-serif" w:hAnsi="Arial;Helvetica;sans-serif"/>
                <w:b/>
                <w:color w:val="636466"/>
                <w:sz w:val="16"/>
              </w:rPr>
              <w:t>Viatris</w:t>
            </w:r>
          </w:p>
          <w:p>
            <w:pPr>
              <w:pStyle w:val="TableContents"/>
              <w:bidi w:val="0"/>
              <w:spacing w:before="12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President (2018 - 2023), </w:t>
            </w:r>
            <w:r>
              <w:rPr>
                <w:rFonts w:ascii="Arial;Helvetica;sans-serif" w:hAnsi="Arial;Helvetica;sans-serif"/>
                <w:b/>
                <w:color w:val="636466"/>
                <w:sz w:val="16"/>
              </w:rPr>
              <w:t xml:space="preserve">BioAtla, Inc. </w:t>
            </w:r>
            <w:r>
              <w:rPr>
                <w:rFonts w:ascii="Arial;Helvetica;sans-serif" w:hAnsi="Arial;Helvetica;sans-serif"/>
                <w:color w:val="636466"/>
                <w:sz w:val="16"/>
              </w:rPr>
              <w:t>(NASDAQ: BCAB) (“BioAtla”), a global biotechnology company focused on the development of Conditionally Active Biologics™ antibody therapeutics</w:t>
            </w:r>
          </w:p>
          <w:p>
            <w:pPr>
              <w:pStyle w:val="TableContents"/>
              <w:bidi w:val="0"/>
              <w:spacing w:before="12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Served as an executive (2008 - 2018), rising up the ranks from SVP and Global Head of Immunology to President of Inflammation and Immunology and then, beginning in 2017, President and COO, </w:t>
            </w:r>
            <w:r>
              <w:rPr>
                <w:rFonts w:ascii="Arial;Helvetica;sans-serif" w:hAnsi="Arial;Helvetica;sans-serif"/>
                <w:b/>
                <w:color w:val="636466"/>
                <w:sz w:val="16"/>
              </w:rPr>
              <w:t>Celgene Corporation,</w:t>
            </w:r>
            <w:r>
              <w:rPr>
                <w:rFonts w:ascii="Arial;Helvetica;sans-serif" w:hAnsi="Arial;Helvetica;sans-serif"/>
                <w:color w:val="636466"/>
                <w:sz w:val="16"/>
              </w:rPr>
              <w:t xml:space="preserve"> a global biopharmaceutical company</w:t>
            </w:r>
          </w:p>
        </w:tc>
      </w:tr>
      <w:tr>
        <w:trPr/>
        <w:tc>
          <w:tcPr>
            <w:tcW w:w="1981"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24"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Key Skills and Experience:</w:t>
            </w:r>
            <w:r>
              <w:rPr>
                <w:rFonts w:ascii="Arial;Helvetica;sans-serif" w:hAnsi="Arial;Helvetica;sans-serif"/>
                <w:b/>
                <w:color w:val="636466"/>
                <w:sz w:val="16"/>
              </w:rPr>
              <w:t xml:space="preserve"> </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Public Company Management, Corporate Governance, Global Business, Healthcare Industry, Risk Oversight/Compliance, </w:t>
            </w:r>
            <w:r>
              <w:rPr>
                <w:rFonts w:ascii="Arial;Helvetica;sans-serif" w:hAnsi="Arial;Helvetica;sans-serif"/>
                <w:b w:val="false"/>
                <w:color w:val="636466"/>
                <w:sz w:val="16"/>
              </w:rPr>
              <w:t xml:space="preserve">and </w:t>
            </w:r>
            <w:r>
              <w:rPr>
                <w:rFonts w:ascii="Arial;Helvetica;sans-serif" w:hAnsi="Arial;Helvetica;sans-serif"/>
                <w:b/>
                <w:color w:val="636466"/>
                <w:sz w:val="16"/>
              </w:rPr>
              <w:t xml:space="preserve">Strategy and M&amp;A Experience </w:t>
            </w:r>
            <w:r>
              <w:rPr>
                <w:rFonts w:ascii="Arial;Helvetica;sans-serif" w:hAnsi="Arial;Helvetica;sans-serif"/>
                <w:b w:val="false"/>
                <w:color w:val="636466"/>
                <w:sz w:val="16"/>
              </w:rPr>
              <w:t>acquired during his more than 35 years in the healthcare industry, which has resulted in him possessing vast global commercial and pharmaceutical expertise and a proven ability to build, grow, and manage large complex organizations utilizing his substantial experience in developing and executing regulatory, clinical, and business development strategies as displayed by his time at BioAtla, where he built a clinical development structure that moved multiple assets from investigational new drug applications into late stage clinical development, drove the company’s long-term strategic operational plan, and led all business development activities, and, prior to that, his time at Celgene where he led the company’s oncology, inflammation, and immunology franchise, commercial operations, and clinical development</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636466"/>
                <w:sz w:val="16"/>
              </w:rPr>
              <w:t xml:space="preserve">Mr. Smith also brings </w:t>
            </w:r>
            <w:r>
              <w:rPr>
                <w:rFonts w:ascii="Arial;Helvetica;sans-serif" w:hAnsi="Arial;Helvetica;sans-serif"/>
                <w:b/>
                <w:color w:val="636466"/>
                <w:sz w:val="16"/>
              </w:rPr>
              <w:t xml:space="preserve">Finance, Accounting, and Capital Markets </w:t>
            </w:r>
            <w:r>
              <w:rPr>
                <w:rFonts w:ascii="Arial;Helvetica;sans-serif" w:hAnsi="Arial;Helvetica;sans-serif"/>
                <w:b w:val="false"/>
                <w:color w:val="636466"/>
                <w:sz w:val="16"/>
              </w:rPr>
              <w:t xml:space="preserve">and </w:t>
            </w:r>
            <w:r>
              <w:rPr>
                <w:rFonts w:ascii="Arial;Helvetica;sans-serif" w:hAnsi="Arial;Helvetica;sans-serif"/>
                <w:b/>
                <w:color w:val="636466"/>
                <w:sz w:val="16"/>
              </w:rPr>
              <w:t xml:space="preserve">Human Capital Management Experience </w:t>
            </w:r>
            <w:r>
              <w:rPr>
                <w:rFonts w:ascii="Arial;Helvetica;sans-serif" w:hAnsi="Arial;Helvetica;sans-serif"/>
                <w:b w:val="false"/>
                <w:color w:val="636466"/>
                <w:sz w:val="16"/>
              </w:rPr>
              <w:t>to the Board</w:t>
            </w:r>
          </w:p>
        </w:tc>
      </w:tr>
      <w:tr>
        <w:trPr/>
        <w:tc>
          <w:tcPr>
            <w:tcW w:w="1981"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24"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Other Current Public Company Boards:</w:t>
            </w:r>
            <w:r>
              <w:rPr>
                <w:rFonts w:ascii="Arial;Helvetica;sans-serif" w:hAnsi="Arial;Helvetica;sans-serif"/>
                <w:b/>
                <w:color w:val="636466"/>
                <w:sz w:val="16"/>
              </w:rPr>
              <w:t xml:space="preserve"> </w:t>
            </w:r>
          </w:p>
          <w:p>
            <w:pPr>
              <w:pStyle w:val="TableContents"/>
              <w:bidi w:val="0"/>
              <w:spacing w:before="120" w:after="283"/>
              <w:ind w:left="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BioAtla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(since 2020), Director</w:t>
            </w:r>
          </w:p>
        </w:tc>
      </w:tr>
      <w:tr>
        <w:trPr/>
        <w:tc>
          <w:tcPr>
            <w:tcW w:w="1981"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24"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Former Public Company Boards:</w:t>
            </w:r>
          </w:p>
          <w:p>
            <w:pPr>
              <w:pStyle w:val="TableContents"/>
              <w:bidi w:val="0"/>
              <w:spacing w:before="120" w:after="283"/>
              <w:ind w:left="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Apexigen, Inc.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(2019 - 2023 when it was acquired by Pyxis Oncology, Inc.), Director and most recently member of the Compensation and Corporate Governance and Nominating Committees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Titan Pharmaceuticals, Inc. </w:t>
            </w:r>
            <w:r>
              <w:rPr>
                <w:rFonts w:ascii="Arial;Helvetica;sans-serif" w:hAnsi="Arial;Helvetica;sans-serif"/>
                <w:b w:val="false"/>
                <w:color w:val="636466"/>
                <w:sz w:val="16"/>
              </w:rPr>
              <w:t xml:space="preserve">(NASDAQ: TTNP)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(2017 - 2020), Director and Chair of the Compensation and Nominating and Governance Committees</w:t>
            </w:r>
          </w:p>
        </w:tc>
      </w:tr>
      <w:tr>
        <w:trPr/>
        <w:tc>
          <w:tcPr>
            <w:tcW w:w="1981"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824" w:type="dxa"/>
            <w:tcBorders/>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Former Private Company Boards:</w:t>
            </w:r>
          </w:p>
          <w:p>
            <w:pPr>
              <w:pStyle w:val="TableContents"/>
              <w:bidi w:val="0"/>
              <w:spacing w:before="120" w:after="283"/>
              <w:ind w:left="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Triumvira Immunologics, Inc.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(2018 - 2023), Director and Chairman</w:t>
            </w:r>
          </w:p>
          <w:p>
            <w:pPr>
              <w:pStyle w:val="TableContents"/>
              <w:bidi w:val="0"/>
              <w:spacing w:before="120" w:after="283"/>
              <w:ind w:left="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Refuge Biotechnologies, Inc.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(2018 - 2022), Director</w:t>
            </w:r>
          </w:p>
          <w:p>
            <w:pPr>
              <w:pStyle w:val="TableContents"/>
              <w:bidi w:val="0"/>
              <w:spacing w:before="120" w:after="283"/>
              <w:ind w:left="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F-star Therapeutics, Inc.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(2018 - 2020), Chairman and member of the Audit and Nominating and Corporate Governance Committees</w:t>
            </w:r>
          </w:p>
        </w:tc>
      </w:tr>
      <w:tr>
        <w:trPr/>
        <w:tc>
          <w:tcPr>
            <w:tcW w:w="1981"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24" w:type="dxa"/>
            <w:tcBorders/>
            <w:vAlign w:val="center"/>
          </w:tcPr>
          <w:p>
            <w:pPr>
              <w:pStyle w:val="TableContents"/>
              <w:bidi w:val="0"/>
              <w:spacing w:before="0" w:after="0"/>
              <w:jc w:val="left"/>
              <w:rPr/>
            </w:pPr>
            <w:r>
              <w:rPr/>
              <w:t> </w:t>
            </w:r>
          </w:p>
        </w:tc>
      </w:tr>
    </w:tbl>
    <w:tbl>
      <w:tblPr>
        <w:tblW w:w="4980" w:type="dxa"/>
        <w:jc w:val="left"/>
        <w:tblInd w:w="106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101"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82" descr=""/>
                          <pic:cNvPicPr>
                            <a:picLocks noChangeAspect="1" noChangeArrowheads="1"/>
                          </pic:cNvPicPr>
                        </pic:nvPicPr>
                        <pic:blipFill>
                          <a:blip r:embed="rId92"/>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Statement | 21</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102"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83" descr=""/>
                    <pic:cNvPicPr>
                      <a:picLocks noChangeAspect="1" noChangeArrowheads="1"/>
                    </pic:cNvPicPr>
                  </pic:nvPicPr>
                  <pic:blipFill>
                    <a:blip r:embed="rId93"/>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52" w:name="ny20055082x771_def14a_106-directors_pg17"/>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lef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p>
      <w:pPr>
        <w:pStyle w:val="Normal"/>
        <w:bidi w:val="0"/>
        <w:spacing w:before="0" w:after="0"/>
        <w:ind w:left="1060" w:right="0" w:hanging="0"/>
        <w:jc w:val="left"/>
        <w:rPr>
          <w:sz w:val="4"/>
          <w:szCs w:val="4"/>
        </w:rPr>
      </w:pPr>
      <w:r>
        <w:rPr>
          <w:sz w:val="4"/>
          <w:szCs w:val="4"/>
        </w:rPr>
      </w:r>
      <w:bookmarkStart w:id="53" w:name="tRVCM"/>
      <w:bookmarkStart w:id="54" w:name="tRVCM"/>
      <w:bookmarkEnd w:id="54"/>
    </w:p>
    <w:tbl>
      <w:tblPr>
        <w:tblW w:w="9145" w:type="dxa"/>
        <w:jc w:val="left"/>
        <w:tblInd w:w="1060" w:type="dxa"/>
        <w:tblLayout w:type="fixed"/>
        <w:tblCellMar>
          <w:top w:w="0" w:type="dxa"/>
          <w:left w:w="0" w:type="dxa"/>
          <w:bottom w:w="0" w:type="dxa"/>
          <w:right w:w="0" w:type="dxa"/>
        </w:tblCellMar>
      </w:tblPr>
      <w:tblGrid>
        <w:gridCol w:w="1905"/>
        <w:gridCol w:w="170"/>
        <w:gridCol w:w="170"/>
        <w:gridCol w:w="6900"/>
      </w:tblGrid>
      <w:tr>
        <w:trPr/>
        <w:tc>
          <w:tcPr>
            <w:tcW w:w="1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0" w:type="dxa"/>
            <w:tcBorders/>
            <w:vAlign w:val="center"/>
          </w:tcPr>
          <w:p>
            <w:pPr>
              <w:pStyle w:val="TableContents"/>
              <w:bidi w:val="0"/>
              <w:spacing w:before="0" w:after="0"/>
              <w:jc w:val="left"/>
              <w:rPr/>
            </w:pPr>
            <w:r>
              <w:rPr/>
              <w:t> </w:t>
            </w:r>
          </w:p>
        </w:tc>
      </w:tr>
      <w:tr>
        <w:trPr/>
        <w:tc>
          <w:tcPr>
            <w:tcW w:w="1905" w:type="dxa"/>
            <w:vMerge w:val="restart"/>
            <w:tcBorders/>
            <w:vAlign w:val="center"/>
          </w:tcPr>
          <w:p>
            <w:pPr>
              <w:pStyle w:val="TableContents"/>
              <w:bidi w:val="0"/>
              <w:spacing w:before="0" w:after="283"/>
              <w:jc w:val="center"/>
              <w:rPr>
                <w:color w:val="636466"/>
              </w:rPr>
            </w:pPr>
            <w:r>
              <w:rPr>
                <w:color w:val="636466"/>
              </w:rPr>
              <w:drawing>
                <wp:inline distT="0" distB="0" distL="0" distR="0">
                  <wp:extent cx="1181100" cy="1181100"/>
                  <wp:effectExtent l="0" t="0" r="0" b="0"/>
                  <wp:docPr id="103"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84" descr=""/>
                          <pic:cNvPicPr>
                            <a:picLocks noChangeAspect="1" noChangeArrowheads="1"/>
                          </pic:cNvPicPr>
                        </pic:nvPicPr>
                        <pic:blipFill>
                          <a:blip r:embed="rId94"/>
                          <a:stretch>
                            <a:fillRect/>
                          </a:stretch>
                        </pic:blipFill>
                        <pic:spPr bwMode="auto">
                          <a:xfrm>
                            <a:off x="0" y="0"/>
                            <a:ext cx="1181100" cy="1181100"/>
                          </a:xfrm>
                          <a:prstGeom prst="rect">
                            <a:avLst/>
                          </a:prstGeom>
                        </pic:spPr>
                      </pic:pic>
                    </a:graphicData>
                  </a:graphic>
                </wp:inline>
              </w:drawing>
            </w:r>
          </w:p>
          <w:p>
            <w:pPr>
              <w:pStyle w:val="TableContents"/>
              <w:bidi w:val="0"/>
              <w:spacing w:before="0" w:after="283"/>
              <w:ind w:left="0" w:right="0" w:hanging="0"/>
              <w:jc w:val="left"/>
              <w:rPr>
                <w:color w:val="636466"/>
              </w:rPr>
            </w:pPr>
            <w:r>
              <w:rPr>
                <w:color w:val="636466"/>
              </w:rPr>
              <w:t> </w:t>
            </w:r>
          </w:p>
          <w:p>
            <w:pPr>
              <w:pStyle w:val="TableContents"/>
              <w:bidi w:val="0"/>
              <w:spacing w:before="180" w:after="283"/>
              <w:ind w:left="0" w:right="0" w:hanging="0"/>
              <w:jc w:val="left"/>
              <w:rPr>
                <w:rFonts w:ascii="Arial;Helvetica;sans-serif" w:hAnsi="Arial;Helvetica;sans-serif"/>
                <w:color w:val="636466"/>
                <w:sz w:val="16"/>
              </w:rPr>
            </w:pPr>
            <w:r>
              <w:rPr>
                <w:rFonts w:ascii="Arial;Helvetica;sans-serif" w:hAnsi="Arial;Helvetica;sans-serif"/>
                <w:b/>
                <w:color w:val="1F1C6B"/>
                <w:sz w:val="16"/>
              </w:rPr>
              <w:t xml:space="preserve">Age: </w:t>
            </w:r>
            <w:r>
              <w:rPr>
                <w:rFonts w:ascii="Arial;Helvetica;sans-serif" w:hAnsi="Arial;Helvetica;sans-serif"/>
                <w:color w:val="636466"/>
                <w:sz w:val="16"/>
              </w:rPr>
              <w:t xml:space="preserve">61 </w:t>
            </w:r>
          </w:p>
          <w:p>
            <w:pPr>
              <w:pStyle w:val="TableContents"/>
              <w:bidi w:val="0"/>
              <w:spacing w:before="180" w:after="283"/>
              <w:ind w:left="0" w:right="0" w:hanging="0"/>
              <w:jc w:val="left"/>
              <w:rPr>
                <w:rFonts w:ascii="Arial;Helvetica;sans-serif" w:hAnsi="Arial;Helvetica;sans-serif"/>
                <w:color w:val="636466"/>
                <w:sz w:val="16"/>
              </w:rPr>
            </w:pPr>
            <w:r>
              <w:rPr>
                <w:rFonts w:ascii="Arial;Helvetica;sans-serif" w:hAnsi="Arial;Helvetica;sans-serif"/>
                <w:b/>
                <w:color w:val="1F1C6B"/>
                <w:sz w:val="16"/>
              </w:rPr>
              <w:t>Director since</w:t>
            </w:r>
            <w:r>
              <w:rPr>
                <w:rFonts w:ascii="Arial;Helvetica;sans-serif" w:hAnsi="Arial;Helvetica;sans-serif"/>
                <w:color w:val="636466"/>
                <w:sz w:val="16"/>
              </w:rPr>
              <w:t xml:space="preserve"> 2024</w:t>
            </w:r>
          </w:p>
          <w:p>
            <w:pPr>
              <w:pStyle w:val="TableContents"/>
              <w:bidi w:val="0"/>
              <w:spacing w:before="180" w:after="283"/>
              <w:ind w:left="0" w:right="0" w:hanging="0"/>
              <w:jc w:val="left"/>
              <w:rPr>
                <w:rFonts w:ascii="Arial;Helvetica;sans-serif" w:hAnsi="Arial;Helvetica;sans-serif"/>
                <w:color w:val="636466"/>
                <w:sz w:val="16"/>
              </w:rPr>
            </w:pPr>
            <w:r>
              <w:rPr>
                <w:rFonts w:ascii="Arial;Helvetica;sans-serif" w:hAnsi="Arial;Helvetica;sans-serif"/>
                <w:b/>
                <w:color w:val="1F1C6B"/>
                <w:sz w:val="16"/>
              </w:rPr>
              <w:t>Independent Director</w:t>
            </w:r>
            <w:r>
              <w:rPr>
                <w:rFonts w:ascii="Arial;Helvetica;sans-serif" w:hAnsi="Arial;Helvetica;sans-serif"/>
                <w:color w:val="636466"/>
                <w:sz w:val="16"/>
              </w:rPr>
              <w:t xml:space="preserve"> </w:t>
            </w:r>
          </w:p>
          <w:p>
            <w:pPr>
              <w:pStyle w:val="TableContents"/>
              <w:bidi w:val="0"/>
              <w:spacing w:before="18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Board Committees:</w:t>
            </w:r>
          </w:p>
          <w:p>
            <w:pPr>
              <w:pStyle w:val="TableContents"/>
              <w:bidi w:val="0"/>
              <w:spacing w:before="6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Compliance and Risk </w:t>
            </w:r>
          </w:p>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Oversight</w:t>
            </w:r>
          </w:p>
          <w:p>
            <w:pPr>
              <w:pStyle w:val="TableContents"/>
              <w:bidi w:val="0"/>
              <w:spacing w:before="60" w:after="283"/>
              <w:ind w:left="0" w:right="0" w:hanging="0"/>
              <w:jc w:val="left"/>
              <w:rPr>
                <w:rFonts w:ascii="Arial;Helvetica;sans-serif" w:hAnsi="Arial;Helvetica;sans-serif"/>
                <w:color w:val="636466"/>
                <w:sz w:val="16"/>
              </w:rPr>
            </w:pPr>
            <w:r>
              <w:rPr>
                <w:rFonts w:ascii="Arial;Helvetica;sans-serif" w:hAnsi="Arial;Helvetica;sans-serif"/>
                <w:color w:val="636466"/>
                <w:sz w:val="16"/>
              </w:rPr>
              <w:t>Science and Technology</w:t>
            </w:r>
          </w:p>
        </w:tc>
        <w:tc>
          <w:tcPr>
            <w:tcW w:w="170" w:type="dxa"/>
            <w:vMerge w:val="restart"/>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0" w:type="dxa"/>
            <w:tcBorders/>
            <w:vAlign w:val="center"/>
          </w:tcPr>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t>Rogério Vivaldi Coelho, M.D., M.B.A.</w:t>
            </w:r>
            <w:r>
              <w:rPr>
                <w:rFonts w:ascii="Arial;Helvetica;sans-serif" w:hAnsi="Arial;Helvetica;sans-serif"/>
                <w:b/>
                <w:color w:val="636466"/>
                <w:sz w:val="26"/>
              </w:rPr>
              <w:t> </w:t>
            </w:r>
          </w:p>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0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Founder and Chief Executive Officer (since 2024), </w:t>
            </w:r>
            <w:r>
              <w:rPr>
                <w:rFonts w:ascii="Arial;Helvetica;sans-serif" w:hAnsi="Arial;Helvetica;sans-serif"/>
                <w:b/>
                <w:color w:val="636466"/>
                <w:sz w:val="16"/>
              </w:rPr>
              <w:t>Vivaldi Rare</w:t>
            </w:r>
            <w:r>
              <w:rPr>
                <w:rFonts w:ascii="Arial;Helvetica;sans-serif" w:hAnsi="Arial;Helvetica;sans-serif"/>
                <w:color w:val="636466"/>
                <w:sz w:val="16"/>
              </w:rPr>
              <w:t xml:space="preserve">, a provider of pharma and biotech consulting services </w:t>
            </w:r>
          </w:p>
          <w:p>
            <w:pPr>
              <w:pStyle w:val="TableContents"/>
              <w:bidi w:val="0"/>
              <w:spacing w:before="12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President and Chief Executive Officer (2018 - 2023 when it was acquired by Eli Lilly and Company), </w:t>
            </w:r>
            <w:r>
              <w:rPr>
                <w:rFonts w:ascii="Arial;Helvetica;sans-serif" w:hAnsi="Arial;Helvetica;sans-serif"/>
                <w:b/>
                <w:color w:val="636466"/>
                <w:sz w:val="16"/>
              </w:rPr>
              <w:t>Sigilon Therapeutics, Inc.</w:t>
            </w:r>
            <w:r>
              <w:rPr>
                <w:rFonts w:ascii="Arial;Helvetica;sans-serif" w:hAnsi="Arial;Helvetica;sans-serif"/>
                <w:color w:val="636466"/>
                <w:sz w:val="16"/>
              </w:rPr>
              <w:t>, a diabetes cell therapy company</w:t>
            </w:r>
          </w:p>
          <w:p>
            <w:pPr>
              <w:pStyle w:val="TableContents"/>
              <w:bidi w:val="0"/>
              <w:spacing w:before="12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Executive Vice President and Chief Global Therapeutics Officer (2016 - 2018 when it was acquired by Sanofi), </w:t>
            </w:r>
            <w:r>
              <w:rPr>
                <w:rFonts w:ascii="Arial;Helvetica;sans-serif" w:hAnsi="Arial;Helvetica;sans-serif"/>
                <w:b/>
                <w:color w:val="636466"/>
                <w:sz w:val="16"/>
              </w:rPr>
              <w:t>Bioverativ Inc.</w:t>
            </w:r>
            <w:r>
              <w:rPr>
                <w:rFonts w:ascii="Arial;Helvetica;sans-serif" w:hAnsi="Arial;Helvetica;sans-serif"/>
                <w:color w:val="636466"/>
                <w:sz w:val="16"/>
              </w:rPr>
              <w:t>, a biopharmaceutical company focused on therapies for hemophilia and other rare blood disorders</w:t>
            </w:r>
          </w:p>
          <w:p>
            <w:pPr>
              <w:pStyle w:val="TableContents"/>
              <w:bidi w:val="0"/>
              <w:spacing w:before="12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Executive Vice President and Chief Commercial Officer (2014 - 2016), </w:t>
            </w:r>
            <w:r>
              <w:rPr>
                <w:rFonts w:ascii="Arial;Helvetica;sans-serif" w:hAnsi="Arial;Helvetica;sans-serif"/>
                <w:b/>
                <w:color w:val="636466"/>
                <w:sz w:val="16"/>
              </w:rPr>
              <w:t>Spark Therapeutics, Inc.</w:t>
            </w:r>
            <w:r>
              <w:rPr>
                <w:rFonts w:ascii="Arial;Helvetica;sans-serif" w:hAnsi="Arial;Helvetica;sans-serif"/>
                <w:color w:val="636466"/>
                <w:sz w:val="16"/>
              </w:rPr>
              <w:t>, a gene therapy company</w:t>
            </w:r>
          </w:p>
          <w:p>
            <w:pPr>
              <w:pStyle w:val="TableContents"/>
              <w:bidi w:val="0"/>
              <w:spacing w:before="12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Chief Executive Officer (2013 - 2014), </w:t>
            </w:r>
            <w:r>
              <w:rPr>
                <w:rFonts w:ascii="Arial;Helvetica;sans-serif" w:hAnsi="Arial;Helvetica;sans-serif"/>
                <w:b/>
                <w:color w:val="636466"/>
                <w:sz w:val="16"/>
              </w:rPr>
              <w:t>Minerva Neurosciences, Inc.</w:t>
            </w:r>
            <w:r>
              <w:rPr>
                <w:rFonts w:ascii="Arial;Helvetica;sans-serif" w:hAnsi="Arial;Helvetica;sans-serif"/>
                <w:color w:val="636466"/>
                <w:sz w:val="16"/>
              </w:rPr>
              <w:t>, a clinical-stage biopharmaceutical company focused on the development and commercialization of product candidates to treat patients suffering from central nervous system diseases</w:t>
            </w:r>
          </w:p>
          <w:p>
            <w:pPr>
              <w:pStyle w:val="TableContents"/>
              <w:bidi w:val="0"/>
              <w:spacing w:before="12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Earlier in his career, held positions of increasing responsibility including leading rare disease business as President of both the rare disease business and the renal and endocrine group and served as Senior Vice President and General Manager of the Latin America Group, </w:t>
            </w:r>
            <w:r>
              <w:rPr>
                <w:rFonts w:ascii="Arial;Helvetica;sans-serif" w:hAnsi="Arial;Helvetica;sans-serif"/>
                <w:b/>
                <w:color w:val="636466"/>
                <w:sz w:val="16"/>
              </w:rPr>
              <w:t>Genzyme Corporation</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0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Key Skills and Experience:</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CEO and Public Company Management, Corporate Governance, Finance, Accounting, and Capital Markets, Healthcare Industry, Risk Oversight/Compliance, </w:t>
            </w:r>
            <w:r>
              <w:rPr>
                <w:rFonts w:ascii="Arial;Helvetica;sans-serif" w:hAnsi="Arial;Helvetica;sans-serif"/>
                <w:b w:val="false"/>
                <w:color w:val="636466"/>
                <w:sz w:val="16"/>
              </w:rPr>
              <w:t xml:space="preserve">and </w:t>
            </w:r>
            <w:r>
              <w:rPr>
                <w:rFonts w:ascii="Arial;Helvetica;sans-serif" w:hAnsi="Arial;Helvetica;sans-serif"/>
                <w:b/>
                <w:color w:val="636466"/>
                <w:sz w:val="16"/>
              </w:rPr>
              <w:t xml:space="preserve">Strategy and M&amp;A Experience </w:t>
            </w:r>
            <w:r>
              <w:rPr>
                <w:rFonts w:ascii="Arial;Helvetica;sans-serif" w:hAnsi="Arial;Helvetica;sans-serif"/>
                <w:b w:val="false"/>
                <w:color w:val="636466"/>
                <w:sz w:val="16"/>
              </w:rPr>
              <w:t>obtained over his many years in leadership positions in the healthcare industry, where he gained extensive experience leading and managing commercial, marketing, and sales operations, managing patient access initiatives, and leading the successful approval of innovative medicines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636466"/>
                <w:sz w:val="16"/>
              </w:rPr>
              <w:t xml:space="preserve">Dr. Vivaldi also brings </w:t>
            </w:r>
            <w:r>
              <w:rPr>
                <w:rFonts w:ascii="Arial;Helvetica;sans-serif" w:hAnsi="Arial;Helvetica;sans-serif"/>
                <w:b/>
                <w:color w:val="636466"/>
                <w:sz w:val="16"/>
              </w:rPr>
              <w:t xml:space="preserve">Global Business </w:t>
            </w:r>
            <w:r>
              <w:rPr>
                <w:rFonts w:ascii="Arial;Helvetica;sans-serif" w:hAnsi="Arial;Helvetica;sans-serif"/>
                <w:b w:val="false"/>
                <w:color w:val="636466"/>
                <w:sz w:val="16"/>
              </w:rPr>
              <w:t xml:space="preserve">and </w:t>
            </w:r>
            <w:r>
              <w:rPr>
                <w:rFonts w:ascii="Arial;Helvetica;sans-serif" w:hAnsi="Arial;Helvetica;sans-serif"/>
                <w:b/>
                <w:color w:val="636466"/>
                <w:sz w:val="16"/>
              </w:rPr>
              <w:t xml:space="preserve">Human Capital Management Experience </w:t>
            </w:r>
            <w:r>
              <w:rPr>
                <w:rFonts w:ascii="Arial;Helvetica;sans-serif" w:hAnsi="Arial;Helvetica;sans-serif"/>
                <w:b w:val="false"/>
                <w:color w:val="636466"/>
                <w:sz w:val="16"/>
              </w:rPr>
              <w:t>to the Board</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0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Other Current Public Company Boards: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Crinetics Pharmaceuticals, Inc. </w:t>
            </w:r>
            <w:r>
              <w:rPr>
                <w:rFonts w:ascii="Arial;Helvetica;sans-serif" w:hAnsi="Arial;Helvetica;sans-serif"/>
                <w:b w:val="false"/>
                <w:color w:val="636466"/>
                <w:sz w:val="16"/>
              </w:rPr>
              <w:t>(NASDAQ: CRNX) (since 2022), Director and member of the Audit Committee and the Research and Development Committee</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0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Former Public Company Boards:</w:t>
            </w:r>
          </w:p>
          <w:p>
            <w:pPr>
              <w:pStyle w:val="TableContents"/>
              <w:bidi w:val="0"/>
              <w:spacing w:before="120" w:after="283"/>
              <w:ind w:left="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Sigilon Therapeutics, Inc.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(2018 - 2023 when it was acquired by Eli Lilly and Company), Director</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636466"/>
                <w:sz w:val="16"/>
              </w:rPr>
              <w:t xml:space="preserve">Minerva Neurosciences, Inc. </w:t>
            </w:r>
            <w:r>
              <w:rPr>
                <w:rFonts w:ascii="Arial;Helvetica;sans-serif" w:hAnsi="Arial;Helvetica;sans-serif"/>
                <w:b w:val="false"/>
                <w:color w:val="636466"/>
                <w:sz w:val="16"/>
              </w:rPr>
              <w:t xml:space="preserve">(NASDAQ: NERV)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(2013 - 2014), Director</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900" w:type="dxa"/>
            <w:tcBorders/>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Former Private Company Boards:</w:t>
            </w:r>
          </w:p>
          <w:p>
            <w:pPr>
              <w:pStyle w:val="TableContents"/>
              <w:bidi w:val="0"/>
              <w:spacing w:before="120" w:after="283"/>
              <w:ind w:left="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Spark Therapeutics, Inc. </w:t>
            </w:r>
          </w:p>
          <w:p>
            <w:pPr>
              <w:pStyle w:val="TableContents"/>
              <w:bidi w:val="0"/>
              <w:spacing w:before="0" w:after="283"/>
              <w:ind w:left="0" w:right="0" w:hanging="0"/>
              <w:jc w:val="left"/>
              <w:rPr>
                <w:rFonts w:ascii="Arial;Helvetica;sans-serif" w:hAnsi="Arial;Helvetica;sans-serif"/>
                <w:b w:val="false"/>
                <w:color w:val="636466"/>
                <w:sz w:val="16"/>
              </w:rPr>
            </w:pPr>
            <w:r>
              <w:rPr>
                <w:rFonts w:ascii="Arial;Helvetica;sans-serif" w:hAnsi="Arial;Helvetica;sans-serif"/>
                <w:b w:val="false"/>
                <w:color w:val="636466"/>
                <w:sz w:val="16"/>
              </w:rPr>
              <w:t>(2014), Director</w:t>
            </w:r>
          </w:p>
        </w:tc>
      </w:tr>
      <w:tr>
        <w:trPr/>
        <w:tc>
          <w:tcPr>
            <w:tcW w:w="1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0" w:type="dxa"/>
            <w:tcBorders/>
            <w:vAlign w:val="center"/>
          </w:tcPr>
          <w:p>
            <w:pPr>
              <w:pStyle w:val="TableContents"/>
              <w:bidi w:val="0"/>
              <w:spacing w:before="0" w:after="0"/>
              <w:jc w:val="left"/>
              <w:rPr/>
            </w:pPr>
            <w:r>
              <w:rPr/>
              <w:t> </w:t>
            </w:r>
          </w:p>
        </w:tc>
      </w:tr>
    </w:tbl>
    <w:tbl>
      <w:tblPr>
        <w:tblW w:w="4980" w:type="dxa"/>
        <w:jc w:val="left"/>
        <w:tblInd w:w="106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22 | 2025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104"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85" descr=""/>
                          <pic:cNvPicPr>
                            <a:picLocks noChangeAspect="1" noChangeArrowheads="1"/>
                          </pic:cNvPicPr>
                        </pic:nvPicPr>
                        <pic:blipFill>
                          <a:blip r:embed="rId95"/>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105"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86" descr=""/>
                    <pic:cNvPicPr>
                      <a:picLocks noChangeAspect="1" noChangeArrowheads="1"/>
                    </pic:cNvPicPr>
                  </pic:nvPicPr>
                  <pic:blipFill>
                    <a:blip r:embed="rId96"/>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55" w:name="ny20055082x771_def14a_106-directors_pg18"/>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righ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p>
      <w:pPr>
        <w:pStyle w:val="TextBody"/>
        <w:bidi w:val="0"/>
        <w:spacing w:before="160" w:after="283"/>
        <w:ind w:left="1060" w:right="0" w:hanging="0"/>
        <w:jc w:val="left"/>
        <w:rPr>
          <w:rFonts w:ascii="Arial;Helvetica;sans-serif" w:hAnsi="Arial;Helvetica;sans-serif"/>
          <w:color w:val="72288A"/>
          <w:sz w:val="24"/>
        </w:rPr>
      </w:pPr>
      <w:bookmarkStart w:id="56" w:name="tAIN"/>
      <w:bookmarkEnd w:id="56"/>
      <w:r>
        <w:rPr>
          <w:rFonts w:ascii="Arial;Helvetica;sans-serif" w:hAnsi="Arial;Helvetica;sans-serif"/>
          <w:color w:val="72288A"/>
          <w:sz w:val="24"/>
        </w:rPr>
        <w:t xml:space="preserve">Director Independence </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Viatris’ Board has determined that Mr. Cornwell, Mr. D’Amelio, Ms. Dillon, Ms. Finney, Mr. Groothuis, Ms. Higgins, Mr. Kilts, Mr. Korman, Mr. Mark, Mr. Parrish, Dr. Severino, Mr. Simmons, and Dr. Vivaldi are independent Directors under the applicable NASDAQ listing rules. </w:t>
      </w:r>
    </w:p>
    <w:p>
      <w:pPr>
        <w:pStyle w:val="TextBody"/>
        <w:bidi w:val="0"/>
        <w:spacing w:before="31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Messrs. Malik and Smith are not independent Directors under applicable NASDAQ listing rules. </w:t>
      </w:r>
    </w:p>
    <w:p>
      <w:pPr>
        <w:pStyle w:val="TextBody"/>
        <w:bidi w:val="0"/>
        <w:spacing w:before="430" w:after="283"/>
        <w:ind w:left="1060" w:right="0" w:hanging="0"/>
        <w:jc w:val="left"/>
        <w:rPr>
          <w:rFonts w:ascii="Arial;Helvetica;sans-serif" w:hAnsi="Arial;Helvetica;sans-serif"/>
          <w:color w:val="1F1C6B"/>
          <w:sz w:val="30"/>
        </w:rPr>
      </w:pPr>
      <w:bookmarkStart w:id="57" w:name="tHOB"/>
      <w:bookmarkEnd w:id="57"/>
      <w:r>
        <w:rPr>
          <w:rFonts w:ascii="Arial;Helvetica;sans-serif" w:hAnsi="Arial;Helvetica;sans-serif"/>
          <w:color w:val="1F1C6B"/>
          <w:sz w:val="30"/>
        </w:rPr>
        <w:t xml:space="preserve">How Our Board Governs and Is Governed </w:t>
      </w:r>
    </w:p>
    <w:p>
      <w:pPr>
        <w:pStyle w:val="TextBody"/>
        <w:bidi w:val="0"/>
        <w:spacing w:before="250" w:after="283"/>
        <w:ind w:left="1060" w:right="0" w:hanging="0"/>
        <w:jc w:val="left"/>
        <w:rPr>
          <w:rFonts w:ascii="Arial;Helvetica;sans-serif" w:hAnsi="Arial;Helvetica;sans-serif"/>
          <w:color w:val="72288A"/>
          <w:sz w:val="24"/>
        </w:rPr>
      </w:pPr>
      <w:r>
        <w:rPr>
          <w:rFonts w:ascii="Arial;Helvetica;sans-serif" w:hAnsi="Arial;Helvetica;sans-serif"/>
          <w:color w:val="72288A"/>
          <w:sz w:val="24"/>
        </w:rPr>
        <w:t>Viatris’ Board Structure</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As set forth in our Amended and Restated Bylaws (the “Bylaws”), the Company has a majority vote standard for director elections in the event of an uncontested election and a plurality standard in the event of a contested election. The Bylaws also provide that if a nominee for Director who is an incumbent is not elected and no successor has been elected at such meeting, the Director shall promptly tender their irrevocable resignation to the Board, such resignation to be effective upon acceptance by the Board. All Directors are submitted for election at each annual meeting of shareholders.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The Board has selected a leadership and management structure that it believes is best suited to meet the needs of the Company and our shareholders. The flexibility to make these decisions serves the interests of the Company and its shareholders, as the Board is best positioned to evaluate the optimal leadership structure for the Company based upon the respective talents of the individual Directors and the Company’s leadership team, strategic objectives, and challenges and opportunities over time. </w:t>
      </w:r>
    </w:p>
    <w:p>
      <w:pPr>
        <w:pStyle w:val="TextBody"/>
        <w:bidi w:val="0"/>
        <w:spacing w:before="420" w:after="283"/>
        <w:ind w:left="1060" w:right="0" w:hanging="0"/>
        <w:jc w:val="left"/>
        <w:rPr>
          <w:rFonts w:ascii="Arial;Helvetica;sans-serif" w:hAnsi="Arial;Helvetica;sans-serif"/>
          <w:b/>
          <w:color w:val="1F1C6B"/>
          <w:sz w:val="18"/>
        </w:rPr>
      </w:pPr>
      <w:r>
        <w:rPr>
          <w:rFonts w:ascii="Arial;Helvetica;sans-serif" w:hAnsi="Arial;Helvetica;sans-serif"/>
          <w:b/>
          <w:color w:val="1F1C6B"/>
          <w:sz w:val="18"/>
        </w:rPr>
        <w:t xml:space="preserve">Our Board Structure </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The Board believes that its current leadership structure – Mr. Smith as CEO and Ms. Higgins as independent Chair – provides a clear delineation of responsibilities for each position and fosters greater accountability of management, which remain critical given our enduring focus on execution and results. The Board believes this structure allows the CEO to continue to focus on running the Company on a day-to-day basis while allowing the Chair to lead the Board in providing advice to, and independent oversight of, management. As set forth below, the independent Chair also has significant authority for all Board matters and serves as Chair of the Executive Committee. </w:t>
      </w:r>
    </w:p>
    <w:p>
      <w:pPr>
        <w:pStyle w:val="TextBody"/>
        <w:bidi w:val="0"/>
        <w:spacing w:before="240" w:after="283"/>
        <w:ind w:left="1060" w:right="0" w:hanging="0"/>
        <w:jc w:val="left"/>
        <w:rPr/>
      </w:pPr>
      <w:r>
        <w:rPr>
          <w:rFonts w:ascii="Arial;Helvetica;sans-serif" w:hAnsi="Arial;Helvetica;sans-serif"/>
          <w:color w:val="636466"/>
          <w:sz w:val="18"/>
        </w:rPr>
        <w:t xml:space="preserve">As described in “Setting and Overseeing Strategy” on page </w:t>
      </w:r>
      <w:hyperlink w:anchor="tSAO">
        <w:r>
          <w:rPr>
            <w:rStyle w:val="InternetLink"/>
            <w:rFonts w:ascii="Arial;Helvetica;sans-serif" w:hAnsi="Arial;Helvetica;sans-serif"/>
            <w:color w:val="000080"/>
            <w:sz w:val="18"/>
          </w:rPr>
          <w:t>30</w:t>
        </w:r>
      </w:hyperlink>
      <w:r>
        <w:rPr>
          <w:rFonts w:ascii="Arial;Helvetica;sans-serif" w:hAnsi="Arial;Helvetica;sans-serif"/>
          <w:color w:val="636466"/>
          <w:sz w:val="18"/>
        </w:rPr>
        <w:t xml:space="preserve"> below, the Board actively discusses, determines, and oversees the Company’s strategic initiatives and priorities. The Board believes that Ms. Higgins’ skills and experience detailed on page </w:t>
      </w:r>
      <w:hyperlink w:anchor="tMH">
        <w:r>
          <w:rPr>
            <w:rStyle w:val="InternetLink"/>
            <w:rFonts w:ascii="Arial;Helvetica;sans-serif" w:hAnsi="Arial;Helvetica;sans-serif"/>
            <w:color w:val="000080"/>
            <w:sz w:val="18"/>
          </w:rPr>
          <w:t>15</w:t>
        </w:r>
      </w:hyperlink>
      <w:r>
        <w:rPr>
          <w:rFonts w:ascii="Arial;Helvetica;sans-serif" w:hAnsi="Arial;Helvetica;sans-serif"/>
          <w:color w:val="636466"/>
          <w:sz w:val="18"/>
        </w:rPr>
        <w:t xml:space="preserve"> as well as her deep knowledge of the Company make her an invaluable leader of the Board and resource to the CEO and management. The Chair determines the information sent to Board, the Board’s meeting agendas, and meeting schedules to assure that the Board is properly informed with respect to agenda items in advance and that there is sufficient time for discussion of agenda items at the meetings. The Chair presides at all meetings of shareholders and serves as point person for shareholders wishing to communicate with the Board. The Chair of the Board also serves as Chair of the Executive Committee. The independent Chair also presides at executive sessions of the independent Directors and has the authority to call meetings of the independent Directors. As set forth in the Corporate Governance Principles, the independent Chair is responsible for appointing a Director to serve as Vice Chair. The Vice Chair serves on the Executive Committee and, in the absence of the Chair, presides over Board meetings. Ms. Higgins has appointed Mr. Parrish to serve as Vice Chair of the Board.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Mr. Smith is tasked with leading the daily management and performance of the business, which include, among other responsibilities, ensuring that the Company is optimally structured and efficiently resourced to deliver sustainable value to patients, shareholders, customers, and other key stakeholders and building and executing on the Company's strategy to accelerate its growth by building on the strength of its base business with an expanding portfolio of innovative, best-in-class, patent-protected assets, and focusing on the Company's strategic pillars: strengthening our core, fueling innovation, optimizing our global structure and investing for growth. The Board continues to believe that Mr. Smith’s experience and expertise positions him to manage the global nature and complexity of a business and execute on the Company's strategic initiatives and priorities. The Board has also adopted the corporate governance policies and practices set forth below that promote a strong and effective Board that provides independent oversight. </w:t>
      </w:r>
    </w:p>
    <w:tbl>
      <w:tblPr>
        <w:tblW w:w="4980" w:type="dxa"/>
        <w:jc w:val="left"/>
        <w:tblInd w:w="106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106"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87" descr=""/>
                          <pic:cNvPicPr>
                            <a:picLocks noChangeAspect="1" noChangeArrowheads="1"/>
                          </pic:cNvPicPr>
                        </pic:nvPicPr>
                        <pic:blipFill>
                          <a:blip r:embed="rId97"/>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Statement | 23</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107"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88" descr=""/>
                    <pic:cNvPicPr>
                      <a:picLocks noChangeAspect="1" noChangeArrowheads="1"/>
                    </pic:cNvPicPr>
                  </pic:nvPicPr>
                  <pic:blipFill>
                    <a:blip r:embed="rId98"/>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58" w:name="ny20055082x771_def14a_106-directors_pg19"/>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lef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p>
      <w:pPr>
        <w:pStyle w:val="TextBody"/>
        <w:bidi w:val="0"/>
        <w:spacing w:before="12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Among the factors that demonstrate the Board’s commitment to good governance practices and enable it to provide highly effective oversight and direction are:</w:t>
      </w:r>
    </w:p>
    <w:p>
      <w:pPr>
        <w:pStyle w:val="Normal"/>
        <w:bidi w:val="0"/>
        <w:spacing w:before="0" w:after="0"/>
        <w:jc w:val="left"/>
        <w:rPr>
          <w:sz w:val="4"/>
          <w:szCs w:val="4"/>
        </w:rPr>
      </w:pPr>
      <w:r>
        <w:rPr>
          <w:sz w:val="4"/>
          <w:szCs w:val="4"/>
        </w:rPr>
      </w:r>
      <w:bookmarkStart w:id="59" w:name="tTC"/>
      <w:bookmarkStart w:id="60" w:name="tTC"/>
      <w:bookmarkEnd w:id="60"/>
    </w:p>
    <w:tbl>
      <w:tblPr>
        <w:tblW w:w="9145" w:type="dxa"/>
        <w:jc w:val="left"/>
        <w:tblInd w:w="1060" w:type="dxa"/>
        <w:tblLayout w:type="fixed"/>
        <w:tblCellMar>
          <w:top w:w="0" w:type="dxa"/>
          <w:left w:w="0" w:type="dxa"/>
          <w:bottom w:w="0" w:type="dxa"/>
          <w:right w:w="0" w:type="dxa"/>
        </w:tblCellMar>
      </w:tblPr>
      <w:tblGrid>
        <w:gridCol w:w="185"/>
        <w:gridCol w:w="170"/>
        <w:gridCol w:w="170"/>
        <w:gridCol w:w="170"/>
        <w:gridCol w:w="8235"/>
        <w:gridCol w:w="215"/>
      </w:tblGrid>
      <w:tr>
        <w:trPr/>
        <w:tc>
          <w:tcPr>
            <w:tcW w:w="185" w:type="dxa"/>
            <w:tcBorders/>
            <w:shd w:fill="FFF1C7" w:val="clear"/>
            <w:vAlign w:val="center"/>
          </w:tcPr>
          <w:p>
            <w:pPr>
              <w:pStyle w:val="TableContents"/>
              <w:bidi w:val="0"/>
              <w:spacing w:before="0" w:after="0"/>
              <w:jc w:val="left"/>
              <w:rPr/>
            </w:pPr>
            <w:r>
              <w:rPr/>
              <w:t> </w:t>
            </w:r>
          </w:p>
        </w:tc>
        <w:tc>
          <w:tcPr>
            <w:tcW w:w="170" w:type="dxa"/>
            <w:tcBorders/>
            <w:shd w:fill="FFF1C7" w:val="clear"/>
            <w:vAlign w:val="center"/>
          </w:tcPr>
          <w:p>
            <w:pPr>
              <w:pStyle w:val="TableContents"/>
              <w:bidi w:val="0"/>
              <w:spacing w:before="0" w:after="0"/>
              <w:jc w:val="left"/>
              <w:rPr/>
            </w:pPr>
            <w:r>
              <w:rPr/>
              <w:t> </w:t>
            </w:r>
          </w:p>
        </w:tc>
        <w:tc>
          <w:tcPr>
            <w:tcW w:w="170" w:type="dxa"/>
            <w:tcBorders/>
            <w:shd w:fill="FFF1C7" w:val="clear"/>
            <w:vAlign w:val="center"/>
          </w:tcPr>
          <w:p>
            <w:pPr>
              <w:pStyle w:val="TableContents"/>
              <w:bidi w:val="0"/>
              <w:spacing w:before="0" w:after="0"/>
              <w:jc w:val="left"/>
              <w:rPr/>
            </w:pPr>
            <w:r>
              <w:rPr/>
              <w:t> </w:t>
            </w:r>
          </w:p>
        </w:tc>
        <w:tc>
          <w:tcPr>
            <w:tcW w:w="170" w:type="dxa"/>
            <w:tcBorders/>
            <w:shd w:fill="FFF1C7" w:val="clear"/>
            <w:vAlign w:val="center"/>
          </w:tcPr>
          <w:p>
            <w:pPr>
              <w:pStyle w:val="TableContents"/>
              <w:bidi w:val="0"/>
              <w:spacing w:before="0" w:after="0"/>
              <w:jc w:val="left"/>
              <w:rPr/>
            </w:pPr>
            <w:r>
              <w:rPr/>
              <w:t> </w:t>
            </w:r>
          </w:p>
        </w:tc>
        <w:tc>
          <w:tcPr>
            <w:tcW w:w="8235" w:type="dxa"/>
            <w:tcBorders/>
            <w:shd w:fill="FFF1C7" w:val="clear"/>
            <w:vAlign w:val="center"/>
          </w:tcPr>
          <w:p>
            <w:pPr>
              <w:pStyle w:val="TableContents"/>
              <w:bidi w:val="0"/>
              <w:spacing w:before="0" w:after="0"/>
              <w:jc w:val="left"/>
              <w:rPr/>
            </w:pPr>
            <w:r>
              <w:rPr/>
              <w:t> </w:t>
            </w:r>
          </w:p>
        </w:tc>
        <w:tc>
          <w:tcPr>
            <w:tcW w:w="215" w:type="dxa"/>
            <w:tcBorders/>
            <w:shd w:fill="FFF1C7" w:val="clear"/>
            <w:vAlign w:val="center"/>
          </w:tcPr>
          <w:p>
            <w:pPr>
              <w:pStyle w:val="TableContents"/>
              <w:bidi w:val="0"/>
              <w:spacing w:before="0" w:after="0"/>
              <w:jc w:val="left"/>
              <w:rPr/>
            </w:pPr>
            <w:r>
              <w:rPr/>
              <w:t> </w:t>
            </w:r>
          </w:p>
        </w:tc>
      </w:tr>
      <w:tr>
        <w:trPr/>
        <w:tc>
          <w:tcPr>
            <w:tcW w:w="185" w:type="dxa"/>
            <w:tcBorders/>
            <w:shd w:fill="FFF1C7" w:val="clear"/>
            <w:vAlign w:val="center"/>
          </w:tcPr>
          <w:p>
            <w:pPr>
              <w:pStyle w:val="TableContents"/>
              <w:bidi w:val="0"/>
              <w:spacing w:before="0" w:after="0"/>
              <w:jc w:val="left"/>
              <w:rPr/>
            </w:pPr>
            <w:r>
              <w:rPr/>
              <w:t> </w:t>
            </w:r>
          </w:p>
        </w:tc>
        <w:tc>
          <w:tcPr>
            <w:tcW w:w="170" w:type="dxa"/>
            <w:tcBorders/>
            <w:shd w:fill="FFF1C7" w:val="clear"/>
            <w:vAlign w:val="center"/>
          </w:tcPr>
          <w:p>
            <w:pPr>
              <w:pStyle w:val="TableContents"/>
              <w:bidi w:val="0"/>
              <w:spacing w:before="0" w:after="283"/>
              <w:ind w:left="60" w:right="0" w:hanging="0"/>
              <w:jc w:val="left"/>
              <w:rPr>
                <w:color w:val="636466"/>
              </w:rPr>
            </w:pPr>
            <w:r>
              <w:rPr>
                <w:color w:val="636466"/>
              </w:rPr>
              <w:t>•</w:t>
            </w:r>
          </w:p>
        </w:tc>
        <w:tc>
          <w:tcPr>
            <w:tcW w:w="170" w:type="dxa"/>
            <w:tcBorders/>
            <w:shd w:fill="FFF1C7" w:val="clear"/>
            <w:vAlign w:val="center"/>
          </w:tcPr>
          <w:p>
            <w:pPr>
              <w:pStyle w:val="TableContents"/>
              <w:bidi w:val="0"/>
              <w:spacing w:before="0" w:after="0"/>
              <w:jc w:val="left"/>
              <w:rPr/>
            </w:pPr>
            <w:r>
              <w:rPr/>
              <w:t> </w:t>
            </w:r>
          </w:p>
        </w:tc>
        <w:tc>
          <w:tcPr>
            <w:tcW w:w="170" w:type="dxa"/>
            <w:tcBorders/>
            <w:shd w:fill="FFF1C7" w:val="clear"/>
            <w:vAlign w:val="center"/>
          </w:tcPr>
          <w:p>
            <w:pPr>
              <w:pStyle w:val="TableContents"/>
              <w:bidi w:val="0"/>
              <w:spacing w:before="0" w:after="0"/>
              <w:jc w:val="left"/>
              <w:rPr/>
            </w:pPr>
            <w:r>
              <w:rPr/>
              <w:t> </w:t>
            </w:r>
          </w:p>
        </w:tc>
        <w:tc>
          <w:tcPr>
            <w:tcW w:w="8235" w:type="dxa"/>
            <w:tcBorders/>
            <w:shd w:fill="FFF1C7" w:val="clear"/>
            <w:vAlign w:val="center"/>
          </w:tcPr>
          <w:p>
            <w:pPr>
              <w:pStyle w:val="TableContents"/>
              <w:bidi w:val="0"/>
              <w:spacing w:before="0" w:after="283"/>
              <w:ind w:left="0" w:right="0" w:hanging="0"/>
              <w:jc w:val="left"/>
              <w:rPr>
                <w:rFonts w:ascii="Arial;Helvetica;sans-serif" w:hAnsi="Arial;Helvetica;sans-serif"/>
                <w:b/>
                <w:color w:val="72288A"/>
                <w:sz w:val="18"/>
              </w:rPr>
            </w:pPr>
            <w:r>
              <w:rPr>
                <w:rFonts w:ascii="Arial;Helvetica;sans-serif" w:hAnsi="Arial;Helvetica;sans-serif"/>
                <w:b/>
                <w:color w:val="72288A"/>
                <w:sz w:val="18"/>
              </w:rPr>
              <w:t>12 out of 13 Director nominees (and 13 out of 15 current Directors) are independent</w:t>
            </w:r>
            <w:r>
              <w:rPr>
                <w:rFonts w:ascii="Arial;Helvetica;sans-serif" w:hAnsi="Arial;Helvetica;sans-serif"/>
                <w:b/>
                <w:color w:val="636466"/>
                <w:sz w:val="18"/>
              </w:rPr>
              <w:t xml:space="preserve">; </w:t>
            </w:r>
          </w:p>
        </w:tc>
        <w:tc>
          <w:tcPr>
            <w:tcW w:w="215" w:type="dxa"/>
            <w:tcBorders/>
            <w:shd w:fill="FFF1C7" w:val="clear"/>
            <w:vAlign w:val="center"/>
          </w:tcPr>
          <w:p>
            <w:pPr>
              <w:pStyle w:val="TableContents"/>
              <w:bidi w:val="0"/>
              <w:spacing w:before="0" w:after="0"/>
              <w:jc w:val="left"/>
              <w:rPr/>
            </w:pPr>
            <w:r>
              <w:rPr/>
              <w:t> </w:t>
            </w:r>
          </w:p>
        </w:tc>
      </w:tr>
      <w:tr>
        <w:trPr/>
        <w:tc>
          <w:tcPr>
            <w:tcW w:w="185" w:type="dxa"/>
            <w:tcBorders/>
            <w:shd w:fill="FFF1C7" w:val="clear"/>
            <w:vAlign w:val="center"/>
          </w:tcPr>
          <w:p>
            <w:pPr>
              <w:pStyle w:val="TableContents"/>
              <w:bidi w:val="0"/>
              <w:spacing w:before="0" w:after="0"/>
              <w:jc w:val="left"/>
              <w:rPr/>
            </w:pPr>
            <w:r>
              <w:rPr/>
              <w:t> </w:t>
            </w:r>
          </w:p>
        </w:tc>
        <w:tc>
          <w:tcPr>
            <w:tcW w:w="170" w:type="dxa"/>
            <w:tcBorders/>
            <w:shd w:fill="FFF1C7" w:val="clear"/>
            <w:vAlign w:val="center"/>
          </w:tcPr>
          <w:p>
            <w:pPr>
              <w:pStyle w:val="TableContents"/>
              <w:bidi w:val="0"/>
              <w:spacing w:before="0" w:after="283"/>
              <w:ind w:left="60" w:right="0" w:hanging="0"/>
              <w:jc w:val="left"/>
              <w:rPr>
                <w:color w:val="636466"/>
              </w:rPr>
            </w:pPr>
            <w:r>
              <w:rPr>
                <w:color w:val="636466"/>
              </w:rPr>
              <w:t>•</w:t>
            </w:r>
          </w:p>
        </w:tc>
        <w:tc>
          <w:tcPr>
            <w:tcW w:w="170" w:type="dxa"/>
            <w:tcBorders/>
            <w:shd w:fill="FFF1C7" w:val="clear"/>
            <w:vAlign w:val="center"/>
          </w:tcPr>
          <w:p>
            <w:pPr>
              <w:pStyle w:val="TableContents"/>
              <w:bidi w:val="0"/>
              <w:spacing w:before="0" w:after="0"/>
              <w:jc w:val="left"/>
              <w:rPr/>
            </w:pPr>
            <w:r>
              <w:rPr/>
              <w:t> </w:t>
            </w:r>
          </w:p>
        </w:tc>
        <w:tc>
          <w:tcPr>
            <w:tcW w:w="170" w:type="dxa"/>
            <w:tcBorders/>
            <w:shd w:fill="FFF1C7" w:val="clear"/>
            <w:vAlign w:val="center"/>
          </w:tcPr>
          <w:p>
            <w:pPr>
              <w:pStyle w:val="TableContents"/>
              <w:bidi w:val="0"/>
              <w:spacing w:before="0" w:after="0"/>
              <w:jc w:val="left"/>
              <w:rPr/>
            </w:pPr>
            <w:r>
              <w:rPr/>
              <w:t> </w:t>
            </w:r>
          </w:p>
        </w:tc>
        <w:tc>
          <w:tcPr>
            <w:tcW w:w="8235" w:type="dxa"/>
            <w:tcBorders/>
            <w:shd w:fill="FFF1C7" w:val="clear"/>
            <w:vAlign w:val="center"/>
          </w:tcPr>
          <w:p>
            <w:pPr>
              <w:pStyle w:val="TableContents"/>
              <w:bidi w:val="0"/>
              <w:spacing w:before="0" w:after="283"/>
              <w:ind w:left="0" w:right="0" w:hanging="0"/>
              <w:jc w:val="left"/>
              <w:rPr>
                <w:rFonts w:ascii="Arial;Helvetica;sans-serif" w:hAnsi="Arial;Helvetica;sans-serif"/>
                <w:b/>
                <w:color w:val="72288A"/>
                <w:sz w:val="18"/>
              </w:rPr>
            </w:pPr>
            <w:r>
              <w:rPr>
                <w:rFonts w:ascii="Arial;Helvetica;sans-serif" w:hAnsi="Arial;Helvetica;sans-serif"/>
                <w:b/>
                <w:color w:val="72288A"/>
                <w:sz w:val="18"/>
              </w:rPr>
              <w:t xml:space="preserve">An independent Chair </w:t>
            </w:r>
            <w:r>
              <w:rPr>
                <w:rFonts w:ascii="Arial;Helvetica;sans-serif" w:hAnsi="Arial;Helvetica;sans-serif"/>
                <w:b/>
                <w:color w:val="636466"/>
                <w:sz w:val="18"/>
              </w:rPr>
              <w:t>of the Board;</w:t>
            </w:r>
          </w:p>
        </w:tc>
        <w:tc>
          <w:tcPr>
            <w:tcW w:w="215" w:type="dxa"/>
            <w:tcBorders/>
            <w:shd w:fill="FFF1C7" w:val="clear"/>
            <w:vAlign w:val="center"/>
          </w:tcPr>
          <w:p>
            <w:pPr>
              <w:pStyle w:val="TableContents"/>
              <w:bidi w:val="0"/>
              <w:spacing w:before="0" w:after="0"/>
              <w:jc w:val="left"/>
              <w:rPr/>
            </w:pPr>
            <w:r>
              <w:rPr/>
              <w:t> </w:t>
            </w:r>
          </w:p>
        </w:tc>
      </w:tr>
      <w:tr>
        <w:trPr/>
        <w:tc>
          <w:tcPr>
            <w:tcW w:w="185" w:type="dxa"/>
            <w:tcBorders/>
            <w:shd w:fill="FFF1C7" w:val="clear"/>
            <w:vAlign w:val="center"/>
          </w:tcPr>
          <w:p>
            <w:pPr>
              <w:pStyle w:val="TableContents"/>
              <w:bidi w:val="0"/>
              <w:spacing w:before="0" w:after="0"/>
              <w:jc w:val="left"/>
              <w:rPr/>
            </w:pPr>
            <w:r>
              <w:rPr/>
              <w:t> </w:t>
            </w:r>
          </w:p>
        </w:tc>
        <w:tc>
          <w:tcPr>
            <w:tcW w:w="170" w:type="dxa"/>
            <w:tcBorders/>
            <w:shd w:fill="FFF1C7" w:val="clear"/>
            <w:vAlign w:val="center"/>
          </w:tcPr>
          <w:p>
            <w:pPr>
              <w:pStyle w:val="TableContents"/>
              <w:bidi w:val="0"/>
              <w:spacing w:before="0" w:after="283"/>
              <w:ind w:left="60" w:right="0" w:hanging="0"/>
              <w:jc w:val="left"/>
              <w:rPr>
                <w:color w:val="636466"/>
              </w:rPr>
            </w:pPr>
            <w:r>
              <w:rPr>
                <w:color w:val="636466"/>
              </w:rPr>
              <w:t>•</w:t>
            </w:r>
          </w:p>
        </w:tc>
        <w:tc>
          <w:tcPr>
            <w:tcW w:w="170" w:type="dxa"/>
            <w:tcBorders/>
            <w:shd w:fill="FFF1C7" w:val="clear"/>
            <w:vAlign w:val="center"/>
          </w:tcPr>
          <w:p>
            <w:pPr>
              <w:pStyle w:val="TableContents"/>
              <w:bidi w:val="0"/>
              <w:spacing w:before="0" w:after="0"/>
              <w:jc w:val="left"/>
              <w:rPr/>
            </w:pPr>
            <w:r>
              <w:rPr/>
              <w:t> </w:t>
            </w:r>
          </w:p>
        </w:tc>
        <w:tc>
          <w:tcPr>
            <w:tcW w:w="170" w:type="dxa"/>
            <w:tcBorders/>
            <w:shd w:fill="FFF1C7" w:val="clear"/>
            <w:vAlign w:val="center"/>
          </w:tcPr>
          <w:p>
            <w:pPr>
              <w:pStyle w:val="TableContents"/>
              <w:bidi w:val="0"/>
              <w:spacing w:before="0" w:after="0"/>
              <w:jc w:val="left"/>
              <w:rPr/>
            </w:pPr>
            <w:r>
              <w:rPr/>
              <w:t> </w:t>
            </w:r>
          </w:p>
        </w:tc>
        <w:tc>
          <w:tcPr>
            <w:tcW w:w="8235" w:type="dxa"/>
            <w:tcBorders/>
            <w:shd w:fill="FFF1C7" w:val="clear"/>
            <w:vAlign w:val="center"/>
          </w:tcPr>
          <w:p>
            <w:pPr>
              <w:pStyle w:val="TableContents"/>
              <w:bidi w:val="0"/>
              <w:spacing w:before="0" w:after="283"/>
              <w:ind w:left="0" w:right="0" w:hanging="0"/>
              <w:jc w:val="left"/>
              <w:rPr>
                <w:rFonts w:ascii="Arial;Helvetica;sans-serif" w:hAnsi="Arial;Helvetica;sans-serif"/>
                <w:b/>
                <w:color w:val="636466"/>
                <w:sz w:val="18"/>
              </w:rPr>
            </w:pPr>
            <w:r>
              <w:rPr>
                <w:rFonts w:ascii="Arial;Helvetica;sans-serif" w:hAnsi="Arial;Helvetica;sans-serif"/>
                <w:b/>
                <w:color w:val="636466"/>
                <w:sz w:val="18"/>
              </w:rPr>
              <w:t xml:space="preserve">The Audit, Compensation, Compliance and Risk Oversight, Executive, Finance, and Governance and Sustainability Committees are </w:t>
            </w:r>
            <w:r>
              <w:rPr>
                <w:rFonts w:ascii="Arial;Helvetica;sans-serif" w:hAnsi="Arial;Helvetica;sans-serif"/>
                <w:b/>
                <w:color w:val="72288A"/>
                <w:sz w:val="18"/>
              </w:rPr>
              <w:t xml:space="preserve">composed entirely of independent Directors </w:t>
            </w:r>
            <w:r>
              <w:rPr>
                <w:rFonts w:ascii="Arial;Helvetica;sans-serif" w:hAnsi="Arial;Helvetica;sans-serif"/>
                <w:b/>
                <w:color w:val="636466"/>
                <w:sz w:val="18"/>
              </w:rPr>
              <w:t>(as defined in the applicable NASDAQ listing rules and applicable Securities and Exchange Commission (“SEC”) rules), and Board approval of any appointment of members to the Audit, Compensation, Compliance and Risk Oversight, and Governance and Sustainability Committees must include an affirmative vote by at least a majority of the independent Directors;</w:t>
            </w:r>
          </w:p>
        </w:tc>
        <w:tc>
          <w:tcPr>
            <w:tcW w:w="215" w:type="dxa"/>
            <w:tcBorders/>
            <w:shd w:fill="FFF1C7" w:val="clear"/>
            <w:vAlign w:val="center"/>
          </w:tcPr>
          <w:p>
            <w:pPr>
              <w:pStyle w:val="TableContents"/>
              <w:bidi w:val="0"/>
              <w:spacing w:before="0" w:after="0"/>
              <w:jc w:val="left"/>
              <w:rPr/>
            </w:pPr>
            <w:r>
              <w:rPr/>
              <w:t> </w:t>
            </w:r>
          </w:p>
        </w:tc>
      </w:tr>
      <w:tr>
        <w:trPr/>
        <w:tc>
          <w:tcPr>
            <w:tcW w:w="185" w:type="dxa"/>
            <w:tcBorders/>
            <w:shd w:fill="FFF1C7" w:val="clear"/>
            <w:vAlign w:val="center"/>
          </w:tcPr>
          <w:p>
            <w:pPr>
              <w:pStyle w:val="TableContents"/>
              <w:bidi w:val="0"/>
              <w:spacing w:before="0" w:after="0"/>
              <w:jc w:val="left"/>
              <w:rPr/>
            </w:pPr>
            <w:r>
              <w:rPr/>
              <w:t> </w:t>
            </w:r>
          </w:p>
        </w:tc>
        <w:tc>
          <w:tcPr>
            <w:tcW w:w="170" w:type="dxa"/>
            <w:tcBorders/>
            <w:shd w:fill="FFF1C7" w:val="clear"/>
            <w:vAlign w:val="center"/>
          </w:tcPr>
          <w:p>
            <w:pPr>
              <w:pStyle w:val="TableContents"/>
              <w:bidi w:val="0"/>
              <w:spacing w:before="0" w:after="283"/>
              <w:ind w:left="60" w:right="0" w:hanging="0"/>
              <w:jc w:val="left"/>
              <w:rPr>
                <w:color w:val="636466"/>
              </w:rPr>
            </w:pPr>
            <w:r>
              <w:rPr>
                <w:color w:val="636466"/>
              </w:rPr>
              <w:t>•</w:t>
            </w:r>
          </w:p>
        </w:tc>
        <w:tc>
          <w:tcPr>
            <w:tcW w:w="170" w:type="dxa"/>
            <w:tcBorders/>
            <w:shd w:fill="FFF1C7" w:val="clear"/>
            <w:vAlign w:val="center"/>
          </w:tcPr>
          <w:p>
            <w:pPr>
              <w:pStyle w:val="TableContents"/>
              <w:bidi w:val="0"/>
              <w:spacing w:before="0" w:after="0"/>
              <w:jc w:val="left"/>
              <w:rPr/>
            </w:pPr>
            <w:r>
              <w:rPr/>
              <w:t> </w:t>
            </w:r>
          </w:p>
        </w:tc>
        <w:tc>
          <w:tcPr>
            <w:tcW w:w="170" w:type="dxa"/>
            <w:tcBorders/>
            <w:shd w:fill="FFF1C7" w:val="clear"/>
            <w:vAlign w:val="center"/>
          </w:tcPr>
          <w:p>
            <w:pPr>
              <w:pStyle w:val="TableContents"/>
              <w:bidi w:val="0"/>
              <w:spacing w:before="0" w:after="0"/>
              <w:jc w:val="left"/>
              <w:rPr/>
            </w:pPr>
            <w:r>
              <w:rPr/>
              <w:t> </w:t>
            </w:r>
          </w:p>
        </w:tc>
        <w:tc>
          <w:tcPr>
            <w:tcW w:w="8235" w:type="dxa"/>
            <w:tcBorders/>
            <w:shd w:fill="FFF1C7" w:val="clear"/>
            <w:vAlign w:val="center"/>
          </w:tcPr>
          <w:p>
            <w:pPr>
              <w:pStyle w:val="TableContents"/>
              <w:bidi w:val="0"/>
              <w:spacing w:before="0" w:after="283"/>
              <w:ind w:left="0" w:right="0" w:hanging="0"/>
              <w:jc w:val="left"/>
              <w:rPr>
                <w:rFonts w:ascii="Arial;Helvetica;sans-serif" w:hAnsi="Arial;Helvetica;sans-serif"/>
                <w:b/>
                <w:color w:val="636466"/>
                <w:sz w:val="18"/>
              </w:rPr>
            </w:pPr>
            <w:r>
              <w:rPr>
                <w:rFonts w:ascii="Arial;Helvetica;sans-serif" w:hAnsi="Arial;Helvetica;sans-serif"/>
                <w:b/>
                <w:color w:val="636466"/>
                <w:sz w:val="18"/>
              </w:rPr>
              <w:t xml:space="preserve">The Board operates pursuant to Corporate Governance Principles, which are </w:t>
            </w:r>
            <w:r>
              <w:rPr>
                <w:rFonts w:ascii="Arial;Helvetica;sans-serif" w:hAnsi="Arial;Helvetica;sans-serif"/>
                <w:b/>
                <w:color w:val="72288A"/>
                <w:sz w:val="18"/>
              </w:rPr>
              <w:t>reviewed by the Governance and Sustainability Committee at least annually</w:t>
            </w:r>
            <w:r>
              <w:rPr>
                <w:rFonts w:ascii="Arial;Helvetica;sans-serif" w:hAnsi="Arial;Helvetica;sans-serif"/>
                <w:b/>
                <w:color w:val="636466"/>
                <w:sz w:val="18"/>
              </w:rPr>
              <w:t>;</w:t>
            </w:r>
          </w:p>
        </w:tc>
        <w:tc>
          <w:tcPr>
            <w:tcW w:w="215" w:type="dxa"/>
            <w:tcBorders/>
            <w:shd w:fill="FFF1C7" w:val="clear"/>
            <w:vAlign w:val="center"/>
          </w:tcPr>
          <w:p>
            <w:pPr>
              <w:pStyle w:val="TableContents"/>
              <w:bidi w:val="0"/>
              <w:spacing w:before="0" w:after="0"/>
              <w:jc w:val="left"/>
              <w:rPr/>
            </w:pPr>
            <w:r>
              <w:rPr/>
              <w:t> </w:t>
            </w:r>
          </w:p>
        </w:tc>
      </w:tr>
      <w:tr>
        <w:trPr/>
        <w:tc>
          <w:tcPr>
            <w:tcW w:w="185" w:type="dxa"/>
            <w:tcBorders/>
            <w:shd w:fill="FFF1C7" w:val="clear"/>
            <w:vAlign w:val="center"/>
          </w:tcPr>
          <w:p>
            <w:pPr>
              <w:pStyle w:val="TableContents"/>
              <w:bidi w:val="0"/>
              <w:spacing w:before="0" w:after="0"/>
              <w:jc w:val="left"/>
              <w:rPr/>
            </w:pPr>
            <w:r>
              <w:rPr/>
              <w:t> </w:t>
            </w:r>
          </w:p>
        </w:tc>
        <w:tc>
          <w:tcPr>
            <w:tcW w:w="170" w:type="dxa"/>
            <w:tcBorders/>
            <w:shd w:fill="FFF1C7" w:val="clear"/>
            <w:vAlign w:val="center"/>
          </w:tcPr>
          <w:p>
            <w:pPr>
              <w:pStyle w:val="TableContents"/>
              <w:bidi w:val="0"/>
              <w:spacing w:before="0" w:after="283"/>
              <w:ind w:left="60" w:right="0" w:hanging="0"/>
              <w:jc w:val="left"/>
              <w:rPr>
                <w:color w:val="636466"/>
              </w:rPr>
            </w:pPr>
            <w:r>
              <w:rPr>
                <w:color w:val="636466"/>
              </w:rPr>
              <w:t>•</w:t>
            </w:r>
          </w:p>
        </w:tc>
        <w:tc>
          <w:tcPr>
            <w:tcW w:w="170" w:type="dxa"/>
            <w:tcBorders/>
            <w:shd w:fill="FFF1C7" w:val="clear"/>
            <w:vAlign w:val="center"/>
          </w:tcPr>
          <w:p>
            <w:pPr>
              <w:pStyle w:val="TableContents"/>
              <w:bidi w:val="0"/>
              <w:spacing w:before="0" w:after="0"/>
              <w:jc w:val="left"/>
              <w:rPr/>
            </w:pPr>
            <w:r>
              <w:rPr/>
              <w:t> </w:t>
            </w:r>
          </w:p>
        </w:tc>
        <w:tc>
          <w:tcPr>
            <w:tcW w:w="170" w:type="dxa"/>
            <w:tcBorders/>
            <w:shd w:fill="FFF1C7" w:val="clear"/>
            <w:vAlign w:val="center"/>
          </w:tcPr>
          <w:p>
            <w:pPr>
              <w:pStyle w:val="TableContents"/>
              <w:bidi w:val="0"/>
              <w:spacing w:before="0" w:after="0"/>
              <w:jc w:val="left"/>
              <w:rPr/>
            </w:pPr>
            <w:r>
              <w:rPr/>
              <w:t> </w:t>
            </w:r>
          </w:p>
        </w:tc>
        <w:tc>
          <w:tcPr>
            <w:tcW w:w="8235" w:type="dxa"/>
            <w:tcBorders/>
            <w:shd w:fill="FFF1C7" w:val="clear"/>
            <w:vAlign w:val="center"/>
          </w:tcPr>
          <w:p>
            <w:pPr>
              <w:pStyle w:val="TableContents"/>
              <w:bidi w:val="0"/>
              <w:spacing w:before="0" w:after="283"/>
              <w:ind w:left="0" w:right="0" w:hanging="0"/>
              <w:jc w:val="left"/>
              <w:rPr>
                <w:rFonts w:ascii="Arial;Helvetica;sans-serif" w:hAnsi="Arial;Helvetica;sans-serif"/>
                <w:b/>
                <w:color w:val="636466"/>
                <w:sz w:val="18"/>
              </w:rPr>
            </w:pPr>
            <w:r>
              <w:rPr>
                <w:rFonts w:ascii="Arial;Helvetica;sans-serif" w:hAnsi="Arial;Helvetica;sans-serif"/>
                <w:b/>
                <w:color w:val="636466"/>
                <w:sz w:val="18"/>
              </w:rPr>
              <w:t xml:space="preserve">All standing committees operate pursuant to written charters and </w:t>
            </w:r>
            <w:r>
              <w:rPr>
                <w:rFonts w:ascii="Arial;Helvetica;sans-serif" w:hAnsi="Arial;Helvetica;sans-serif"/>
                <w:b/>
                <w:color w:val="72288A"/>
                <w:sz w:val="18"/>
              </w:rPr>
              <w:t>conduct annual self-assessments</w:t>
            </w:r>
            <w:r>
              <w:rPr>
                <w:rFonts w:ascii="Arial;Helvetica;sans-serif" w:hAnsi="Arial;Helvetica;sans-serif"/>
                <w:b/>
                <w:color w:val="636466"/>
                <w:sz w:val="18"/>
              </w:rPr>
              <w:t>;</w:t>
            </w:r>
          </w:p>
        </w:tc>
        <w:tc>
          <w:tcPr>
            <w:tcW w:w="215" w:type="dxa"/>
            <w:tcBorders/>
            <w:shd w:fill="FFF1C7" w:val="clear"/>
            <w:vAlign w:val="center"/>
          </w:tcPr>
          <w:p>
            <w:pPr>
              <w:pStyle w:val="TableContents"/>
              <w:bidi w:val="0"/>
              <w:spacing w:before="0" w:after="0"/>
              <w:jc w:val="left"/>
              <w:rPr/>
            </w:pPr>
            <w:r>
              <w:rPr/>
              <w:t> </w:t>
            </w:r>
          </w:p>
        </w:tc>
      </w:tr>
      <w:tr>
        <w:trPr/>
        <w:tc>
          <w:tcPr>
            <w:tcW w:w="185" w:type="dxa"/>
            <w:tcBorders/>
            <w:shd w:fill="FFF1C7" w:val="clear"/>
            <w:vAlign w:val="center"/>
          </w:tcPr>
          <w:p>
            <w:pPr>
              <w:pStyle w:val="TableContents"/>
              <w:bidi w:val="0"/>
              <w:spacing w:before="0" w:after="0"/>
              <w:jc w:val="left"/>
              <w:rPr/>
            </w:pPr>
            <w:r>
              <w:rPr/>
              <w:t> </w:t>
            </w:r>
          </w:p>
        </w:tc>
        <w:tc>
          <w:tcPr>
            <w:tcW w:w="170" w:type="dxa"/>
            <w:tcBorders/>
            <w:shd w:fill="FFF1C7" w:val="clear"/>
            <w:vAlign w:val="center"/>
          </w:tcPr>
          <w:p>
            <w:pPr>
              <w:pStyle w:val="TableContents"/>
              <w:bidi w:val="0"/>
              <w:spacing w:before="0" w:after="283"/>
              <w:ind w:left="60" w:right="0" w:hanging="0"/>
              <w:jc w:val="left"/>
              <w:rPr>
                <w:color w:val="636466"/>
              </w:rPr>
            </w:pPr>
            <w:r>
              <w:rPr>
                <w:color w:val="636466"/>
              </w:rPr>
              <w:t>•</w:t>
            </w:r>
          </w:p>
        </w:tc>
        <w:tc>
          <w:tcPr>
            <w:tcW w:w="170" w:type="dxa"/>
            <w:tcBorders/>
            <w:shd w:fill="FFF1C7" w:val="clear"/>
            <w:vAlign w:val="center"/>
          </w:tcPr>
          <w:p>
            <w:pPr>
              <w:pStyle w:val="TableContents"/>
              <w:bidi w:val="0"/>
              <w:spacing w:before="0" w:after="0"/>
              <w:jc w:val="left"/>
              <w:rPr/>
            </w:pPr>
            <w:r>
              <w:rPr/>
              <w:t> </w:t>
            </w:r>
          </w:p>
        </w:tc>
        <w:tc>
          <w:tcPr>
            <w:tcW w:w="170" w:type="dxa"/>
            <w:tcBorders/>
            <w:shd w:fill="FFF1C7" w:val="clear"/>
            <w:vAlign w:val="center"/>
          </w:tcPr>
          <w:p>
            <w:pPr>
              <w:pStyle w:val="TableContents"/>
              <w:bidi w:val="0"/>
              <w:spacing w:before="0" w:after="0"/>
              <w:jc w:val="left"/>
              <w:rPr/>
            </w:pPr>
            <w:r>
              <w:rPr/>
              <w:t> </w:t>
            </w:r>
          </w:p>
        </w:tc>
        <w:tc>
          <w:tcPr>
            <w:tcW w:w="8235" w:type="dxa"/>
            <w:tcBorders/>
            <w:shd w:fill="FFF1C7" w:val="clear"/>
            <w:vAlign w:val="center"/>
          </w:tcPr>
          <w:p>
            <w:pPr>
              <w:pStyle w:val="TableContents"/>
              <w:bidi w:val="0"/>
              <w:spacing w:before="0" w:after="283"/>
              <w:ind w:left="0" w:right="0" w:hanging="0"/>
              <w:jc w:val="left"/>
              <w:rPr/>
            </w:pPr>
            <w:r>
              <w:rPr>
                <w:rFonts w:ascii="Arial;Helvetica;sans-serif" w:hAnsi="Arial;Helvetica;sans-serif"/>
                <w:b/>
                <w:color w:val="636466"/>
                <w:sz w:val="18"/>
              </w:rPr>
              <w:t>The Compliance and Risk Oversight Committee assists the Board in its oversight of management’s efforts with respect to the</w:t>
            </w:r>
            <w:r>
              <w:rPr>
                <w:rFonts w:ascii="Arial;Helvetica;sans-serif" w:hAnsi="Arial;Helvetica;sans-serif"/>
                <w:b/>
                <w:color w:val="72288A"/>
                <w:sz w:val="18"/>
              </w:rPr>
              <w:t xml:space="preserve"> Company’s enterprise risk framework, and infrastructure and controls</w:t>
            </w:r>
            <w:r>
              <w:rPr>
                <w:rFonts w:ascii="Arial;Helvetica;sans-serif" w:hAnsi="Arial;Helvetica;sans-serif"/>
                <w:b/>
                <w:color w:val="636466"/>
                <w:sz w:val="18"/>
              </w:rPr>
              <w:t xml:space="preserve">. The Committee receives reports, including with respect to risks, risk management, and relevant legislative, regulatory, and technical developments, from senior management on data security, cybersecurity, information security-related matters, certain litigation-related topics, and other topics on at least a quarterly basis. The Board and its other committees also have </w:t>
            </w:r>
            <w:r>
              <w:rPr>
                <w:rFonts w:ascii="Arial;Helvetica;sans-serif" w:hAnsi="Arial;Helvetica;sans-serif"/>
                <w:b/>
                <w:color w:val="72288A"/>
                <w:sz w:val="18"/>
              </w:rPr>
              <w:t>important roles in the oversight of risk</w:t>
            </w:r>
            <w:r>
              <w:rPr>
                <w:rFonts w:ascii="Arial;Helvetica;sans-serif" w:hAnsi="Arial;Helvetica;sans-serif"/>
                <w:b/>
                <w:color w:val="636466"/>
                <w:sz w:val="18"/>
              </w:rPr>
              <w:t xml:space="preserve"> as described in more detail in “Risk Oversight” beginning on page </w:t>
            </w:r>
            <w:hyperlink w:anchor="tRO">
              <w:r>
                <w:rPr>
                  <w:rStyle w:val="InternetLink"/>
                  <w:rFonts w:ascii="Arial;Helvetica;sans-serif" w:hAnsi="Arial;Helvetica;sans-serif"/>
                  <w:b/>
                  <w:color w:val="000080"/>
                  <w:sz w:val="18"/>
                </w:rPr>
                <w:t>31</w:t>
              </w:r>
            </w:hyperlink>
            <w:r>
              <w:rPr>
                <w:rFonts w:ascii="Arial;Helvetica;sans-serif" w:hAnsi="Arial;Helvetica;sans-serif"/>
                <w:b/>
                <w:color w:val="636466"/>
                <w:sz w:val="18"/>
              </w:rPr>
              <w:t>;</w:t>
            </w:r>
          </w:p>
        </w:tc>
        <w:tc>
          <w:tcPr>
            <w:tcW w:w="215" w:type="dxa"/>
            <w:tcBorders/>
            <w:shd w:fill="FFF1C7" w:val="clear"/>
            <w:vAlign w:val="center"/>
          </w:tcPr>
          <w:p>
            <w:pPr>
              <w:pStyle w:val="TableContents"/>
              <w:bidi w:val="0"/>
              <w:spacing w:before="0" w:after="0"/>
              <w:jc w:val="left"/>
              <w:rPr/>
            </w:pPr>
            <w:r>
              <w:rPr/>
              <w:t> </w:t>
            </w:r>
          </w:p>
        </w:tc>
      </w:tr>
      <w:tr>
        <w:trPr/>
        <w:tc>
          <w:tcPr>
            <w:tcW w:w="185" w:type="dxa"/>
            <w:tcBorders/>
            <w:shd w:fill="FFF1C7" w:val="clear"/>
            <w:vAlign w:val="center"/>
          </w:tcPr>
          <w:p>
            <w:pPr>
              <w:pStyle w:val="TableContents"/>
              <w:bidi w:val="0"/>
              <w:spacing w:before="0" w:after="0"/>
              <w:jc w:val="left"/>
              <w:rPr/>
            </w:pPr>
            <w:r>
              <w:rPr/>
              <w:t> </w:t>
            </w:r>
          </w:p>
        </w:tc>
        <w:tc>
          <w:tcPr>
            <w:tcW w:w="170" w:type="dxa"/>
            <w:tcBorders/>
            <w:shd w:fill="FFF1C7" w:val="clear"/>
            <w:vAlign w:val="center"/>
          </w:tcPr>
          <w:p>
            <w:pPr>
              <w:pStyle w:val="TableContents"/>
              <w:bidi w:val="0"/>
              <w:spacing w:before="0" w:after="283"/>
              <w:ind w:left="60" w:right="0" w:hanging="0"/>
              <w:jc w:val="left"/>
              <w:rPr>
                <w:color w:val="636466"/>
              </w:rPr>
            </w:pPr>
            <w:r>
              <w:rPr>
                <w:color w:val="636466"/>
              </w:rPr>
              <w:t>•</w:t>
            </w:r>
          </w:p>
        </w:tc>
        <w:tc>
          <w:tcPr>
            <w:tcW w:w="170" w:type="dxa"/>
            <w:tcBorders/>
            <w:shd w:fill="FFF1C7" w:val="clear"/>
            <w:vAlign w:val="center"/>
          </w:tcPr>
          <w:p>
            <w:pPr>
              <w:pStyle w:val="TableContents"/>
              <w:bidi w:val="0"/>
              <w:spacing w:before="0" w:after="0"/>
              <w:jc w:val="left"/>
              <w:rPr/>
            </w:pPr>
            <w:r>
              <w:rPr/>
              <w:t> </w:t>
            </w:r>
          </w:p>
        </w:tc>
        <w:tc>
          <w:tcPr>
            <w:tcW w:w="170" w:type="dxa"/>
            <w:tcBorders/>
            <w:shd w:fill="FFF1C7" w:val="clear"/>
            <w:vAlign w:val="center"/>
          </w:tcPr>
          <w:p>
            <w:pPr>
              <w:pStyle w:val="TableContents"/>
              <w:bidi w:val="0"/>
              <w:spacing w:before="0" w:after="0"/>
              <w:jc w:val="left"/>
              <w:rPr/>
            </w:pPr>
            <w:r>
              <w:rPr/>
              <w:t> </w:t>
            </w:r>
          </w:p>
        </w:tc>
        <w:tc>
          <w:tcPr>
            <w:tcW w:w="8235" w:type="dxa"/>
            <w:tcBorders/>
            <w:shd w:fill="FFF1C7" w:val="clear"/>
            <w:vAlign w:val="center"/>
          </w:tcPr>
          <w:p>
            <w:pPr>
              <w:pStyle w:val="TableContents"/>
              <w:bidi w:val="0"/>
              <w:spacing w:before="0" w:after="283"/>
              <w:ind w:left="0" w:right="0" w:hanging="0"/>
              <w:jc w:val="left"/>
              <w:rPr>
                <w:rFonts w:ascii="Arial;Helvetica;sans-serif" w:hAnsi="Arial;Helvetica;sans-serif"/>
                <w:b/>
                <w:color w:val="636466"/>
                <w:sz w:val="18"/>
              </w:rPr>
            </w:pPr>
            <w:r>
              <w:rPr>
                <w:rFonts w:ascii="Arial;Helvetica;sans-serif" w:hAnsi="Arial;Helvetica;sans-serif"/>
                <w:b/>
                <w:color w:val="636466"/>
                <w:sz w:val="18"/>
              </w:rPr>
              <w:t xml:space="preserve">The Governance and Sustainability Committee, in addition to its responsibilities for overseeing corporate governance and succession planning, among other matters, oversees management's efforts with respect to </w:t>
            </w:r>
            <w:r>
              <w:rPr>
                <w:rFonts w:ascii="Arial;Helvetica;sans-serif" w:hAnsi="Arial;Helvetica;sans-serif"/>
                <w:b/>
                <w:color w:val="72288A"/>
                <w:sz w:val="18"/>
              </w:rPr>
              <w:t>corporate environmental and social responsibility matters</w:t>
            </w:r>
            <w:r>
              <w:rPr>
                <w:rFonts w:ascii="Arial;Helvetica;sans-serif" w:hAnsi="Arial;Helvetica;sans-serif"/>
                <w:b/>
                <w:color w:val="636466"/>
                <w:sz w:val="18"/>
              </w:rPr>
              <w:t>. The Committee receives reports on these matters on at least a quarterly basis;</w:t>
            </w:r>
          </w:p>
        </w:tc>
        <w:tc>
          <w:tcPr>
            <w:tcW w:w="215" w:type="dxa"/>
            <w:tcBorders/>
            <w:shd w:fill="FFF1C7" w:val="clear"/>
            <w:vAlign w:val="center"/>
          </w:tcPr>
          <w:p>
            <w:pPr>
              <w:pStyle w:val="TableContents"/>
              <w:bidi w:val="0"/>
              <w:spacing w:before="0" w:after="0"/>
              <w:jc w:val="left"/>
              <w:rPr/>
            </w:pPr>
            <w:r>
              <w:rPr/>
              <w:t> </w:t>
            </w:r>
          </w:p>
        </w:tc>
      </w:tr>
      <w:tr>
        <w:trPr/>
        <w:tc>
          <w:tcPr>
            <w:tcW w:w="185" w:type="dxa"/>
            <w:tcBorders/>
            <w:shd w:fill="FFF1C7" w:val="clear"/>
            <w:vAlign w:val="center"/>
          </w:tcPr>
          <w:p>
            <w:pPr>
              <w:pStyle w:val="TableContents"/>
              <w:bidi w:val="0"/>
              <w:spacing w:before="0" w:after="0"/>
              <w:jc w:val="left"/>
              <w:rPr/>
            </w:pPr>
            <w:r>
              <w:rPr/>
              <w:t> </w:t>
            </w:r>
          </w:p>
        </w:tc>
        <w:tc>
          <w:tcPr>
            <w:tcW w:w="170" w:type="dxa"/>
            <w:tcBorders/>
            <w:shd w:fill="FFF1C7" w:val="clear"/>
            <w:vAlign w:val="center"/>
          </w:tcPr>
          <w:p>
            <w:pPr>
              <w:pStyle w:val="TableContents"/>
              <w:bidi w:val="0"/>
              <w:spacing w:before="0" w:after="283"/>
              <w:ind w:left="60" w:right="0" w:hanging="0"/>
              <w:jc w:val="left"/>
              <w:rPr>
                <w:color w:val="636466"/>
              </w:rPr>
            </w:pPr>
            <w:r>
              <w:rPr>
                <w:color w:val="636466"/>
              </w:rPr>
              <w:t>•</w:t>
            </w:r>
          </w:p>
        </w:tc>
        <w:tc>
          <w:tcPr>
            <w:tcW w:w="170" w:type="dxa"/>
            <w:tcBorders/>
            <w:shd w:fill="FFF1C7" w:val="clear"/>
            <w:vAlign w:val="center"/>
          </w:tcPr>
          <w:p>
            <w:pPr>
              <w:pStyle w:val="TableContents"/>
              <w:bidi w:val="0"/>
              <w:spacing w:before="0" w:after="0"/>
              <w:jc w:val="left"/>
              <w:rPr/>
            </w:pPr>
            <w:r>
              <w:rPr/>
              <w:t> </w:t>
            </w:r>
          </w:p>
        </w:tc>
        <w:tc>
          <w:tcPr>
            <w:tcW w:w="170" w:type="dxa"/>
            <w:tcBorders/>
            <w:shd w:fill="FFF1C7" w:val="clear"/>
            <w:vAlign w:val="center"/>
          </w:tcPr>
          <w:p>
            <w:pPr>
              <w:pStyle w:val="TableContents"/>
              <w:bidi w:val="0"/>
              <w:spacing w:before="0" w:after="0"/>
              <w:jc w:val="left"/>
              <w:rPr/>
            </w:pPr>
            <w:r>
              <w:rPr/>
              <w:t> </w:t>
            </w:r>
          </w:p>
        </w:tc>
        <w:tc>
          <w:tcPr>
            <w:tcW w:w="8235" w:type="dxa"/>
            <w:tcBorders/>
            <w:shd w:fill="FFF1C7" w:val="clear"/>
            <w:vAlign w:val="center"/>
          </w:tcPr>
          <w:p>
            <w:pPr>
              <w:pStyle w:val="TableContents"/>
              <w:bidi w:val="0"/>
              <w:spacing w:before="0" w:after="283"/>
              <w:ind w:left="0" w:right="0" w:hanging="0"/>
              <w:jc w:val="left"/>
              <w:rPr>
                <w:rFonts w:ascii="Arial;Helvetica;sans-serif" w:hAnsi="Arial;Helvetica;sans-serif"/>
                <w:b/>
                <w:color w:val="636466"/>
                <w:sz w:val="18"/>
              </w:rPr>
            </w:pPr>
            <w:r>
              <w:rPr>
                <w:rFonts w:ascii="Arial;Helvetica;sans-serif" w:hAnsi="Arial;Helvetica;sans-serif"/>
                <w:b/>
                <w:color w:val="636466"/>
                <w:sz w:val="18"/>
              </w:rPr>
              <w:t xml:space="preserve">The independent Directors on the Board and its committees receive extensive information and input from multiple layers of management and external advisors, </w:t>
            </w:r>
            <w:r>
              <w:rPr>
                <w:rFonts w:ascii="Arial;Helvetica;sans-serif" w:hAnsi="Arial;Helvetica;sans-serif"/>
                <w:b/>
                <w:color w:val="72288A"/>
                <w:sz w:val="18"/>
              </w:rPr>
              <w:t>engage in detailed discussion and analysis regarding matters</w:t>
            </w:r>
            <w:r>
              <w:rPr>
                <w:rFonts w:ascii="Arial;Helvetica;sans-serif" w:hAnsi="Arial;Helvetica;sans-serif"/>
                <w:b/>
                <w:color w:val="636466"/>
                <w:sz w:val="18"/>
              </w:rPr>
              <w:t xml:space="preserve"> brought before them (including in executive session), and actively engage in the development and approval of significant corporate strategies;</w:t>
            </w:r>
          </w:p>
        </w:tc>
        <w:tc>
          <w:tcPr>
            <w:tcW w:w="215" w:type="dxa"/>
            <w:tcBorders/>
            <w:shd w:fill="FFF1C7" w:val="clear"/>
            <w:vAlign w:val="center"/>
          </w:tcPr>
          <w:p>
            <w:pPr>
              <w:pStyle w:val="TableContents"/>
              <w:bidi w:val="0"/>
              <w:spacing w:before="0" w:after="0"/>
              <w:jc w:val="left"/>
              <w:rPr/>
            </w:pPr>
            <w:r>
              <w:rPr/>
              <w:t> </w:t>
            </w:r>
          </w:p>
        </w:tc>
      </w:tr>
      <w:tr>
        <w:trPr/>
        <w:tc>
          <w:tcPr>
            <w:tcW w:w="185" w:type="dxa"/>
            <w:tcBorders/>
            <w:shd w:fill="FFF1C7" w:val="clear"/>
            <w:vAlign w:val="center"/>
          </w:tcPr>
          <w:p>
            <w:pPr>
              <w:pStyle w:val="TableContents"/>
              <w:bidi w:val="0"/>
              <w:spacing w:before="0" w:after="0"/>
              <w:jc w:val="left"/>
              <w:rPr/>
            </w:pPr>
            <w:r>
              <w:rPr/>
              <w:t> </w:t>
            </w:r>
          </w:p>
        </w:tc>
        <w:tc>
          <w:tcPr>
            <w:tcW w:w="170" w:type="dxa"/>
            <w:tcBorders/>
            <w:shd w:fill="FFF1C7" w:val="clear"/>
            <w:vAlign w:val="center"/>
          </w:tcPr>
          <w:p>
            <w:pPr>
              <w:pStyle w:val="TableContents"/>
              <w:bidi w:val="0"/>
              <w:spacing w:before="0" w:after="283"/>
              <w:ind w:left="60" w:right="0" w:hanging="0"/>
              <w:jc w:val="left"/>
              <w:rPr>
                <w:color w:val="636466"/>
              </w:rPr>
            </w:pPr>
            <w:r>
              <w:rPr>
                <w:color w:val="636466"/>
              </w:rPr>
              <w:t>•</w:t>
            </w:r>
          </w:p>
        </w:tc>
        <w:tc>
          <w:tcPr>
            <w:tcW w:w="170" w:type="dxa"/>
            <w:tcBorders/>
            <w:shd w:fill="FFF1C7" w:val="clear"/>
            <w:vAlign w:val="center"/>
          </w:tcPr>
          <w:p>
            <w:pPr>
              <w:pStyle w:val="TableContents"/>
              <w:bidi w:val="0"/>
              <w:spacing w:before="0" w:after="0"/>
              <w:jc w:val="left"/>
              <w:rPr/>
            </w:pPr>
            <w:r>
              <w:rPr/>
              <w:t> </w:t>
            </w:r>
          </w:p>
        </w:tc>
        <w:tc>
          <w:tcPr>
            <w:tcW w:w="170" w:type="dxa"/>
            <w:tcBorders/>
            <w:shd w:fill="FFF1C7" w:val="clear"/>
            <w:vAlign w:val="center"/>
          </w:tcPr>
          <w:p>
            <w:pPr>
              <w:pStyle w:val="TableContents"/>
              <w:bidi w:val="0"/>
              <w:spacing w:before="0" w:after="0"/>
              <w:jc w:val="left"/>
              <w:rPr/>
            </w:pPr>
            <w:r>
              <w:rPr/>
              <w:t> </w:t>
            </w:r>
          </w:p>
        </w:tc>
        <w:tc>
          <w:tcPr>
            <w:tcW w:w="8235" w:type="dxa"/>
            <w:tcBorders/>
            <w:shd w:fill="FFF1C7" w:val="clear"/>
            <w:vAlign w:val="center"/>
          </w:tcPr>
          <w:p>
            <w:pPr>
              <w:pStyle w:val="TableContents"/>
              <w:bidi w:val="0"/>
              <w:spacing w:before="0" w:after="283"/>
              <w:ind w:left="0" w:right="0" w:hanging="0"/>
              <w:jc w:val="left"/>
              <w:rPr>
                <w:rFonts w:ascii="Arial;Helvetica;sans-serif" w:hAnsi="Arial;Helvetica;sans-serif"/>
                <w:b/>
                <w:color w:val="636466"/>
                <w:sz w:val="18"/>
              </w:rPr>
            </w:pPr>
            <w:r>
              <w:rPr>
                <w:rFonts w:ascii="Arial;Helvetica;sans-serif" w:hAnsi="Arial;Helvetica;sans-serif"/>
                <w:b/>
                <w:color w:val="636466"/>
                <w:sz w:val="18"/>
              </w:rPr>
              <w:t xml:space="preserve">The Board and its committees have </w:t>
            </w:r>
            <w:r>
              <w:rPr>
                <w:rFonts w:ascii="Arial;Helvetica;sans-serif" w:hAnsi="Arial;Helvetica;sans-serif"/>
                <w:b/>
                <w:color w:val="72288A"/>
                <w:sz w:val="18"/>
              </w:rPr>
              <w:t xml:space="preserve">full access to officers and employees </w:t>
            </w:r>
            <w:r>
              <w:rPr>
                <w:rFonts w:ascii="Arial;Helvetica;sans-serif" w:hAnsi="Arial;Helvetica;sans-serif"/>
                <w:b/>
                <w:color w:val="636466"/>
                <w:sz w:val="18"/>
              </w:rPr>
              <w:t xml:space="preserve">of the Company; and </w:t>
            </w:r>
          </w:p>
        </w:tc>
        <w:tc>
          <w:tcPr>
            <w:tcW w:w="215" w:type="dxa"/>
            <w:tcBorders/>
            <w:shd w:fill="FFF1C7" w:val="clear"/>
            <w:vAlign w:val="center"/>
          </w:tcPr>
          <w:p>
            <w:pPr>
              <w:pStyle w:val="TableContents"/>
              <w:bidi w:val="0"/>
              <w:spacing w:before="0" w:after="0"/>
              <w:jc w:val="left"/>
              <w:rPr/>
            </w:pPr>
            <w:r>
              <w:rPr/>
              <w:t> </w:t>
            </w:r>
          </w:p>
        </w:tc>
      </w:tr>
      <w:tr>
        <w:trPr/>
        <w:tc>
          <w:tcPr>
            <w:tcW w:w="185" w:type="dxa"/>
            <w:tcBorders/>
            <w:shd w:fill="FFF1C7" w:val="clear"/>
            <w:vAlign w:val="center"/>
          </w:tcPr>
          <w:p>
            <w:pPr>
              <w:pStyle w:val="TableContents"/>
              <w:bidi w:val="0"/>
              <w:spacing w:before="0" w:after="0"/>
              <w:jc w:val="left"/>
              <w:rPr/>
            </w:pPr>
            <w:r>
              <w:rPr/>
              <w:t> </w:t>
            </w:r>
          </w:p>
        </w:tc>
        <w:tc>
          <w:tcPr>
            <w:tcW w:w="170" w:type="dxa"/>
            <w:tcBorders/>
            <w:shd w:fill="FFF1C7" w:val="clear"/>
            <w:vAlign w:val="center"/>
          </w:tcPr>
          <w:p>
            <w:pPr>
              <w:pStyle w:val="TableContents"/>
              <w:bidi w:val="0"/>
              <w:spacing w:before="0" w:after="283"/>
              <w:ind w:left="60" w:right="0" w:hanging="0"/>
              <w:jc w:val="left"/>
              <w:rPr>
                <w:color w:val="636466"/>
              </w:rPr>
            </w:pPr>
            <w:r>
              <w:rPr>
                <w:color w:val="636466"/>
              </w:rPr>
              <w:t>•</w:t>
            </w:r>
          </w:p>
        </w:tc>
        <w:tc>
          <w:tcPr>
            <w:tcW w:w="170" w:type="dxa"/>
            <w:tcBorders/>
            <w:shd w:fill="FFF1C7" w:val="clear"/>
            <w:vAlign w:val="center"/>
          </w:tcPr>
          <w:p>
            <w:pPr>
              <w:pStyle w:val="TableContents"/>
              <w:bidi w:val="0"/>
              <w:spacing w:before="0" w:after="0"/>
              <w:jc w:val="left"/>
              <w:rPr/>
            </w:pPr>
            <w:r>
              <w:rPr/>
              <w:t> </w:t>
            </w:r>
          </w:p>
        </w:tc>
        <w:tc>
          <w:tcPr>
            <w:tcW w:w="170" w:type="dxa"/>
            <w:tcBorders/>
            <w:shd w:fill="FFF1C7" w:val="clear"/>
            <w:vAlign w:val="center"/>
          </w:tcPr>
          <w:p>
            <w:pPr>
              <w:pStyle w:val="TableContents"/>
              <w:bidi w:val="0"/>
              <w:spacing w:before="0" w:after="0"/>
              <w:jc w:val="left"/>
              <w:rPr/>
            </w:pPr>
            <w:r>
              <w:rPr/>
              <w:t> </w:t>
            </w:r>
          </w:p>
        </w:tc>
        <w:tc>
          <w:tcPr>
            <w:tcW w:w="8235" w:type="dxa"/>
            <w:tcBorders/>
            <w:shd w:fill="FFF1C7" w:val="clear"/>
            <w:vAlign w:val="center"/>
          </w:tcPr>
          <w:p>
            <w:pPr>
              <w:pStyle w:val="TableContents"/>
              <w:bidi w:val="0"/>
              <w:spacing w:before="0" w:after="283"/>
              <w:ind w:left="0" w:right="0" w:hanging="0"/>
              <w:jc w:val="left"/>
              <w:rPr>
                <w:rFonts w:ascii="Arial;Helvetica;sans-serif" w:hAnsi="Arial;Helvetica;sans-serif"/>
                <w:b/>
                <w:color w:val="636466"/>
                <w:sz w:val="18"/>
              </w:rPr>
            </w:pPr>
            <w:r>
              <w:rPr>
                <w:rFonts w:ascii="Arial;Helvetica;sans-serif" w:hAnsi="Arial;Helvetica;sans-serif"/>
                <w:b/>
                <w:color w:val="636466"/>
                <w:sz w:val="18"/>
              </w:rPr>
              <w:t xml:space="preserve">The Board and its committees have the </w:t>
            </w:r>
            <w:r>
              <w:rPr>
                <w:rFonts w:ascii="Arial;Helvetica;sans-serif" w:hAnsi="Arial;Helvetica;sans-serif"/>
                <w:b/>
                <w:color w:val="72288A"/>
                <w:sz w:val="18"/>
              </w:rPr>
              <w:t xml:space="preserve">authority to select, retain, and supervise </w:t>
            </w:r>
            <w:r>
              <w:rPr>
                <w:rFonts w:ascii="Arial;Helvetica;sans-serif" w:hAnsi="Arial;Helvetica;sans-serif"/>
                <w:b/>
                <w:color w:val="636466"/>
                <w:sz w:val="18"/>
              </w:rPr>
              <w:t>advisors as necessary to fulfill their mandates.</w:t>
            </w:r>
          </w:p>
        </w:tc>
        <w:tc>
          <w:tcPr>
            <w:tcW w:w="215" w:type="dxa"/>
            <w:tcBorders/>
            <w:shd w:fill="FFF1C7" w:val="clear"/>
            <w:vAlign w:val="center"/>
          </w:tcPr>
          <w:p>
            <w:pPr>
              <w:pStyle w:val="TableContents"/>
              <w:bidi w:val="0"/>
              <w:spacing w:before="0" w:after="0"/>
              <w:jc w:val="left"/>
              <w:rPr/>
            </w:pPr>
            <w:r>
              <w:rPr/>
              <w:t> </w:t>
            </w:r>
          </w:p>
        </w:tc>
      </w:tr>
      <w:tr>
        <w:trPr/>
        <w:tc>
          <w:tcPr>
            <w:tcW w:w="185" w:type="dxa"/>
            <w:tcBorders/>
            <w:shd w:fill="FFF1C7" w:val="clear"/>
            <w:vAlign w:val="center"/>
          </w:tcPr>
          <w:p>
            <w:pPr>
              <w:pStyle w:val="TableContents"/>
              <w:bidi w:val="0"/>
              <w:spacing w:before="0" w:after="0"/>
              <w:jc w:val="left"/>
              <w:rPr/>
            </w:pPr>
            <w:r>
              <w:rPr/>
              <w:t> </w:t>
            </w:r>
          </w:p>
        </w:tc>
        <w:tc>
          <w:tcPr>
            <w:tcW w:w="170" w:type="dxa"/>
            <w:tcBorders/>
            <w:shd w:fill="FFF1C7" w:val="clear"/>
            <w:vAlign w:val="center"/>
          </w:tcPr>
          <w:p>
            <w:pPr>
              <w:pStyle w:val="TableContents"/>
              <w:bidi w:val="0"/>
              <w:spacing w:before="0" w:after="0"/>
              <w:jc w:val="left"/>
              <w:rPr/>
            </w:pPr>
            <w:r>
              <w:rPr/>
              <w:t> </w:t>
            </w:r>
          </w:p>
        </w:tc>
        <w:tc>
          <w:tcPr>
            <w:tcW w:w="170" w:type="dxa"/>
            <w:tcBorders/>
            <w:shd w:fill="FFF1C7" w:val="clear"/>
            <w:vAlign w:val="center"/>
          </w:tcPr>
          <w:p>
            <w:pPr>
              <w:pStyle w:val="TableContents"/>
              <w:bidi w:val="0"/>
              <w:spacing w:before="0" w:after="0"/>
              <w:jc w:val="left"/>
              <w:rPr/>
            </w:pPr>
            <w:r>
              <w:rPr/>
              <w:t> </w:t>
            </w:r>
          </w:p>
        </w:tc>
        <w:tc>
          <w:tcPr>
            <w:tcW w:w="170" w:type="dxa"/>
            <w:tcBorders/>
            <w:shd w:fill="FFF1C7" w:val="clear"/>
            <w:vAlign w:val="center"/>
          </w:tcPr>
          <w:p>
            <w:pPr>
              <w:pStyle w:val="TableContents"/>
              <w:bidi w:val="0"/>
              <w:spacing w:before="0" w:after="0"/>
              <w:jc w:val="left"/>
              <w:rPr/>
            </w:pPr>
            <w:r>
              <w:rPr/>
              <w:t> </w:t>
            </w:r>
          </w:p>
        </w:tc>
        <w:tc>
          <w:tcPr>
            <w:tcW w:w="8235" w:type="dxa"/>
            <w:tcBorders/>
            <w:shd w:fill="FFF1C7" w:val="clear"/>
            <w:vAlign w:val="center"/>
          </w:tcPr>
          <w:p>
            <w:pPr>
              <w:pStyle w:val="TableContents"/>
              <w:bidi w:val="0"/>
              <w:spacing w:before="0" w:after="0"/>
              <w:jc w:val="left"/>
              <w:rPr/>
            </w:pPr>
            <w:r>
              <w:rPr/>
              <w:t> </w:t>
            </w:r>
          </w:p>
        </w:tc>
        <w:tc>
          <w:tcPr>
            <w:tcW w:w="215" w:type="dxa"/>
            <w:tcBorders/>
            <w:shd w:fill="FFF1C7" w:val="clear"/>
            <w:vAlign w:val="center"/>
          </w:tcPr>
          <w:p>
            <w:pPr>
              <w:pStyle w:val="TableContents"/>
              <w:bidi w:val="0"/>
              <w:spacing w:before="0" w:after="0"/>
              <w:jc w:val="left"/>
              <w:rPr/>
            </w:pPr>
            <w:r>
              <w:rPr/>
              <w:t> </w:t>
            </w:r>
          </w:p>
        </w:tc>
      </w:tr>
    </w:tbl>
    <w:p>
      <w:pPr>
        <w:pStyle w:val="TextBody"/>
        <w:bidi w:val="0"/>
        <w:spacing w:before="370" w:after="283"/>
        <w:ind w:left="1060" w:right="0" w:hanging="0"/>
        <w:jc w:val="left"/>
        <w:rPr>
          <w:rFonts w:ascii="Arial;Helvetica;sans-serif" w:hAnsi="Arial;Helvetica;sans-serif"/>
          <w:color w:val="72288A"/>
          <w:sz w:val="24"/>
        </w:rPr>
      </w:pPr>
      <w:r>
        <w:rPr>
          <w:rFonts w:ascii="Arial;Helvetica;sans-serif" w:hAnsi="Arial;Helvetica;sans-serif"/>
          <w:color w:val="72288A"/>
          <w:sz w:val="24"/>
        </w:rPr>
        <w:t xml:space="preserve">Meetings of Viatris’ Board </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Viatris’ Board met seven times in 2024. In addition to meetings of the Board, Directors attended meetings of individual Board committees of which they were members, and all Directors standing for re-election attended greater than 75% of the aggregate of Board meetings and meetings of the committees of which they were a member in 2024. From January 1, 2025 to October 20, 2025, the Board met 9 times: all Directors standing for re-election attended more than 75% of the aggregate of Board meetings and meetings of the committees of which they were a member in 2025 through such date.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Viatris’ Corporate Governance Principles require the independent Directors of the Board to meet in separate executive sessions periodically, and at least twice annually, during regularly scheduled meetings of the Board, without any non-independent Directors or members of management present. The independent Directors of the Board met five times in executive session in 2024 and six times between January 1, 2025 and October 20, 2025, with Ms. Higgins, the Board Chair, presiding at those executive sessions.</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Pursuant to Viatris’ Corporate Governance Principles, Directors are expected to attend the annual meeting of shareholders of the Company, where practicable. Each of our Directors at the time of the 2024 Annual Meeting of Shareholders attended such meeting in person.</w:t>
      </w:r>
    </w:p>
    <w:tbl>
      <w:tblPr>
        <w:tblW w:w="4980" w:type="dxa"/>
        <w:jc w:val="left"/>
        <w:tblInd w:w="106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24 | 2025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108"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89" descr=""/>
                          <pic:cNvPicPr>
                            <a:picLocks noChangeAspect="1" noChangeArrowheads="1"/>
                          </pic:cNvPicPr>
                        </pic:nvPicPr>
                        <pic:blipFill>
                          <a:blip r:embed="rId99"/>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109"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90" descr=""/>
                    <pic:cNvPicPr>
                      <a:picLocks noChangeAspect="1" noChangeArrowheads="1"/>
                    </pic:cNvPicPr>
                  </pic:nvPicPr>
                  <pic:blipFill>
                    <a:blip r:embed="rId100"/>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61" w:name="ny20055082x771_def14a_106-directors_pg20"/>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righ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p>
      <w:pPr>
        <w:pStyle w:val="TextBody"/>
        <w:bidi w:val="0"/>
        <w:spacing w:before="160" w:after="283"/>
        <w:ind w:left="1060" w:right="0" w:hanging="0"/>
        <w:jc w:val="left"/>
        <w:rPr>
          <w:rFonts w:ascii="Arial;Helvetica;sans-serif" w:hAnsi="Arial;Helvetica;sans-serif"/>
          <w:color w:val="72288A"/>
          <w:sz w:val="24"/>
        </w:rPr>
      </w:pPr>
      <w:r>
        <w:rPr>
          <w:rFonts w:ascii="Arial;Helvetica;sans-serif" w:hAnsi="Arial;Helvetica;sans-serif"/>
          <w:color w:val="72288A"/>
          <w:sz w:val="24"/>
        </w:rPr>
        <w:t>Meetings of Viatris' Board Committees</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The standing committees of the Board are the Audit Committee, the Compensation Committee, the Compliance and Risk Oversight Committee, the Executive Committee, the Finance Committee, the Governance and Sustainability Committee, and the Science and Technology Committee. Each of these committees operates pursuant to a written charter, a current copy of which, along with our Amended and Restated Certificate of Incorporation, the Bylaws, and Corporate Governance Principles, is available on Viatris’ website at https://www.viatris.com/en/About-Us/Corporate-Governance.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The Audit, Compensation, Compliance and Risk Oversight, Executive, Finance, and Governance and Sustainability Committees are composed entirely of independent Directors (as defined in the applicable NASDAQ listing rules and applicable SEC rules). Board approval of any Director appointment to the Audit, Compensation, Compliance and Risk Oversight, and Governance and Sustainability Committees must include at least a majority of the independent Directors. The Board has determined that Richard Mark, the Chair of the Audit Committee, is an “audit committee financial expert”, as that term is defined in the rules of the SEC. </w:t>
      </w:r>
    </w:p>
    <w:p>
      <w:pPr>
        <w:pStyle w:val="TextBody"/>
        <w:bidi w:val="0"/>
        <w:spacing w:before="240" w:after="283"/>
        <w:ind w:left="1060" w:right="0" w:hanging="0"/>
        <w:jc w:val="left"/>
        <w:rPr/>
      </w:pPr>
      <w:r>
        <w:rPr>
          <w:rFonts w:ascii="Arial;Helvetica;sans-serif" w:hAnsi="Arial;Helvetica;sans-serif"/>
          <w:color w:val="636466"/>
          <w:sz w:val="18"/>
        </w:rPr>
        <w:t xml:space="preserve">Information regarding each of the committees is provided below and on the following pages, and pages </w:t>
      </w:r>
      <w:hyperlink w:anchor="tROPR">
        <w:r>
          <w:rPr>
            <w:rStyle w:val="InternetLink"/>
            <w:rFonts w:ascii="Arial;Helvetica;sans-serif" w:hAnsi="Arial;Helvetica;sans-serif"/>
            <w:color w:val="000080"/>
            <w:sz w:val="18"/>
          </w:rPr>
          <w:t>31</w:t>
        </w:r>
      </w:hyperlink>
      <w:r>
        <w:rPr>
          <w:rFonts w:ascii="Arial;Helvetica;sans-serif" w:hAnsi="Arial;Helvetica;sans-serif"/>
          <w:color w:val="636466"/>
          <w:sz w:val="18"/>
        </w:rPr>
        <w:t xml:space="preserve"> to </w:t>
      </w:r>
      <w:hyperlink w:anchor="tROPRR">
        <w:r>
          <w:rPr>
            <w:rStyle w:val="InternetLink"/>
            <w:rFonts w:ascii="Arial;Helvetica;sans-serif" w:hAnsi="Arial;Helvetica;sans-serif"/>
            <w:color w:val="000080"/>
            <w:sz w:val="18"/>
          </w:rPr>
          <w:t>34</w:t>
        </w:r>
      </w:hyperlink>
      <w:r>
        <w:rPr>
          <w:rFonts w:ascii="Arial;Helvetica;sans-serif" w:hAnsi="Arial;Helvetica;sans-serif"/>
          <w:color w:val="636466"/>
          <w:sz w:val="18"/>
        </w:rPr>
        <w:t xml:space="preserve"> provide additional discussion of committee responsibilities with respect to risk oversight.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The table below provides the current membership (as of the date of this Proxy Statement) and meeting information for 2024 and 2025 (through October 20, 2025) for each standing Board committee held during each such period. In 2024, such committees collectively held 38 meetings, and in 2025, such committees collectively held 38 meetings through October 20, 2025.</w:t>
      </w:r>
    </w:p>
    <w:tbl>
      <w:tblPr>
        <w:tblW w:w="9870" w:type="dxa"/>
        <w:jc w:val="left"/>
        <w:tblInd w:w="1060" w:type="dxa"/>
        <w:tblLayout w:type="fixed"/>
        <w:tblCellMar>
          <w:top w:w="0" w:type="dxa"/>
          <w:left w:w="0" w:type="dxa"/>
          <w:bottom w:w="0" w:type="dxa"/>
          <w:right w:w="0" w:type="dxa"/>
        </w:tblCellMar>
      </w:tblPr>
      <w:tblGrid>
        <w:gridCol w:w="185"/>
        <w:gridCol w:w="770"/>
        <w:gridCol w:w="170"/>
        <w:gridCol w:w="170"/>
        <w:gridCol w:w="485"/>
        <w:gridCol w:w="170"/>
        <w:gridCol w:w="170"/>
        <w:gridCol w:w="1220"/>
        <w:gridCol w:w="170"/>
        <w:gridCol w:w="170"/>
        <w:gridCol w:w="995"/>
        <w:gridCol w:w="170"/>
        <w:gridCol w:w="170"/>
        <w:gridCol w:w="815"/>
        <w:gridCol w:w="170"/>
        <w:gridCol w:w="170"/>
        <w:gridCol w:w="680"/>
        <w:gridCol w:w="170"/>
        <w:gridCol w:w="170"/>
        <w:gridCol w:w="1130"/>
        <w:gridCol w:w="170"/>
        <w:gridCol w:w="170"/>
        <w:gridCol w:w="995"/>
        <w:gridCol w:w="215"/>
      </w:tblGrid>
      <w:tr>
        <w:trPr/>
        <w:tc>
          <w:tcPr>
            <w:tcW w:w="185" w:type="dxa"/>
            <w:tcBorders/>
            <w:shd w:fill="1F1C6B" w:val="clear"/>
            <w:vAlign w:val="center"/>
          </w:tcPr>
          <w:p>
            <w:pPr>
              <w:pStyle w:val="TableContents"/>
              <w:bidi w:val="0"/>
              <w:spacing w:before="0" w:after="0"/>
              <w:jc w:val="left"/>
              <w:rPr/>
            </w:pPr>
            <w:r>
              <w:rPr/>
              <w:t> </w:t>
            </w:r>
          </w:p>
        </w:tc>
        <w:tc>
          <w:tcPr>
            <w:tcW w:w="7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48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22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9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1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8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3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95"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770"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Director</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48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Audit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22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Compensation</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9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Compliance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and Risk</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Oversight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1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Executive</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8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Finance</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3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Governance and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Sustainability</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9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Science and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Technology </w:t>
            </w:r>
            <w:r>
              <w:rPr>
                <w:rFonts w:ascii="Arial;Helvetica;sans-serif" w:hAnsi="Arial;Helvetica;sans-serif"/>
                <w:b w:val="false"/>
                <w:color w:val="FFFFFF"/>
                <w:position w:val="5"/>
                <w:sz w:val="13"/>
                <w:sz w:val="16"/>
              </w:rPr>
              <w:t>7</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W. Don Cornwell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color w:val="636466"/>
              </w:rPr>
            </w:pPr>
            <w:r>
              <w:rPr>
                <w:color w:val="636466"/>
              </w:rPr>
              <w:drawing>
                <wp:inline distT="0" distB="0" distL="0" distR="0">
                  <wp:extent cx="85725" cy="76200"/>
                  <wp:effectExtent l="0" t="0" r="0" b="0"/>
                  <wp:docPr id="110"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91" descr=""/>
                          <pic:cNvPicPr>
                            <a:picLocks noChangeAspect="1" noChangeArrowheads="1"/>
                          </pic:cNvPicPr>
                        </pic:nvPicPr>
                        <pic:blipFill>
                          <a:blip r:embed="rId101"/>
                          <a:stretch>
                            <a:fillRect/>
                          </a:stretch>
                        </pic:blipFill>
                        <pic:spPr bwMode="auto">
                          <a:xfrm>
                            <a:off x="0" y="0"/>
                            <a:ext cx="85725" cy="762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color w:val="636466"/>
              </w:rPr>
            </w:pP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color w:val="636466"/>
              </w:rPr>
            </w:pPr>
            <w:r>
              <w:rPr>
                <w:color w:val="636466"/>
              </w:rPr>
              <w:drawing>
                <wp:inline distT="0" distB="0" distL="0" distR="0">
                  <wp:extent cx="85725" cy="76200"/>
                  <wp:effectExtent l="0" t="0" r="0" b="0"/>
                  <wp:docPr id="111"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92" descr=""/>
                          <pic:cNvPicPr>
                            <a:picLocks noChangeAspect="1" noChangeArrowheads="1"/>
                          </pic:cNvPicPr>
                        </pic:nvPicPr>
                        <pic:blipFill>
                          <a:blip r:embed="rId102"/>
                          <a:stretch>
                            <a:fillRect/>
                          </a:stretch>
                        </pic:blipFill>
                        <pic:spPr bwMode="auto">
                          <a:xfrm>
                            <a:off x="0" y="0"/>
                            <a:ext cx="85725" cy="762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center"/>
              <w:rPr>
                <w:color w:val="636466"/>
              </w:rPr>
            </w:pP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color w:val="636466"/>
              </w:rPr>
            </w:pP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jc w:val="center"/>
              <w:rPr>
                <w:color w:val="636466"/>
              </w:rPr>
            </w:pP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color w:val="636466"/>
              </w:rPr>
            </w:pPr>
            <w:r>
              <w:rPr>
                <w:color w:val="636466"/>
              </w:rPr>
              <w:t>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Frank D’Amelio</w:t>
            </w:r>
            <w:r>
              <w:rPr>
                <w:rFonts w:ascii="Arial;Helvetica;sans-serif" w:hAnsi="Arial;Helvetica;sans-serif"/>
                <w:color w:val="636466"/>
                <w:position w:val="5"/>
                <w:sz w:val="13"/>
                <w:sz w:val="16"/>
              </w:rPr>
              <w:t>1</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85" w:type="dxa"/>
            <w:tcBorders/>
            <w:shd w:fill="E7E0EF" w:val="clear"/>
            <w:vAlign w:val="center"/>
          </w:tcPr>
          <w:p>
            <w:pPr>
              <w:pStyle w:val="TableContents"/>
              <w:bidi w:val="0"/>
              <w:spacing w:before="0" w:after="283"/>
              <w:jc w:val="center"/>
              <w:rPr>
                <w:color w:val="636466"/>
              </w:rPr>
            </w:pP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220" w:type="dxa"/>
            <w:tcBorders/>
            <w:shd w:fill="E7E0EF" w:val="clear"/>
            <w:vAlign w:val="center"/>
          </w:tcPr>
          <w:p>
            <w:pPr>
              <w:pStyle w:val="TableContents"/>
              <w:bidi w:val="0"/>
              <w:spacing w:before="0" w:after="283"/>
              <w:jc w:val="center"/>
              <w:rPr>
                <w:color w:val="636466"/>
              </w:rPr>
            </w:pP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95" w:type="dxa"/>
            <w:tcBorders/>
            <w:shd w:fill="E7E0EF" w:val="clear"/>
            <w:vAlign w:val="center"/>
          </w:tcPr>
          <w:p>
            <w:pPr>
              <w:pStyle w:val="TableContents"/>
              <w:bidi w:val="0"/>
              <w:spacing w:before="0" w:after="283"/>
              <w:jc w:val="center"/>
              <w:rPr>
                <w:color w:val="636466"/>
              </w:rPr>
            </w:pP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15" w:type="dxa"/>
            <w:tcBorders/>
            <w:shd w:fill="E7E0EF" w:val="clear"/>
            <w:vAlign w:val="center"/>
          </w:tcPr>
          <w:p>
            <w:pPr>
              <w:pStyle w:val="TableContents"/>
              <w:bidi w:val="0"/>
              <w:spacing w:before="0" w:after="283"/>
              <w:jc w:val="center"/>
              <w:rPr>
                <w:color w:val="636466"/>
              </w:rPr>
            </w:pP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jc w:val="center"/>
              <w:rPr>
                <w:color w:val="636466"/>
              </w:rPr>
            </w:pPr>
            <w:r>
              <w:rPr>
                <w:color w:val="636466"/>
              </w:rPr>
              <w:drawing>
                <wp:inline distT="0" distB="0" distL="0" distR="0">
                  <wp:extent cx="85725" cy="76200"/>
                  <wp:effectExtent l="0" t="0" r="0" b="0"/>
                  <wp:docPr id="112"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93" descr=""/>
                          <pic:cNvPicPr>
                            <a:picLocks noChangeAspect="1" noChangeArrowheads="1"/>
                          </pic:cNvPicPr>
                        </pic:nvPicPr>
                        <pic:blipFill>
                          <a:blip r:embed="rId103"/>
                          <a:stretch>
                            <a:fillRect/>
                          </a:stretch>
                        </pic:blipFill>
                        <pic:spPr bwMode="auto">
                          <a:xfrm>
                            <a:off x="0" y="0"/>
                            <a:ext cx="85725" cy="76200"/>
                          </a:xfrm>
                          <a:prstGeom prst="rect">
                            <a:avLst/>
                          </a:prstGeom>
                        </pic:spPr>
                      </pic:pic>
                    </a:graphicData>
                  </a:graphic>
                </wp:inline>
              </w:drawing>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30" w:type="dxa"/>
            <w:tcBorders/>
            <w:shd w:fill="E7E0EF" w:val="clear"/>
            <w:vAlign w:val="center"/>
          </w:tcPr>
          <w:p>
            <w:pPr>
              <w:pStyle w:val="TableContents"/>
              <w:bidi w:val="0"/>
              <w:spacing w:before="0" w:after="283"/>
              <w:jc w:val="center"/>
              <w:rPr>
                <w:color w:val="636466"/>
              </w:rPr>
            </w:pP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95" w:type="dxa"/>
            <w:tcBorders/>
            <w:shd w:fill="E7E0EF" w:val="clear"/>
            <w:vAlign w:val="center"/>
          </w:tcPr>
          <w:p>
            <w:pPr>
              <w:pStyle w:val="TableContents"/>
              <w:bidi w:val="0"/>
              <w:spacing w:before="0" w:after="283"/>
              <w:jc w:val="center"/>
              <w:rPr>
                <w:color w:val="636466"/>
              </w:rPr>
            </w:pPr>
            <w:r>
              <w:rPr>
                <w:color w:val="636466"/>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JoEllen Lyons Dillon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color w:val="636466"/>
              </w:rPr>
            </w:pPr>
            <w:r>
              <w:rPr>
                <w:color w:val="636466"/>
              </w:rPr>
              <w:drawing>
                <wp:inline distT="0" distB="0" distL="0" distR="0">
                  <wp:extent cx="85725" cy="76200"/>
                  <wp:effectExtent l="0" t="0" r="0" b="0"/>
                  <wp:docPr id="113"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94" descr=""/>
                          <pic:cNvPicPr>
                            <a:picLocks noChangeAspect="1" noChangeArrowheads="1"/>
                          </pic:cNvPicPr>
                        </pic:nvPicPr>
                        <pic:blipFill>
                          <a:blip r:embed="rId104"/>
                          <a:stretch>
                            <a:fillRect/>
                          </a:stretch>
                        </pic:blipFill>
                        <pic:spPr bwMode="auto">
                          <a:xfrm>
                            <a:off x="0" y="0"/>
                            <a:ext cx="85725" cy="762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color w:val="636466"/>
              </w:rPr>
            </w:pPr>
            <w:r>
              <w:rPr>
                <w:color w:val="636466"/>
              </w:rPr>
              <w:drawing>
                <wp:inline distT="0" distB="0" distL="0" distR="0">
                  <wp:extent cx="85725" cy="76200"/>
                  <wp:effectExtent l="0" t="0" r="0" b="0"/>
                  <wp:docPr id="114"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95" descr=""/>
                          <pic:cNvPicPr>
                            <a:picLocks noChangeAspect="1" noChangeArrowheads="1"/>
                          </pic:cNvPicPr>
                        </pic:nvPicPr>
                        <pic:blipFill>
                          <a:blip r:embed="rId105"/>
                          <a:stretch>
                            <a:fillRect/>
                          </a:stretch>
                        </pic:blipFill>
                        <pic:spPr bwMode="auto">
                          <a:xfrm>
                            <a:off x="0" y="0"/>
                            <a:ext cx="85725" cy="762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color w:val="636466"/>
              </w:rPr>
            </w:pP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center"/>
              <w:rPr>
                <w:color w:val="636466"/>
              </w:rPr>
            </w:pPr>
            <w:r>
              <w:rPr>
                <w:color w:val="636466"/>
              </w:rPr>
              <w:drawing>
                <wp:inline distT="0" distB="0" distL="0" distR="0">
                  <wp:extent cx="85725" cy="76200"/>
                  <wp:effectExtent l="0" t="0" r="0" b="0"/>
                  <wp:docPr id="115"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96" descr=""/>
                          <pic:cNvPicPr>
                            <a:picLocks noChangeAspect="1" noChangeArrowheads="1"/>
                          </pic:cNvPicPr>
                        </pic:nvPicPr>
                        <pic:blipFill>
                          <a:blip r:embed="rId106"/>
                          <a:stretch>
                            <a:fillRect/>
                          </a:stretch>
                        </pic:blipFill>
                        <pic:spPr bwMode="auto">
                          <a:xfrm>
                            <a:off x="0" y="0"/>
                            <a:ext cx="85725" cy="762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color w:val="636466"/>
              </w:rPr>
            </w:pP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color w:val="636466"/>
              </w:rPr>
            </w:pPr>
            <w:r>
              <w:rPr>
                <w:color w:val="636466"/>
              </w:rPr>
              <w:t>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Elisha Finney</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85" w:type="dxa"/>
            <w:tcBorders/>
            <w:shd w:fill="E7E0EF" w:val="clear"/>
            <w:vAlign w:val="center"/>
          </w:tcPr>
          <w:p>
            <w:pPr>
              <w:pStyle w:val="TableContents"/>
              <w:bidi w:val="0"/>
              <w:spacing w:before="0" w:after="283"/>
              <w:jc w:val="center"/>
              <w:rPr>
                <w:color w:val="636466"/>
              </w:rPr>
            </w:pPr>
            <w:r>
              <w:rPr>
                <w:color w:val="636466"/>
              </w:rPr>
              <w:drawing>
                <wp:inline distT="0" distB="0" distL="0" distR="0">
                  <wp:extent cx="85725" cy="76200"/>
                  <wp:effectExtent l="0" t="0" r="0" b="0"/>
                  <wp:docPr id="116"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97" descr=""/>
                          <pic:cNvPicPr>
                            <a:picLocks noChangeAspect="1" noChangeArrowheads="1"/>
                          </pic:cNvPicPr>
                        </pic:nvPicPr>
                        <pic:blipFill>
                          <a:blip r:embed="rId107"/>
                          <a:stretch>
                            <a:fillRect/>
                          </a:stretch>
                        </pic:blipFill>
                        <pic:spPr bwMode="auto">
                          <a:xfrm>
                            <a:off x="0" y="0"/>
                            <a:ext cx="85725" cy="76200"/>
                          </a:xfrm>
                          <a:prstGeom prst="rect">
                            <a:avLst/>
                          </a:prstGeom>
                        </pic:spPr>
                      </pic:pic>
                    </a:graphicData>
                  </a:graphic>
                </wp:inline>
              </w:drawing>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220" w:type="dxa"/>
            <w:tcBorders/>
            <w:shd w:fill="E7E0EF" w:val="clear"/>
            <w:vAlign w:val="center"/>
          </w:tcPr>
          <w:p>
            <w:pPr>
              <w:pStyle w:val="TableContents"/>
              <w:bidi w:val="0"/>
              <w:spacing w:before="0" w:after="283"/>
              <w:jc w:val="center"/>
              <w:rPr>
                <w:color w:val="636466"/>
              </w:rPr>
            </w:pP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95" w:type="dxa"/>
            <w:tcBorders/>
            <w:shd w:fill="E7E0EF" w:val="clear"/>
            <w:vAlign w:val="center"/>
          </w:tcPr>
          <w:p>
            <w:pPr>
              <w:pStyle w:val="TableContents"/>
              <w:bidi w:val="0"/>
              <w:spacing w:before="0" w:after="283"/>
              <w:jc w:val="center"/>
              <w:rPr>
                <w:color w:val="636466"/>
              </w:rPr>
            </w:pP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15" w:type="dxa"/>
            <w:tcBorders/>
            <w:shd w:fill="E7E0EF" w:val="clear"/>
            <w:vAlign w:val="center"/>
          </w:tcPr>
          <w:p>
            <w:pPr>
              <w:pStyle w:val="TableContents"/>
              <w:bidi w:val="0"/>
              <w:spacing w:before="0" w:after="283"/>
              <w:jc w:val="center"/>
              <w:rPr>
                <w:color w:val="636466"/>
              </w:rPr>
            </w:pP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jc w:val="center"/>
              <w:rPr>
                <w:color w:val="636466"/>
              </w:rPr>
            </w:pPr>
            <w:r>
              <w:rPr>
                <w:color w:val="636466"/>
              </w:rPr>
              <w:drawing>
                <wp:inline distT="0" distB="0" distL="0" distR="0">
                  <wp:extent cx="85725" cy="76200"/>
                  <wp:effectExtent l="0" t="0" r="0" b="0"/>
                  <wp:docPr id="117"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98" descr=""/>
                          <pic:cNvPicPr>
                            <a:picLocks noChangeAspect="1" noChangeArrowheads="1"/>
                          </pic:cNvPicPr>
                        </pic:nvPicPr>
                        <pic:blipFill>
                          <a:blip r:embed="rId108"/>
                          <a:stretch>
                            <a:fillRect/>
                          </a:stretch>
                        </pic:blipFill>
                        <pic:spPr bwMode="auto">
                          <a:xfrm>
                            <a:off x="0" y="0"/>
                            <a:ext cx="85725" cy="76200"/>
                          </a:xfrm>
                          <a:prstGeom prst="rect">
                            <a:avLst/>
                          </a:prstGeom>
                        </pic:spPr>
                      </pic:pic>
                    </a:graphicData>
                  </a:graphic>
                </wp:inline>
              </w:drawing>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30" w:type="dxa"/>
            <w:tcBorders/>
            <w:shd w:fill="E7E0EF" w:val="clear"/>
            <w:vAlign w:val="center"/>
          </w:tcPr>
          <w:p>
            <w:pPr>
              <w:pStyle w:val="TableContents"/>
              <w:bidi w:val="0"/>
              <w:spacing w:before="0" w:after="283"/>
              <w:jc w:val="center"/>
              <w:rPr>
                <w:color w:val="636466"/>
              </w:rPr>
            </w:pP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95" w:type="dxa"/>
            <w:tcBorders/>
            <w:shd w:fill="E7E0EF" w:val="clear"/>
            <w:vAlign w:val="center"/>
          </w:tcPr>
          <w:p>
            <w:pPr>
              <w:pStyle w:val="TableContents"/>
              <w:bidi w:val="0"/>
              <w:spacing w:before="0" w:after="283"/>
              <w:jc w:val="center"/>
              <w:rPr>
                <w:color w:val="636466"/>
              </w:rPr>
            </w:pPr>
            <w:r>
              <w:rPr>
                <w:color w:val="636466"/>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Leo Groothuis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color w:val="636466"/>
              </w:rPr>
            </w:pP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color w:val="636466"/>
              </w:rPr>
            </w:pP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color w:val="636466"/>
              </w:rPr>
            </w:pPr>
            <w:r>
              <w:rPr>
                <w:color w:val="636466"/>
              </w:rPr>
              <w:drawing>
                <wp:inline distT="0" distB="0" distL="0" distR="0">
                  <wp:extent cx="85725" cy="76200"/>
                  <wp:effectExtent l="0" t="0" r="0" b="0"/>
                  <wp:docPr id="118"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99" descr=""/>
                          <pic:cNvPicPr>
                            <a:picLocks noChangeAspect="1" noChangeArrowheads="1"/>
                          </pic:cNvPicPr>
                        </pic:nvPicPr>
                        <pic:blipFill>
                          <a:blip r:embed="rId109"/>
                          <a:stretch>
                            <a:fillRect/>
                          </a:stretch>
                        </pic:blipFill>
                        <pic:spPr bwMode="auto">
                          <a:xfrm>
                            <a:off x="0" y="0"/>
                            <a:ext cx="85725" cy="762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center"/>
              <w:rPr>
                <w:color w:val="636466"/>
              </w:rPr>
            </w:pPr>
            <w:r>
              <w:rPr>
                <w:color w:val="636466"/>
              </w:rPr>
              <w:drawing>
                <wp:inline distT="0" distB="0" distL="0" distR="0">
                  <wp:extent cx="85725" cy="76200"/>
                  <wp:effectExtent l="0" t="0" r="0" b="0"/>
                  <wp:docPr id="119"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00" descr=""/>
                          <pic:cNvPicPr>
                            <a:picLocks noChangeAspect="1" noChangeArrowheads="1"/>
                          </pic:cNvPicPr>
                        </pic:nvPicPr>
                        <pic:blipFill>
                          <a:blip r:embed="rId110"/>
                          <a:stretch>
                            <a:fillRect/>
                          </a:stretch>
                        </pic:blipFill>
                        <pic:spPr bwMode="auto">
                          <a:xfrm>
                            <a:off x="0" y="0"/>
                            <a:ext cx="85725" cy="762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color w:val="636466"/>
              </w:rPr>
            </w:pP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jc w:val="center"/>
              <w:rPr>
                <w:color w:val="636466"/>
              </w:rPr>
            </w:pPr>
            <w:r>
              <w:rPr>
                <w:color w:val="636466"/>
              </w:rPr>
              <w:drawing>
                <wp:inline distT="0" distB="0" distL="0" distR="0">
                  <wp:extent cx="85725" cy="76200"/>
                  <wp:effectExtent l="0" t="0" r="0" b="0"/>
                  <wp:docPr id="120"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01" descr=""/>
                          <pic:cNvPicPr>
                            <a:picLocks noChangeAspect="1" noChangeArrowheads="1"/>
                          </pic:cNvPicPr>
                        </pic:nvPicPr>
                        <pic:blipFill>
                          <a:blip r:embed="rId111"/>
                          <a:stretch>
                            <a:fillRect/>
                          </a:stretch>
                        </pic:blipFill>
                        <pic:spPr bwMode="auto">
                          <a:xfrm>
                            <a:off x="0" y="0"/>
                            <a:ext cx="85725" cy="762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color w:val="636466"/>
              </w:rPr>
            </w:pPr>
            <w:r>
              <w:rPr>
                <w:color w:val="636466"/>
              </w:rPr>
              <w:t>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Melina Higgins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85" w:type="dxa"/>
            <w:tcBorders/>
            <w:shd w:fill="E7E0EF" w:val="clear"/>
            <w:vAlign w:val="center"/>
          </w:tcPr>
          <w:p>
            <w:pPr>
              <w:pStyle w:val="TableContents"/>
              <w:bidi w:val="0"/>
              <w:spacing w:before="0" w:after="283"/>
              <w:jc w:val="center"/>
              <w:rPr>
                <w:color w:val="636466"/>
              </w:rPr>
            </w:pP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220" w:type="dxa"/>
            <w:tcBorders/>
            <w:shd w:fill="E7E0EF" w:val="clear"/>
            <w:vAlign w:val="center"/>
          </w:tcPr>
          <w:p>
            <w:pPr>
              <w:pStyle w:val="TableContents"/>
              <w:bidi w:val="0"/>
              <w:spacing w:before="0" w:after="283"/>
              <w:jc w:val="center"/>
              <w:rPr>
                <w:color w:val="636466"/>
              </w:rPr>
            </w:pP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95" w:type="dxa"/>
            <w:tcBorders/>
            <w:shd w:fill="E7E0EF" w:val="clear"/>
            <w:vAlign w:val="center"/>
          </w:tcPr>
          <w:p>
            <w:pPr>
              <w:pStyle w:val="TableContents"/>
              <w:bidi w:val="0"/>
              <w:spacing w:before="0" w:after="283"/>
              <w:jc w:val="center"/>
              <w:rPr>
                <w:color w:val="636466"/>
              </w:rPr>
            </w:pP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15" w:type="dxa"/>
            <w:tcBorders/>
            <w:shd w:fill="E7E0EF" w:val="clear"/>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Chair</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Chair</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30" w:type="dxa"/>
            <w:tcBorders/>
            <w:shd w:fill="E7E0EF" w:val="clear"/>
            <w:vAlign w:val="center"/>
          </w:tcPr>
          <w:p>
            <w:pPr>
              <w:pStyle w:val="TableContents"/>
              <w:bidi w:val="0"/>
              <w:spacing w:before="0" w:after="283"/>
              <w:jc w:val="center"/>
              <w:rPr>
                <w:color w:val="636466"/>
              </w:rPr>
            </w:pP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95" w:type="dxa"/>
            <w:tcBorders/>
            <w:shd w:fill="E7E0EF" w:val="clear"/>
            <w:vAlign w:val="center"/>
          </w:tcPr>
          <w:p>
            <w:pPr>
              <w:pStyle w:val="TableContents"/>
              <w:bidi w:val="0"/>
              <w:spacing w:before="0" w:after="283"/>
              <w:jc w:val="center"/>
              <w:rPr>
                <w:color w:val="636466"/>
              </w:rPr>
            </w:pPr>
            <w:r>
              <w:rPr>
                <w:color w:val="636466"/>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James M. Kilts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color w:val="636466"/>
              </w:rPr>
            </w:pP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color w:val="636466"/>
              </w:rPr>
            </w:pPr>
            <w:r>
              <w:rPr>
                <w:color w:val="636466"/>
              </w:rPr>
              <w:drawing>
                <wp:inline distT="0" distB="0" distL="0" distR="0">
                  <wp:extent cx="85725" cy="76200"/>
                  <wp:effectExtent l="0" t="0" r="0" b="0"/>
                  <wp:docPr id="121"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02" descr=""/>
                          <pic:cNvPicPr>
                            <a:picLocks noChangeAspect="1" noChangeArrowheads="1"/>
                          </pic:cNvPicPr>
                        </pic:nvPicPr>
                        <pic:blipFill>
                          <a:blip r:embed="rId112"/>
                          <a:stretch>
                            <a:fillRect/>
                          </a:stretch>
                        </pic:blipFill>
                        <pic:spPr bwMode="auto">
                          <a:xfrm>
                            <a:off x="0" y="0"/>
                            <a:ext cx="85725" cy="762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color w:val="636466"/>
              </w:rPr>
            </w:pP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center"/>
              <w:rPr>
                <w:color w:val="636466"/>
              </w:rPr>
            </w:pP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color w:val="636466"/>
              </w:rPr>
            </w:pPr>
            <w:r>
              <w:rPr>
                <w:color w:val="636466"/>
              </w:rPr>
              <w:drawing>
                <wp:inline distT="0" distB="0" distL="0" distR="0">
                  <wp:extent cx="85725" cy="76200"/>
                  <wp:effectExtent l="0" t="0" r="0" b="0"/>
                  <wp:docPr id="122"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03" descr=""/>
                          <pic:cNvPicPr>
                            <a:picLocks noChangeAspect="1" noChangeArrowheads="1"/>
                          </pic:cNvPicPr>
                        </pic:nvPicPr>
                        <pic:blipFill>
                          <a:blip r:embed="rId113"/>
                          <a:stretch>
                            <a:fillRect/>
                          </a:stretch>
                        </pic:blipFill>
                        <pic:spPr bwMode="auto">
                          <a:xfrm>
                            <a:off x="0" y="0"/>
                            <a:ext cx="85725" cy="762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jc w:val="center"/>
              <w:rPr>
                <w:color w:val="636466"/>
              </w:rPr>
            </w:pP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color w:val="636466"/>
              </w:rPr>
            </w:pPr>
            <w:r>
              <w:rPr>
                <w:color w:val="636466"/>
              </w:rPr>
              <w:t>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Harry Korman</w:t>
            </w:r>
            <w:r>
              <w:rPr>
                <w:rFonts w:ascii="Arial;Helvetica;sans-serif" w:hAnsi="Arial;Helvetica;sans-serif"/>
                <w:color w:val="636466"/>
                <w:position w:val="5"/>
                <w:sz w:val="13"/>
                <w:sz w:val="16"/>
              </w:rPr>
              <w:t>2</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85" w:type="dxa"/>
            <w:tcBorders/>
            <w:shd w:fill="E7E0EF" w:val="clear"/>
            <w:vAlign w:val="center"/>
          </w:tcPr>
          <w:p>
            <w:pPr>
              <w:pStyle w:val="TableContents"/>
              <w:bidi w:val="0"/>
              <w:spacing w:before="0" w:after="283"/>
              <w:jc w:val="center"/>
              <w:rPr>
                <w:color w:val="636466"/>
              </w:rPr>
            </w:pP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220" w:type="dxa"/>
            <w:tcBorders/>
            <w:shd w:fill="E7E0EF" w:val="clear"/>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Chair</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95" w:type="dxa"/>
            <w:tcBorders/>
            <w:shd w:fill="E7E0EF" w:val="clear"/>
            <w:vAlign w:val="center"/>
          </w:tcPr>
          <w:p>
            <w:pPr>
              <w:pStyle w:val="TableContents"/>
              <w:bidi w:val="0"/>
              <w:spacing w:before="0" w:after="283"/>
              <w:jc w:val="center"/>
              <w:rPr>
                <w:color w:val="636466"/>
              </w:rPr>
            </w:pPr>
            <w:r>
              <w:rPr>
                <w:color w:val="636466"/>
              </w:rPr>
              <w:drawing>
                <wp:inline distT="0" distB="0" distL="0" distR="0">
                  <wp:extent cx="85725" cy="76200"/>
                  <wp:effectExtent l="0" t="0" r="0" b="0"/>
                  <wp:docPr id="123"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04" descr=""/>
                          <pic:cNvPicPr>
                            <a:picLocks noChangeAspect="1" noChangeArrowheads="1"/>
                          </pic:cNvPicPr>
                        </pic:nvPicPr>
                        <pic:blipFill>
                          <a:blip r:embed="rId114"/>
                          <a:stretch>
                            <a:fillRect/>
                          </a:stretch>
                        </pic:blipFill>
                        <pic:spPr bwMode="auto">
                          <a:xfrm>
                            <a:off x="0" y="0"/>
                            <a:ext cx="85725" cy="76200"/>
                          </a:xfrm>
                          <a:prstGeom prst="rect">
                            <a:avLst/>
                          </a:prstGeom>
                        </pic:spPr>
                      </pic:pic>
                    </a:graphicData>
                  </a:graphic>
                </wp:inline>
              </w:drawing>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15" w:type="dxa"/>
            <w:tcBorders/>
            <w:shd w:fill="E7E0EF" w:val="clear"/>
            <w:vAlign w:val="center"/>
          </w:tcPr>
          <w:p>
            <w:pPr>
              <w:pStyle w:val="TableContents"/>
              <w:bidi w:val="0"/>
              <w:spacing w:before="0" w:after="283"/>
              <w:jc w:val="center"/>
              <w:rPr>
                <w:color w:val="636466"/>
              </w:rPr>
            </w:pP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jc w:val="center"/>
              <w:rPr>
                <w:color w:val="636466"/>
              </w:rPr>
            </w:pP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30" w:type="dxa"/>
            <w:tcBorders/>
            <w:shd w:fill="E7E0EF" w:val="clear"/>
            <w:vAlign w:val="center"/>
          </w:tcPr>
          <w:p>
            <w:pPr>
              <w:pStyle w:val="TableContents"/>
              <w:bidi w:val="0"/>
              <w:spacing w:before="0" w:after="283"/>
              <w:jc w:val="center"/>
              <w:rPr>
                <w:color w:val="636466"/>
              </w:rPr>
            </w:pPr>
            <w:r>
              <w:rPr>
                <w:color w:val="636466"/>
              </w:rPr>
              <w:drawing>
                <wp:inline distT="0" distB="0" distL="0" distR="0">
                  <wp:extent cx="85725" cy="76200"/>
                  <wp:effectExtent l="0" t="0" r="0" b="0"/>
                  <wp:docPr id="124"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05" descr=""/>
                          <pic:cNvPicPr>
                            <a:picLocks noChangeAspect="1" noChangeArrowheads="1"/>
                          </pic:cNvPicPr>
                        </pic:nvPicPr>
                        <pic:blipFill>
                          <a:blip r:embed="rId115"/>
                          <a:stretch>
                            <a:fillRect/>
                          </a:stretch>
                        </pic:blipFill>
                        <pic:spPr bwMode="auto">
                          <a:xfrm>
                            <a:off x="0" y="0"/>
                            <a:ext cx="85725" cy="76200"/>
                          </a:xfrm>
                          <a:prstGeom prst="rect">
                            <a:avLst/>
                          </a:prstGeom>
                        </pic:spPr>
                      </pic:pic>
                    </a:graphicData>
                  </a:graphic>
                </wp:inline>
              </w:drawing>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95" w:type="dxa"/>
            <w:tcBorders/>
            <w:shd w:fill="E7E0EF" w:val="clear"/>
            <w:vAlign w:val="center"/>
          </w:tcPr>
          <w:p>
            <w:pPr>
              <w:pStyle w:val="TableContents"/>
              <w:bidi w:val="0"/>
              <w:spacing w:before="0" w:after="283"/>
              <w:jc w:val="center"/>
              <w:rPr>
                <w:color w:val="636466"/>
              </w:rPr>
            </w:pPr>
            <w:r>
              <w:rPr>
                <w:color w:val="636466"/>
              </w:rPr>
              <w:drawing>
                <wp:inline distT="0" distB="0" distL="0" distR="0">
                  <wp:extent cx="85725" cy="76200"/>
                  <wp:effectExtent l="0" t="0" r="0" b="0"/>
                  <wp:docPr id="125"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06" descr=""/>
                          <pic:cNvPicPr>
                            <a:picLocks noChangeAspect="1" noChangeArrowheads="1"/>
                          </pic:cNvPicPr>
                        </pic:nvPicPr>
                        <pic:blipFill>
                          <a:blip r:embed="rId116"/>
                          <a:stretch>
                            <a:fillRect/>
                          </a:stretch>
                        </pic:blipFill>
                        <pic:spPr bwMode="auto">
                          <a:xfrm>
                            <a:off x="0" y="0"/>
                            <a:ext cx="85725" cy="76200"/>
                          </a:xfrm>
                          <a:prstGeom prst="rect">
                            <a:avLst/>
                          </a:prstGeom>
                        </pic:spPr>
                      </pic:pic>
                    </a:graphicData>
                  </a:graphic>
                </wp:inline>
              </w:drawing>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Rajiv Malik</w:t>
            </w:r>
            <w:r>
              <w:rPr>
                <w:rFonts w:ascii="Arial;Helvetica;sans-serif" w:hAnsi="Arial;Helvetica;sans-serif"/>
                <w:color w:val="636466"/>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color w:val="636466"/>
              </w:rPr>
            </w:pP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color w:val="636466"/>
              </w:rPr>
            </w:pP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color w:val="636466"/>
              </w:rPr>
            </w:pP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center"/>
              <w:rPr>
                <w:color w:val="636466"/>
              </w:rPr>
            </w:pP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color w:val="636466"/>
              </w:rPr>
            </w:pP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jc w:val="center"/>
              <w:rPr>
                <w:color w:val="636466"/>
              </w:rPr>
            </w:pP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Chair</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Richard Mark</w:t>
            </w:r>
            <w:r>
              <w:rPr>
                <w:rFonts w:ascii="Arial;Helvetica;sans-serif" w:hAnsi="Arial;Helvetica;sans-serif"/>
                <w:color w:val="636466"/>
                <w:position w:val="5"/>
                <w:sz w:val="13"/>
                <w:sz w:val="16"/>
              </w:rPr>
              <w:t>3</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85" w:type="dxa"/>
            <w:tcBorders/>
            <w:shd w:fill="E7E0EF" w:val="clear"/>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Chair</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220" w:type="dxa"/>
            <w:tcBorders/>
            <w:shd w:fill="E7E0EF" w:val="clear"/>
            <w:vAlign w:val="center"/>
          </w:tcPr>
          <w:p>
            <w:pPr>
              <w:pStyle w:val="TableContents"/>
              <w:bidi w:val="0"/>
              <w:spacing w:before="0" w:after="283"/>
              <w:jc w:val="center"/>
              <w:rPr>
                <w:color w:val="636466"/>
              </w:rPr>
            </w:pP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95" w:type="dxa"/>
            <w:tcBorders/>
            <w:shd w:fill="E7E0EF" w:val="clear"/>
            <w:vAlign w:val="center"/>
          </w:tcPr>
          <w:p>
            <w:pPr>
              <w:pStyle w:val="TableContents"/>
              <w:bidi w:val="0"/>
              <w:spacing w:before="0" w:after="283"/>
              <w:jc w:val="center"/>
              <w:rPr>
                <w:color w:val="636466"/>
              </w:rPr>
            </w:pPr>
            <w:r>
              <w:rPr>
                <w:color w:val="636466"/>
              </w:rPr>
              <w:drawing>
                <wp:inline distT="0" distB="0" distL="0" distR="0">
                  <wp:extent cx="85725" cy="76200"/>
                  <wp:effectExtent l="0" t="0" r="0" b="0"/>
                  <wp:docPr id="126"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07" descr=""/>
                          <pic:cNvPicPr>
                            <a:picLocks noChangeAspect="1" noChangeArrowheads="1"/>
                          </pic:cNvPicPr>
                        </pic:nvPicPr>
                        <pic:blipFill>
                          <a:blip r:embed="rId117"/>
                          <a:stretch>
                            <a:fillRect/>
                          </a:stretch>
                        </pic:blipFill>
                        <pic:spPr bwMode="auto">
                          <a:xfrm>
                            <a:off x="0" y="0"/>
                            <a:ext cx="85725" cy="76200"/>
                          </a:xfrm>
                          <a:prstGeom prst="rect">
                            <a:avLst/>
                          </a:prstGeom>
                        </pic:spPr>
                      </pic:pic>
                    </a:graphicData>
                  </a:graphic>
                </wp:inline>
              </w:drawing>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15" w:type="dxa"/>
            <w:tcBorders/>
            <w:shd w:fill="E7E0EF" w:val="clear"/>
            <w:vAlign w:val="center"/>
          </w:tcPr>
          <w:p>
            <w:pPr>
              <w:pStyle w:val="TableContents"/>
              <w:bidi w:val="0"/>
              <w:spacing w:before="0" w:after="283"/>
              <w:jc w:val="center"/>
              <w:rPr>
                <w:color w:val="636466"/>
              </w:rPr>
            </w:pPr>
            <w:r>
              <w:rPr>
                <w:color w:val="636466"/>
              </w:rPr>
              <w:drawing>
                <wp:inline distT="0" distB="0" distL="0" distR="0">
                  <wp:extent cx="85725" cy="76200"/>
                  <wp:effectExtent l="0" t="0" r="0" b="0"/>
                  <wp:docPr id="127"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08" descr=""/>
                          <pic:cNvPicPr>
                            <a:picLocks noChangeAspect="1" noChangeArrowheads="1"/>
                          </pic:cNvPicPr>
                        </pic:nvPicPr>
                        <pic:blipFill>
                          <a:blip r:embed="rId118"/>
                          <a:stretch>
                            <a:fillRect/>
                          </a:stretch>
                        </pic:blipFill>
                        <pic:spPr bwMode="auto">
                          <a:xfrm>
                            <a:off x="0" y="0"/>
                            <a:ext cx="85725" cy="76200"/>
                          </a:xfrm>
                          <a:prstGeom prst="rect">
                            <a:avLst/>
                          </a:prstGeom>
                        </pic:spPr>
                      </pic:pic>
                    </a:graphicData>
                  </a:graphic>
                </wp:inline>
              </w:drawing>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jc w:val="center"/>
              <w:rPr>
                <w:color w:val="636466"/>
              </w:rPr>
            </w:pPr>
            <w:r>
              <w:rPr>
                <w:color w:val="636466"/>
              </w:rPr>
              <w:drawing>
                <wp:inline distT="0" distB="0" distL="0" distR="0">
                  <wp:extent cx="85725" cy="76200"/>
                  <wp:effectExtent l="0" t="0" r="0" b="0"/>
                  <wp:docPr id="128"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09" descr=""/>
                          <pic:cNvPicPr>
                            <a:picLocks noChangeAspect="1" noChangeArrowheads="1"/>
                          </pic:cNvPicPr>
                        </pic:nvPicPr>
                        <pic:blipFill>
                          <a:blip r:embed="rId119"/>
                          <a:stretch>
                            <a:fillRect/>
                          </a:stretch>
                        </pic:blipFill>
                        <pic:spPr bwMode="auto">
                          <a:xfrm>
                            <a:off x="0" y="0"/>
                            <a:ext cx="85725" cy="76200"/>
                          </a:xfrm>
                          <a:prstGeom prst="rect">
                            <a:avLst/>
                          </a:prstGeom>
                        </pic:spPr>
                      </pic:pic>
                    </a:graphicData>
                  </a:graphic>
                </wp:inline>
              </w:drawing>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30" w:type="dxa"/>
            <w:tcBorders/>
            <w:shd w:fill="E7E0EF" w:val="clear"/>
            <w:vAlign w:val="center"/>
          </w:tcPr>
          <w:p>
            <w:pPr>
              <w:pStyle w:val="TableContents"/>
              <w:bidi w:val="0"/>
              <w:spacing w:before="0" w:after="283"/>
              <w:jc w:val="center"/>
              <w:rPr>
                <w:color w:val="636466"/>
              </w:rPr>
            </w:pP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95" w:type="dxa"/>
            <w:tcBorders/>
            <w:shd w:fill="E7E0EF" w:val="clear"/>
            <w:vAlign w:val="center"/>
          </w:tcPr>
          <w:p>
            <w:pPr>
              <w:pStyle w:val="TableContents"/>
              <w:bidi w:val="0"/>
              <w:spacing w:before="0" w:after="283"/>
              <w:jc w:val="center"/>
              <w:rPr>
                <w:color w:val="636466"/>
              </w:rPr>
            </w:pPr>
            <w:r>
              <w:rPr>
                <w:color w:val="636466"/>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Mark Parrish</w:t>
            </w:r>
            <w:r>
              <w:rPr>
                <w:rFonts w:ascii="Arial;Helvetica;sans-serif" w:hAnsi="Arial;Helvetica;sans-serif"/>
                <w:color w:val="636466"/>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color w:val="636466"/>
              </w:rPr>
            </w:pP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color w:val="636466"/>
              </w:rPr>
            </w:pP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center"/>
              <w:rPr>
                <w:color w:val="636466"/>
              </w:rPr>
            </w:pPr>
            <w:r>
              <w:rPr>
                <w:color w:val="636466"/>
              </w:rPr>
              <w:drawing>
                <wp:inline distT="0" distB="0" distL="0" distR="0">
                  <wp:extent cx="85725" cy="76200"/>
                  <wp:effectExtent l="0" t="0" r="0" b="0"/>
                  <wp:docPr id="129"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10" descr=""/>
                          <pic:cNvPicPr>
                            <a:picLocks noChangeAspect="1" noChangeArrowheads="1"/>
                          </pic:cNvPicPr>
                        </pic:nvPicPr>
                        <pic:blipFill>
                          <a:blip r:embed="rId120"/>
                          <a:stretch>
                            <a:fillRect/>
                          </a:stretch>
                        </pic:blipFill>
                        <pic:spPr bwMode="auto">
                          <a:xfrm>
                            <a:off x="0" y="0"/>
                            <a:ext cx="85725" cy="762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color w:val="636466"/>
              </w:rPr>
            </w:pP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jc w:val="center"/>
              <w:rPr>
                <w:color w:val="636466"/>
              </w:rPr>
            </w:pPr>
            <w:r>
              <w:rPr>
                <w:color w:val="636466"/>
              </w:rPr>
              <w:drawing>
                <wp:inline distT="0" distB="0" distL="0" distR="0">
                  <wp:extent cx="85725" cy="76200"/>
                  <wp:effectExtent l="0" t="0" r="0" b="0"/>
                  <wp:docPr id="130"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11" descr=""/>
                          <pic:cNvPicPr>
                            <a:picLocks noChangeAspect="1" noChangeArrowheads="1"/>
                          </pic:cNvPicPr>
                        </pic:nvPicPr>
                        <pic:blipFill>
                          <a:blip r:embed="rId121"/>
                          <a:stretch>
                            <a:fillRect/>
                          </a:stretch>
                        </pic:blipFill>
                        <pic:spPr bwMode="auto">
                          <a:xfrm>
                            <a:off x="0" y="0"/>
                            <a:ext cx="85725" cy="762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color w:val="636466"/>
              </w:rPr>
            </w:pPr>
            <w:r>
              <w:rPr>
                <w:color w:val="636466"/>
              </w:rPr>
              <w:drawing>
                <wp:inline distT="0" distB="0" distL="0" distR="0">
                  <wp:extent cx="85725" cy="76200"/>
                  <wp:effectExtent l="0" t="0" r="0" b="0"/>
                  <wp:docPr id="131"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12" descr=""/>
                          <pic:cNvPicPr>
                            <a:picLocks noChangeAspect="1" noChangeArrowheads="1"/>
                          </pic:cNvPicPr>
                        </pic:nvPicPr>
                        <pic:blipFill>
                          <a:blip r:embed="rId122"/>
                          <a:stretch>
                            <a:fillRect/>
                          </a:stretch>
                        </pic:blipFill>
                        <pic:spPr bwMode="auto">
                          <a:xfrm>
                            <a:off x="0" y="0"/>
                            <a:ext cx="85725" cy="76200"/>
                          </a:xfrm>
                          <a:prstGeom prst="rect">
                            <a:avLst/>
                          </a:prstGeom>
                        </pic:spPr>
                      </pic:pic>
                    </a:graphicData>
                  </a:graphic>
                </wp:inline>
              </w:drawing>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Michael Severino</w:t>
            </w:r>
            <w:r>
              <w:rPr>
                <w:rFonts w:ascii="Arial;Helvetica;sans-serif" w:hAnsi="Arial;Helvetica;sans-serif"/>
                <w:color w:val="636466"/>
                <w:position w:val="5"/>
                <w:sz w:val="13"/>
                <w:sz w:val="16"/>
              </w:rPr>
              <w:t>5</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85" w:type="dxa"/>
            <w:tcBorders/>
            <w:shd w:fill="E7E0EF" w:val="clear"/>
            <w:vAlign w:val="center"/>
          </w:tcPr>
          <w:p>
            <w:pPr>
              <w:pStyle w:val="TableContents"/>
              <w:bidi w:val="0"/>
              <w:spacing w:before="0" w:after="283"/>
              <w:jc w:val="center"/>
              <w:rPr>
                <w:color w:val="636466"/>
              </w:rPr>
            </w:pP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220" w:type="dxa"/>
            <w:tcBorders/>
            <w:shd w:fill="E7E0EF" w:val="clear"/>
            <w:vAlign w:val="center"/>
          </w:tcPr>
          <w:p>
            <w:pPr>
              <w:pStyle w:val="TableContents"/>
              <w:bidi w:val="0"/>
              <w:spacing w:before="0" w:after="283"/>
              <w:jc w:val="center"/>
              <w:rPr>
                <w:color w:val="636466"/>
              </w:rPr>
            </w:pP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95" w:type="dxa"/>
            <w:tcBorders/>
            <w:shd w:fill="E7E0EF" w:val="clear"/>
            <w:vAlign w:val="center"/>
          </w:tcPr>
          <w:p>
            <w:pPr>
              <w:pStyle w:val="TableContents"/>
              <w:bidi w:val="0"/>
              <w:spacing w:before="0" w:after="283"/>
              <w:jc w:val="center"/>
              <w:rPr>
                <w:color w:val="636466"/>
              </w:rPr>
            </w:pP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15" w:type="dxa"/>
            <w:tcBorders/>
            <w:shd w:fill="E7E0EF" w:val="clear"/>
            <w:vAlign w:val="center"/>
          </w:tcPr>
          <w:p>
            <w:pPr>
              <w:pStyle w:val="TableContents"/>
              <w:bidi w:val="0"/>
              <w:spacing w:before="0" w:after="283"/>
              <w:jc w:val="center"/>
              <w:rPr>
                <w:color w:val="636466"/>
              </w:rPr>
            </w:pP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jc w:val="center"/>
              <w:rPr>
                <w:color w:val="636466"/>
              </w:rPr>
            </w:pP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30" w:type="dxa"/>
            <w:tcBorders/>
            <w:shd w:fill="E7E0EF" w:val="clear"/>
            <w:vAlign w:val="center"/>
          </w:tcPr>
          <w:p>
            <w:pPr>
              <w:pStyle w:val="TableContents"/>
              <w:bidi w:val="0"/>
              <w:spacing w:before="0" w:after="283"/>
              <w:jc w:val="center"/>
              <w:rPr>
                <w:color w:val="636466"/>
              </w:rPr>
            </w:pP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95" w:type="dxa"/>
            <w:tcBorders/>
            <w:shd w:fill="E7E0EF" w:val="clear"/>
            <w:vAlign w:val="center"/>
          </w:tcPr>
          <w:p>
            <w:pPr>
              <w:pStyle w:val="TableContents"/>
              <w:bidi w:val="0"/>
              <w:spacing w:before="0" w:after="283"/>
              <w:jc w:val="center"/>
              <w:rPr>
                <w:color w:val="636466"/>
              </w:rPr>
            </w:pPr>
            <w:r>
              <w:rPr>
                <w:color w:val="636466"/>
              </w:rPr>
              <w:drawing>
                <wp:inline distT="0" distB="0" distL="0" distR="0">
                  <wp:extent cx="85725" cy="76200"/>
                  <wp:effectExtent l="0" t="0" r="0" b="0"/>
                  <wp:docPr id="132"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13" descr=""/>
                          <pic:cNvPicPr>
                            <a:picLocks noChangeAspect="1" noChangeArrowheads="1"/>
                          </pic:cNvPicPr>
                        </pic:nvPicPr>
                        <pic:blipFill>
                          <a:blip r:embed="rId123"/>
                          <a:stretch>
                            <a:fillRect/>
                          </a:stretch>
                        </pic:blipFill>
                        <pic:spPr bwMode="auto">
                          <a:xfrm>
                            <a:off x="0" y="0"/>
                            <a:ext cx="85725" cy="76200"/>
                          </a:xfrm>
                          <a:prstGeom prst="rect">
                            <a:avLst/>
                          </a:prstGeom>
                        </pic:spPr>
                      </pic:pic>
                    </a:graphicData>
                  </a:graphic>
                </wp:inline>
              </w:drawing>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David Simmons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color w:val="636466"/>
              </w:rPr>
            </w:pP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color w:val="636466"/>
              </w:rPr>
            </w:pP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color w:val="636466"/>
              </w:rPr>
            </w:pP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center"/>
              <w:rPr>
                <w:color w:val="636466"/>
              </w:rPr>
            </w:pP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color w:val="636466"/>
              </w:rPr>
            </w:pP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jc w:val="center"/>
              <w:rPr>
                <w:color w:val="636466"/>
              </w:rPr>
            </w:pP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color w:val="636466"/>
              </w:rPr>
            </w:pPr>
            <w:r>
              <w:rPr>
                <w:color w:val="636466"/>
              </w:rPr>
              <w:t>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Scott A. Smith</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85" w:type="dxa"/>
            <w:tcBorders/>
            <w:shd w:fill="E7E0EF" w:val="clear"/>
            <w:vAlign w:val="center"/>
          </w:tcPr>
          <w:p>
            <w:pPr>
              <w:pStyle w:val="TableContents"/>
              <w:bidi w:val="0"/>
              <w:spacing w:before="0" w:after="283"/>
              <w:jc w:val="center"/>
              <w:rPr>
                <w:color w:val="636466"/>
              </w:rPr>
            </w:pP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220" w:type="dxa"/>
            <w:tcBorders/>
            <w:shd w:fill="E7E0EF" w:val="clear"/>
            <w:vAlign w:val="center"/>
          </w:tcPr>
          <w:p>
            <w:pPr>
              <w:pStyle w:val="TableContents"/>
              <w:bidi w:val="0"/>
              <w:spacing w:before="0" w:after="283"/>
              <w:jc w:val="center"/>
              <w:rPr>
                <w:color w:val="636466"/>
              </w:rPr>
            </w:pP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95" w:type="dxa"/>
            <w:tcBorders/>
            <w:shd w:fill="E7E0EF" w:val="clear"/>
            <w:vAlign w:val="center"/>
          </w:tcPr>
          <w:p>
            <w:pPr>
              <w:pStyle w:val="TableContents"/>
              <w:bidi w:val="0"/>
              <w:spacing w:before="0" w:after="283"/>
              <w:jc w:val="center"/>
              <w:rPr>
                <w:color w:val="636466"/>
              </w:rPr>
            </w:pP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15" w:type="dxa"/>
            <w:tcBorders/>
            <w:shd w:fill="E7E0EF" w:val="clear"/>
            <w:vAlign w:val="center"/>
          </w:tcPr>
          <w:p>
            <w:pPr>
              <w:pStyle w:val="TableContents"/>
              <w:bidi w:val="0"/>
              <w:spacing w:before="0" w:after="283"/>
              <w:jc w:val="center"/>
              <w:rPr>
                <w:color w:val="636466"/>
              </w:rPr>
            </w:pP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jc w:val="center"/>
              <w:rPr>
                <w:color w:val="636466"/>
              </w:rPr>
            </w:pP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30" w:type="dxa"/>
            <w:tcBorders/>
            <w:shd w:fill="E7E0EF" w:val="clear"/>
            <w:vAlign w:val="center"/>
          </w:tcPr>
          <w:p>
            <w:pPr>
              <w:pStyle w:val="TableContents"/>
              <w:bidi w:val="0"/>
              <w:spacing w:before="0" w:after="283"/>
              <w:jc w:val="center"/>
              <w:rPr>
                <w:color w:val="636466"/>
              </w:rPr>
            </w:pP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95" w:type="dxa"/>
            <w:tcBorders/>
            <w:shd w:fill="E7E0EF" w:val="clear"/>
            <w:vAlign w:val="center"/>
          </w:tcPr>
          <w:p>
            <w:pPr>
              <w:pStyle w:val="TableContents"/>
              <w:bidi w:val="0"/>
              <w:spacing w:before="0" w:after="283"/>
              <w:jc w:val="center"/>
              <w:rPr>
                <w:color w:val="636466"/>
              </w:rPr>
            </w:pPr>
            <w:r>
              <w:rPr>
                <w:color w:val="636466"/>
              </w:rPr>
              <w:drawing>
                <wp:inline distT="0" distB="0" distL="0" distR="0">
                  <wp:extent cx="85725" cy="76200"/>
                  <wp:effectExtent l="0" t="0" r="0" b="0"/>
                  <wp:docPr id="133"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14" descr=""/>
                          <pic:cNvPicPr>
                            <a:picLocks noChangeAspect="1" noChangeArrowheads="1"/>
                          </pic:cNvPicPr>
                        </pic:nvPicPr>
                        <pic:blipFill>
                          <a:blip r:embed="rId124"/>
                          <a:stretch>
                            <a:fillRect/>
                          </a:stretch>
                        </pic:blipFill>
                        <pic:spPr bwMode="auto">
                          <a:xfrm>
                            <a:off x="0" y="0"/>
                            <a:ext cx="85725" cy="76200"/>
                          </a:xfrm>
                          <a:prstGeom prst="rect">
                            <a:avLst/>
                          </a:prstGeom>
                        </pic:spPr>
                      </pic:pic>
                    </a:graphicData>
                  </a:graphic>
                </wp:inline>
              </w:drawing>
            </w:r>
          </w:p>
        </w:tc>
        <w:tc>
          <w:tcPr>
            <w:tcW w:w="215" w:type="dxa"/>
            <w:tcBorders/>
            <w:shd w:fill="E7E0EF" w:val="cle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58" w:type="dxa"/>
            </w:tcM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Rogério Vivaldi Coelho</w:t>
            </w:r>
            <w:r>
              <w:rPr>
                <w:rFonts w:ascii="Arial;Helvetica;sans-serif" w:hAnsi="Arial;Helvetica;sans-serif"/>
                <w:color w:val="636466"/>
                <w:position w:val="5"/>
                <w:sz w:val="13"/>
                <w:sz w:val="16"/>
              </w:rPr>
              <w:t>6</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85" w:type="dxa"/>
            <w:tcBorders>
              <w:bottom w:val="single" w:sz="8" w:space="0" w:color="000000"/>
            </w:tcBorders>
            <w:tcMar>
              <w:bottom w:w="58" w:type="dxa"/>
            </w:tcMar>
            <w:vAlign w:val="center"/>
          </w:tcPr>
          <w:p>
            <w:pPr>
              <w:pStyle w:val="TableContents"/>
              <w:bidi w:val="0"/>
              <w:spacing w:before="0" w:after="283"/>
              <w:jc w:val="center"/>
              <w:rPr>
                <w:color w:val="636466"/>
              </w:rPr>
            </w:pPr>
            <w:r>
              <w:rPr>
                <w:color w:val="636466"/>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20" w:type="dxa"/>
            <w:tcBorders>
              <w:bottom w:val="single" w:sz="8" w:space="0" w:color="000000"/>
            </w:tcBorders>
            <w:tcMar>
              <w:bottom w:w="58" w:type="dxa"/>
            </w:tcMar>
            <w:vAlign w:val="center"/>
          </w:tcPr>
          <w:p>
            <w:pPr>
              <w:pStyle w:val="TableContents"/>
              <w:bidi w:val="0"/>
              <w:spacing w:before="0" w:after="283"/>
              <w:jc w:val="center"/>
              <w:rPr>
                <w:color w:val="636466"/>
              </w:rPr>
            </w:pPr>
            <w:r>
              <w:rPr>
                <w:color w:val="636466"/>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95" w:type="dxa"/>
            <w:tcBorders>
              <w:bottom w:val="single" w:sz="8" w:space="0" w:color="000000"/>
            </w:tcBorders>
            <w:tcMar>
              <w:bottom w:w="58" w:type="dxa"/>
            </w:tcMar>
            <w:vAlign w:val="center"/>
          </w:tcPr>
          <w:p>
            <w:pPr>
              <w:pStyle w:val="TableContents"/>
              <w:bidi w:val="0"/>
              <w:spacing w:before="0" w:after="283"/>
              <w:jc w:val="center"/>
              <w:rPr>
                <w:color w:val="636466"/>
              </w:rPr>
            </w:pPr>
            <w:r>
              <w:rPr>
                <w:color w:val="636466"/>
              </w:rPr>
              <w:drawing>
                <wp:inline distT="0" distB="0" distL="0" distR="0">
                  <wp:extent cx="85725" cy="76200"/>
                  <wp:effectExtent l="0" t="0" r="0" b="0"/>
                  <wp:docPr id="134"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15" descr=""/>
                          <pic:cNvPicPr>
                            <a:picLocks noChangeAspect="1" noChangeArrowheads="1"/>
                          </pic:cNvPicPr>
                        </pic:nvPicPr>
                        <pic:blipFill>
                          <a:blip r:embed="rId125"/>
                          <a:stretch>
                            <a:fillRect/>
                          </a:stretch>
                        </pic:blipFill>
                        <pic:spPr bwMode="auto">
                          <a:xfrm>
                            <a:off x="0" y="0"/>
                            <a:ext cx="85725" cy="76200"/>
                          </a:xfrm>
                          <a:prstGeom prst="rect">
                            <a:avLst/>
                          </a:prstGeom>
                        </pic:spPr>
                      </pic:pic>
                    </a:graphicData>
                  </a:graphic>
                </wp:inline>
              </w:drawing>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5" w:type="dxa"/>
            <w:tcBorders>
              <w:bottom w:val="single" w:sz="8" w:space="0" w:color="000000"/>
            </w:tcBorders>
            <w:tcMar>
              <w:bottom w:w="58" w:type="dxa"/>
            </w:tcMar>
            <w:vAlign w:val="center"/>
          </w:tcPr>
          <w:p>
            <w:pPr>
              <w:pStyle w:val="TableContents"/>
              <w:bidi w:val="0"/>
              <w:spacing w:before="0" w:after="283"/>
              <w:jc w:val="center"/>
              <w:rPr>
                <w:color w:val="636466"/>
              </w:rPr>
            </w:pPr>
            <w:r>
              <w:rPr>
                <w:color w:val="636466"/>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58" w:type="dxa"/>
            </w:tcMar>
            <w:vAlign w:val="center"/>
          </w:tcPr>
          <w:p>
            <w:pPr>
              <w:pStyle w:val="TableContents"/>
              <w:bidi w:val="0"/>
              <w:spacing w:before="0" w:after="283"/>
              <w:jc w:val="center"/>
              <w:rPr>
                <w:color w:val="636466"/>
              </w:rPr>
            </w:pPr>
            <w:r>
              <w:rPr>
                <w:color w:val="636466"/>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tcMar>
              <w:bottom w:w="58" w:type="dxa"/>
            </w:tcMar>
            <w:vAlign w:val="center"/>
          </w:tcPr>
          <w:p>
            <w:pPr>
              <w:pStyle w:val="TableContents"/>
              <w:bidi w:val="0"/>
              <w:spacing w:before="0" w:after="283"/>
              <w:jc w:val="center"/>
              <w:rPr>
                <w:color w:val="636466"/>
              </w:rPr>
            </w:pPr>
            <w:r>
              <w:rPr>
                <w:color w:val="636466"/>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95" w:type="dxa"/>
            <w:tcBorders>
              <w:bottom w:val="single" w:sz="8" w:space="0" w:color="000000"/>
            </w:tcBorders>
            <w:tcMar>
              <w:bottom w:w="58" w:type="dxa"/>
            </w:tcMar>
            <w:vAlign w:val="center"/>
          </w:tcPr>
          <w:p>
            <w:pPr>
              <w:pStyle w:val="TableContents"/>
              <w:bidi w:val="0"/>
              <w:spacing w:before="0" w:after="283"/>
              <w:jc w:val="center"/>
              <w:rPr>
                <w:color w:val="636466"/>
              </w:rPr>
            </w:pPr>
            <w:r>
              <w:rPr>
                <w:color w:val="636466"/>
              </w:rPr>
              <w:drawing>
                <wp:inline distT="0" distB="0" distL="0" distR="0">
                  <wp:extent cx="85725" cy="76200"/>
                  <wp:effectExtent l="0" t="0" r="0" b="0"/>
                  <wp:docPr id="135"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16" descr=""/>
                          <pic:cNvPicPr>
                            <a:picLocks noChangeAspect="1" noChangeArrowheads="1"/>
                          </pic:cNvPicPr>
                        </pic:nvPicPr>
                        <pic:blipFill>
                          <a:blip r:embed="rId126"/>
                          <a:stretch>
                            <a:fillRect/>
                          </a:stretch>
                        </pic:blipFill>
                        <pic:spPr bwMode="auto">
                          <a:xfrm>
                            <a:off x="0" y="0"/>
                            <a:ext cx="85725" cy="76200"/>
                          </a:xfrm>
                          <a:prstGeom prst="rect">
                            <a:avLst/>
                          </a:prstGeom>
                        </pic:spPr>
                      </pic:pic>
                    </a:graphicData>
                  </a:graphic>
                </wp:inline>
              </w:drawing>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770" w:type="dxa"/>
            <w:tcBorders>
              <w:bottom w:val="single" w:sz="8" w:space="0" w:color="000000"/>
            </w:tcBorders>
            <w:shd w:fill="E7E0EF" w:val="clear"/>
            <w:tcMar>
              <w:bottom w:w="58" w:type="dxa"/>
            </w:tcM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Meetings during 2024</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485" w:type="dxa"/>
            <w:tcBorders>
              <w:bottom w:val="single" w:sz="8" w:space="0" w:color="000000"/>
            </w:tcBorders>
            <w:shd w:fill="E7E0EF" w:val="clear"/>
            <w:tcMar>
              <w:bottom w:w="58" w:type="dxa"/>
            </w:tcMar>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7</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220" w:type="dxa"/>
            <w:tcBorders>
              <w:bottom w:val="single" w:sz="8" w:space="0" w:color="000000"/>
            </w:tcBorders>
            <w:shd w:fill="E7E0EF" w:val="clear"/>
            <w:tcMar>
              <w:bottom w:w="58" w:type="dxa"/>
            </w:tcMar>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5</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995" w:type="dxa"/>
            <w:tcBorders>
              <w:bottom w:val="single" w:sz="8" w:space="0" w:color="000000"/>
            </w:tcBorders>
            <w:shd w:fill="E7E0EF" w:val="clear"/>
            <w:tcMar>
              <w:bottom w:w="58" w:type="dxa"/>
            </w:tcMar>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5</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815" w:type="dxa"/>
            <w:tcBorders>
              <w:bottom w:val="single" w:sz="8" w:space="0" w:color="000000"/>
            </w:tcBorders>
            <w:shd w:fill="E7E0EF" w:val="clear"/>
            <w:tcMar>
              <w:bottom w:w="58" w:type="dxa"/>
            </w:tcMar>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7</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680" w:type="dxa"/>
            <w:tcBorders>
              <w:bottom w:val="single" w:sz="8" w:space="0" w:color="000000"/>
            </w:tcBorders>
            <w:shd w:fill="E7E0EF" w:val="clear"/>
            <w:tcMar>
              <w:bottom w:w="58" w:type="dxa"/>
            </w:tcMar>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5</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shd w:fill="E7E0EF" w:val="clear"/>
            <w:tcMar>
              <w:bottom w:w="58" w:type="dxa"/>
            </w:tcMar>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4</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995" w:type="dxa"/>
            <w:tcBorders>
              <w:bottom w:val="single" w:sz="8" w:space="0" w:color="000000"/>
            </w:tcBorders>
            <w:shd w:fill="E7E0EF" w:val="clear"/>
            <w:tcMar>
              <w:bottom w:w="58" w:type="dxa"/>
            </w:tcMar>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5</w:t>
            </w:r>
          </w:p>
        </w:tc>
        <w:tc>
          <w:tcPr>
            <w:tcW w:w="215"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Meetings during 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4</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6040" w:type="dxa"/>
        <w:jc w:val="left"/>
        <w:tblInd w:w="1060" w:type="dxa"/>
        <w:tblLayout w:type="fixed"/>
        <w:tblCellMar>
          <w:top w:w="0" w:type="dxa"/>
          <w:left w:w="0" w:type="dxa"/>
          <w:bottom w:w="0" w:type="dxa"/>
          <w:right w:w="0" w:type="dxa"/>
        </w:tblCellMar>
      </w:tblPr>
      <w:tblGrid>
        <w:gridCol w:w="125"/>
        <w:gridCol w:w="5915"/>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1</w:t>
            </w:r>
          </w:p>
        </w:tc>
        <w:tc>
          <w:tcPr>
            <w:tcW w:w="591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Frank D’Amelio joined the Finance Committee upon his appointment to the Board in May 2025. </w:t>
            </w:r>
          </w:p>
        </w:tc>
      </w:tr>
    </w:tbl>
    <w:tbl>
      <w:tblPr>
        <w:tblW w:w="5695" w:type="dxa"/>
        <w:jc w:val="left"/>
        <w:tblInd w:w="1060" w:type="dxa"/>
        <w:tblLayout w:type="fixed"/>
        <w:tblCellMar>
          <w:top w:w="0" w:type="dxa"/>
          <w:left w:w="0" w:type="dxa"/>
          <w:bottom w:w="0" w:type="dxa"/>
          <w:right w:w="0" w:type="dxa"/>
        </w:tblCellMar>
      </w:tblPr>
      <w:tblGrid>
        <w:gridCol w:w="125"/>
        <w:gridCol w:w="557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2</w:t>
            </w:r>
          </w:p>
        </w:tc>
        <w:tc>
          <w:tcPr>
            <w:tcW w:w="557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Harry Korman and Rajiv Malik are not nominated for election at the 2025 Annual Meeting.</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3</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The Board has determined that Richard Mark, the Chair of the Audit Committee, is an “audit committee financial expert”, as that term is defined in the rules of the SEC.</w:t>
            </w:r>
          </w:p>
        </w:tc>
      </w:tr>
    </w:tbl>
    <w:tbl>
      <w:tblPr>
        <w:tblW w:w="4645" w:type="dxa"/>
        <w:jc w:val="left"/>
        <w:tblInd w:w="1060" w:type="dxa"/>
        <w:tblLayout w:type="fixed"/>
        <w:tblCellMar>
          <w:top w:w="0" w:type="dxa"/>
          <w:left w:w="0" w:type="dxa"/>
          <w:bottom w:w="0" w:type="dxa"/>
          <w:right w:w="0" w:type="dxa"/>
        </w:tblCellMar>
      </w:tblPr>
      <w:tblGrid>
        <w:gridCol w:w="125"/>
        <w:gridCol w:w="45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4</w:t>
            </w:r>
          </w:p>
        </w:tc>
        <w:tc>
          <w:tcPr>
            <w:tcW w:w="45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Mark Parrish was a member of the Audit Committee until March 7, 2025.</w:t>
            </w:r>
          </w:p>
        </w:tc>
      </w:tr>
    </w:tbl>
    <w:tbl>
      <w:tblPr>
        <w:tblW w:w="7165" w:type="dxa"/>
        <w:jc w:val="left"/>
        <w:tblInd w:w="1060" w:type="dxa"/>
        <w:tblLayout w:type="fixed"/>
        <w:tblCellMar>
          <w:top w:w="0" w:type="dxa"/>
          <w:left w:w="0" w:type="dxa"/>
          <w:bottom w:w="0" w:type="dxa"/>
          <w:right w:w="0" w:type="dxa"/>
        </w:tblCellMar>
      </w:tblPr>
      <w:tblGrid>
        <w:gridCol w:w="125"/>
        <w:gridCol w:w="704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5</w:t>
            </w:r>
          </w:p>
        </w:tc>
        <w:tc>
          <w:tcPr>
            <w:tcW w:w="704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Michael Severino joined the Science and Technology Committee upon his appointment to the Board in May 2025.</w:t>
            </w:r>
          </w:p>
        </w:tc>
      </w:tr>
    </w:tbl>
    <w:tbl>
      <w:tblPr>
        <w:tblW w:w="6070" w:type="dxa"/>
        <w:jc w:val="left"/>
        <w:tblInd w:w="1060" w:type="dxa"/>
        <w:tblLayout w:type="fixed"/>
        <w:tblCellMar>
          <w:top w:w="0" w:type="dxa"/>
          <w:left w:w="0" w:type="dxa"/>
          <w:bottom w:w="0" w:type="dxa"/>
          <w:right w:w="0" w:type="dxa"/>
        </w:tblCellMar>
      </w:tblPr>
      <w:tblGrid>
        <w:gridCol w:w="125"/>
        <w:gridCol w:w="5945"/>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6</w:t>
            </w:r>
          </w:p>
        </w:tc>
        <w:tc>
          <w:tcPr>
            <w:tcW w:w="594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Rogério Vivaldi Coelho joined the Compliance and Risk Oversight Committee on March 7, 2025.</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7</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The Board re-established the Science and Technology Committee in May 2024 with Rajiv Malik (Chair) and Scott A. Smith as members. Rogério Vivaldi Coelho joined this committee upon his appointment to the Board in June 2024, Harry Korman and Mark Parrish joined this committee in November 2024, and Michael Severino joined this committee upon his appointment to the Board in May 2025.</w:t>
            </w:r>
          </w:p>
        </w:tc>
      </w:tr>
    </w:tbl>
    <w:tbl>
      <w:tblPr>
        <w:tblW w:w="4980" w:type="dxa"/>
        <w:jc w:val="left"/>
        <w:tblInd w:w="106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136"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17" descr=""/>
                          <pic:cNvPicPr>
                            <a:picLocks noChangeAspect="1" noChangeArrowheads="1"/>
                          </pic:cNvPicPr>
                        </pic:nvPicPr>
                        <pic:blipFill>
                          <a:blip r:embed="rId127"/>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Statement | 25</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137"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18" descr=""/>
                    <pic:cNvPicPr>
                      <a:picLocks noChangeAspect="1" noChangeArrowheads="1"/>
                    </pic:cNvPicPr>
                  </pic:nvPicPr>
                  <pic:blipFill>
                    <a:blip r:embed="rId128"/>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62" w:name="ny20055082x771_def14a_106-directors_pg21"/>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lef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p>
      <w:pPr>
        <w:pStyle w:val="Normal"/>
        <w:bidi w:val="0"/>
        <w:spacing w:before="0" w:after="0"/>
        <w:ind w:left="1060" w:right="0" w:hanging="0"/>
        <w:jc w:val="left"/>
        <w:rPr>
          <w:sz w:val="4"/>
          <w:szCs w:val="4"/>
        </w:rPr>
      </w:pPr>
      <w:r>
        <w:rPr>
          <w:sz w:val="4"/>
          <w:szCs w:val="4"/>
        </w:rPr>
      </w:r>
      <w:bookmarkStart w:id="63" w:name="tACK"/>
      <w:bookmarkStart w:id="64" w:name="tACK"/>
      <w:bookmarkEnd w:id="64"/>
    </w:p>
    <w:tbl>
      <w:tblPr>
        <w:tblW w:w="9145" w:type="dxa"/>
        <w:jc w:val="left"/>
        <w:tblInd w:w="1060" w:type="dxa"/>
        <w:tblLayout w:type="fixed"/>
        <w:tblCellMar>
          <w:top w:w="0" w:type="dxa"/>
          <w:left w:w="0" w:type="dxa"/>
          <w:bottom w:w="0" w:type="dxa"/>
          <w:right w:w="0" w:type="dxa"/>
        </w:tblCellMar>
      </w:tblPr>
      <w:tblGrid>
        <w:gridCol w:w="185"/>
        <w:gridCol w:w="1579"/>
        <w:gridCol w:w="170"/>
        <w:gridCol w:w="170"/>
        <w:gridCol w:w="7041"/>
      </w:tblGrid>
      <w:tr>
        <w:trPr/>
        <w:tc>
          <w:tcPr>
            <w:tcW w:w="185" w:type="dxa"/>
            <w:tcBorders/>
            <w:shd w:fill="DEDEF6" w:val="clear"/>
            <w:vAlign w:val="center"/>
          </w:tcPr>
          <w:p>
            <w:pPr>
              <w:pStyle w:val="TableContents"/>
              <w:bidi w:val="0"/>
              <w:spacing w:before="0" w:after="0"/>
              <w:jc w:val="left"/>
              <w:rPr/>
            </w:pPr>
            <w:r>
              <w:rPr/>
              <w:t> </w:t>
            </w:r>
          </w:p>
        </w:tc>
        <w:tc>
          <w:tcPr>
            <w:tcW w:w="1579" w:type="dxa"/>
            <w:tcBorders/>
            <w:shd w:fill="DEDEF6" w:val="clear"/>
            <w:vAlign w:val="center"/>
          </w:tcPr>
          <w:p>
            <w:pPr>
              <w:pStyle w:val="TableContents"/>
              <w:bidi w:val="0"/>
              <w:spacing w:before="0" w:after="0"/>
              <w:jc w:val="left"/>
              <w:rPr/>
            </w:pPr>
            <w:r>
              <w:rPr/>
              <w:t> </w:t>
            </w:r>
          </w:p>
        </w:tc>
        <w:tc>
          <w:tcPr>
            <w:tcW w:w="170" w:type="dxa"/>
            <w:tcBorders/>
            <w:shd w:fill="DEDEF6"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41" w:type="dxa"/>
            <w:tcBorders/>
            <w:vAlign w:val="center"/>
          </w:tcPr>
          <w:p>
            <w:pPr>
              <w:pStyle w:val="TableContents"/>
              <w:bidi w:val="0"/>
              <w:spacing w:before="0" w:after="0"/>
              <w:jc w:val="left"/>
              <w:rPr/>
            </w:pPr>
            <w:r>
              <w:rPr/>
              <w:t> </w:t>
            </w:r>
          </w:p>
        </w:tc>
      </w:tr>
      <w:tr>
        <w:trPr/>
        <w:tc>
          <w:tcPr>
            <w:tcW w:w="185" w:type="dxa"/>
            <w:tcBorders/>
            <w:shd w:fill="DEDEF6" w:val="clear"/>
            <w:vAlign w:val="center"/>
          </w:tcPr>
          <w:p>
            <w:pPr>
              <w:pStyle w:val="TableContents"/>
              <w:bidi w:val="0"/>
              <w:spacing w:before="0" w:after="0"/>
              <w:jc w:val="left"/>
              <w:rPr/>
            </w:pPr>
            <w:r>
              <w:rPr/>
              <w:t> </w:t>
            </w:r>
          </w:p>
        </w:tc>
        <w:tc>
          <w:tcPr>
            <w:tcW w:w="1579" w:type="dxa"/>
            <w:tcBorders/>
            <w:shd w:fill="DEDEF6" w:val="clear"/>
            <w:vAlign w:val="center"/>
          </w:tcPr>
          <w:p>
            <w:pPr>
              <w:pStyle w:val="TableContents"/>
              <w:bidi w:val="0"/>
              <w:spacing w:before="0" w:after="283"/>
              <w:ind w:left="60" w:right="0" w:hanging="0"/>
              <w:jc w:val="left"/>
              <w:rPr>
                <w:rFonts w:ascii="Arial;Helvetica;sans-serif" w:hAnsi="Arial;Helvetica;sans-serif"/>
                <w:b/>
                <w:color w:val="1F1C6B"/>
                <w:sz w:val="24"/>
              </w:rPr>
            </w:pPr>
            <w:r>
              <w:rPr>
                <w:rFonts w:ascii="Arial;Helvetica;sans-serif" w:hAnsi="Arial;Helvetica;sans-serif"/>
                <w:b/>
                <w:color w:val="1F1C6B"/>
                <w:sz w:val="24"/>
              </w:rPr>
              <w:t>Audit Committee</w:t>
            </w:r>
          </w:p>
          <w:p>
            <w:pPr>
              <w:pStyle w:val="TableContents"/>
              <w:bidi w:val="0"/>
              <w:spacing w:before="120" w:after="283"/>
              <w:ind w:left="60" w:right="0" w:hanging="0"/>
              <w:jc w:val="left"/>
              <w:rPr>
                <w:rFonts w:ascii="Arial;Helvetica;sans-serif" w:hAnsi="Arial;Helvetica;sans-serif"/>
                <w:b/>
                <w:color w:val="1F1C6B"/>
                <w:sz w:val="18"/>
              </w:rPr>
            </w:pPr>
            <w:r>
              <w:rPr>
                <w:rFonts w:ascii="Arial;Helvetica;sans-serif" w:hAnsi="Arial;Helvetica;sans-serif"/>
                <w:b/>
                <w:color w:val="1F1C6B"/>
                <w:sz w:val="18"/>
              </w:rPr>
              <w:t>Members</w:t>
            </w:r>
          </w:p>
          <w:p>
            <w:pPr>
              <w:pStyle w:val="TableContents"/>
              <w:bidi w:val="0"/>
              <w:spacing w:before="0" w:after="283"/>
              <w:ind w:left="60" w:right="0" w:hanging="0"/>
              <w:jc w:val="left"/>
              <w:rPr>
                <w:rFonts w:ascii="Arial;Helvetica;sans-serif" w:hAnsi="Arial;Helvetica;sans-serif"/>
                <w:b w:val="false"/>
                <w:color w:val="484484"/>
                <w:sz w:val="18"/>
              </w:rPr>
            </w:pPr>
            <w:r>
              <w:rPr>
                <w:rFonts w:ascii="Arial;Helvetica;sans-serif" w:hAnsi="Arial;Helvetica;sans-serif"/>
                <w:b w:val="false"/>
                <w:color w:val="484484"/>
                <w:sz w:val="18"/>
              </w:rPr>
              <w:t>Mr. Mark (Chair)</w:t>
            </w:r>
          </w:p>
          <w:p>
            <w:pPr>
              <w:pStyle w:val="TableContents"/>
              <w:bidi w:val="0"/>
              <w:spacing w:before="0" w:after="283"/>
              <w:ind w:left="60" w:right="0" w:hanging="0"/>
              <w:jc w:val="left"/>
              <w:rPr>
                <w:rFonts w:ascii="Arial;Helvetica;sans-serif" w:hAnsi="Arial;Helvetica;sans-serif"/>
                <w:b w:val="false"/>
                <w:color w:val="484484"/>
                <w:sz w:val="18"/>
              </w:rPr>
            </w:pPr>
            <w:r>
              <w:rPr>
                <w:rFonts w:ascii="Arial;Helvetica;sans-serif" w:hAnsi="Arial;Helvetica;sans-serif"/>
                <w:b w:val="false"/>
                <w:color w:val="484484"/>
                <w:sz w:val="18"/>
              </w:rPr>
              <w:t>Mr. Cornwell</w:t>
            </w:r>
          </w:p>
          <w:p>
            <w:pPr>
              <w:pStyle w:val="TableContents"/>
              <w:bidi w:val="0"/>
              <w:spacing w:before="0" w:after="283"/>
              <w:ind w:left="60" w:right="0" w:hanging="0"/>
              <w:jc w:val="left"/>
              <w:rPr>
                <w:rFonts w:ascii="Arial;Helvetica;sans-serif" w:hAnsi="Arial;Helvetica;sans-serif"/>
                <w:b w:val="false"/>
                <w:color w:val="484484"/>
                <w:sz w:val="18"/>
              </w:rPr>
            </w:pPr>
            <w:r>
              <w:rPr>
                <w:rFonts w:ascii="Arial;Helvetica;sans-serif" w:hAnsi="Arial;Helvetica;sans-serif"/>
                <w:b w:val="false"/>
                <w:color w:val="484484"/>
                <w:sz w:val="18"/>
              </w:rPr>
              <w:t>Ms. Dillon</w:t>
            </w:r>
          </w:p>
          <w:p>
            <w:pPr>
              <w:pStyle w:val="TableContents"/>
              <w:bidi w:val="0"/>
              <w:spacing w:before="0" w:after="283"/>
              <w:ind w:left="60" w:right="0" w:hanging="0"/>
              <w:jc w:val="left"/>
              <w:rPr>
                <w:rFonts w:ascii="Arial;Helvetica;sans-serif" w:hAnsi="Arial;Helvetica;sans-serif"/>
                <w:b w:val="false"/>
                <w:color w:val="484484"/>
                <w:sz w:val="18"/>
              </w:rPr>
            </w:pPr>
            <w:r>
              <w:rPr>
                <w:rFonts w:ascii="Arial;Helvetica;sans-serif" w:hAnsi="Arial;Helvetica;sans-serif"/>
                <w:b w:val="false"/>
                <w:color w:val="484484"/>
                <w:sz w:val="18"/>
              </w:rPr>
              <w:t>Ms. Finney</w:t>
            </w:r>
          </w:p>
        </w:tc>
        <w:tc>
          <w:tcPr>
            <w:tcW w:w="170" w:type="dxa"/>
            <w:tcBorders/>
            <w:shd w:fill="DEDEF6"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41" w:type="dxa"/>
            <w:tcBorders/>
            <w:vAlign w:val="center"/>
          </w:tcPr>
          <w:p>
            <w:pPr>
              <w:pStyle w:val="TableContents"/>
              <w:bidi w:val="0"/>
              <w:spacing w:before="0" w:after="283"/>
              <w:ind w:left="0" w:right="0" w:hanging="0"/>
              <w:jc w:val="left"/>
              <w:rPr>
                <w:rFonts w:ascii="Arial;Helvetica;sans-serif" w:hAnsi="Arial;Helvetica;sans-serif"/>
                <w:b/>
                <w:color w:val="636466"/>
                <w:sz w:val="18"/>
              </w:rPr>
            </w:pPr>
            <w:r>
              <w:rPr>
                <w:rFonts w:ascii="Arial;Helvetica;sans-serif" w:hAnsi="Arial;Helvetica;sans-serif"/>
                <w:b/>
                <w:color w:val="636466"/>
                <w:sz w:val="18"/>
              </w:rPr>
              <w:t xml:space="preserve">The Audit Committee’s key oversight responsibilities include, but are not limited to: </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Integrity of the Company’s financial statements and its accounting and financial reporting processes</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Effectiveness of the Company’s internal control over financial reporting</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 xml:space="preserve">Qualifications, independence, and performance of the independent registered public accounting firm </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 xml:space="preserve">Services to be performed by, and fees payable to, the independent registered public accounting firm </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Internal Audit group</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Company processes and procedures related to risk assessment and risk management of financial and disclosure control-related, as well as SEC reporting-related, matters</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Related party transactions</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Company compliance with applicable legal and regulatory requirements (including U.S. federal securities laws) regarding the preceding matters</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Review of any critical audit matters identified by the independent registered public accounting firm in connection with its audit of the Company’s annual financial statements</w:t>
            </w:r>
          </w:p>
        </w:tc>
      </w:tr>
      <w:tr>
        <w:trPr/>
        <w:tc>
          <w:tcPr>
            <w:tcW w:w="185" w:type="dxa"/>
            <w:tcBorders/>
            <w:shd w:fill="DEDEF6" w:val="clear"/>
            <w:vAlign w:val="center"/>
          </w:tcPr>
          <w:p>
            <w:pPr>
              <w:pStyle w:val="TableContents"/>
              <w:bidi w:val="0"/>
              <w:spacing w:before="0" w:after="0"/>
              <w:jc w:val="left"/>
              <w:rPr/>
            </w:pPr>
            <w:r>
              <w:rPr/>
              <w:t> </w:t>
            </w:r>
          </w:p>
        </w:tc>
        <w:tc>
          <w:tcPr>
            <w:tcW w:w="1579" w:type="dxa"/>
            <w:tcBorders/>
            <w:shd w:fill="DEDEF6" w:val="clear"/>
            <w:vAlign w:val="center"/>
          </w:tcPr>
          <w:p>
            <w:pPr>
              <w:pStyle w:val="TableContents"/>
              <w:bidi w:val="0"/>
              <w:spacing w:before="0" w:after="0"/>
              <w:jc w:val="left"/>
              <w:rPr/>
            </w:pPr>
            <w:r>
              <w:rPr/>
              <w:t> </w:t>
            </w:r>
          </w:p>
        </w:tc>
        <w:tc>
          <w:tcPr>
            <w:tcW w:w="170" w:type="dxa"/>
            <w:tcBorders/>
            <w:shd w:fill="DEDEF6"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41" w:type="dxa"/>
            <w:tcBorders/>
            <w:vAlign w:val="center"/>
          </w:tcPr>
          <w:p>
            <w:pPr>
              <w:pStyle w:val="TableContents"/>
              <w:bidi w:val="0"/>
              <w:spacing w:before="0" w:after="0"/>
              <w:jc w:val="left"/>
              <w:rPr/>
            </w:pPr>
            <w:r>
              <w:rPr/>
              <w:t> </w:t>
            </w:r>
          </w:p>
        </w:tc>
      </w:tr>
    </w:tbl>
    <w:tbl>
      <w:tblPr>
        <w:tblW w:w="9145" w:type="dxa"/>
        <w:jc w:val="left"/>
        <w:tblInd w:w="1060" w:type="dxa"/>
        <w:tblLayout w:type="fixed"/>
        <w:tblCellMar>
          <w:top w:w="0" w:type="dxa"/>
          <w:left w:w="0" w:type="dxa"/>
          <w:bottom w:w="0" w:type="dxa"/>
          <w:right w:w="0" w:type="dxa"/>
        </w:tblCellMar>
      </w:tblPr>
      <w:tblGrid>
        <w:gridCol w:w="185"/>
        <w:gridCol w:w="1899"/>
        <w:gridCol w:w="170"/>
        <w:gridCol w:w="170"/>
        <w:gridCol w:w="6721"/>
      </w:tblGrid>
      <w:tr>
        <w:trPr/>
        <w:tc>
          <w:tcPr>
            <w:tcW w:w="185" w:type="dxa"/>
            <w:tcBorders/>
            <w:shd w:fill="E7E0EF" w:val="clear"/>
            <w:vAlign w:val="center"/>
          </w:tcPr>
          <w:p>
            <w:pPr>
              <w:pStyle w:val="TableContents"/>
              <w:bidi w:val="0"/>
              <w:spacing w:before="0" w:after="0"/>
              <w:jc w:val="left"/>
              <w:rPr/>
            </w:pPr>
            <w:r>
              <w:rPr/>
              <w:t> </w:t>
            </w:r>
          </w:p>
        </w:tc>
        <w:tc>
          <w:tcPr>
            <w:tcW w:w="1899"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21"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899" w:type="dxa"/>
            <w:tcBorders/>
            <w:shd w:fill="E7E0EF" w:val="clear"/>
            <w:vAlign w:val="center"/>
          </w:tcPr>
          <w:p>
            <w:pPr>
              <w:pStyle w:val="TableContents"/>
              <w:bidi w:val="0"/>
              <w:spacing w:before="0" w:after="283"/>
              <w:ind w:left="60" w:right="0" w:hanging="0"/>
              <w:jc w:val="left"/>
              <w:rPr>
                <w:rFonts w:ascii="Arial;Helvetica;sans-serif" w:hAnsi="Arial;Helvetica;sans-serif"/>
                <w:b/>
                <w:color w:val="72288A"/>
                <w:sz w:val="24"/>
              </w:rPr>
            </w:pPr>
            <w:r>
              <w:rPr>
                <w:rFonts w:ascii="Arial;Helvetica;sans-serif" w:hAnsi="Arial;Helvetica;sans-serif"/>
                <w:b/>
                <w:color w:val="72288A"/>
                <w:sz w:val="24"/>
              </w:rPr>
              <w:t>Compensation Committee</w:t>
            </w:r>
          </w:p>
          <w:p>
            <w:pPr>
              <w:pStyle w:val="TableContents"/>
              <w:bidi w:val="0"/>
              <w:spacing w:before="120" w:after="283"/>
              <w:ind w:left="60" w:right="0" w:hanging="0"/>
              <w:jc w:val="left"/>
              <w:rPr>
                <w:rFonts w:ascii="Arial;Helvetica;sans-serif" w:hAnsi="Arial;Helvetica;sans-serif"/>
                <w:b/>
                <w:color w:val="72288A"/>
                <w:sz w:val="18"/>
              </w:rPr>
            </w:pPr>
            <w:r>
              <w:rPr>
                <w:rFonts w:ascii="Arial;Helvetica;sans-serif" w:hAnsi="Arial;Helvetica;sans-serif"/>
                <w:b/>
                <w:color w:val="72288A"/>
                <w:sz w:val="18"/>
              </w:rPr>
              <w:t>Members</w:t>
            </w:r>
          </w:p>
          <w:p>
            <w:pPr>
              <w:pStyle w:val="TableContents"/>
              <w:bidi w:val="0"/>
              <w:spacing w:before="0" w:after="283"/>
              <w:ind w:left="60" w:right="0" w:hanging="0"/>
              <w:jc w:val="left"/>
              <w:rPr>
                <w:rFonts w:ascii="Arial;Helvetica;sans-serif" w:hAnsi="Arial;Helvetica;sans-serif"/>
                <w:b w:val="false"/>
                <w:color w:val="8A58A0"/>
                <w:sz w:val="18"/>
              </w:rPr>
            </w:pPr>
            <w:r>
              <w:rPr>
                <w:rFonts w:ascii="Arial;Helvetica;sans-serif" w:hAnsi="Arial;Helvetica;sans-serif"/>
                <w:b w:val="false"/>
                <w:color w:val="8A58A0"/>
                <w:sz w:val="18"/>
              </w:rPr>
              <w:t>Mr. Korman (Chair)</w:t>
            </w:r>
          </w:p>
          <w:p>
            <w:pPr>
              <w:pStyle w:val="TableContents"/>
              <w:bidi w:val="0"/>
              <w:spacing w:before="0" w:after="283"/>
              <w:ind w:left="60" w:right="0" w:hanging="0"/>
              <w:jc w:val="left"/>
              <w:rPr>
                <w:rFonts w:ascii="Arial;Helvetica;sans-serif" w:hAnsi="Arial;Helvetica;sans-serif"/>
                <w:b w:val="false"/>
                <w:color w:val="8A58A0"/>
                <w:sz w:val="18"/>
              </w:rPr>
            </w:pPr>
            <w:r>
              <w:rPr>
                <w:rFonts w:ascii="Arial;Helvetica;sans-serif" w:hAnsi="Arial;Helvetica;sans-serif"/>
                <w:b w:val="false"/>
                <w:color w:val="8A58A0"/>
                <w:sz w:val="18"/>
              </w:rPr>
              <w:t>Ms. Dillon</w:t>
            </w:r>
          </w:p>
          <w:p>
            <w:pPr>
              <w:pStyle w:val="TableContents"/>
              <w:bidi w:val="0"/>
              <w:spacing w:before="0" w:after="283"/>
              <w:ind w:left="60" w:right="0" w:hanging="0"/>
              <w:jc w:val="left"/>
              <w:rPr>
                <w:rFonts w:ascii="Arial;Helvetica;sans-serif" w:hAnsi="Arial;Helvetica;sans-serif"/>
                <w:b w:val="false"/>
                <w:color w:val="8A58A0"/>
                <w:sz w:val="18"/>
              </w:rPr>
            </w:pPr>
            <w:r>
              <w:rPr>
                <w:rFonts w:ascii="Arial;Helvetica;sans-serif" w:hAnsi="Arial;Helvetica;sans-serif"/>
                <w:b w:val="false"/>
                <w:color w:val="8A58A0"/>
                <w:sz w:val="18"/>
              </w:rPr>
              <w:t>Mr. Kilts</w:t>
            </w:r>
          </w:p>
        </w:tc>
        <w:tc>
          <w:tcPr>
            <w:tcW w:w="170" w:type="dxa"/>
            <w:tcBorders/>
            <w:shd w:fill="E7E0EF"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21" w:type="dxa"/>
            <w:tcBorders/>
            <w:vAlign w:val="center"/>
          </w:tcPr>
          <w:p>
            <w:pPr>
              <w:pStyle w:val="TableContents"/>
              <w:bidi w:val="0"/>
              <w:spacing w:before="0" w:after="283"/>
              <w:ind w:left="0" w:right="0" w:hanging="0"/>
              <w:jc w:val="left"/>
              <w:rPr>
                <w:rFonts w:ascii="Arial;Helvetica;sans-serif" w:hAnsi="Arial;Helvetica;sans-serif"/>
                <w:b/>
                <w:color w:val="636466"/>
                <w:sz w:val="18"/>
              </w:rPr>
            </w:pPr>
            <w:r>
              <w:rPr>
                <w:rFonts w:ascii="Arial;Helvetica;sans-serif" w:hAnsi="Arial;Helvetica;sans-serif"/>
                <w:b/>
                <w:color w:val="636466"/>
                <w:sz w:val="18"/>
              </w:rPr>
              <w:t>The Compensation Committee’s key oversight responsibilities include, but are not limited to:</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CEO and senior management compensation, including the corporate goals and objectives relevant to such compensation</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Board and committee compensation</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Equity compensation plans in which Directors and/or executives participate</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Compensation and benefits-related disclosures in annual reports and proxy statements</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Reviewing with management and the Committee’s external compensation consultant the relationship between the Company’s compensation policies and practices and the Company’s risk management with respect to compensation-related matters, including to assess whether any risks arising from compensation practices, policies, and programs for the Company’s executive officers and other employees are reasonably likely to have a material adverse effect on the Company</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 xml:space="preserve">From time-to-time reviewing reports from management regarding pay equity, human capital management, and succession planning </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Reviewing and approving the implementation of, or revision to, any clawback or incentive-based compensation recovery policy allowing the Company to recoup compensation paid to the Company’s employees and administering and enforcing any such policy consistent with the terms of the policy</w:t>
            </w:r>
          </w:p>
        </w:tc>
      </w:tr>
      <w:tr>
        <w:trPr/>
        <w:tc>
          <w:tcPr>
            <w:tcW w:w="185" w:type="dxa"/>
            <w:tcBorders/>
            <w:shd w:fill="E7E0EF" w:val="clear"/>
            <w:vAlign w:val="center"/>
          </w:tcPr>
          <w:p>
            <w:pPr>
              <w:pStyle w:val="TableContents"/>
              <w:bidi w:val="0"/>
              <w:spacing w:before="0" w:after="0"/>
              <w:jc w:val="left"/>
              <w:rPr/>
            </w:pPr>
            <w:r>
              <w:rPr/>
              <w:t> </w:t>
            </w:r>
          </w:p>
        </w:tc>
        <w:tc>
          <w:tcPr>
            <w:tcW w:w="1899"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21" w:type="dxa"/>
            <w:tcBorders/>
            <w:vAlign w:val="center"/>
          </w:tcPr>
          <w:p>
            <w:pPr>
              <w:pStyle w:val="TableContents"/>
              <w:bidi w:val="0"/>
              <w:spacing w:before="0" w:after="0"/>
              <w:jc w:val="left"/>
              <w:rPr/>
            </w:pPr>
            <w:r>
              <w:rPr/>
              <w:t> </w:t>
            </w:r>
          </w:p>
        </w:tc>
      </w:tr>
    </w:tbl>
    <w:tbl>
      <w:tblPr>
        <w:tblW w:w="4980" w:type="dxa"/>
        <w:jc w:val="left"/>
        <w:tblInd w:w="106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26 | 2025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138"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19" descr=""/>
                          <pic:cNvPicPr>
                            <a:picLocks noChangeAspect="1" noChangeArrowheads="1"/>
                          </pic:cNvPicPr>
                        </pic:nvPicPr>
                        <pic:blipFill>
                          <a:blip r:embed="rId129"/>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139"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20" descr=""/>
                    <pic:cNvPicPr>
                      <a:picLocks noChangeAspect="1" noChangeArrowheads="1"/>
                    </pic:cNvPicPr>
                  </pic:nvPicPr>
                  <pic:blipFill>
                    <a:blip r:embed="rId130"/>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65" w:name="ny20055082x771_def14a_106-directors_pg22"/>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righ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tbl>
      <w:tblPr>
        <w:tblW w:w="9145" w:type="dxa"/>
        <w:jc w:val="left"/>
        <w:tblInd w:w="1060" w:type="dxa"/>
        <w:tblLayout w:type="fixed"/>
        <w:tblCellMar>
          <w:top w:w="0" w:type="dxa"/>
          <w:left w:w="0" w:type="dxa"/>
          <w:bottom w:w="0" w:type="dxa"/>
          <w:right w:w="0" w:type="dxa"/>
        </w:tblCellMar>
      </w:tblPr>
      <w:tblGrid>
        <w:gridCol w:w="185"/>
        <w:gridCol w:w="2091"/>
        <w:gridCol w:w="170"/>
        <w:gridCol w:w="170"/>
        <w:gridCol w:w="6529"/>
      </w:tblGrid>
      <w:tr>
        <w:trPr/>
        <w:tc>
          <w:tcPr>
            <w:tcW w:w="185" w:type="dxa"/>
            <w:tcBorders/>
            <w:shd w:fill="FFF1C7" w:val="clear"/>
            <w:vAlign w:val="center"/>
          </w:tcPr>
          <w:p>
            <w:pPr>
              <w:pStyle w:val="TableContents"/>
              <w:bidi w:val="0"/>
              <w:spacing w:before="0" w:after="0"/>
              <w:jc w:val="left"/>
              <w:rPr/>
            </w:pPr>
            <w:r>
              <w:rPr/>
              <w:t> </w:t>
            </w:r>
          </w:p>
        </w:tc>
        <w:tc>
          <w:tcPr>
            <w:tcW w:w="2091" w:type="dxa"/>
            <w:tcBorders/>
            <w:shd w:fill="FFF1C7" w:val="clear"/>
            <w:vAlign w:val="center"/>
          </w:tcPr>
          <w:p>
            <w:pPr>
              <w:pStyle w:val="TableContents"/>
              <w:bidi w:val="0"/>
              <w:spacing w:before="0" w:after="0"/>
              <w:jc w:val="left"/>
              <w:rPr/>
            </w:pPr>
            <w:r>
              <w:rPr/>
              <w:t> </w:t>
            </w:r>
          </w:p>
        </w:tc>
        <w:tc>
          <w:tcPr>
            <w:tcW w:w="170" w:type="dxa"/>
            <w:tcBorders/>
            <w:shd w:fill="FFF1C7"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29" w:type="dxa"/>
            <w:tcBorders/>
            <w:vAlign w:val="center"/>
          </w:tcPr>
          <w:p>
            <w:pPr>
              <w:pStyle w:val="TableContents"/>
              <w:bidi w:val="0"/>
              <w:spacing w:before="0" w:after="0"/>
              <w:jc w:val="left"/>
              <w:rPr/>
            </w:pPr>
            <w:r>
              <w:rPr/>
              <w:t> </w:t>
            </w:r>
          </w:p>
        </w:tc>
      </w:tr>
      <w:tr>
        <w:trPr/>
        <w:tc>
          <w:tcPr>
            <w:tcW w:w="185" w:type="dxa"/>
            <w:tcBorders/>
            <w:shd w:fill="FFF1C7" w:val="clear"/>
            <w:vAlign w:val="center"/>
          </w:tcPr>
          <w:p>
            <w:pPr>
              <w:pStyle w:val="TableContents"/>
              <w:bidi w:val="0"/>
              <w:spacing w:before="0" w:after="0"/>
              <w:jc w:val="left"/>
              <w:rPr/>
            </w:pPr>
            <w:r>
              <w:rPr/>
              <w:t> </w:t>
            </w:r>
          </w:p>
        </w:tc>
        <w:tc>
          <w:tcPr>
            <w:tcW w:w="2091" w:type="dxa"/>
            <w:tcBorders/>
            <w:shd w:fill="FFF1C7" w:val="clear"/>
            <w:vAlign w:val="center"/>
          </w:tcPr>
          <w:p>
            <w:pPr>
              <w:pStyle w:val="TableContents"/>
              <w:bidi w:val="0"/>
              <w:spacing w:before="0" w:after="283"/>
              <w:ind w:left="60" w:right="0" w:hanging="0"/>
              <w:jc w:val="left"/>
              <w:rPr>
                <w:rFonts w:ascii="Arial;Helvetica;sans-serif" w:hAnsi="Arial;Helvetica;sans-serif"/>
                <w:b/>
                <w:color w:val="72288A"/>
                <w:sz w:val="24"/>
              </w:rPr>
            </w:pPr>
            <w:r>
              <w:rPr>
                <w:rFonts w:ascii="Arial;Helvetica;sans-serif" w:hAnsi="Arial;Helvetica;sans-serif"/>
                <w:b/>
                <w:color w:val="72288A"/>
                <w:sz w:val="24"/>
              </w:rPr>
              <w:t>Compliance and Risk Oversight Committee</w:t>
            </w:r>
            <w:r>
              <w:rPr>
                <w:rFonts w:ascii="Arial;Helvetica;sans-serif" w:hAnsi="Arial;Helvetica;sans-serif"/>
                <w:b/>
                <w:color w:val="8A58A0"/>
                <w:sz w:val="24"/>
              </w:rPr>
              <w:t xml:space="preserve"> </w:t>
            </w:r>
          </w:p>
          <w:p>
            <w:pPr>
              <w:pStyle w:val="TableContents"/>
              <w:bidi w:val="0"/>
              <w:spacing w:before="120" w:after="283"/>
              <w:ind w:left="60" w:right="0" w:hanging="0"/>
              <w:jc w:val="left"/>
              <w:rPr>
                <w:rFonts w:ascii="Arial;Helvetica;sans-serif" w:hAnsi="Arial;Helvetica;sans-serif"/>
                <w:b/>
                <w:color w:val="72288A"/>
                <w:sz w:val="18"/>
              </w:rPr>
            </w:pPr>
            <w:r>
              <w:rPr>
                <w:rFonts w:ascii="Arial;Helvetica;sans-serif" w:hAnsi="Arial;Helvetica;sans-serif"/>
                <w:b/>
                <w:color w:val="72288A"/>
                <w:sz w:val="18"/>
              </w:rPr>
              <w:t>Members</w:t>
            </w:r>
          </w:p>
          <w:p>
            <w:pPr>
              <w:pStyle w:val="TableContents"/>
              <w:bidi w:val="0"/>
              <w:spacing w:before="0" w:after="283"/>
              <w:ind w:left="60" w:right="0" w:hanging="0"/>
              <w:jc w:val="left"/>
              <w:rPr>
                <w:rFonts w:ascii="Arial;Helvetica;sans-serif" w:hAnsi="Arial;Helvetica;sans-serif"/>
                <w:b w:val="false"/>
                <w:color w:val="8A58A0"/>
                <w:sz w:val="18"/>
              </w:rPr>
            </w:pPr>
            <w:r>
              <w:rPr>
                <w:rFonts w:ascii="Arial;Helvetica;sans-serif" w:hAnsi="Arial;Helvetica;sans-serif"/>
                <w:b w:val="false"/>
                <w:color w:val="8A58A0"/>
                <w:sz w:val="18"/>
              </w:rPr>
              <w:t>Mr. Parrish (Chair)</w:t>
            </w:r>
          </w:p>
          <w:p>
            <w:pPr>
              <w:pStyle w:val="TableContents"/>
              <w:bidi w:val="0"/>
              <w:spacing w:before="0" w:after="283"/>
              <w:ind w:left="60" w:right="0" w:hanging="0"/>
              <w:jc w:val="left"/>
              <w:rPr>
                <w:rFonts w:ascii="Arial;Helvetica;sans-serif" w:hAnsi="Arial;Helvetica;sans-serif"/>
                <w:b w:val="false"/>
                <w:color w:val="8A58A0"/>
                <w:sz w:val="18"/>
              </w:rPr>
            </w:pPr>
            <w:r>
              <w:rPr>
                <w:rFonts w:ascii="Arial;Helvetica;sans-serif" w:hAnsi="Arial;Helvetica;sans-serif"/>
                <w:b w:val="false"/>
                <w:color w:val="8A58A0"/>
                <w:sz w:val="18"/>
              </w:rPr>
              <w:t>Mr. Cornwell</w:t>
            </w:r>
          </w:p>
          <w:p>
            <w:pPr>
              <w:pStyle w:val="TableContents"/>
              <w:bidi w:val="0"/>
              <w:spacing w:before="0" w:after="283"/>
              <w:ind w:left="60" w:right="0" w:hanging="0"/>
              <w:jc w:val="left"/>
              <w:rPr>
                <w:rFonts w:ascii="Arial;Helvetica;sans-serif" w:hAnsi="Arial;Helvetica;sans-serif"/>
                <w:b w:val="false"/>
                <w:color w:val="8A58A0"/>
                <w:sz w:val="18"/>
              </w:rPr>
            </w:pPr>
            <w:r>
              <w:rPr>
                <w:rFonts w:ascii="Arial;Helvetica;sans-serif" w:hAnsi="Arial;Helvetica;sans-serif"/>
                <w:b w:val="false"/>
                <w:color w:val="8A58A0"/>
                <w:sz w:val="18"/>
              </w:rPr>
              <w:t>Mr. Groothuis</w:t>
            </w:r>
          </w:p>
          <w:p>
            <w:pPr>
              <w:pStyle w:val="TableContents"/>
              <w:bidi w:val="0"/>
              <w:spacing w:before="0" w:after="283"/>
              <w:ind w:left="60" w:right="0" w:hanging="0"/>
              <w:jc w:val="left"/>
              <w:rPr>
                <w:rFonts w:ascii="Arial;Helvetica;sans-serif" w:hAnsi="Arial;Helvetica;sans-serif"/>
                <w:b w:val="false"/>
                <w:color w:val="8A58A0"/>
                <w:sz w:val="18"/>
              </w:rPr>
            </w:pPr>
            <w:r>
              <w:rPr>
                <w:rFonts w:ascii="Arial;Helvetica;sans-serif" w:hAnsi="Arial;Helvetica;sans-serif"/>
                <w:b w:val="false"/>
                <w:color w:val="8A58A0"/>
                <w:sz w:val="18"/>
              </w:rPr>
              <w:t>Mr. Korman</w:t>
            </w:r>
          </w:p>
          <w:p>
            <w:pPr>
              <w:pStyle w:val="TableContents"/>
              <w:bidi w:val="0"/>
              <w:spacing w:before="0" w:after="283"/>
              <w:ind w:left="60" w:right="0" w:hanging="0"/>
              <w:jc w:val="left"/>
              <w:rPr>
                <w:rFonts w:ascii="Arial;Helvetica;sans-serif" w:hAnsi="Arial;Helvetica;sans-serif"/>
                <w:b w:val="false"/>
                <w:color w:val="8A58A0"/>
                <w:sz w:val="18"/>
              </w:rPr>
            </w:pPr>
            <w:r>
              <w:rPr>
                <w:rFonts w:ascii="Arial;Helvetica;sans-serif" w:hAnsi="Arial;Helvetica;sans-serif"/>
                <w:b w:val="false"/>
                <w:color w:val="8A58A0"/>
                <w:sz w:val="18"/>
              </w:rPr>
              <w:t>Mr. Mark</w:t>
            </w:r>
          </w:p>
          <w:p>
            <w:pPr>
              <w:pStyle w:val="TableContents"/>
              <w:bidi w:val="0"/>
              <w:spacing w:before="0" w:after="283"/>
              <w:ind w:left="60" w:right="0" w:hanging="0"/>
              <w:jc w:val="left"/>
              <w:rPr>
                <w:rFonts w:ascii="Arial;Helvetica;sans-serif" w:hAnsi="Arial;Helvetica;sans-serif"/>
                <w:b w:val="false"/>
                <w:color w:val="8A58A0"/>
                <w:sz w:val="18"/>
              </w:rPr>
            </w:pPr>
            <w:r>
              <w:rPr>
                <w:rFonts w:ascii="Arial;Helvetica;sans-serif" w:hAnsi="Arial;Helvetica;sans-serif"/>
                <w:b w:val="false"/>
                <w:color w:val="8A58A0"/>
                <w:sz w:val="18"/>
              </w:rPr>
              <w:t>Dr. Vivaldi</w:t>
            </w:r>
          </w:p>
        </w:tc>
        <w:tc>
          <w:tcPr>
            <w:tcW w:w="170" w:type="dxa"/>
            <w:tcBorders/>
            <w:shd w:fill="FFF1C7"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29" w:type="dxa"/>
            <w:tcBorders/>
            <w:vAlign w:val="center"/>
          </w:tcPr>
          <w:p>
            <w:pPr>
              <w:pStyle w:val="TableContents"/>
              <w:bidi w:val="0"/>
              <w:spacing w:before="0" w:after="283"/>
              <w:ind w:left="0" w:right="0" w:hanging="0"/>
              <w:jc w:val="left"/>
              <w:rPr>
                <w:rFonts w:ascii="Arial;Helvetica;sans-serif" w:hAnsi="Arial;Helvetica;sans-serif"/>
                <w:b/>
                <w:color w:val="636466"/>
                <w:sz w:val="18"/>
              </w:rPr>
            </w:pPr>
            <w:r>
              <w:rPr>
                <w:rFonts w:ascii="Arial;Helvetica;sans-serif" w:hAnsi="Arial;Helvetica;sans-serif"/>
                <w:b/>
                <w:color w:val="636466"/>
                <w:sz w:val="18"/>
              </w:rPr>
              <w:t>The Compliance and Risk Oversight Committee’s key oversight responsibilities include, but are not limited to:</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 xml:space="preserve">Reviewing the enterprise risk framework, infrastructure, and controls implemented by management to help identify, assess, manage, and monitor material risks </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 xml:space="preserve">Reviewing the Company’s efforts to foster a culture of risk-adjusted decision making without constraining reasonable risk-taking and innovation </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 xml:space="preserve">Reviewing significant global compliance-related policies implementing the Company’s Code of Business Conduct and Ethics, or related to the operations of the Company’s business, and its mode or methods of doing business, including, for example, policies relating to pricing and/or commercialization of Company products and services </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Reviewing metrics used by management or requested by the Committee to provide insight into the status and efficacy of the corporate compliance program, including the Company’s global compliance systems and organization</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 xml:space="preserve">Reviewing reports of significant actual and alleged violations of the Code of Business Conduct and Ethics, corporate policies and procedures, and applicable laws and regulations </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 xml:space="preserve">Reviewing checks and balances implemented by the Company designed to support and promote compliance with approved corporate policies, legal rules, and regulations </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 xml:space="preserve">Reviewing, in conjunction with the Chief Legal Officer, the performance, responsibilities, plans, and resources of the Chief Compliance Officer, including appointment and replacement of the Chief Compliance Officer </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Overseeing the Company’s policies and procedures for corporate political and lobbying expenditures</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 xml:space="preserve">Reviewing management’s exercise of its responsibility to identify, assess, and manage material risks not allocated to the Board or another committee, including, for example, data security programs and cybersecurity and IT </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Consulting with the Chairs of the other committees at least two times a year to discuss risk-related matters and the Company’s enterprise risk management framework</w:t>
            </w:r>
          </w:p>
        </w:tc>
      </w:tr>
      <w:tr>
        <w:trPr/>
        <w:tc>
          <w:tcPr>
            <w:tcW w:w="185" w:type="dxa"/>
            <w:tcBorders/>
            <w:shd w:fill="FFF1C7" w:val="clear"/>
            <w:vAlign w:val="center"/>
          </w:tcPr>
          <w:p>
            <w:pPr>
              <w:pStyle w:val="TableContents"/>
              <w:bidi w:val="0"/>
              <w:spacing w:before="0" w:after="0"/>
              <w:jc w:val="left"/>
              <w:rPr/>
            </w:pPr>
            <w:r>
              <w:rPr/>
              <w:t> </w:t>
            </w:r>
          </w:p>
        </w:tc>
        <w:tc>
          <w:tcPr>
            <w:tcW w:w="2091" w:type="dxa"/>
            <w:tcBorders/>
            <w:shd w:fill="FFF1C7" w:val="clear"/>
            <w:vAlign w:val="center"/>
          </w:tcPr>
          <w:p>
            <w:pPr>
              <w:pStyle w:val="TableContents"/>
              <w:bidi w:val="0"/>
              <w:spacing w:before="0" w:after="0"/>
              <w:jc w:val="left"/>
              <w:rPr/>
            </w:pPr>
            <w:r>
              <w:rPr/>
              <w:t> </w:t>
            </w:r>
          </w:p>
        </w:tc>
        <w:tc>
          <w:tcPr>
            <w:tcW w:w="170" w:type="dxa"/>
            <w:tcBorders/>
            <w:shd w:fill="FFF1C7"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29" w:type="dxa"/>
            <w:tcBorders/>
            <w:vAlign w:val="center"/>
          </w:tcPr>
          <w:p>
            <w:pPr>
              <w:pStyle w:val="TableContents"/>
              <w:bidi w:val="0"/>
              <w:spacing w:before="0" w:after="0"/>
              <w:jc w:val="left"/>
              <w:rPr/>
            </w:pPr>
            <w:r>
              <w:rPr/>
              <w:t> </w:t>
            </w:r>
          </w:p>
        </w:tc>
      </w:tr>
    </w:tbl>
    <w:tbl>
      <w:tblPr>
        <w:tblW w:w="9145" w:type="dxa"/>
        <w:jc w:val="left"/>
        <w:tblInd w:w="1060" w:type="dxa"/>
        <w:tblLayout w:type="fixed"/>
        <w:tblCellMar>
          <w:top w:w="0" w:type="dxa"/>
          <w:left w:w="0" w:type="dxa"/>
          <w:bottom w:w="0" w:type="dxa"/>
          <w:right w:w="0" w:type="dxa"/>
        </w:tblCellMar>
      </w:tblPr>
      <w:tblGrid>
        <w:gridCol w:w="185"/>
        <w:gridCol w:w="1860"/>
        <w:gridCol w:w="170"/>
        <w:gridCol w:w="170"/>
        <w:gridCol w:w="6760"/>
      </w:tblGrid>
      <w:tr>
        <w:trPr/>
        <w:tc>
          <w:tcPr>
            <w:tcW w:w="185" w:type="dxa"/>
            <w:tcBorders/>
            <w:shd w:fill="DEDEF6" w:val="clear"/>
            <w:vAlign w:val="center"/>
          </w:tcPr>
          <w:p>
            <w:pPr>
              <w:pStyle w:val="TableContents"/>
              <w:bidi w:val="0"/>
              <w:spacing w:before="0" w:after="0"/>
              <w:jc w:val="left"/>
              <w:rPr/>
            </w:pPr>
            <w:r>
              <w:rPr/>
              <w:t> </w:t>
            </w:r>
          </w:p>
        </w:tc>
        <w:tc>
          <w:tcPr>
            <w:tcW w:w="1860" w:type="dxa"/>
            <w:tcBorders/>
            <w:shd w:fill="DEDEF6" w:val="clear"/>
            <w:vAlign w:val="center"/>
          </w:tcPr>
          <w:p>
            <w:pPr>
              <w:pStyle w:val="TableContents"/>
              <w:bidi w:val="0"/>
              <w:spacing w:before="0" w:after="0"/>
              <w:jc w:val="left"/>
              <w:rPr/>
            </w:pPr>
            <w:r>
              <w:rPr/>
              <w:t> </w:t>
            </w:r>
          </w:p>
        </w:tc>
        <w:tc>
          <w:tcPr>
            <w:tcW w:w="170" w:type="dxa"/>
            <w:tcBorders/>
            <w:shd w:fill="DEDEF6"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60" w:type="dxa"/>
            <w:tcBorders/>
            <w:vAlign w:val="center"/>
          </w:tcPr>
          <w:p>
            <w:pPr>
              <w:pStyle w:val="TableContents"/>
              <w:bidi w:val="0"/>
              <w:spacing w:before="0" w:after="0"/>
              <w:jc w:val="left"/>
              <w:rPr/>
            </w:pPr>
            <w:r>
              <w:rPr/>
              <w:t> </w:t>
            </w:r>
          </w:p>
        </w:tc>
      </w:tr>
      <w:tr>
        <w:trPr/>
        <w:tc>
          <w:tcPr>
            <w:tcW w:w="185" w:type="dxa"/>
            <w:tcBorders/>
            <w:shd w:fill="DEDEF6" w:val="clear"/>
            <w:vAlign w:val="center"/>
          </w:tcPr>
          <w:p>
            <w:pPr>
              <w:pStyle w:val="TableContents"/>
              <w:bidi w:val="0"/>
              <w:spacing w:before="0" w:after="0"/>
              <w:jc w:val="left"/>
              <w:rPr/>
            </w:pPr>
            <w:r>
              <w:rPr/>
              <w:t> </w:t>
            </w:r>
          </w:p>
        </w:tc>
        <w:tc>
          <w:tcPr>
            <w:tcW w:w="1860" w:type="dxa"/>
            <w:tcBorders/>
            <w:shd w:fill="DEDEF6" w:val="clear"/>
            <w:vAlign w:val="center"/>
          </w:tcPr>
          <w:p>
            <w:pPr>
              <w:pStyle w:val="TableContents"/>
              <w:bidi w:val="0"/>
              <w:spacing w:before="0" w:after="283"/>
              <w:ind w:left="60" w:right="0" w:hanging="0"/>
              <w:jc w:val="left"/>
              <w:rPr>
                <w:rFonts w:ascii="Arial;Helvetica;sans-serif" w:hAnsi="Arial;Helvetica;sans-serif"/>
                <w:b/>
                <w:color w:val="1F1C6B"/>
                <w:sz w:val="24"/>
              </w:rPr>
            </w:pPr>
            <w:r>
              <w:rPr>
                <w:rFonts w:ascii="Arial;Helvetica;sans-serif" w:hAnsi="Arial;Helvetica;sans-serif"/>
                <w:b/>
                <w:color w:val="1F1C6B"/>
                <w:sz w:val="24"/>
              </w:rPr>
              <w:t>Executive Committee</w:t>
            </w:r>
            <w:r>
              <w:rPr>
                <w:rFonts w:ascii="Arial;Helvetica;sans-serif" w:hAnsi="Arial;Helvetica;sans-serif"/>
                <w:b/>
                <w:color w:val="484484"/>
                <w:sz w:val="24"/>
              </w:rPr>
              <w:t xml:space="preserve"> </w:t>
            </w:r>
          </w:p>
          <w:p>
            <w:pPr>
              <w:pStyle w:val="TableContents"/>
              <w:bidi w:val="0"/>
              <w:spacing w:before="120" w:after="283"/>
              <w:ind w:left="60" w:right="0" w:hanging="0"/>
              <w:jc w:val="left"/>
              <w:rPr>
                <w:rFonts w:ascii="Arial;Helvetica;sans-serif" w:hAnsi="Arial;Helvetica;sans-serif"/>
                <w:b/>
                <w:color w:val="1F1C6B"/>
                <w:sz w:val="18"/>
              </w:rPr>
            </w:pPr>
            <w:r>
              <w:rPr>
                <w:rFonts w:ascii="Arial;Helvetica;sans-serif" w:hAnsi="Arial;Helvetica;sans-serif"/>
                <w:b/>
                <w:color w:val="1F1C6B"/>
                <w:sz w:val="18"/>
              </w:rPr>
              <w:t>Members</w:t>
            </w:r>
            <w:r>
              <w:rPr>
                <w:rFonts w:ascii="Arial;Helvetica;sans-serif" w:hAnsi="Arial;Helvetica;sans-serif"/>
                <w:b/>
                <w:color w:val="484484"/>
                <w:sz w:val="18"/>
              </w:rPr>
              <w:t xml:space="preserve"> </w:t>
            </w:r>
          </w:p>
          <w:p>
            <w:pPr>
              <w:pStyle w:val="TableContents"/>
              <w:bidi w:val="0"/>
              <w:spacing w:before="0" w:after="283"/>
              <w:ind w:left="60" w:right="0" w:hanging="0"/>
              <w:jc w:val="left"/>
              <w:rPr>
                <w:rFonts w:ascii="Arial;Helvetica;sans-serif" w:hAnsi="Arial;Helvetica;sans-serif"/>
                <w:b w:val="false"/>
                <w:color w:val="484484"/>
                <w:sz w:val="18"/>
              </w:rPr>
            </w:pPr>
            <w:r>
              <w:rPr>
                <w:rFonts w:ascii="Arial;Helvetica;sans-serif" w:hAnsi="Arial;Helvetica;sans-serif"/>
                <w:b w:val="false"/>
                <w:color w:val="484484"/>
                <w:sz w:val="18"/>
              </w:rPr>
              <w:t>Ms. Higgins (Chair)</w:t>
            </w:r>
          </w:p>
          <w:p>
            <w:pPr>
              <w:pStyle w:val="TableContents"/>
              <w:bidi w:val="0"/>
              <w:spacing w:before="0" w:after="283"/>
              <w:ind w:left="60" w:right="0" w:hanging="0"/>
              <w:jc w:val="left"/>
              <w:rPr>
                <w:rFonts w:ascii="Arial;Helvetica;sans-serif" w:hAnsi="Arial;Helvetica;sans-serif"/>
                <w:b w:val="false"/>
                <w:color w:val="484484"/>
                <w:sz w:val="18"/>
              </w:rPr>
            </w:pPr>
            <w:r>
              <w:rPr>
                <w:rFonts w:ascii="Arial;Helvetica;sans-serif" w:hAnsi="Arial;Helvetica;sans-serif"/>
                <w:b w:val="false"/>
                <w:color w:val="484484"/>
                <w:sz w:val="18"/>
              </w:rPr>
              <w:t>Ms. Dillon</w:t>
            </w:r>
          </w:p>
          <w:p>
            <w:pPr>
              <w:pStyle w:val="TableContents"/>
              <w:bidi w:val="0"/>
              <w:spacing w:before="0" w:after="283"/>
              <w:ind w:left="60" w:right="0" w:hanging="0"/>
              <w:jc w:val="left"/>
              <w:rPr>
                <w:rFonts w:ascii="Arial;Helvetica;sans-serif" w:hAnsi="Arial;Helvetica;sans-serif"/>
                <w:b w:val="false"/>
                <w:color w:val="484484"/>
                <w:sz w:val="18"/>
              </w:rPr>
            </w:pPr>
            <w:r>
              <w:rPr>
                <w:rFonts w:ascii="Arial;Helvetica;sans-serif" w:hAnsi="Arial;Helvetica;sans-serif"/>
                <w:b w:val="false"/>
                <w:color w:val="484484"/>
                <w:sz w:val="18"/>
              </w:rPr>
              <w:t>Mr. Groothuis</w:t>
            </w:r>
          </w:p>
          <w:p>
            <w:pPr>
              <w:pStyle w:val="TableContents"/>
              <w:bidi w:val="0"/>
              <w:spacing w:before="0" w:after="283"/>
              <w:ind w:left="60" w:right="0" w:hanging="0"/>
              <w:jc w:val="left"/>
              <w:rPr>
                <w:rFonts w:ascii="Arial;Helvetica;sans-serif" w:hAnsi="Arial;Helvetica;sans-serif"/>
                <w:b w:val="false"/>
                <w:color w:val="484484"/>
                <w:sz w:val="18"/>
              </w:rPr>
            </w:pPr>
            <w:r>
              <w:rPr>
                <w:rFonts w:ascii="Arial;Helvetica;sans-serif" w:hAnsi="Arial;Helvetica;sans-serif"/>
                <w:b w:val="false"/>
                <w:color w:val="484484"/>
                <w:sz w:val="18"/>
              </w:rPr>
              <w:t>Mr. Mark</w:t>
            </w:r>
          </w:p>
          <w:p>
            <w:pPr>
              <w:pStyle w:val="TableContents"/>
              <w:bidi w:val="0"/>
              <w:spacing w:before="0" w:after="283"/>
              <w:ind w:left="60" w:right="0" w:hanging="0"/>
              <w:jc w:val="left"/>
              <w:rPr>
                <w:rFonts w:ascii="Arial;Helvetica;sans-serif" w:hAnsi="Arial;Helvetica;sans-serif"/>
                <w:b w:val="false"/>
                <w:color w:val="484484"/>
                <w:sz w:val="18"/>
              </w:rPr>
            </w:pPr>
            <w:r>
              <w:rPr>
                <w:rFonts w:ascii="Arial;Helvetica;sans-serif" w:hAnsi="Arial;Helvetica;sans-serif"/>
                <w:b w:val="false"/>
                <w:color w:val="484484"/>
                <w:sz w:val="18"/>
              </w:rPr>
              <w:t>Mr. Parrish</w:t>
            </w:r>
          </w:p>
        </w:tc>
        <w:tc>
          <w:tcPr>
            <w:tcW w:w="170" w:type="dxa"/>
            <w:tcBorders/>
            <w:shd w:fill="DEDEF6"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60" w:type="dxa"/>
            <w:tcBorders/>
            <w:vAlign w:val="center"/>
          </w:tcPr>
          <w:p>
            <w:pPr>
              <w:pStyle w:val="TableContents"/>
              <w:bidi w:val="0"/>
              <w:spacing w:before="0" w:after="283"/>
              <w:ind w:left="0" w:right="0" w:hanging="0"/>
              <w:jc w:val="left"/>
              <w:rPr>
                <w:rFonts w:ascii="Arial;Helvetica;sans-serif" w:hAnsi="Arial;Helvetica;sans-serif"/>
                <w:b/>
                <w:color w:val="636466"/>
                <w:sz w:val="18"/>
              </w:rPr>
            </w:pPr>
            <w:r>
              <w:rPr>
                <w:rFonts w:ascii="Arial;Helvetica;sans-serif" w:hAnsi="Arial;Helvetica;sans-serif"/>
                <w:b/>
                <w:color w:val="636466"/>
                <w:sz w:val="18"/>
              </w:rPr>
              <w:t>The Executive Committee’s key oversight responsibilities include, but are not limited to:</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 xml:space="preserve">Assisting the Board in fulfilling its fiduciary responsibilities by exercising those powers of the Board not otherwise limited by a resolution of the Board or by law </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Strategic planning and additional oversight of strategy implementation</w:t>
            </w:r>
          </w:p>
        </w:tc>
      </w:tr>
      <w:tr>
        <w:trPr/>
        <w:tc>
          <w:tcPr>
            <w:tcW w:w="185" w:type="dxa"/>
            <w:tcBorders/>
            <w:shd w:fill="DEDEF6" w:val="clear"/>
            <w:vAlign w:val="center"/>
          </w:tcPr>
          <w:p>
            <w:pPr>
              <w:pStyle w:val="TableContents"/>
              <w:bidi w:val="0"/>
              <w:spacing w:before="0" w:after="0"/>
              <w:jc w:val="left"/>
              <w:rPr/>
            </w:pPr>
            <w:r>
              <w:rPr/>
              <w:t> </w:t>
            </w:r>
          </w:p>
        </w:tc>
        <w:tc>
          <w:tcPr>
            <w:tcW w:w="1860" w:type="dxa"/>
            <w:tcBorders/>
            <w:shd w:fill="DEDEF6" w:val="clear"/>
            <w:vAlign w:val="center"/>
          </w:tcPr>
          <w:p>
            <w:pPr>
              <w:pStyle w:val="TableContents"/>
              <w:bidi w:val="0"/>
              <w:spacing w:before="0" w:after="0"/>
              <w:jc w:val="left"/>
              <w:rPr/>
            </w:pPr>
            <w:r>
              <w:rPr/>
              <w:t> </w:t>
            </w:r>
          </w:p>
        </w:tc>
        <w:tc>
          <w:tcPr>
            <w:tcW w:w="170" w:type="dxa"/>
            <w:tcBorders/>
            <w:shd w:fill="DEDEF6"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60" w:type="dxa"/>
            <w:tcBorders/>
            <w:vAlign w:val="center"/>
          </w:tcPr>
          <w:p>
            <w:pPr>
              <w:pStyle w:val="TableContents"/>
              <w:bidi w:val="0"/>
              <w:spacing w:before="0" w:after="0"/>
              <w:jc w:val="left"/>
              <w:rPr/>
            </w:pPr>
            <w:r>
              <w:rPr/>
              <w:t> </w:t>
            </w:r>
          </w:p>
        </w:tc>
      </w:tr>
    </w:tbl>
    <w:tbl>
      <w:tblPr>
        <w:tblW w:w="9145" w:type="dxa"/>
        <w:jc w:val="left"/>
        <w:tblInd w:w="1060" w:type="dxa"/>
        <w:tblLayout w:type="fixed"/>
        <w:tblCellMar>
          <w:top w:w="0" w:type="dxa"/>
          <w:left w:w="0" w:type="dxa"/>
          <w:bottom w:w="0" w:type="dxa"/>
          <w:right w:w="0" w:type="dxa"/>
        </w:tblCellMar>
      </w:tblPr>
      <w:tblGrid>
        <w:gridCol w:w="185"/>
        <w:gridCol w:w="2112"/>
        <w:gridCol w:w="170"/>
        <w:gridCol w:w="170"/>
        <w:gridCol w:w="6508"/>
      </w:tblGrid>
      <w:tr>
        <w:trPr/>
        <w:tc>
          <w:tcPr>
            <w:tcW w:w="185" w:type="dxa"/>
            <w:tcBorders/>
            <w:shd w:fill="E7E0EF" w:val="clear"/>
            <w:vAlign w:val="center"/>
          </w:tcPr>
          <w:p>
            <w:pPr>
              <w:pStyle w:val="TableContents"/>
              <w:bidi w:val="0"/>
              <w:spacing w:before="0" w:after="0"/>
              <w:jc w:val="left"/>
              <w:rPr/>
            </w:pPr>
            <w:r>
              <w:rPr/>
              <w:t> </w:t>
            </w:r>
          </w:p>
        </w:tc>
        <w:tc>
          <w:tcPr>
            <w:tcW w:w="2112"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8"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112" w:type="dxa"/>
            <w:tcBorders/>
            <w:shd w:fill="E7E0EF" w:val="clear"/>
            <w:vAlign w:val="center"/>
          </w:tcPr>
          <w:p>
            <w:pPr>
              <w:pStyle w:val="TableContents"/>
              <w:bidi w:val="0"/>
              <w:spacing w:before="0" w:after="283"/>
              <w:ind w:left="60" w:right="0" w:hanging="0"/>
              <w:jc w:val="left"/>
              <w:rPr>
                <w:rFonts w:ascii="Arial;Helvetica;sans-serif" w:hAnsi="Arial;Helvetica;sans-serif"/>
                <w:b/>
                <w:color w:val="72288A"/>
                <w:sz w:val="24"/>
              </w:rPr>
            </w:pPr>
            <w:r>
              <w:rPr>
                <w:rFonts w:ascii="Arial;Helvetica;sans-serif" w:hAnsi="Arial;Helvetica;sans-serif"/>
                <w:b/>
                <w:color w:val="72288A"/>
                <w:sz w:val="24"/>
              </w:rPr>
              <w:t>Finance Committee</w:t>
            </w:r>
          </w:p>
          <w:p>
            <w:pPr>
              <w:pStyle w:val="TableContents"/>
              <w:bidi w:val="0"/>
              <w:spacing w:before="120" w:after="283"/>
              <w:ind w:left="60" w:right="0" w:hanging="0"/>
              <w:jc w:val="left"/>
              <w:rPr>
                <w:rFonts w:ascii="Arial;Helvetica;sans-serif" w:hAnsi="Arial;Helvetica;sans-serif"/>
                <w:b/>
                <w:color w:val="72288A"/>
                <w:sz w:val="18"/>
              </w:rPr>
            </w:pPr>
            <w:r>
              <w:rPr>
                <w:rFonts w:ascii="Arial;Helvetica;sans-serif" w:hAnsi="Arial;Helvetica;sans-serif"/>
                <w:b/>
                <w:color w:val="72288A"/>
                <w:sz w:val="18"/>
              </w:rPr>
              <w:t>Members</w:t>
            </w:r>
          </w:p>
          <w:p>
            <w:pPr>
              <w:pStyle w:val="TableContents"/>
              <w:bidi w:val="0"/>
              <w:spacing w:before="0" w:after="283"/>
              <w:ind w:left="60" w:right="0" w:hanging="0"/>
              <w:jc w:val="left"/>
              <w:rPr>
                <w:rFonts w:ascii="Arial;Helvetica;sans-serif" w:hAnsi="Arial;Helvetica;sans-serif"/>
                <w:b w:val="false"/>
                <w:color w:val="8A58A0"/>
                <w:sz w:val="18"/>
              </w:rPr>
            </w:pPr>
            <w:r>
              <w:rPr>
                <w:rFonts w:ascii="Arial;Helvetica;sans-serif" w:hAnsi="Arial;Helvetica;sans-serif"/>
                <w:b w:val="false"/>
                <w:color w:val="8A58A0"/>
                <w:sz w:val="18"/>
              </w:rPr>
              <w:t>Ms. Higgins (Chair)</w:t>
            </w:r>
          </w:p>
          <w:p>
            <w:pPr>
              <w:pStyle w:val="TableContents"/>
              <w:bidi w:val="0"/>
              <w:spacing w:before="0" w:after="283"/>
              <w:ind w:left="60" w:right="0" w:hanging="0"/>
              <w:jc w:val="left"/>
              <w:rPr>
                <w:rFonts w:ascii="Arial;Helvetica;sans-serif" w:hAnsi="Arial;Helvetica;sans-serif"/>
                <w:b w:val="false"/>
                <w:color w:val="8A58A0"/>
                <w:sz w:val="18"/>
              </w:rPr>
            </w:pPr>
            <w:r>
              <w:rPr>
                <w:rFonts w:ascii="Arial;Helvetica;sans-serif" w:hAnsi="Arial;Helvetica;sans-serif"/>
                <w:b w:val="false"/>
                <w:color w:val="8A58A0"/>
                <w:sz w:val="18"/>
              </w:rPr>
              <w:t>Mr. D’Amelio</w:t>
            </w:r>
          </w:p>
          <w:p>
            <w:pPr>
              <w:pStyle w:val="TableContents"/>
              <w:bidi w:val="0"/>
              <w:spacing w:before="0" w:after="283"/>
              <w:ind w:left="60" w:right="0" w:hanging="0"/>
              <w:jc w:val="left"/>
              <w:rPr>
                <w:rFonts w:ascii="Arial;Helvetica;sans-serif" w:hAnsi="Arial;Helvetica;sans-serif"/>
                <w:b w:val="false"/>
                <w:color w:val="8A58A0"/>
                <w:sz w:val="18"/>
              </w:rPr>
            </w:pPr>
            <w:r>
              <w:rPr>
                <w:rFonts w:ascii="Arial;Helvetica;sans-serif" w:hAnsi="Arial;Helvetica;sans-serif"/>
                <w:b w:val="false"/>
                <w:color w:val="8A58A0"/>
                <w:sz w:val="18"/>
              </w:rPr>
              <w:t>Ms. Finney</w:t>
            </w:r>
          </w:p>
          <w:p>
            <w:pPr>
              <w:pStyle w:val="TableContents"/>
              <w:bidi w:val="0"/>
              <w:spacing w:before="0" w:after="283"/>
              <w:ind w:left="60" w:right="0" w:hanging="0"/>
              <w:jc w:val="left"/>
              <w:rPr>
                <w:rFonts w:ascii="Arial;Helvetica;sans-serif" w:hAnsi="Arial;Helvetica;sans-serif"/>
                <w:b w:val="false"/>
                <w:color w:val="8A58A0"/>
                <w:sz w:val="18"/>
              </w:rPr>
            </w:pPr>
            <w:r>
              <w:rPr>
                <w:rFonts w:ascii="Arial;Helvetica;sans-serif" w:hAnsi="Arial;Helvetica;sans-serif"/>
                <w:b w:val="false"/>
                <w:color w:val="8A58A0"/>
                <w:sz w:val="18"/>
              </w:rPr>
              <w:t>Mr. Kilts</w:t>
            </w:r>
          </w:p>
          <w:p>
            <w:pPr>
              <w:pStyle w:val="TableContents"/>
              <w:bidi w:val="0"/>
              <w:spacing w:before="0" w:after="283"/>
              <w:ind w:left="60" w:right="0" w:hanging="0"/>
              <w:jc w:val="left"/>
              <w:rPr>
                <w:rFonts w:ascii="Arial;Helvetica;sans-serif" w:hAnsi="Arial;Helvetica;sans-serif"/>
                <w:b w:val="false"/>
                <w:color w:val="8A58A0"/>
                <w:sz w:val="18"/>
              </w:rPr>
            </w:pPr>
            <w:r>
              <w:rPr>
                <w:rFonts w:ascii="Arial;Helvetica;sans-serif" w:hAnsi="Arial;Helvetica;sans-serif"/>
                <w:b w:val="false"/>
                <w:color w:val="8A58A0"/>
                <w:sz w:val="18"/>
              </w:rPr>
              <w:t>Mr. Mark</w:t>
            </w:r>
          </w:p>
        </w:tc>
        <w:tc>
          <w:tcPr>
            <w:tcW w:w="170" w:type="dxa"/>
            <w:tcBorders/>
            <w:shd w:fill="E7E0EF"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8" w:type="dxa"/>
            <w:tcBorders/>
            <w:vAlign w:val="center"/>
          </w:tcPr>
          <w:p>
            <w:pPr>
              <w:pStyle w:val="TableContents"/>
              <w:bidi w:val="0"/>
              <w:spacing w:before="0" w:after="283"/>
              <w:ind w:left="0" w:right="0" w:hanging="0"/>
              <w:jc w:val="left"/>
              <w:rPr>
                <w:rFonts w:ascii="Arial;Helvetica;sans-serif" w:hAnsi="Arial;Helvetica;sans-serif"/>
                <w:b/>
                <w:color w:val="636466"/>
                <w:sz w:val="18"/>
              </w:rPr>
            </w:pPr>
            <w:r>
              <w:rPr>
                <w:rFonts w:ascii="Arial;Helvetica;sans-serif" w:hAnsi="Arial;Helvetica;sans-serif"/>
                <w:b/>
                <w:color w:val="636466"/>
                <w:sz w:val="18"/>
              </w:rPr>
              <w:t>The Finance Committee’s key oversight responsibilities include, but are not limited to:</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Material mergers, acquisitions, and combinations with other companies</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Swaps and other derivatives transactions</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Establishment of credit facilities</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Potential financings with commercial lenders</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Issuance and repurchase of the Company’s debt, equity, hybrid, or other securities</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Capital structure, including dividend payments</w:t>
            </w:r>
          </w:p>
        </w:tc>
      </w:tr>
      <w:tr>
        <w:trPr/>
        <w:tc>
          <w:tcPr>
            <w:tcW w:w="185" w:type="dxa"/>
            <w:tcBorders/>
            <w:shd w:fill="E7E0EF" w:val="clear"/>
            <w:vAlign w:val="center"/>
          </w:tcPr>
          <w:p>
            <w:pPr>
              <w:pStyle w:val="TableContents"/>
              <w:bidi w:val="0"/>
              <w:spacing w:before="0" w:after="0"/>
              <w:jc w:val="left"/>
              <w:rPr/>
            </w:pPr>
            <w:r>
              <w:rPr/>
              <w:t> </w:t>
            </w:r>
          </w:p>
        </w:tc>
        <w:tc>
          <w:tcPr>
            <w:tcW w:w="2112"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8" w:type="dxa"/>
            <w:tcBorders/>
            <w:vAlign w:val="center"/>
          </w:tcPr>
          <w:p>
            <w:pPr>
              <w:pStyle w:val="TableContents"/>
              <w:bidi w:val="0"/>
              <w:spacing w:before="0" w:after="0"/>
              <w:jc w:val="left"/>
              <w:rPr/>
            </w:pPr>
            <w:r>
              <w:rPr/>
              <w:t> </w:t>
            </w:r>
          </w:p>
        </w:tc>
      </w:tr>
    </w:tbl>
    <w:tbl>
      <w:tblPr>
        <w:tblW w:w="4980" w:type="dxa"/>
        <w:jc w:val="left"/>
        <w:tblInd w:w="106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140"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21" descr=""/>
                          <pic:cNvPicPr>
                            <a:picLocks noChangeAspect="1" noChangeArrowheads="1"/>
                          </pic:cNvPicPr>
                        </pic:nvPicPr>
                        <pic:blipFill>
                          <a:blip r:embed="rId131"/>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Statement | 27</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141"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22" descr=""/>
                    <pic:cNvPicPr>
                      <a:picLocks noChangeAspect="1" noChangeArrowheads="1"/>
                    </pic:cNvPicPr>
                  </pic:nvPicPr>
                  <pic:blipFill>
                    <a:blip r:embed="rId132"/>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66" w:name="ny20055082x771_def14a_106-directors_pg23"/>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lef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tbl>
      <w:tblPr>
        <w:tblW w:w="9145" w:type="dxa"/>
        <w:jc w:val="left"/>
        <w:tblInd w:w="1060" w:type="dxa"/>
        <w:tblLayout w:type="fixed"/>
        <w:tblCellMar>
          <w:top w:w="0" w:type="dxa"/>
          <w:left w:w="0" w:type="dxa"/>
          <w:bottom w:w="0" w:type="dxa"/>
          <w:right w:w="0" w:type="dxa"/>
        </w:tblCellMar>
      </w:tblPr>
      <w:tblGrid>
        <w:gridCol w:w="185"/>
        <w:gridCol w:w="1828"/>
        <w:gridCol w:w="170"/>
        <w:gridCol w:w="170"/>
        <w:gridCol w:w="6792"/>
      </w:tblGrid>
      <w:tr>
        <w:trPr/>
        <w:tc>
          <w:tcPr>
            <w:tcW w:w="185" w:type="dxa"/>
            <w:tcBorders/>
            <w:shd w:fill="FFF1C7" w:val="clear"/>
            <w:vAlign w:val="center"/>
          </w:tcPr>
          <w:p>
            <w:pPr>
              <w:pStyle w:val="TableContents"/>
              <w:bidi w:val="0"/>
              <w:spacing w:before="0" w:after="0"/>
              <w:jc w:val="left"/>
              <w:rPr/>
            </w:pPr>
            <w:r>
              <w:rPr/>
              <w:t> </w:t>
            </w:r>
          </w:p>
        </w:tc>
        <w:tc>
          <w:tcPr>
            <w:tcW w:w="1828" w:type="dxa"/>
            <w:tcBorders/>
            <w:shd w:fill="FFF1C7" w:val="clear"/>
            <w:vAlign w:val="center"/>
          </w:tcPr>
          <w:p>
            <w:pPr>
              <w:pStyle w:val="TableContents"/>
              <w:bidi w:val="0"/>
              <w:spacing w:before="0" w:after="0"/>
              <w:jc w:val="left"/>
              <w:rPr/>
            </w:pPr>
            <w:r>
              <w:rPr/>
              <w:t> </w:t>
            </w:r>
          </w:p>
        </w:tc>
        <w:tc>
          <w:tcPr>
            <w:tcW w:w="170" w:type="dxa"/>
            <w:tcBorders/>
            <w:shd w:fill="FFF1C7"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92" w:type="dxa"/>
            <w:tcBorders/>
            <w:vAlign w:val="center"/>
          </w:tcPr>
          <w:p>
            <w:pPr>
              <w:pStyle w:val="TableContents"/>
              <w:bidi w:val="0"/>
              <w:spacing w:before="0" w:after="0"/>
              <w:jc w:val="left"/>
              <w:rPr/>
            </w:pPr>
            <w:r>
              <w:rPr/>
              <w:t> </w:t>
            </w:r>
          </w:p>
        </w:tc>
      </w:tr>
      <w:tr>
        <w:trPr/>
        <w:tc>
          <w:tcPr>
            <w:tcW w:w="185" w:type="dxa"/>
            <w:tcBorders/>
            <w:shd w:fill="FFF1C7" w:val="clear"/>
            <w:vAlign w:val="center"/>
          </w:tcPr>
          <w:p>
            <w:pPr>
              <w:pStyle w:val="TableContents"/>
              <w:bidi w:val="0"/>
              <w:spacing w:before="0" w:after="0"/>
              <w:jc w:val="left"/>
              <w:rPr/>
            </w:pPr>
            <w:r>
              <w:rPr/>
              <w:t> </w:t>
            </w:r>
          </w:p>
        </w:tc>
        <w:tc>
          <w:tcPr>
            <w:tcW w:w="1828" w:type="dxa"/>
            <w:tcBorders/>
            <w:shd w:fill="FFF1C7" w:val="clear"/>
            <w:vAlign w:val="center"/>
          </w:tcPr>
          <w:p>
            <w:pPr>
              <w:pStyle w:val="TableContents"/>
              <w:bidi w:val="0"/>
              <w:spacing w:before="0" w:after="283"/>
              <w:ind w:left="60" w:right="0" w:hanging="0"/>
              <w:jc w:val="left"/>
              <w:rPr>
                <w:rFonts w:ascii="Arial;Helvetica;sans-serif" w:hAnsi="Arial;Helvetica;sans-serif"/>
                <w:b/>
                <w:color w:val="72288A"/>
                <w:sz w:val="24"/>
              </w:rPr>
            </w:pPr>
            <w:r>
              <w:rPr>
                <w:rFonts w:ascii="Arial;Helvetica;sans-serif" w:hAnsi="Arial;Helvetica;sans-serif"/>
                <w:b/>
                <w:color w:val="72288A"/>
                <w:sz w:val="24"/>
              </w:rPr>
              <w:t xml:space="preserve">Governance and </w:t>
            </w:r>
          </w:p>
          <w:p>
            <w:pPr>
              <w:pStyle w:val="TableContents"/>
              <w:bidi w:val="0"/>
              <w:spacing w:before="0" w:after="283"/>
              <w:ind w:left="60" w:right="0" w:hanging="0"/>
              <w:jc w:val="left"/>
              <w:rPr>
                <w:rFonts w:ascii="Arial;Helvetica;sans-serif" w:hAnsi="Arial;Helvetica;sans-serif"/>
                <w:b/>
                <w:color w:val="72288A"/>
                <w:sz w:val="24"/>
              </w:rPr>
            </w:pPr>
            <w:r>
              <w:rPr>
                <w:rFonts w:ascii="Arial;Helvetica;sans-serif" w:hAnsi="Arial;Helvetica;sans-serif"/>
                <w:b/>
                <w:color w:val="72288A"/>
                <w:sz w:val="24"/>
              </w:rPr>
              <w:t xml:space="preserve">Sustainability </w:t>
            </w:r>
          </w:p>
          <w:p>
            <w:pPr>
              <w:pStyle w:val="TableContents"/>
              <w:bidi w:val="0"/>
              <w:spacing w:before="0" w:after="283"/>
              <w:ind w:left="60" w:right="0" w:hanging="0"/>
              <w:jc w:val="left"/>
              <w:rPr>
                <w:rFonts w:ascii="Arial;Helvetica;sans-serif" w:hAnsi="Arial;Helvetica;sans-serif"/>
                <w:b/>
                <w:color w:val="72288A"/>
                <w:sz w:val="24"/>
              </w:rPr>
            </w:pPr>
            <w:r>
              <w:rPr>
                <w:rFonts w:ascii="Arial;Helvetica;sans-serif" w:hAnsi="Arial;Helvetica;sans-serif"/>
                <w:b/>
                <w:color w:val="72288A"/>
                <w:sz w:val="24"/>
              </w:rPr>
              <w:t>Committee</w:t>
            </w:r>
            <w:r>
              <w:rPr>
                <w:rFonts w:ascii="Arial;Helvetica;sans-serif" w:hAnsi="Arial;Helvetica;sans-serif"/>
                <w:b/>
                <w:color w:val="8A58A0"/>
                <w:sz w:val="24"/>
              </w:rPr>
              <w:t xml:space="preserve"> </w:t>
            </w:r>
          </w:p>
          <w:p>
            <w:pPr>
              <w:pStyle w:val="TableContents"/>
              <w:bidi w:val="0"/>
              <w:spacing w:before="120" w:after="283"/>
              <w:ind w:left="60" w:right="0" w:hanging="0"/>
              <w:jc w:val="left"/>
              <w:rPr>
                <w:rFonts w:ascii="Arial;Helvetica;sans-serif" w:hAnsi="Arial;Helvetica;sans-serif"/>
                <w:b/>
                <w:color w:val="72288A"/>
                <w:sz w:val="18"/>
              </w:rPr>
            </w:pPr>
            <w:r>
              <w:rPr>
                <w:rFonts w:ascii="Arial;Helvetica;sans-serif" w:hAnsi="Arial;Helvetica;sans-serif"/>
                <w:b/>
                <w:color w:val="72288A"/>
                <w:sz w:val="18"/>
              </w:rPr>
              <w:t>Members</w:t>
            </w:r>
          </w:p>
          <w:p>
            <w:pPr>
              <w:pStyle w:val="TableContents"/>
              <w:bidi w:val="0"/>
              <w:spacing w:before="0" w:after="283"/>
              <w:ind w:left="60" w:right="0" w:hanging="0"/>
              <w:jc w:val="left"/>
              <w:rPr>
                <w:rFonts w:ascii="Arial;Helvetica;sans-serif" w:hAnsi="Arial;Helvetica;sans-serif"/>
                <w:b w:val="false"/>
                <w:color w:val="8A58A0"/>
                <w:sz w:val="18"/>
              </w:rPr>
            </w:pPr>
            <w:r>
              <w:rPr>
                <w:rFonts w:ascii="Arial;Helvetica;sans-serif" w:hAnsi="Arial;Helvetica;sans-serif"/>
                <w:b w:val="false"/>
                <w:color w:val="8A58A0"/>
                <w:sz w:val="18"/>
              </w:rPr>
              <w:t>Ms. Dillon (Chair)</w:t>
            </w:r>
          </w:p>
          <w:p>
            <w:pPr>
              <w:pStyle w:val="TableContents"/>
              <w:bidi w:val="0"/>
              <w:spacing w:before="0" w:after="283"/>
              <w:ind w:left="60" w:right="0" w:hanging="0"/>
              <w:jc w:val="left"/>
              <w:rPr>
                <w:rFonts w:ascii="Arial;Helvetica;sans-serif" w:hAnsi="Arial;Helvetica;sans-serif"/>
                <w:b w:val="false"/>
                <w:color w:val="8A58A0"/>
                <w:sz w:val="18"/>
              </w:rPr>
            </w:pPr>
            <w:r>
              <w:rPr>
                <w:rFonts w:ascii="Arial;Helvetica;sans-serif" w:hAnsi="Arial;Helvetica;sans-serif"/>
                <w:b w:val="false"/>
                <w:color w:val="8A58A0"/>
                <w:sz w:val="18"/>
              </w:rPr>
              <w:t>Mr. Groothuis</w:t>
            </w:r>
          </w:p>
          <w:p>
            <w:pPr>
              <w:pStyle w:val="TableContents"/>
              <w:bidi w:val="0"/>
              <w:spacing w:before="0" w:after="283"/>
              <w:ind w:left="60" w:right="0" w:hanging="0"/>
              <w:jc w:val="left"/>
              <w:rPr>
                <w:rFonts w:ascii="Arial;Helvetica;sans-serif" w:hAnsi="Arial;Helvetica;sans-serif"/>
                <w:b w:val="false"/>
                <w:color w:val="8A58A0"/>
                <w:sz w:val="18"/>
              </w:rPr>
            </w:pPr>
            <w:r>
              <w:rPr>
                <w:rFonts w:ascii="Arial;Helvetica;sans-serif" w:hAnsi="Arial;Helvetica;sans-serif"/>
                <w:b w:val="false"/>
                <w:color w:val="8A58A0"/>
                <w:sz w:val="18"/>
              </w:rPr>
              <w:t>Mr. Korman</w:t>
            </w:r>
          </w:p>
          <w:p>
            <w:pPr>
              <w:pStyle w:val="TableContents"/>
              <w:bidi w:val="0"/>
              <w:spacing w:before="0" w:after="283"/>
              <w:ind w:left="60" w:right="0" w:hanging="0"/>
              <w:jc w:val="left"/>
              <w:rPr>
                <w:rFonts w:ascii="Arial;Helvetica;sans-serif" w:hAnsi="Arial;Helvetica;sans-serif"/>
                <w:b w:val="false"/>
                <w:color w:val="8A58A0"/>
                <w:sz w:val="18"/>
              </w:rPr>
            </w:pPr>
            <w:r>
              <w:rPr>
                <w:rFonts w:ascii="Arial;Helvetica;sans-serif" w:hAnsi="Arial;Helvetica;sans-serif"/>
                <w:b w:val="false"/>
                <w:color w:val="8A58A0"/>
                <w:sz w:val="18"/>
              </w:rPr>
              <w:t>Mr. Parrish</w:t>
            </w:r>
          </w:p>
        </w:tc>
        <w:tc>
          <w:tcPr>
            <w:tcW w:w="170" w:type="dxa"/>
            <w:tcBorders/>
            <w:shd w:fill="FFF1C7"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92" w:type="dxa"/>
            <w:tcBorders/>
            <w:vAlign w:val="center"/>
          </w:tcPr>
          <w:p>
            <w:pPr>
              <w:pStyle w:val="TableContents"/>
              <w:bidi w:val="0"/>
              <w:spacing w:before="0" w:after="283"/>
              <w:ind w:left="0" w:right="0" w:hanging="0"/>
              <w:jc w:val="left"/>
              <w:rPr>
                <w:rFonts w:ascii="Arial;Helvetica;sans-serif" w:hAnsi="Arial;Helvetica;sans-serif"/>
                <w:b/>
                <w:color w:val="636466"/>
                <w:sz w:val="18"/>
              </w:rPr>
            </w:pPr>
            <w:r>
              <w:rPr>
                <w:rFonts w:ascii="Arial;Helvetica;sans-serif" w:hAnsi="Arial;Helvetica;sans-serif"/>
                <w:b/>
                <w:color w:val="636466"/>
                <w:sz w:val="18"/>
              </w:rPr>
              <w:t>The Governance and Sustainability Committee’s key oversight responsibilities include, but are not limited to:</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Corporate governance matters</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The nomination or re-nomination of Director candidates</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The Board’s review and consideration of shareholder recommendations for, and nominations of, Director candidates</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The annual self-evaluation of the Board and its committees</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Director orientation and continuing education programs</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 xml:space="preserve">Evaluating Board composition </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Reviewing succession planning matters</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Management's efforts with respect to corporate environmental and social responsibility matters, which are communicated quarterly</w:t>
            </w:r>
          </w:p>
        </w:tc>
      </w:tr>
      <w:tr>
        <w:trPr/>
        <w:tc>
          <w:tcPr>
            <w:tcW w:w="185" w:type="dxa"/>
            <w:tcBorders/>
            <w:shd w:fill="FFF1C7" w:val="clear"/>
            <w:vAlign w:val="center"/>
          </w:tcPr>
          <w:p>
            <w:pPr>
              <w:pStyle w:val="TableContents"/>
              <w:bidi w:val="0"/>
              <w:spacing w:before="0" w:after="0"/>
              <w:jc w:val="left"/>
              <w:rPr/>
            </w:pPr>
            <w:r>
              <w:rPr/>
              <w:t> </w:t>
            </w:r>
          </w:p>
        </w:tc>
        <w:tc>
          <w:tcPr>
            <w:tcW w:w="1828" w:type="dxa"/>
            <w:tcBorders/>
            <w:shd w:fill="FFF1C7" w:val="clear"/>
            <w:vAlign w:val="center"/>
          </w:tcPr>
          <w:p>
            <w:pPr>
              <w:pStyle w:val="TableContents"/>
              <w:bidi w:val="0"/>
              <w:spacing w:before="0" w:after="0"/>
              <w:jc w:val="left"/>
              <w:rPr/>
            </w:pPr>
            <w:r>
              <w:rPr/>
              <w:t> </w:t>
            </w:r>
          </w:p>
        </w:tc>
        <w:tc>
          <w:tcPr>
            <w:tcW w:w="170" w:type="dxa"/>
            <w:tcBorders/>
            <w:shd w:fill="FFF1C7"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92" w:type="dxa"/>
            <w:tcBorders/>
            <w:vAlign w:val="center"/>
          </w:tcPr>
          <w:p>
            <w:pPr>
              <w:pStyle w:val="TableContents"/>
              <w:bidi w:val="0"/>
              <w:spacing w:before="0" w:after="0"/>
              <w:jc w:val="left"/>
              <w:rPr/>
            </w:pPr>
            <w:r>
              <w:rPr/>
              <w:t> </w:t>
            </w:r>
          </w:p>
        </w:tc>
      </w:tr>
    </w:tbl>
    <w:p>
      <w:pPr>
        <w:pStyle w:val="Normal"/>
        <w:bidi w:val="0"/>
        <w:spacing w:before="0" w:after="0"/>
        <w:ind w:left="1060" w:right="0" w:hanging="0"/>
        <w:jc w:val="left"/>
        <w:rPr>
          <w:sz w:val="4"/>
          <w:szCs w:val="4"/>
        </w:rPr>
      </w:pPr>
      <w:r>
        <w:rPr>
          <w:sz w:val="4"/>
          <w:szCs w:val="4"/>
        </w:rPr>
      </w:r>
      <w:bookmarkStart w:id="67" w:name="tRPR"/>
      <w:bookmarkStart w:id="68" w:name="tRPR"/>
      <w:bookmarkEnd w:id="68"/>
    </w:p>
    <w:tbl>
      <w:tblPr>
        <w:tblW w:w="9145" w:type="dxa"/>
        <w:jc w:val="left"/>
        <w:tblInd w:w="1060" w:type="dxa"/>
        <w:tblLayout w:type="fixed"/>
        <w:tblCellMar>
          <w:top w:w="0" w:type="dxa"/>
          <w:left w:w="0" w:type="dxa"/>
          <w:bottom w:w="0" w:type="dxa"/>
          <w:right w:w="0" w:type="dxa"/>
        </w:tblCellMar>
      </w:tblPr>
      <w:tblGrid>
        <w:gridCol w:w="185"/>
        <w:gridCol w:w="2705"/>
        <w:gridCol w:w="170"/>
        <w:gridCol w:w="170"/>
        <w:gridCol w:w="5915"/>
      </w:tblGrid>
      <w:tr>
        <w:trPr/>
        <w:tc>
          <w:tcPr>
            <w:tcW w:w="185" w:type="dxa"/>
            <w:tcBorders/>
            <w:shd w:fill="DEDEF6" w:val="clear"/>
            <w:vAlign w:val="center"/>
          </w:tcPr>
          <w:p>
            <w:pPr>
              <w:pStyle w:val="TableContents"/>
              <w:bidi w:val="0"/>
              <w:spacing w:before="0" w:after="0"/>
              <w:jc w:val="left"/>
              <w:rPr/>
            </w:pPr>
            <w:r>
              <w:rPr/>
              <w:t> </w:t>
            </w:r>
          </w:p>
        </w:tc>
        <w:tc>
          <w:tcPr>
            <w:tcW w:w="2705" w:type="dxa"/>
            <w:tcBorders/>
            <w:shd w:fill="DEDEF6" w:val="clear"/>
            <w:vAlign w:val="center"/>
          </w:tcPr>
          <w:p>
            <w:pPr>
              <w:pStyle w:val="TableContents"/>
              <w:bidi w:val="0"/>
              <w:spacing w:before="0" w:after="0"/>
              <w:jc w:val="left"/>
              <w:rPr/>
            </w:pPr>
            <w:r>
              <w:rPr/>
              <w:t> </w:t>
            </w:r>
          </w:p>
        </w:tc>
        <w:tc>
          <w:tcPr>
            <w:tcW w:w="170" w:type="dxa"/>
            <w:tcBorders/>
            <w:shd w:fill="DEDEF6"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15" w:type="dxa"/>
            <w:tcBorders/>
            <w:vAlign w:val="center"/>
          </w:tcPr>
          <w:p>
            <w:pPr>
              <w:pStyle w:val="TableContents"/>
              <w:bidi w:val="0"/>
              <w:spacing w:before="0" w:after="0"/>
              <w:jc w:val="left"/>
              <w:rPr/>
            </w:pPr>
            <w:r>
              <w:rPr/>
              <w:t> </w:t>
            </w:r>
          </w:p>
        </w:tc>
      </w:tr>
      <w:tr>
        <w:trPr/>
        <w:tc>
          <w:tcPr>
            <w:tcW w:w="185" w:type="dxa"/>
            <w:tcBorders/>
            <w:shd w:fill="DEDEF6" w:val="clear"/>
            <w:vAlign w:val="center"/>
          </w:tcPr>
          <w:p>
            <w:pPr>
              <w:pStyle w:val="TableContents"/>
              <w:bidi w:val="0"/>
              <w:spacing w:before="0" w:after="0"/>
              <w:jc w:val="left"/>
              <w:rPr/>
            </w:pPr>
            <w:r>
              <w:rPr/>
              <w:t> </w:t>
            </w:r>
          </w:p>
        </w:tc>
        <w:tc>
          <w:tcPr>
            <w:tcW w:w="2705" w:type="dxa"/>
            <w:tcBorders/>
            <w:shd w:fill="DEDEF6" w:val="clear"/>
            <w:vAlign w:val="center"/>
          </w:tcPr>
          <w:p>
            <w:pPr>
              <w:pStyle w:val="TableContents"/>
              <w:bidi w:val="0"/>
              <w:spacing w:before="0" w:after="283"/>
              <w:ind w:left="60" w:right="0" w:hanging="0"/>
              <w:jc w:val="left"/>
              <w:rPr>
                <w:rFonts w:ascii="Arial;Helvetica;sans-serif" w:hAnsi="Arial;Helvetica;sans-serif"/>
                <w:b/>
                <w:color w:val="1F1C6B"/>
                <w:sz w:val="24"/>
              </w:rPr>
            </w:pPr>
            <w:r>
              <w:rPr>
                <w:rFonts w:ascii="Arial;Helvetica;sans-serif" w:hAnsi="Arial;Helvetica;sans-serif"/>
                <w:b/>
                <w:color w:val="1F1C6B"/>
                <w:sz w:val="24"/>
              </w:rPr>
              <w:t>Science and Technology Committee</w:t>
            </w:r>
          </w:p>
          <w:p>
            <w:pPr>
              <w:pStyle w:val="TableContents"/>
              <w:bidi w:val="0"/>
              <w:spacing w:before="120" w:after="283"/>
              <w:ind w:left="60" w:right="0" w:hanging="0"/>
              <w:jc w:val="left"/>
              <w:rPr>
                <w:rFonts w:ascii="Arial;Helvetica;sans-serif" w:hAnsi="Arial;Helvetica;sans-serif"/>
                <w:b/>
                <w:color w:val="1F1C6B"/>
                <w:sz w:val="18"/>
              </w:rPr>
            </w:pPr>
            <w:r>
              <w:rPr>
                <w:rFonts w:ascii="Arial;Helvetica;sans-serif" w:hAnsi="Arial;Helvetica;sans-serif"/>
                <w:b/>
                <w:color w:val="1F1C6B"/>
                <w:sz w:val="18"/>
              </w:rPr>
              <w:t>Members</w:t>
            </w:r>
          </w:p>
          <w:p>
            <w:pPr>
              <w:pStyle w:val="TableContents"/>
              <w:bidi w:val="0"/>
              <w:spacing w:before="0" w:after="283"/>
              <w:ind w:left="60" w:right="0" w:hanging="0"/>
              <w:jc w:val="left"/>
              <w:rPr>
                <w:rFonts w:ascii="Arial;Helvetica;sans-serif" w:hAnsi="Arial;Helvetica;sans-serif"/>
                <w:b w:val="false"/>
                <w:color w:val="484484"/>
                <w:sz w:val="18"/>
              </w:rPr>
            </w:pPr>
            <w:r>
              <w:rPr>
                <w:rFonts w:ascii="Arial;Helvetica;sans-serif" w:hAnsi="Arial;Helvetica;sans-serif"/>
                <w:b w:val="false"/>
                <w:color w:val="484484"/>
                <w:sz w:val="18"/>
              </w:rPr>
              <w:t>Mr. Malik (Chair)</w:t>
            </w:r>
          </w:p>
          <w:p>
            <w:pPr>
              <w:pStyle w:val="TableContents"/>
              <w:bidi w:val="0"/>
              <w:spacing w:before="0" w:after="283"/>
              <w:ind w:left="60" w:right="0" w:hanging="0"/>
              <w:jc w:val="left"/>
              <w:rPr>
                <w:rFonts w:ascii="Arial;Helvetica;sans-serif" w:hAnsi="Arial;Helvetica;sans-serif"/>
                <w:b w:val="false"/>
                <w:color w:val="484484"/>
                <w:sz w:val="18"/>
              </w:rPr>
            </w:pPr>
            <w:r>
              <w:rPr>
                <w:rFonts w:ascii="Arial;Helvetica;sans-serif" w:hAnsi="Arial;Helvetica;sans-serif"/>
                <w:b w:val="false"/>
                <w:color w:val="484484"/>
                <w:sz w:val="18"/>
              </w:rPr>
              <w:t>Mr. Korman</w:t>
            </w:r>
          </w:p>
          <w:p>
            <w:pPr>
              <w:pStyle w:val="TableContents"/>
              <w:bidi w:val="0"/>
              <w:spacing w:before="0" w:after="283"/>
              <w:ind w:left="60" w:right="0" w:hanging="0"/>
              <w:jc w:val="left"/>
              <w:rPr>
                <w:rFonts w:ascii="Arial;Helvetica;sans-serif" w:hAnsi="Arial;Helvetica;sans-serif"/>
                <w:b w:val="false"/>
                <w:color w:val="484484"/>
                <w:sz w:val="18"/>
              </w:rPr>
            </w:pPr>
            <w:r>
              <w:rPr>
                <w:rFonts w:ascii="Arial;Helvetica;sans-serif" w:hAnsi="Arial;Helvetica;sans-serif"/>
                <w:b w:val="false"/>
                <w:color w:val="484484"/>
                <w:sz w:val="18"/>
              </w:rPr>
              <w:t>Mr. Parrish</w:t>
            </w:r>
          </w:p>
          <w:p>
            <w:pPr>
              <w:pStyle w:val="TableContents"/>
              <w:bidi w:val="0"/>
              <w:spacing w:before="0" w:after="283"/>
              <w:ind w:left="60" w:right="0" w:hanging="0"/>
              <w:jc w:val="left"/>
              <w:rPr>
                <w:rFonts w:ascii="Arial;Helvetica;sans-serif" w:hAnsi="Arial;Helvetica;sans-serif"/>
                <w:b w:val="false"/>
                <w:color w:val="484484"/>
                <w:sz w:val="18"/>
              </w:rPr>
            </w:pPr>
            <w:r>
              <w:rPr>
                <w:rFonts w:ascii="Arial;Helvetica;sans-serif" w:hAnsi="Arial;Helvetica;sans-serif"/>
                <w:b w:val="false"/>
                <w:color w:val="484484"/>
                <w:sz w:val="18"/>
              </w:rPr>
              <w:t>Dr. Severino</w:t>
            </w:r>
          </w:p>
          <w:p>
            <w:pPr>
              <w:pStyle w:val="TableContents"/>
              <w:bidi w:val="0"/>
              <w:spacing w:before="0" w:after="283"/>
              <w:ind w:left="60" w:right="0" w:hanging="0"/>
              <w:jc w:val="left"/>
              <w:rPr>
                <w:rFonts w:ascii="Arial;Helvetica;sans-serif" w:hAnsi="Arial;Helvetica;sans-serif"/>
                <w:b w:val="false"/>
                <w:color w:val="484484"/>
                <w:sz w:val="18"/>
              </w:rPr>
            </w:pPr>
            <w:r>
              <w:rPr>
                <w:rFonts w:ascii="Arial;Helvetica;sans-serif" w:hAnsi="Arial;Helvetica;sans-serif"/>
                <w:b w:val="false"/>
                <w:color w:val="484484"/>
                <w:sz w:val="18"/>
              </w:rPr>
              <w:t>Mr. Smith</w:t>
            </w:r>
          </w:p>
          <w:p>
            <w:pPr>
              <w:pStyle w:val="TableContents"/>
              <w:bidi w:val="0"/>
              <w:spacing w:before="0" w:after="283"/>
              <w:ind w:left="60" w:right="0" w:hanging="0"/>
              <w:jc w:val="left"/>
              <w:rPr>
                <w:rFonts w:ascii="Arial;Helvetica;sans-serif" w:hAnsi="Arial;Helvetica;sans-serif"/>
                <w:b w:val="false"/>
                <w:color w:val="484484"/>
                <w:sz w:val="18"/>
              </w:rPr>
            </w:pPr>
            <w:r>
              <w:rPr>
                <w:rFonts w:ascii="Arial;Helvetica;sans-serif" w:hAnsi="Arial;Helvetica;sans-serif"/>
                <w:b w:val="false"/>
                <w:color w:val="484484"/>
                <w:sz w:val="18"/>
              </w:rPr>
              <w:t>Dr. Vivaldi</w:t>
            </w:r>
          </w:p>
        </w:tc>
        <w:tc>
          <w:tcPr>
            <w:tcW w:w="170" w:type="dxa"/>
            <w:tcBorders/>
            <w:shd w:fill="DEDEF6"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15" w:type="dxa"/>
            <w:tcBorders/>
            <w:vAlign w:val="center"/>
          </w:tcPr>
          <w:p>
            <w:pPr>
              <w:pStyle w:val="TableContents"/>
              <w:bidi w:val="0"/>
              <w:spacing w:before="0" w:after="283"/>
              <w:ind w:left="0" w:right="0" w:hanging="0"/>
              <w:jc w:val="left"/>
              <w:rPr>
                <w:rFonts w:ascii="Arial;Helvetica;sans-serif" w:hAnsi="Arial;Helvetica;sans-serif"/>
                <w:b/>
                <w:color w:val="636466"/>
                <w:sz w:val="18"/>
              </w:rPr>
            </w:pPr>
            <w:r>
              <w:rPr>
                <w:rFonts w:ascii="Arial;Helvetica;sans-serif" w:hAnsi="Arial;Helvetica;sans-serif"/>
                <w:b/>
                <w:color w:val="636466"/>
                <w:sz w:val="18"/>
              </w:rPr>
              <w:t>The Science and Technology Committee’s key oversight responsibilities include, but are not limited to:</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 xml:space="preserve">Reviewing the overall strategy and direction of the Company’s R&amp;D program, and report to the Board, at least annually </w:t>
            </w:r>
          </w:p>
          <w:p>
            <w:pPr>
              <w:pStyle w:val="TableContents"/>
              <w:bidi w:val="0"/>
              <w:spacing w:before="80" w:after="283"/>
              <w:ind w:left="0" w:right="0" w:hanging="0"/>
              <w:jc w:val="left"/>
              <w:rPr>
                <w:color w:val="636466"/>
              </w:rPr>
            </w:pPr>
            <w:r>
              <w:rPr>
                <w:color w:val="636466"/>
              </w:rPr>
              <w:t>• </w:t>
            </w:r>
          </w:p>
          <w:p>
            <w:pPr>
              <w:pStyle w:val="TableContents"/>
              <w:bidi w:val="0"/>
              <w:spacing w:before="80" w:after="283"/>
              <w:jc w:val="left"/>
              <w:rPr>
                <w:rFonts w:ascii="Arial;Helvetica;sans-serif" w:hAnsi="Arial;Helvetica;sans-serif"/>
                <w:b w:val="false"/>
                <w:color w:val="636466"/>
                <w:sz w:val="18"/>
              </w:rPr>
            </w:pPr>
            <w:r>
              <w:rPr>
                <w:rFonts w:ascii="Arial;Helvetica;sans-serif" w:hAnsi="Arial;Helvetica;sans-serif"/>
                <w:b w:val="false"/>
                <w:color w:val="636466"/>
                <w:sz w:val="18"/>
              </w:rPr>
              <w:t>Reviewing presentations regarding significant emerging scientific and technological trends and developments relevant to the Company</w:t>
            </w:r>
          </w:p>
        </w:tc>
      </w:tr>
      <w:tr>
        <w:trPr/>
        <w:tc>
          <w:tcPr>
            <w:tcW w:w="185" w:type="dxa"/>
            <w:tcBorders/>
            <w:shd w:fill="DEDEF6" w:val="clear"/>
            <w:vAlign w:val="center"/>
          </w:tcPr>
          <w:p>
            <w:pPr>
              <w:pStyle w:val="TableContents"/>
              <w:bidi w:val="0"/>
              <w:spacing w:before="0" w:after="0"/>
              <w:jc w:val="left"/>
              <w:rPr/>
            </w:pPr>
            <w:r>
              <w:rPr/>
              <w:t> </w:t>
            </w:r>
          </w:p>
        </w:tc>
        <w:tc>
          <w:tcPr>
            <w:tcW w:w="2705" w:type="dxa"/>
            <w:tcBorders/>
            <w:shd w:fill="DEDEF6" w:val="clear"/>
            <w:vAlign w:val="center"/>
          </w:tcPr>
          <w:p>
            <w:pPr>
              <w:pStyle w:val="TableContents"/>
              <w:bidi w:val="0"/>
              <w:spacing w:before="0" w:after="0"/>
              <w:jc w:val="left"/>
              <w:rPr/>
            </w:pPr>
            <w:r>
              <w:rPr/>
              <w:t> </w:t>
            </w:r>
          </w:p>
        </w:tc>
        <w:tc>
          <w:tcPr>
            <w:tcW w:w="170" w:type="dxa"/>
            <w:tcBorders/>
            <w:shd w:fill="DEDEF6"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15" w:type="dxa"/>
            <w:tcBorders/>
            <w:vAlign w:val="center"/>
          </w:tcPr>
          <w:p>
            <w:pPr>
              <w:pStyle w:val="TableContents"/>
              <w:bidi w:val="0"/>
              <w:spacing w:before="0" w:after="0"/>
              <w:jc w:val="left"/>
              <w:rPr/>
            </w:pPr>
            <w:r>
              <w:rPr/>
              <w:t> </w:t>
            </w:r>
          </w:p>
        </w:tc>
      </w:tr>
    </w:tbl>
    <w:p>
      <w:pPr>
        <w:pStyle w:val="TextBody"/>
        <w:bidi w:val="0"/>
        <w:spacing w:before="490" w:after="283"/>
        <w:ind w:left="1060" w:right="0" w:hanging="0"/>
        <w:jc w:val="left"/>
        <w:rPr>
          <w:rFonts w:ascii="Arial;Helvetica;sans-serif" w:hAnsi="Arial;Helvetica;sans-serif"/>
          <w:color w:val="1F1C6B"/>
          <w:sz w:val="30"/>
        </w:rPr>
      </w:pPr>
      <w:bookmarkStart w:id="69" w:name="tBRA"/>
      <w:bookmarkEnd w:id="69"/>
      <w:r>
        <w:rPr>
          <w:rFonts w:ascii="Arial;Helvetica;sans-serif" w:hAnsi="Arial;Helvetica;sans-serif"/>
          <w:color w:val="1F1C6B"/>
          <w:sz w:val="30"/>
        </w:rPr>
        <w:t xml:space="preserve">Board Refreshment and Succession Planning </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Viatris’ Board, with the support of the Governance and Sustainability Committee, seeks to identify, subject to and in accordance with applicable law, a diverse talent pool of qualified candidates for consideration as part of the Board’s refreshment and succession planning. The Board also seeks to combine the skills and experience of its long-standing Board members with the fresh perspectives, insights, skills, and experiences of new members in support of its belief that it is important for Directors to represent a variety of viewpoints. The Board believes that the personal backgrounds and qualifications of the Directors, considered as a group, should provide a composite mix of experience, knowledge and abilities. The Board is committed to fostering a culture of integrity, inclusion, dignity, and mutual respect.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Viatris’ Board and Governance and Sustainability Committee evaluate Board composition with respect to many factors to ensure that the Board remains well-qualified to provide effective oversight of the Company and management. The Board and the Governance and Sustainability Committee consider Viatris’ strategy, performance, operations, relevant industry and market conditions, and current and anticipated needs in terms of particular areas of experience and expertise (e.g., risk oversight, industry, science), among many other factors, to inform these refreshment practices and decisions. In connection with its refreshment process, the Board specifically sought individuals with C-suite level and/or pharmaceutical experience. As we continue to evaluate Board composition, we also work to establish a pool of qualified potential candidates to support our continued refreshment efforts.</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Viatris’ Board of Directors has always believed that varied experiences and perspectives help drive innovation and serve Viatris’ mission, both at the Board level and in management. The Board’s Diversity and Inclusion Policy formalizes this long-standing commitment, in all cases subject to and in accordance with applicable law, that the Board believes serve the best interests of the Company and our stakeholders. The Board, in seeking Director candidates, reviews the principles of the policy and also asks its </w:t>
      </w:r>
    </w:p>
    <w:tbl>
      <w:tblPr>
        <w:tblW w:w="4980" w:type="dxa"/>
        <w:jc w:val="left"/>
        <w:tblInd w:w="106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28 | 2025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142"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23" descr=""/>
                          <pic:cNvPicPr>
                            <a:picLocks noChangeAspect="1" noChangeArrowheads="1"/>
                          </pic:cNvPicPr>
                        </pic:nvPicPr>
                        <pic:blipFill>
                          <a:blip r:embed="rId133"/>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143"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24" descr=""/>
                    <pic:cNvPicPr>
                      <a:picLocks noChangeAspect="1" noChangeArrowheads="1"/>
                    </pic:cNvPicPr>
                  </pic:nvPicPr>
                  <pic:blipFill>
                    <a:blip r:embed="rId134"/>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70" w:name="ny20055082x771_def14a_106-directors_pg24"/>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righ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p>
      <w:pPr>
        <w:pStyle w:val="TextBody"/>
        <w:bidi w:val="0"/>
        <w:spacing w:before="12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supporting search firms to provide candidates consistent with those principles. The Board and Governance and Sustainability Committee consider this policy and diversity matters generally during their self-evaluations and when nominating Directors for election to the Board, and the Board considers the policy effective in making sure these matters are appropriately considered.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The Board has three women members, each of whom is nominated for re-election at the 2025 Annual Meeting, including our Chair, and three of our Board committees are chaired by women (Executive; Finance; and Governance and Sustainability). Our current Directors also include one individual that self-identifies as African American or Black, one individual that self-identifies as Hispanic or Latinx, one individual that self-identifies as Asian, and one individual who self-identifies as White and Asian. In addition, two of our executive officers (Chief Financial Officer (“CFO”) and Chief Commercial Officer) are women.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As a result of its continued Board refreshment efforts, the Board has appointed seven new Directors since December 2022 and elected an independent Chair in 2023. We would like to recognize the valuable contributions of Mr. Korman and Mr. Malik, who have not been nominated for re-election at the 2025 Annual Meeting. As previously announced, each notified the Company of his intention to not stand for re-election at the 2025 Annual Meeting and to retire as a member of the Board at the end of his current term, which is scheduled to expire at the 2025 Annual Meeting.</w:t>
      </w:r>
    </w:p>
    <w:p>
      <w:pPr>
        <w:pStyle w:val="TextBody"/>
        <w:bidi w:val="0"/>
        <w:spacing w:before="240" w:after="283"/>
        <w:ind w:left="1060" w:right="0" w:hanging="0"/>
        <w:jc w:val="left"/>
        <w:rPr>
          <w:rFonts w:ascii="Arial;Helvetica;sans-serif" w:hAnsi="Arial;Helvetica;sans-serif"/>
          <w:color w:val="636466"/>
          <w:sz w:val="18"/>
        </w:rPr>
      </w:pPr>
      <w:bookmarkStart w:id="71" w:name="tTBH"/>
      <w:bookmarkEnd w:id="71"/>
      <w:r>
        <w:rPr>
          <w:rFonts w:ascii="Arial;Helvetica;sans-serif" w:hAnsi="Arial;Helvetica;sans-serif"/>
          <w:color w:val="636466"/>
          <w:sz w:val="18"/>
        </w:rPr>
        <w:t>As part of the Board’s ongoing focus on board refreshment, since 2021 a third-party search firm has assisted with identifying potential new Director candidates. After initial screenings and outreach, as well as additional guidance from the Governance and Sustainability Committee, committee members and selected other Directors interviewed potential Director candidates identified by the third-party search firm as well as additional potential Director candidates recommended by Viatris Directors. Based on this process, the Board, on the recommendation of the Governance and Sustainability Committee, appointed Mr. D’Amelio, Dr. Severino and Mr. Simmons in 2025. We will continue to work to establish a pool of qualified potential candidates to support our Board refreshment efforts.</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Reflecting the critical importance of senior leadership to the success of the Company and its overall business strategy, our Corporate Governance Principles also provide that the Board will work with senior management to ensure that effective plans are in place for management succession. The Board’s goal is to have a long-term and continuous program as well as to have contingency plans in place for emergencies such as departure, death, or disability. The Board discusses succession planning regularly at scheduled meetings, including in executive session, as appropriate. These succession planning activities have been and may continue to be supported by independent third-party consultants. </w:t>
      </w:r>
    </w:p>
    <w:p>
      <w:pPr>
        <w:pStyle w:val="TextBody"/>
        <w:bidi w:val="0"/>
        <w:spacing w:before="240" w:after="283"/>
        <w:ind w:left="1060" w:right="0" w:hanging="0"/>
        <w:jc w:val="left"/>
        <w:rPr>
          <w:rFonts w:ascii="Arial;Helvetica;sans-serif" w:hAnsi="Arial;Helvetica;sans-serif"/>
          <w:color w:val="636466"/>
          <w:sz w:val="18"/>
        </w:rPr>
      </w:pPr>
      <w:bookmarkStart w:id="72" w:name="tBRA1"/>
      <w:bookmarkEnd w:id="72"/>
      <w:r>
        <w:rPr>
          <w:rFonts w:ascii="Arial;Helvetica;sans-serif" w:hAnsi="Arial;Helvetica;sans-serif"/>
          <w:color w:val="636466"/>
          <w:sz w:val="18"/>
        </w:rPr>
        <w:t>The Board prioritizes reviewing and discussing the succession plans for the CEO and each of his direct reports. Management succession planning has been, including with respect to our recent CEO, CFO, Chief Commercial Officer, and Chief Administrative and Transformation Officer appointments, and continues to be among the Board’s top priorities and is included in the annual goals for executive management.</w:t>
      </w:r>
    </w:p>
    <w:p>
      <w:pPr>
        <w:pStyle w:val="TextBody"/>
        <w:bidi w:val="0"/>
        <w:spacing w:before="430" w:after="283"/>
        <w:ind w:left="1060" w:right="0" w:hanging="0"/>
        <w:jc w:val="left"/>
        <w:rPr>
          <w:rFonts w:ascii="Arial;Helvetica;sans-serif" w:hAnsi="Arial;Helvetica;sans-serif"/>
          <w:color w:val="1F1C6B"/>
          <w:sz w:val="30"/>
        </w:rPr>
      </w:pPr>
      <w:bookmarkStart w:id="73" w:name="tABA"/>
      <w:bookmarkEnd w:id="73"/>
      <w:r>
        <w:rPr>
          <w:rFonts w:ascii="Arial;Helvetica;sans-serif" w:hAnsi="Arial;Helvetica;sans-serif"/>
          <w:color w:val="1F1C6B"/>
          <w:sz w:val="30"/>
        </w:rPr>
        <w:t xml:space="preserve">Annual Board and Committee Self-Evaluations </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The Governance and Sustainability Committee is responsible for overseeing the annual self-evaluation of the Board and its committees and, as part of those self-evaluations, engages an outside facilitator to lead the process. To date, the annual self-evaluations have alternated between using one-on-one interviews by the outside facilitator with each Director (with the outside facilitator then reporting out to the full Board) and a full Board discussion led by the outside facilitator. The self-evaluation process is designed to facilitate ongoing, systematic examination of the Board’s and committees’ effectiveness and accountability, and to identify opportunities for improving operations and procedures. In addition, the self-evaluations are intended to collect the perspectives of each Director, and are guided by use of a questionnaire, prepared by the outside facilitator, reviewed and approved by the Governance and Sustainability Committee and distributed to Directors in advance, which includes typical questions used to evaluate a board and its committees with appropriate tailoring for the Company. The questionnaire covers, among other topics: Board and committee composition and organization, including the Board's refreshment activities and responsibilities and oversight assigned to each committee; Board and committee leadership and management; Board responsibilities and oversight with respect to topics including, among others, strategic matters, succession planning and risk oversight, corporate sustainability and human capital management; Board and committee culture, administration and materials/resources; and Board, committee and Director performance. </w:t>
      </w:r>
    </w:p>
    <w:tbl>
      <w:tblPr>
        <w:tblW w:w="4980" w:type="dxa"/>
        <w:jc w:val="left"/>
        <w:tblInd w:w="106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144"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25" descr=""/>
                          <pic:cNvPicPr>
                            <a:picLocks noChangeAspect="1" noChangeArrowheads="1"/>
                          </pic:cNvPicPr>
                        </pic:nvPicPr>
                        <pic:blipFill>
                          <a:blip r:embed="rId135"/>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Statement | 29</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145"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26" descr=""/>
                    <pic:cNvPicPr>
                      <a:picLocks noChangeAspect="1" noChangeArrowheads="1"/>
                    </pic:cNvPicPr>
                  </pic:nvPicPr>
                  <pic:blipFill>
                    <a:blip r:embed="rId136"/>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74" w:name="ny20055082x771_def14a_106-directors_pg25"/>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lef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p>
      <w:pPr>
        <w:pStyle w:val="TextBody"/>
        <w:bidi w:val="0"/>
        <w:spacing w:before="12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Following its discussion with the outside facilitator, the Board discusses potential action items and evolves its processes where appropriate. </w:t>
      </w:r>
    </w:p>
    <w:p>
      <w:pPr>
        <w:pStyle w:val="TextBody"/>
        <w:bidi w:val="0"/>
        <w:spacing w:before="430" w:after="283"/>
        <w:ind w:left="1060" w:right="0" w:hanging="0"/>
        <w:jc w:val="left"/>
        <w:rPr>
          <w:rFonts w:ascii="Arial;Helvetica;sans-serif" w:hAnsi="Arial;Helvetica;sans-serif"/>
          <w:color w:val="1F1C6B"/>
          <w:sz w:val="30"/>
        </w:rPr>
      </w:pPr>
      <w:bookmarkStart w:id="75" w:name="tSAO"/>
      <w:bookmarkEnd w:id="75"/>
      <w:r>
        <w:rPr>
          <w:rFonts w:ascii="Arial;Helvetica;sans-serif" w:hAnsi="Arial;Helvetica;sans-serif"/>
          <w:color w:val="1F1C6B"/>
          <w:sz w:val="30"/>
        </w:rPr>
        <w:t xml:space="preserve">Setting and Overseeing Strategy </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The Board actively discusses, determines, and oversees the Company's strategic initiatives and priorities and we believe the Board has demonstrated over time the consistency and natural progression of its strategy despite evolving, challenging, and often unpredictable market conditions.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Under the leadership of the Board, we have executed various strategic initiatives, transactions, and business arrangements over the last few years to return our base business to growth through 2024, deliver on our pipeline, reduce debt and return capital to shareholders. We have also completed certain transactions to simplify and streamline our business, accelerate paydown of debt and unlock value, including: </w:t>
      </w:r>
    </w:p>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In 2022, we completed a transaction to contribute our biosimilars portfolio to Biocon Biologics Limited (the “Biocon Biologics Transaction”).</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In 2023 and 2024, we substantially completed the divestitures of our over-the-counter (“OTC”) business (“OTC Business”), our active pharmaceutical ingredient (“API”) business in India (while retaining some selective R&amp;D capabilities in API), our women's healthcare business primarily related to oral and injectable contraceptives, our rights to two women's healthcare products in certain countries and our commercialization rights in select geographic markets that were part of the Combination. </w:t>
            </w:r>
          </w:p>
        </w:tc>
      </w:tr>
    </w:tbl>
    <w:p>
      <w:pPr>
        <w:pStyle w:val="TextBody"/>
        <w:bidi w:val="0"/>
        <w:spacing w:before="31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Our future will be guided by four strategic pillars:</w:t>
      </w:r>
    </w:p>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b/>
                <w:color w:val="636466"/>
                <w:sz w:val="18"/>
              </w:rPr>
              <w:t>Strengthen Our Core</w:t>
            </w:r>
            <w:r>
              <w:rPr>
                <w:rFonts w:ascii="Arial;Helvetica;sans-serif" w:hAnsi="Arial;Helvetica;sans-serif"/>
                <w:color w:val="636466"/>
                <w:sz w:val="18"/>
              </w:rPr>
              <w:t xml:space="preserve"> – Evolving our generics business by focusing on more profitable, higher-margin complex products, and building our global established brands business by adding brands that leverage our global capabilities. </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b/>
                <w:color w:val="636466"/>
                <w:sz w:val="18"/>
              </w:rPr>
              <w:t>Fuel Innovation</w:t>
            </w:r>
            <w:r>
              <w:rPr>
                <w:rFonts w:ascii="Arial;Helvetica;sans-serif" w:hAnsi="Arial;Helvetica;sans-serif"/>
                <w:color w:val="636466"/>
                <w:sz w:val="18"/>
              </w:rPr>
              <w:t xml:space="preserve"> – Advancing a pipeline of best-in-class, patent-protected assets and growing our innovative brands business through strategic accretive in-market business development opportunities to accelerate growth in key areas. </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b/>
                <w:color w:val="636466"/>
                <w:sz w:val="18"/>
              </w:rPr>
              <w:t xml:space="preserve">Optimize Our Global Structure </w:t>
            </w:r>
            <w:r>
              <w:rPr>
                <w:rFonts w:ascii="Arial;Helvetica;sans-serif" w:hAnsi="Arial;Helvetica;sans-serif"/>
                <w:color w:val="636466"/>
                <w:sz w:val="18"/>
              </w:rPr>
              <w:t>– Simplifying our cost structure, improving resource allocation and achieving operational efficiency in line with the changing needs of our business so that we can ensure we’re building a company that is both competitive today and prepared for the future.</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b/>
                <w:color w:val="636466"/>
                <w:sz w:val="18"/>
              </w:rPr>
              <w:t>Invest for Growth</w:t>
            </w:r>
            <w:r>
              <w:rPr>
                <w:rFonts w:ascii="Arial;Helvetica;sans-serif" w:hAnsi="Arial;Helvetica;sans-serif"/>
                <w:color w:val="636466"/>
                <w:sz w:val="18"/>
              </w:rPr>
              <w:t xml:space="preserve"> – Building organizational capabilities, developing talent, and investing in digital tools needed to compete and win in a rapidly changing healthcare environment. </w:t>
            </w:r>
          </w:p>
        </w:tc>
      </w:tr>
    </w:tbl>
    <w:tbl>
      <w:tblPr>
        <w:tblW w:w="4980" w:type="dxa"/>
        <w:jc w:val="left"/>
        <w:tblInd w:w="106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30 | 2025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146"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27" descr=""/>
                          <pic:cNvPicPr>
                            <a:picLocks noChangeAspect="1" noChangeArrowheads="1"/>
                          </pic:cNvPicPr>
                        </pic:nvPicPr>
                        <pic:blipFill>
                          <a:blip r:embed="rId137"/>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147"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28" descr=""/>
                    <pic:cNvPicPr>
                      <a:picLocks noChangeAspect="1" noChangeArrowheads="1"/>
                    </pic:cNvPicPr>
                  </pic:nvPicPr>
                  <pic:blipFill>
                    <a:blip r:embed="rId138"/>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76" w:name="ny20055082x771_def14a_106-directors_pg26"/>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righ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p>
      <w:pPr>
        <w:pStyle w:val="Normal"/>
        <w:bidi w:val="0"/>
        <w:spacing w:before="0" w:after="0"/>
        <w:ind w:left="1060" w:right="0" w:hanging="0"/>
        <w:jc w:val="left"/>
        <w:rPr>
          <w:sz w:val="4"/>
          <w:szCs w:val="4"/>
        </w:rPr>
      </w:pPr>
      <w:r>
        <w:rPr>
          <w:sz w:val="4"/>
          <w:szCs w:val="4"/>
        </w:rPr>
      </w:r>
      <w:bookmarkStart w:id="77" w:name="tSAO2"/>
      <w:bookmarkStart w:id="78" w:name="tROPR"/>
      <w:bookmarkStart w:id="79" w:name="tSAO2"/>
      <w:bookmarkStart w:id="80" w:name="tROPR"/>
      <w:bookmarkEnd w:id="79"/>
      <w:bookmarkEnd w:id="80"/>
    </w:p>
    <w:tbl>
      <w:tblPr>
        <w:tblW w:w="9145" w:type="dxa"/>
        <w:jc w:val="left"/>
        <w:tblInd w:w="1060" w:type="dxa"/>
        <w:tblLayout w:type="fixed"/>
        <w:tblCellMar>
          <w:top w:w="0" w:type="dxa"/>
          <w:left w:w="0" w:type="dxa"/>
          <w:bottom w:w="0" w:type="dxa"/>
          <w:right w:w="0" w:type="dxa"/>
        </w:tblCellMar>
      </w:tblPr>
      <w:tblGrid>
        <w:gridCol w:w="185"/>
        <w:gridCol w:w="8745"/>
        <w:gridCol w:w="215"/>
      </w:tblGrid>
      <w:tr>
        <w:trPr/>
        <w:tc>
          <w:tcPr>
            <w:tcW w:w="185" w:type="dxa"/>
            <w:tcBorders/>
            <w:shd w:fill="FFF1C7" w:val="clear"/>
            <w:vAlign w:val="center"/>
          </w:tcPr>
          <w:p>
            <w:pPr>
              <w:pStyle w:val="TableContents"/>
              <w:bidi w:val="0"/>
              <w:spacing w:before="0" w:after="0"/>
              <w:jc w:val="left"/>
              <w:rPr/>
            </w:pPr>
            <w:r>
              <w:rPr/>
              <w:t> </w:t>
            </w:r>
          </w:p>
        </w:tc>
        <w:tc>
          <w:tcPr>
            <w:tcW w:w="8745" w:type="dxa"/>
            <w:tcBorders/>
            <w:shd w:fill="FFF1C7" w:val="clear"/>
            <w:vAlign w:val="center"/>
          </w:tcPr>
          <w:p>
            <w:pPr>
              <w:pStyle w:val="TableContents"/>
              <w:bidi w:val="0"/>
              <w:spacing w:before="0" w:after="0"/>
              <w:jc w:val="left"/>
              <w:rPr/>
            </w:pPr>
            <w:r>
              <w:rPr/>
              <w:t> </w:t>
            </w:r>
          </w:p>
        </w:tc>
        <w:tc>
          <w:tcPr>
            <w:tcW w:w="215" w:type="dxa"/>
            <w:tcBorders/>
            <w:shd w:fill="FFF1C7" w:val="clear"/>
            <w:vAlign w:val="center"/>
          </w:tcPr>
          <w:p>
            <w:pPr>
              <w:pStyle w:val="TableContents"/>
              <w:bidi w:val="0"/>
              <w:spacing w:before="0" w:after="0"/>
              <w:jc w:val="left"/>
              <w:rPr/>
            </w:pPr>
            <w:r>
              <w:rPr/>
              <w:t> </w:t>
            </w:r>
          </w:p>
        </w:tc>
      </w:tr>
      <w:tr>
        <w:trPr/>
        <w:tc>
          <w:tcPr>
            <w:tcW w:w="185" w:type="dxa"/>
            <w:tcBorders/>
            <w:shd w:fill="FFF1C7" w:val="clear"/>
            <w:vAlign w:val="center"/>
          </w:tcPr>
          <w:p>
            <w:pPr>
              <w:pStyle w:val="TableContents"/>
              <w:bidi w:val="0"/>
              <w:spacing w:before="0" w:after="0"/>
              <w:jc w:val="left"/>
              <w:rPr/>
            </w:pPr>
            <w:r>
              <w:rPr/>
              <w:t> </w:t>
            </w:r>
          </w:p>
        </w:tc>
        <w:tc>
          <w:tcPr>
            <w:tcW w:w="8745" w:type="dxa"/>
            <w:tcBorders/>
            <w:shd w:fill="FFF1C7" w:val="clear"/>
            <w:vAlign w:val="center"/>
          </w:tcPr>
          <w:p>
            <w:pPr>
              <w:pStyle w:val="TableContents"/>
              <w:bidi w:val="0"/>
              <w:spacing w:before="0" w:after="283"/>
              <w:ind w:left="60" w:right="0" w:hanging="0"/>
              <w:jc w:val="left"/>
              <w:rPr>
                <w:rFonts w:ascii="Arial;Helvetica;sans-serif" w:hAnsi="Arial;Helvetica;sans-serif"/>
                <w:b/>
                <w:color w:val="72288A"/>
                <w:sz w:val="18"/>
              </w:rPr>
            </w:pPr>
            <w:r>
              <w:rPr>
                <w:rFonts w:ascii="Arial;Helvetica;sans-serif" w:hAnsi="Arial;Helvetica;sans-serif"/>
                <w:b/>
                <w:color w:val="72288A"/>
                <w:sz w:val="18"/>
              </w:rPr>
              <w:t>The Board remains committed to overseeing these efforts and to maintaining an ongoing dialogue with shareholders regarding a broad range of topics, including, among others, our strategic initiatives and priorities; capital allocation; governance; compensation; and corporate environmental and social responsibility matters.</w:t>
            </w:r>
          </w:p>
        </w:tc>
        <w:tc>
          <w:tcPr>
            <w:tcW w:w="215" w:type="dxa"/>
            <w:tcBorders/>
            <w:shd w:fill="FFF1C7" w:val="clear"/>
            <w:vAlign w:val="center"/>
          </w:tcPr>
          <w:p>
            <w:pPr>
              <w:pStyle w:val="TableContents"/>
              <w:bidi w:val="0"/>
              <w:spacing w:before="0" w:after="0"/>
              <w:jc w:val="left"/>
              <w:rPr/>
            </w:pPr>
            <w:r>
              <w:rPr/>
              <w:t> </w:t>
            </w:r>
          </w:p>
        </w:tc>
      </w:tr>
      <w:tr>
        <w:trPr/>
        <w:tc>
          <w:tcPr>
            <w:tcW w:w="185" w:type="dxa"/>
            <w:tcBorders/>
            <w:shd w:fill="FFF1C7" w:val="clear"/>
            <w:vAlign w:val="center"/>
          </w:tcPr>
          <w:p>
            <w:pPr>
              <w:pStyle w:val="TableContents"/>
              <w:bidi w:val="0"/>
              <w:spacing w:before="0" w:after="0"/>
              <w:jc w:val="left"/>
              <w:rPr/>
            </w:pPr>
            <w:r>
              <w:rPr/>
              <w:t> </w:t>
            </w:r>
          </w:p>
        </w:tc>
        <w:tc>
          <w:tcPr>
            <w:tcW w:w="8745" w:type="dxa"/>
            <w:tcBorders/>
            <w:shd w:fill="FFF1C7" w:val="clear"/>
            <w:vAlign w:val="center"/>
          </w:tcPr>
          <w:p>
            <w:pPr>
              <w:pStyle w:val="TableContents"/>
              <w:bidi w:val="0"/>
              <w:spacing w:before="0" w:after="0"/>
              <w:jc w:val="left"/>
              <w:rPr/>
            </w:pPr>
            <w:r>
              <w:rPr/>
              <w:t> </w:t>
            </w:r>
          </w:p>
        </w:tc>
        <w:tc>
          <w:tcPr>
            <w:tcW w:w="215" w:type="dxa"/>
            <w:tcBorders/>
            <w:shd w:fill="FFF1C7" w:val="clear"/>
            <w:vAlign w:val="center"/>
          </w:tcPr>
          <w:p>
            <w:pPr>
              <w:pStyle w:val="TableContents"/>
              <w:bidi w:val="0"/>
              <w:spacing w:before="0" w:after="0"/>
              <w:jc w:val="left"/>
              <w:rPr/>
            </w:pPr>
            <w:r>
              <w:rPr/>
              <w:t> </w:t>
            </w:r>
          </w:p>
        </w:tc>
      </w:tr>
    </w:tbl>
    <w:p>
      <w:pPr>
        <w:pStyle w:val="TextBody"/>
        <w:bidi w:val="0"/>
        <w:spacing w:before="0" w:after="283"/>
        <w:ind w:left="1060" w:right="0" w:hanging="0"/>
        <w:jc w:val="center"/>
        <w:rPr>
          <w:color w:val="636466"/>
        </w:rPr>
      </w:pPr>
      <w:r>
        <w:rPr>
          <w:color w:val="636466"/>
        </w:rPr>
        <w:drawing>
          <wp:inline distT="0" distB="0" distL="0" distR="0">
            <wp:extent cx="6572250" cy="3057525"/>
            <wp:effectExtent l="0" t="0" r="0" b="0"/>
            <wp:docPr id="148"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29" descr=""/>
                    <pic:cNvPicPr>
                      <a:picLocks noChangeAspect="1" noChangeArrowheads="1"/>
                    </pic:cNvPicPr>
                  </pic:nvPicPr>
                  <pic:blipFill>
                    <a:blip r:embed="rId139"/>
                    <a:stretch>
                      <a:fillRect/>
                    </a:stretch>
                  </pic:blipFill>
                  <pic:spPr bwMode="auto">
                    <a:xfrm>
                      <a:off x="0" y="0"/>
                      <a:ext cx="6572250" cy="3057525"/>
                    </a:xfrm>
                    <a:prstGeom prst="rect">
                      <a:avLst/>
                    </a:prstGeom>
                  </pic:spPr>
                </pic:pic>
              </a:graphicData>
            </a:graphic>
          </wp:inline>
        </w:drawing>
      </w:r>
    </w:p>
    <w:p>
      <w:pPr>
        <w:pStyle w:val="TextBody"/>
        <w:bidi w:val="0"/>
        <w:spacing w:before="0" w:after="283"/>
        <w:ind w:left="1060" w:right="0" w:hanging="0"/>
        <w:jc w:val="left"/>
        <w:rPr>
          <w:color w:val="636466"/>
        </w:rPr>
      </w:pPr>
      <w:r>
        <w:rPr>
          <w:color w:val="636466"/>
        </w:rPr>
        <w:t> </w:t>
      </w:r>
    </w:p>
    <w:p>
      <w:pPr>
        <w:pStyle w:val="TextBody"/>
        <w:bidi w:val="0"/>
        <w:spacing w:before="430" w:after="283"/>
        <w:ind w:left="1060" w:right="0" w:hanging="0"/>
        <w:jc w:val="left"/>
        <w:rPr>
          <w:rFonts w:ascii="Arial;Helvetica;sans-serif" w:hAnsi="Arial;Helvetica;sans-serif"/>
          <w:color w:val="1F1C6B"/>
          <w:sz w:val="30"/>
        </w:rPr>
      </w:pPr>
      <w:bookmarkStart w:id="81" w:name="tRO"/>
      <w:bookmarkEnd w:id="81"/>
      <w:r>
        <w:rPr>
          <w:rFonts w:ascii="Arial;Helvetica;sans-serif" w:hAnsi="Arial;Helvetica;sans-serif"/>
          <w:color w:val="1F1C6B"/>
          <w:sz w:val="30"/>
        </w:rPr>
        <w:t xml:space="preserve">Risk Oversight </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Viatris operates in a complex and rapidly changing environment that involves many potential risks. In addition to general market, industry, R&amp;D, supply chain, political, financial, and economic risks, the Company faces potential risks related to, among others, executing on and implementing our strategic initiatives and priorities, including divestitures, acquisitions, or other potential transactions; IT and cybersecurity; data privacy; financial controls and reporting; manufacturing and quality; legal, regulatory, and compliance requirements and developments; the global nature of our operations; human capital management; corporate environmental and social responsibility; product portfolio, product development, clinical trials, and commercialization, among others. As a company committed to operating ethically and with integrity, we proactively seek to manage and, where possible, mitigate risks to help ensure compliance with applicable rules and regulations, maintain integrity and continuity in our operations and business, including in support of achieving strategic priorities and long-term financial and operational performance, and protect our assets (financial, intellectual property, and information, among others). Risk management is an enterprise-wide objective and is subject to oversight by the Board and its committees.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It is the responsibility of Viatris’ management and employees to identify material risks to our business and to implement and administer risk management and mitigation processes and programs, while also maintaining reasonable flexibility in how we operate. Our internal audit function coordinates cross functionally to maintain the Company’s enterprise risk assessment, including the identification of key and emerging risks, and reviews and refreshes this analysis quarterly with executive management. For each key or emerging risk identified, the Company establishes risk monitoring ownership, from which quarterly updates are collected for executive management and the Compliance and Risk Oversight Committee. The Company’s internal risk committee of senior management consists of senior leaders across multiple disciplines, including internal audit, IT, information security, compliance, corporate affairs, operations, finance, legal, and quality and meets quarterly to review and discuss risks and trends, which vary across the short-, medium-, and long-term. To further embed risk management and compliance into our culture, Viatris has a robust global corporate compliance program, implements comprehensive policies and procedures, trains employees on how to implement and comply with them, and maintains an extensive program of oversight and audit to help ensure compliance and appropriate enterprise risk management. </w:t>
      </w:r>
    </w:p>
    <w:tbl>
      <w:tblPr>
        <w:tblW w:w="4980" w:type="dxa"/>
        <w:jc w:val="left"/>
        <w:tblInd w:w="106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149"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30" descr=""/>
                          <pic:cNvPicPr>
                            <a:picLocks noChangeAspect="1" noChangeArrowheads="1"/>
                          </pic:cNvPicPr>
                        </pic:nvPicPr>
                        <pic:blipFill>
                          <a:blip r:embed="rId140"/>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Statement | 31</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150"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31" descr=""/>
                    <pic:cNvPicPr>
                      <a:picLocks noChangeAspect="1" noChangeArrowheads="1"/>
                    </pic:cNvPicPr>
                  </pic:nvPicPr>
                  <pic:blipFill>
                    <a:blip r:embed="rId141"/>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82" w:name="ny20055082x771_def14a_106-directors_pg27"/>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lef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p>
      <w:pPr>
        <w:pStyle w:val="TextBody"/>
        <w:bidi w:val="0"/>
        <w:spacing w:before="12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The Company’s risk oversight framework also aligns with our disclosure controls and procedures. For example, the Company’s Disclosure Committee reviews the Company’s quarterly and annual financial statements and related disclosures. The Disclosure Committee consists of senior management including our CFO, Chief Legal Officer, Chief Governance Counsel and Corporate Secretary, Chief Accounting Officer and Corporate Controller, Chief Corporate Affairs Officer, and Head of Capital Markets, all of whom participate in the associated risk assessment as described above. The financial statements are also reviewed with the CEO before being reviewed with and approved by the Audit Committee, and filed with the SEC.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The Board directly, or through its committees, oversees the implementation of risk management and mitigation processes. The Board and its committees rigorously review with management the risk management program and discuss risk assessment matters at least quarterly, as well as during the Board’s annual budget review and approval process. Each of our Board committees has full access to officers and employees of the Company, and the Board and committees also meet in executive session without members of management present. The Board and committee Chairs periodically discuss the allocation of specific risk oversight matters between the various Board committees and the Board believes that its current risk oversight structure, as outlined below, assigns particular risk oversight matters to the Board committees that have the appropriate expertise to manage them. The Board also has the authority to form special strategic committees if it believes that it would be advisable to oversee significant strategic or other corporate actions, including the risks related thereto. All Board committees also have access to outside advisors in their sole discretion and periodically receive external updates concerning oversight of risks related to the Company and management’s efforts to manage risk. The Compliance and Risk Oversight Committee is responsible for appointing and replacing the Company’s Chief Compliance Officer, who is responsible for, among other things, the day-to-day management and implementation of the Company’s Corporate Compliance Program and who reports to the Compliance and Risk Oversight Committee and the Chief Legal Officer. In addition to meeting with the Company’s internal risk committee of senior management, which meets at least quarterly, the Chief Compliance Officer meets at least quarterly with the Audit Committee and the Compliance and Risk Oversight Committee.</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The Board also has approved a Code of Business Conduct and Ethics, Code of Ethics for Chief Executive Officer, Chief Financial Officer, and Corporate Controller, and other related policies to help manage and mitigate risk globally.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The Vice Chair of the Board serves as Chair of the Compliance and Risk Oversight Committee, which also meets at least twice a year with other committee Chairs to discuss risk-related matters and the Company’s enterprise risk management framework. While the full Board has retained responsibility for overseeing strategic risks to the business overall, it has delegated oversight of specific risks to its committees as outlined below.</w:t>
      </w:r>
    </w:p>
    <w:p>
      <w:pPr>
        <w:pStyle w:val="TextBody"/>
        <w:bidi w:val="0"/>
        <w:spacing w:before="420" w:after="283"/>
        <w:ind w:left="1060" w:right="0" w:hanging="0"/>
        <w:jc w:val="left"/>
        <w:rPr>
          <w:rFonts w:ascii="Arial;Helvetica;sans-serif" w:hAnsi="Arial;Helvetica;sans-serif"/>
          <w:color w:val="72288A"/>
          <w:sz w:val="24"/>
        </w:rPr>
      </w:pPr>
      <w:bookmarkStart w:id="83" w:name="tBCR"/>
      <w:bookmarkEnd w:id="83"/>
      <w:r>
        <w:rPr>
          <w:rFonts w:ascii="Arial;Helvetica;sans-serif" w:hAnsi="Arial;Helvetica;sans-serif"/>
          <w:color w:val="72288A"/>
          <w:sz w:val="24"/>
        </w:rPr>
        <w:t xml:space="preserve">Board Committees’ Role in Risk Oversight </w:t>
      </w:r>
    </w:p>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b/>
                <w:color w:val="72288A"/>
                <w:sz w:val="18"/>
              </w:rPr>
              <w:t xml:space="preserve">The Audit Committee </w:t>
            </w:r>
            <w:r>
              <w:rPr>
                <w:rFonts w:ascii="Arial;Helvetica;sans-serif" w:hAnsi="Arial;Helvetica;sans-serif"/>
                <w:color w:val="636466"/>
                <w:sz w:val="18"/>
              </w:rPr>
              <w:t>focuses on risks relating to financial and disclosure controls, SEC reporting matters, and oversight of Viatris’ internal audit function and independent registered public accounting firm. The Committee oversees, among other matters, the Company’s processes and procedures relating to risk assessment and risk management relating to financial, disclosure, and SEC reporting-related matters, and reviews with management the quality and adequacy of the Company’s internal control over financial reporting and the Company’s disclosure controls and procedures, including their effectiveness. Viatris’ internal audit function reports to and meets with the Committee at least quarterly to discuss potential risk or control issues, and the Committee regularly discusses the performance of the internal audit function, and the adequacy of resources available to this function. The Committee also meets quarterly with Viatris’ independent registered public accounting firm in executive session.</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b/>
                <w:color w:val="72288A"/>
                <w:sz w:val="18"/>
              </w:rPr>
              <w:t xml:space="preserve">The Compensation Committee </w:t>
            </w:r>
            <w:r>
              <w:rPr>
                <w:rFonts w:ascii="Arial;Helvetica;sans-serif" w:hAnsi="Arial;Helvetica;sans-serif"/>
                <w:color w:val="636466"/>
                <w:sz w:val="18"/>
              </w:rPr>
              <w:t xml:space="preserve">focuses on the design and administration of compensation-related plans and programs, and reviews with management and its external compensation consultant, at least annually, the relationship between the Company’s compensation policies and practices and the Company’s risk management with respect to compensation-related matters, including to assess whether any risks arising from compensation practices, policies, and programs for the Company’s executive officers and other employees are reasonably likely to have a material adverse effect on the Company. The Committee receives reports, on at least a quarterly basis, from management and outside advisors regarding compensation-related matters, and considers risk management in determining compensation structure. The Committee also reviews reports from management regarding pay equity and human capital management. </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b/>
                <w:color w:val="72288A"/>
                <w:sz w:val="18"/>
              </w:rPr>
              <w:t xml:space="preserve">The Compliance and Risk Oversight Committee </w:t>
            </w:r>
            <w:r>
              <w:rPr>
                <w:rFonts w:ascii="Arial;Helvetica;sans-serif" w:hAnsi="Arial;Helvetica;sans-serif"/>
                <w:color w:val="636466"/>
                <w:sz w:val="18"/>
              </w:rPr>
              <w:t xml:space="preserve">assists the Board in its oversight of Viatris’ enterprise risk management framework and reviews the enterprise risk framework, infrastructure, and controls implemented by management to help </w:t>
            </w:r>
          </w:p>
        </w:tc>
      </w:tr>
    </w:tbl>
    <w:tbl>
      <w:tblPr>
        <w:tblW w:w="4980" w:type="dxa"/>
        <w:jc w:val="left"/>
        <w:tblInd w:w="106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32 | 2025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151"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32" descr=""/>
                          <pic:cNvPicPr>
                            <a:picLocks noChangeAspect="1" noChangeArrowheads="1"/>
                          </pic:cNvPicPr>
                        </pic:nvPicPr>
                        <pic:blipFill>
                          <a:blip r:embed="rId142"/>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152"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33" descr=""/>
                    <pic:cNvPicPr>
                      <a:picLocks noChangeAspect="1" noChangeArrowheads="1"/>
                    </pic:cNvPicPr>
                  </pic:nvPicPr>
                  <pic:blipFill>
                    <a:blip r:embed="rId143"/>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84" w:name="ny20055082x771_def14a_106-directors_pg28"/>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righ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p>
      <w:pPr>
        <w:pStyle w:val="TextBody"/>
        <w:bidi w:val="0"/>
        <w:spacing w:before="120" w:after="283"/>
        <w:ind w:left="1260" w:right="0" w:hanging="0"/>
        <w:jc w:val="left"/>
        <w:rPr>
          <w:rFonts w:ascii="Arial;Helvetica;sans-serif" w:hAnsi="Arial;Helvetica;sans-serif"/>
          <w:color w:val="636466"/>
          <w:sz w:val="18"/>
        </w:rPr>
      </w:pPr>
      <w:r>
        <w:rPr>
          <w:rFonts w:ascii="Arial;Helvetica;sans-serif" w:hAnsi="Arial;Helvetica;sans-serif"/>
          <w:color w:val="636466"/>
          <w:sz w:val="18"/>
        </w:rPr>
        <w:t xml:space="preserve">identify, assess, manage, and monitor the Company’s material risks; reviews management’s exercise of its responsibility to identify, assess, and manage material risks not allocated to the Board or another committee, including, for example, data security programs and cybersecurity and IT; and reviews the Company’s efforts to foster a culture of risk-adjusted decision-making without constraining reasonable risk-taking and innovation. Management reviews the Company’s enterprise risk management program with the Committee each quarter and discusses the short-, medium-, and long-term matters of focus from a risk management perspective and actions being taken to mitigate risk. The Committee also meets with the Chairs of the other committees at least two times a year to discuss enterprise risk and related matters. The Committee is also responsible for overseeing the Chief Compliance Officer’s implementation of Viatris’ Corporate Compliance Program. The Chief Compliance Officer reports to the Committee and the Chief Legal Officer and the Committee is responsible for appointing and, as applicable, replacing, the Chief Compliance Officer. The Committee discusses the Chief Compliance Officer’s performance, responsibilities, plans, and resources with the Chief Legal Officer. The Committee also makes recommendations to the Board with respect to the Corporate Compliance Program, the Code of Business Conduct and Ethics, and significant related global policies, and is responsible for reviewing reports of significant actual or alleged violations of the Code of Business Conduct and Ethics, corporate policies and procedures, and applicable laws and regulations. The Committee also discusses reports regarding non-financial compliance risk and risks associated with privacy; antitrust and competition; anti-corruption; and third-party risks. In addition, the Committee reviews significant global compliance-related policies, including policies related to pricing and/or commercialization of Company products and services. </w:t>
      </w:r>
    </w:p>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b/>
                <w:color w:val="72288A"/>
                <w:sz w:val="18"/>
              </w:rPr>
              <w:t xml:space="preserve">The Finance Committee </w:t>
            </w:r>
            <w:r>
              <w:rPr>
                <w:rFonts w:ascii="Arial;Helvetica;sans-serif" w:hAnsi="Arial;Helvetica;sans-serif"/>
                <w:color w:val="636466"/>
                <w:sz w:val="18"/>
              </w:rPr>
              <w:t xml:space="preserve">is responsible for reviewing and, as appropriate, providing recommendations to the Board with respect to significant strategies and policies of the Company relating to its capital structure and deployment and/or allocation of capital, material financial matters and transactions, and the risks related to such activities. </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b/>
                <w:color w:val="72288A"/>
                <w:sz w:val="18"/>
              </w:rPr>
              <w:t xml:space="preserve">The Governance and Sustainability Committee </w:t>
            </w:r>
            <w:r>
              <w:rPr>
                <w:rFonts w:ascii="Arial;Helvetica;sans-serif" w:hAnsi="Arial;Helvetica;sans-serif"/>
                <w:color w:val="636466"/>
                <w:sz w:val="18"/>
              </w:rPr>
              <w:t xml:space="preserve">is responsible for identifying, assisting in recruiting, and nominating qualified individuals to become members of the Board, recommending committee assignments, overseeing the Board’s annual evaluation of the independence of Directors, and evaluating and assisting the Board in considering potential risks related to corporate governance. The Committee is also responsible for overseeing the annual self-evaluation of the Board and its committees; Director orientation and continuing education programs; Board and management succession planning; and management’s activities with respect to corporate environmental and social responsibility matters. </w:t>
            </w:r>
          </w:p>
        </w:tc>
      </w:tr>
    </w:tbl>
    <w:p>
      <w:pPr>
        <w:pStyle w:val="TextBody"/>
        <w:bidi w:val="0"/>
        <w:spacing w:before="430" w:after="283"/>
        <w:ind w:left="1060" w:right="0" w:hanging="0"/>
        <w:jc w:val="left"/>
        <w:rPr>
          <w:rFonts w:ascii="Arial;Helvetica;sans-serif" w:hAnsi="Arial;Helvetica;sans-serif"/>
          <w:color w:val="72288A"/>
          <w:sz w:val="24"/>
        </w:rPr>
      </w:pPr>
      <w:r>
        <w:rPr>
          <w:rFonts w:ascii="Arial;Helvetica;sans-serif" w:hAnsi="Arial;Helvetica;sans-serif"/>
          <w:color w:val="72288A"/>
          <w:sz w:val="24"/>
        </w:rPr>
        <w:t xml:space="preserve">The Board’s Role in Oversight of Corporate Sustainability </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Viatris’ Board oversees management’s efforts with respect to sustainability matters through its Governance and Sustainability Committee. The Company’s sustainability function operates as a center of excellence within the Viatris Corporate Affairs leadership team. The Head of Global Sustainability drives the strategic and operational development of sustainability matters across the Company, together with key partners. The Chief Corporate Affairs Officer reports directly to the CEO and, together with the Head of Global Sustainability, communicates quarterly with the Board on sustainability matters, including corporate environmental and social responsibility matters through the Governance and Sustainability Committee. The Governance and Sustainability Committee reviews progress with the Chief Corporate Affairs Officer and Head of Global Sustainability on sustainability matters on an annual basis to confirm the Company is tracking its priorities in this area.</w:t>
      </w:r>
    </w:p>
    <w:p>
      <w:pPr>
        <w:pStyle w:val="TextBody"/>
        <w:bidi w:val="0"/>
        <w:spacing w:before="430" w:after="283"/>
        <w:ind w:left="1060" w:right="0" w:hanging="0"/>
        <w:jc w:val="left"/>
        <w:rPr>
          <w:rFonts w:ascii="Arial;Helvetica;sans-serif" w:hAnsi="Arial;Helvetica;sans-serif"/>
          <w:color w:val="72288A"/>
          <w:sz w:val="24"/>
        </w:rPr>
      </w:pPr>
      <w:r>
        <w:rPr>
          <w:rFonts w:ascii="Arial;Helvetica;sans-serif" w:hAnsi="Arial;Helvetica;sans-serif"/>
          <w:color w:val="72288A"/>
          <w:sz w:val="24"/>
        </w:rPr>
        <w:t xml:space="preserve">The Board’s and its Committees’ Role in Cybersecurity Oversight </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The Company maintains an information security program designed to govern, identify, protect, detect, respond to, and recover from cybersecurity threats. The Company’s Chief Information Security Officer &amp; Head of Global Security, under the direction of the Company’s Chief Compliance Officer prior to August 2025, and under the direction of the Company's Chief Administrative and Transformation Officer, since that time reports quarterly to an internal risk committee of senior management, which includes the CEO, CFO, Chief Legal Officer, Chief Administrative and Transformation Officer, Chief Corporate Affairs Officer, Chief Information Officer, Chief Compliance Officer, Chief Quality Officer, Chief Supply Officer, Chief R&amp;D Officer, and Regional Presidents, as well as the Board on the progress of the information security program and overall security status.</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The Compliance and Risk Oversight Committee of the Board is responsible for reviewing management’s exercise of its responsibility to identify, assess, and manage material risks not allocated to the Board or another Committee of the Board, including data security programs and cybersecurity and IT. In the event of a severe cybersecurity incident, such as a ransomware attack or other incident that has a severe adverse effect on Viatris’ operations, critical systems, or sensitive data, or which may </w:t>
      </w:r>
    </w:p>
    <w:tbl>
      <w:tblPr>
        <w:tblW w:w="4980" w:type="dxa"/>
        <w:jc w:val="left"/>
        <w:tblInd w:w="106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153"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34" descr=""/>
                          <pic:cNvPicPr>
                            <a:picLocks noChangeAspect="1" noChangeArrowheads="1"/>
                          </pic:cNvPicPr>
                        </pic:nvPicPr>
                        <pic:blipFill>
                          <a:blip r:embed="rId144"/>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Statement | 33</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154"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35" descr=""/>
                    <pic:cNvPicPr>
                      <a:picLocks noChangeAspect="1" noChangeArrowheads="1"/>
                    </pic:cNvPicPr>
                  </pic:nvPicPr>
                  <pic:blipFill>
                    <a:blip r:embed="rId145"/>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85" w:name="ny20055082x771_def14a_106-directors_pg29"/>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lef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p>
      <w:pPr>
        <w:pStyle w:val="TextBody"/>
        <w:bidi w:val="0"/>
        <w:spacing w:before="12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cause severe reputational damage, executive management may determine that it is necessary to notify the Board or the Compliance and Risk Oversight Committee about such a cybersecurity incident immediately. Otherwise, the Compliance and Risk Oversight Committee receives reports from executive management on data security, cybersecurity, and information security-related matters on at least a quarterly basis, including with respect to related risks, risk management, risk reduction programs, and relevant legislative, regulatory, and technical developments. On a biannual basis, the Compliance and Risk Oversight Committee and chairs of each other Committee of the Board receive an information security update from the Company’s Chief Information Security Officer &amp; Head of Global Security, the Chief Compliance Officer, and the Chief Information Officer. The full Board receives a report on the respective quarterly discussions from the Chair of the Compliance and Risk Oversight Committee each quarter.</w:t>
      </w:r>
    </w:p>
    <w:p>
      <w:pPr>
        <w:pStyle w:val="TextBody"/>
        <w:bidi w:val="0"/>
        <w:spacing w:before="430" w:after="283"/>
        <w:ind w:left="1060" w:right="0" w:hanging="0"/>
        <w:jc w:val="left"/>
        <w:rPr>
          <w:rFonts w:ascii="Arial;Helvetica;sans-serif" w:hAnsi="Arial;Helvetica;sans-serif"/>
          <w:color w:val="72288A"/>
          <w:sz w:val="24"/>
        </w:rPr>
      </w:pPr>
      <w:bookmarkStart w:id="86" w:name="tROPRR"/>
      <w:bookmarkEnd w:id="86"/>
      <w:r>
        <w:rPr>
          <w:rFonts w:ascii="Arial;Helvetica;sans-serif" w:hAnsi="Arial;Helvetica;sans-serif"/>
          <w:color w:val="72288A"/>
          <w:sz w:val="24"/>
        </w:rPr>
        <w:t xml:space="preserve">Board Education and Director Orientation </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The Governance and Sustainability Committee is responsible for overseeing and reviewing quarterly Director continuing education programs, including educational seminars, presentations, conferences, and other programs or opportunities presented by external and internal resources, on matters that may relate to, among other topics: compensation, compliance, governance, board process, risk oversight, audit and accounting, regulatory and other current issues. Past trainings have included the Stanford Graduate School of Business Directors’ Consortium, the National Association of Corporate Directors' Summit, the Goldman Sachs Directors’ Symposium, and Deloitte’s Board Symposium, among others. The Company reimburses Directors for costs associated with any related seminars and conferences, including travel expenses. </w:t>
      </w:r>
    </w:p>
    <w:p>
      <w:pPr>
        <w:pStyle w:val="TextBody"/>
        <w:bidi w:val="0"/>
        <w:spacing w:before="240" w:after="283"/>
        <w:ind w:left="1060" w:right="0" w:hanging="0"/>
        <w:jc w:val="left"/>
        <w:rPr>
          <w:rFonts w:ascii="Arial;Helvetica;sans-serif" w:hAnsi="Arial;Helvetica;sans-serif"/>
          <w:color w:val="636466"/>
          <w:sz w:val="18"/>
        </w:rPr>
      </w:pPr>
      <w:bookmarkStart w:id="87" w:name="tTGA"/>
      <w:bookmarkEnd w:id="87"/>
      <w:r>
        <w:rPr>
          <w:rFonts w:ascii="Arial;Helvetica;sans-serif" w:hAnsi="Arial;Helvetica;sans-serif"/>
          <w:color w:val="636466"/>
          <w:sz w:val="18"/>
        </w:rPr>
        <w:t xml:space="preserve">The Governance and Sustainability Committee is also responsible for overseeing and annually reviewing the Company’s Director orientation program. The program is designed to familiarize new Directors with, among other matters, the Company’s business, operations, financial reporting, risk management, and executive officers. In addition, new Directors receive extensive onboarding materials which address topics including the Company’s strategy, policies, Director roles and responsibilities, corporate governance policies and procedures, and leadership structure. </w:t>
      </w:r>
    </w:p>
    <w:p>
      <w:pPr>
        <w:pStyle w:val="TextBody"/>
        <w:bidi w:val="0"/>
        <w:spacing w:before="420" w:after="283"/>
        <w:ind w:left="1060" w:right="0" w:hanging="0"/>
        <w:jc w:val="left"/>
        <w:rPr>
          <w:rFonts w:ascii="Arial;Helvetica;sans-serif" w:hAnsi="Arial;Helvetica;sans-serif"/>
          <w:color w:val="1F1C6B"/>
          <w:sz w:val="30"/>
        </w:rPr>
      </w:pPr>
      <w:bookmarkStart w:id="88" w:name="tHOD"/>
      <w:bookmarkEnd w:id="88"/>
      <w:r>
        <w:rPr>
          <w:rFonts w:ascii="Arial;Helvetica;sans-serif" w:hAnsi="Arial;Helvetica;sans-serif"/>
          <w:color w:val="1F1C6B"/>
          <w:sz w:val="30"/>
        </w:rPr>
        <w:t xml:space="preserve">How Our Directors Are Selected and Evaluated </w:t>
      </w:r>
    </w:p>
    <w:p>
      <w:pPr>
        <w:pStyle w:val="TextBody"/>
        <w:bidi w:val="0"/>
        <w:spacing w:before="240" w:after="283"/>
        <w:ind w:left="1060" w:right="0" w:hanging="0"/>
        <w:jc w:val="left"/>
        <w:rPr>
          <w:rFonts w:ascii="Arial;Helvetica;sans-serif" w:hAnsi="Arial;Helvetica;sans-serif"/>
          <w:color w:val="72288A"/>
          <w:sz w:val="24"/>
        </w:rPr>
      </w:pPr>
      <w:r>
        <w:rPr>
          <w:rFonts w:ascii="Arial;Helvetica;sans-serif" w:hAnsi="Arial;Helvetica;sans-serif"/>
          <w:color w:val="72288A"/>
          <w:sz w:val="24"/>
        </w:rPr>
        <w:t xml:space="preserve">Consideration of Director Nominees </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For purposes of identifying individuals qualified to become members of the Board, and consistent with the Company’s Corporate Governance Principles, the Governance and Sustainability Committee considers the following general criteria, among others, in nominating Director candidates. These criteria reflect the traits, abilities, and experience that the Board considers in determining candidates for election: </w:t>
      </w:r>
    </w:p>
    <w:tbl>
      <w:tblPr>
        <w:tblW w:w="5470" w:type="dxa"/>
        <w:jc w:val="left"/>
        <w:tblInd w:w="1060" w:type="dxa"/>
        <w:tblLayout w:type="fixed"/>
        <w:tblCellMar>
          <w:top w:w="0" w:type="dxa"/>
          <w:left w:w="0" w:type="dxa"/>
          <w:bottom w:w="0" w:type="dxa"/>
          <w:right w:w="0" w:type="dxa"/>
        </w:tblCellMar>
      </w:tblPr>
      <w:tblGrid>
        <w:gridCol w:w="140"/>
        <w:gridCol w:w="5330"/>
      </w:tblGrid>
      <w:tr>
        <w:trPr/>
        <w:tc>
          <w:tcPr>
            <w:tcW w:w="140" w:type="dxa"/>
            <w:tcBorders/>
            <w:vAlign w:val="center"/>
          </w:tcPr>
          <w:p>
            <w:pPr>
              <w:pStyle w:val="TableContents"/>
              <w:bidi w:val="0"/>
              <w:spacing w:before="0" w:after="0"/>
              <w:jc w:val="left"/>
              <w:rPr>
                <w:color w:val="636466"/>
              </w:rPr>
            </w:pPr>
            <w:r>
              <w:rPr>
                <w:color w:val="636466"/>
              </w:rPr>
              <w:t>•</w:t>
            </w:r>
          </w:p>
        </w:tc>
        <w:tc>
          <w:tcPr>
            <w:tcW w:w="5330"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Highest ethical character and shares the values of the Company </w:t>
            </w:r>
          </w:p>
        </w:tc>
      </w:tr>
    </w:tbl>
    <w:tbl>
      <w:tblPr>
        <w:tblW w:w="8905" w:type="dxa"/>
        <w:jc w:val="left"/>
        <w:tblInd w:w="1060" w:type="dxa"/>
        <w:tblLayout w:type="fixed"/>
        <w:tblCellMar>
          <w:top w:w="0" w:type="dxa"/>
          <w:left w:w="0" w:type="dxa"/>
          <w:bottom w:w="0" w:type="dxa"/>
          <w:right w:w="0" w:type="dxa"/>
        </w:tblCellMar>
      </w:tblPr>
      <w:tblGrid>
        <w:gridCol w:w="140"/>
        <w:gridCol w:w="8765"/>
      </w:tblGrid>
      <w:tr>
        <w:trPr/>
        <w:tc>
          <w:tcPr>
            <w:tcW w:w="140" w:type="dxa"/>
            <w:tcBorders/>
            <w:vAlign w:val="center"/>
          </w:tcPr>
          <w:p>
            <w:pPr>
              <w:pStyle w:val="TableContents"/>
              <w:bidi w:val="0"/>
              <w:spacing w:before="0" w:after="0"/>
              <w:jc w:val="left"/>
              <w:rPr>
                <w:color w:val="636466"/>
              </w:rPr>
            </w:pPr>
            <w:r>
              <w:rPr>
                <w:color w:val="636466"/>
              </w:rPr>
              <w:t>•</w:t>
            </w:r>
          </w:p>
        </w:tc>
        <w:tc>
          <w:tcPr>
            <w:tcW w:w="876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Personal and/or professional reputations that are consistent with the image and reputation of the Company </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Relevant expertise and experience and ability to offer advice and guidance to the CEO and senior management based on that expertise and experience </w:t>
            </w:r>
          </w:p>
        </w:tc>
      </w:tr>
    </w:tbl>
    <w:tbl>
      <w:tblPr>
        <w:tblW w:w="2395" w:type="dxa"/>
        <w:jc w:val="left"/>
        <w:tblInd w:w="1060" w:type="dxa"/>
        <w:tblLayout w:type="fixed"/>
        <w:tblCellMar>
          <w:top w:w="0" w:type="dxa"/>
          <w:left w:w="0" w:type="dxa"/>
          <w:bottom w:w="0" w:type="dxa"/>
          <w:right w:w="0" w:type="dxa"/>
        </w:tblCellMar>
      </w:tblPr>
      <w:tblGrid>
        <w:gridCol w:w="140"/>
        <w:gridCol w:w="2255"/>
      </w:tblGrid>
      <w:tr>
        <w:trPr/>
        <w:tc>
          <w:tcPr>
            <w:tcW w:w="140" w:type="dxa"/>
            <w:tcBorders/>
            <w:vAlign w:val="center"/>
          </w:tcPr>
          <w:p>
            <w:pPr>
              <w:pStyle w:val="TableContents"/>
              <w:bidi w:val="0"/>
              <w:spacing w:before="0" w:after="0"/>
              <w:jc w:val="left"/>
              <w:rPr>
                <w:color w:val="636466"/>
              </w:rPr>
            </w:pPr>
            <w:r>
              <w:rPr>
                <w:color w:val="636466"/>
              </w:rPr>
              <w:t>•</w:t>
            </w:r>
          </w:p>
        </w:tc>
        <w:tc>
          <w:tcPr>
            <w:tcW w:w="225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Sound business judgment </w:t>
            </w:r>
          </w:p>
        </w:tc>
      </w:tr>
    </w:tbl>
    <w:tbl>
      <w:tblPr>
        <w:tblW w:w="4165" w:type="dxa"/>
        <w:jc w:val="left"/>
        <w:tblInd w:w="1060" w:type="dxa"/>
        <w:tblLayout w:type="fixed"/>
        <w:tblCellMar>
          <w:top w:w="0" w:type="dxa"/>
          <w:left w:w="0" w:type="dxa"/>
          <w:bottom w:w="0" w:type="dxa"/>
          <w:right w:w="0" w:type="dxa"/>
        </w:tblCellMar>
      </w:tblPr>
      <w:tblGrid>
        <w:gridCol w:w="140"/>
        <w:gridCol w:w="4025"/>
      </w:tblGrid>
      <w:tr>
        <w:trPr/>
        <w:tc>
          <w:tcPr>
            <w:tcW w:w="140" w:type="dxa"/>
            <w:tcBorders/>
            <w:vAlign w:val="center"/>
          </w:tcPr>
          <w:p>
            <w:pPr>
              <w:pStyle w:val="TableContents"/>
              <w:bidi w:val="0"/>
              <w:spacing w:before="0" w:after="0"/>
              <w:jc w:val="left"/>
              <w:rPr>
                <w:color w:val="636466"/>
              </w:rPr>
            </w:pPr>
            <w:r>
              <w:rPr>
                <w:color w:val="636466"/>
              </w:rPr>
              <w:t>•</w:t>
            </w:r>
          </w:p>
        </w:tc>
        <w:tc>
          <w:tcPr>
            <w:tcW w:w="402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Diverse perspectives and personal backgrounds</w:t>
            </w:r>
          </w:p>
        </w:tc>
      </w:tr>
    </w:tbl>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In addition to the criteria set forth above, and any others the Governance and Sustainability Committee or Viatris’ Board may consider, a majority of the members of the Board must be “independent”, as that term may be defined from time to time by the applicable NASDAQ listing standards, including that an independent Director must be free of any relationships which, in the opinion of the Board, would interfere with the exercise of such Director’s independent judgment in carrying out the responsibilities of a Director.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As needed, the Governance and Sustainability Committee may identify new potential Director nominees by, among other means, requesting current Directors, executive officers, and external advisors to notify it if they become aware of persons meeting the criteria described above who would be suitable candidates for service on Viatris’ Board. The Committee also may, as needed, </w:t>
      </w:r>
    </w:p>
    <w:tbl>
      <w:tblPr>
        <w:tblW w:w="4980" w:type="dxa"/>
        <w:jc w:val="left"/>
        <w:tblInd w:w="106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34 | 2025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155"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36" descr=""/>
                          <pic:cNvPicPr>
                            <a:picLocks noChangeAspect="1" noChangeArrowheads="1"/>
                          </pic:cNvPicPr>
                        </pic:nvPicPr>
                        <pic:blipFill>
                          <a:blip r:embed="rId146"/>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156"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37" descr=""/>
                    <pic:cNvPicPr>
                      <a:picLocks noChangeAspect="1" noChangeArrowheads="1"/>
                    </pic:cNvPicPr>
                  </pic:nvPicPr>
                  <pic:blipFill>
                    <a:blip r:embed="rId147"/>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89" w:name="ny20055082x771_def14a_106-directors_pg30"/>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righ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p>
      <w:pPr>
        <w:pStyle w:val="TextBody"/>
        <w:bidi w:val="0"/>
        <w:spacing w:before="120" w:after="283"/>
        <w:ind w:left="1060" w:right="0" w:hanging="0"/>
        <w:jc w:val="left"/>
        <w:rPr/>
      </w:pPr>
      <w:r>
        <w:rPr>
          <w:rFonts w:ascii="Arial;Helvetica;sans-serif" w:hAnsi="Arial;Helvetica;sans-serif"/>
          <w:color w:val="636466"/>
          <w:sz w:val="18"/>
        </w:rPr>
        <w:t>engage one or more firms that specialize in identifying Director candidates. The Governance and Sustainability Committee also may consider candidates recommended by shareholders in accordance with the procedures outlined in the question titled, “How do I recommend a candidate for nomination to Viatris’ Board?” on page A-</w:t>
      </w:r>
      <w:hyperlink w:anchor="tHRC">
        <w:r>
          <w:rPr>
            <w:rStyle w:val="InternetLink"/>
            <w:rFonts w:ascii="Arial;Helvetica;sans-serif" w:hAnsi="Arial;Helvetica;sans-serif"/>
            <w:color w:val="000080"/>
            <w:sz w:val="18"/>
          </w:rPr>
          <w:t>7</w:t>
        </w:r>
      </w:hyperlink>
      <w:r>
        <w:rPr>
          <w:rFonts w:ascii="Arial;Helvetica;sans-serif" w:hAnsi="Arial;Helvetica;sans-serif"/>
          <w:color w:val="636466"/>
          <w:sz w:val="18"/>
        </w:rPr>
        <w:t xml:space="preserve">. The Committee’s evaluation process does not vary based on whether a candidate is recommended by a shareholder. </w:t>
      </w:r>
    </w:p>
    <w:p>
      <w:pPr>
        <w:pStyle w:val="TextBody"/>
        <w:bidi w:val="0"/>
        <w:spacing w:before="240" w:after="283"/>
        <w:ind w:left="1060" w:right="0" w:hanging="0"/>
        <w:jc w:val="left"/>
        <w:rPr>
          <w:rFonts w:ascii="Arial;Helvetica;sans-serif" w:hAnsi="Arial;Helvetica;sans-serif"/>
          <w:color w:val="636466"/>
          <w:sz w:val="18"/>
        </w:rPr>
      </w:pPr>
      <w:bookmarkStart w:id="90" w:name="tHOD1"/>
      <w:bookmarkEnd w:id="90"/>
      <w:r>
        <w:rPr>
          <w:rFonts w:ascii="Arial;Helvetica;sans-serif" w:hAnsi="Arial;Helvetica;sans-serif"/>
          <w:color w:val="636466"/>
          <w:sz w:val="18"/>
        </w:rPr>
        <w:t xml:space="preserve">As appropriate, the Governance and Sustainability Committee will review publicly available information regarding a potential candidate, request information from the candidate, review the candidate’s experience and qualifications, including in light of any other candidates the Governance and Sustainability Committee might be considering, and conduct, together with other members of Viatris’ Board, one or more interviews with the candidate. Governance and Sustainability Committee members or their designees also may contact one or more references provided by the candidate or may contact other members of the business community or persons who have first-hand knowledge of the candidate’s talents and experience. </w:t>
      </w:r>
    </w:p>
    <w:p>
      <w:pPr>
        <w:pStyle w:val="TextBody"/>
        <w:bidi w:val="0"/>
        <w:spacing w:before="420" w:after="283"/>
        <w:ind w:left="1060" w:right="0" w:hanging="0"/>
        <w:jc w:val="left"/>
        <w:rPr>
          <w:rFonts w:ascii="Arial;Helvetica;sans-serif" w:hAnsi="Arial;Helvetica;sans-serif"/>
          <w:color w:val="1F1C6B"/>
          <w:sz w:val="30"/>
        </w:rPr>
      </w:pPr>
      <w:bookmarkStart w:id="91" w:name="tCRA"/>
      <w:bookmarkEnd w:id="91"/>
      <w:r>
        <w:rPr>
          <w:rFonts w:ascii="Arial;Helvetica;sans-serif" w:hAnsi="Arial;Helvetica;sans-serif"/>
          <w:color w:val="1F1C6B"/>
          <w:sz w:val="30"/>
        </w:rPr>
        <w:t xml:space="preserve">Certain Relationships and Related Transactions </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Based on a review of any transactions between Viatris and its Directors, Director nominees and executive officers, their immediate family members, and their affiliated entities, Viatris has determined that since the beginning of 2024, it was or is to be a participant in the following transactions in which the amount involved exceeds $120,000 and in which any of Viatris’ Directors, executive officers, or greater than five percent shareholders, or any of their immediate family members, had or will have a direct or indirect material interest: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Mr. Malik, a Director and former executive officer of the Company, was party to an employment agreement with Mylan Inc., which contained standard indemnification provisions, and is currently party to a standard indemnification agreement with the Company. The Company has made payments to counsel to Mr. Malik of approximately $473,000 from January 1, 2024 through October 20, 2025 for services provided to Mr. Malik in connection with certain previously disclosed drug pricing matters. The Company anticipates making additional payments of approximately $183,000 in 2025 for ongoing services to be provided to Mr. Malik in connection with such matters. Viatris anticipates additional payment, repayment or advancement of these and other expenses during the pendency of these matters and anticipates that it will make payments for any such claims. In addition, in 2025, the Company made a payment to Mr. Malik equal to approximately $622,000, representing amounts relating to Company profit sharing contributions and his prior participation in the Company’s 401(k) Restoration Plan (the “Restoration Plan”). As previously disclosed, Mr. Malik advises the Company on certain operational matters given his expertise in historical Company operations. In connection with his retirement from the Board, the Board may consider a short-term extension to his advisory role to further assist in these matters on current terms, which provide for continued vesting in equity awards that Mr. Malik currently holds. If proposed by the Board, the Audit Committee will review and consider for approval this short-term extension in accordance with its related party transactions policy.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Viatris has a written related party transactions policy that establishes guidelines for the Audit Committee to review and approve or ratify, as appropriate, transactions involving any Director, nominee for Director, “officer” (as defined in Rule 16a-1(f) of the Securities Exchange Act of 1934, as amended (the “Exchange Act”)), person known by the Company to be the beneficial owner of more than 5% of any class of the Company’s voting securities, or person known by the Company to be an immediate family member of any such person in which (1) the amount involved will or may be expected to exceed $100,000; (2) Viatris or an affiliate of Viatris is or will be a participant; and (3) any related party has or will have a direct or indirect material interest. The Board also annually reviews certain relationships and related party transactions as part of its assessment of each Director’s independence. </w:t>
      </w:r>
    </w:p>
    <w:tbl>
      <w:tblPr>
        <w:tblW w:w="4980" w:type="dxa"/>
        <w:jc w:val="left"/>
        <w:tblInd w:w="106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157"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38" descr=""/>
                          <pic:cNvPicPr>
                            <a:picLocks noChangeAspect="1" noChangeArrowheads="1"/>
                          </pic:cNvPicPr>
                        </pic:nvPicPr>
                        <pic:blipFill>
                          <a:blip r:embed="rId148"/>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Statement | 35</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158"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39" descr=""/>
                    <pic:cNvPicPr>
                      <a:picLocks noChangeAspect="1" noChangeArrowheads="1"/>
                    </pic:cNvPicPr>
                  </pic:nvPicPr>
                  <pic:blipFill>
                    <a:blip r:embed="rId149"/>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92" w:name="ny20055082x771_def14a_106-directors_pg31"/>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lef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p>
      <w:pPr>
        <w:pStyle w:val="TextBody"/>
        <w:bidi w:val="0"/>
        <w:spacing w:before="200" w:after="283"/>
        <w:ind w:left="1060" w:right="0" w:hanging="0"/>
        <w:jc w:val="left"/>
        <w:rPr>
          <w:rFonts w:ascii="Arial;Helvetica;sans-serif" w:hAnsi="Arial;Helvetica;sans-serif"/>
          <w:color w:val="1F1C6B"/>
          <w:sz w:val="30"/>
        </w:rPr>
      </w:pPr>
      <w:bookmarkStart w:id="93" w:name="tHNE"/>
      <w:bookmarkEnd w:id="93"/>
      <w:r>
        <w:rPr>
          <w:rFonts w:ascii="Arial;Helvetica;sans-serif" w:hAnsi="Arial;Helvetica;sans-serif"/>
          <w:color w:val="1F1C6B"/>
          <w:sz w:val="30"/>
        </w:rPr>
        <w:t>How Non-Employee Directors Are Compensated</w:t>
      </w:r>
    </w:p>
    <w:p>
      <w:pPr>
        <w:pStyle w:val="TextBody"/>
        <w:bidi w:val="0"/>
        <w:spacing w:before="250" w:after="283"/>
        <w:ind w:left="1060" w:right="0" w:hanging="0"/>
        <w:jc w:val="left"/>
        <w:rPr>
          <w:rFonts w:ascii="Arial;Helvetica;sans-serif" w:hAnsi="Arial;Helvetica;sans-serif"/>
          <w:color w:val="72288A"/>
          <w:sz w:val="24"/>
        </w:rPr>
      </w:pPr>
      <w:r>
        <w:rPr>
          <w:rFonts w:ascii="Arial;Helvetica;sans-serif" w:hAnsi="Arial;Helvetica;sans-serif"/>
          <w:color w:val="72288A"/>
          <w:sz w:val="24"/>
        </w:rPr>
        <w:t>Non-Employee Director Compensation for 2024</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The following table sets forth information concerning the compensation earned by Viatris’ non-employee Directors (each a “Non-Employee Director” and, together, the “Non-Employee Directors”) for 2024. Directors who are or were concurrently employees of Viatris (Messrs. Smith and Malik) received no compensation for their concurrent Board service. A discussion of the elements of Non-Employee Director compensation follows the table.</w:t>
      </w:r>
    </w:p>
    <w:tbl>
      <w:tblPr>
        <w:tblW w:w="7050" w:type="dxa"/>
        <w:jc w:val="left"/>
        <w:tblInd w:w="1060" w:type="dxa"/>
        <w:tblLayout w:type="fixed"/>
        <w:tblCellMar>
          <w:top w:w="0" w:type="dxa"/>
          <w:left w:w="0" w:type="dxa"/>
          <w:bottom w:w="0" w:type="dxa"/>
          <w:right w:w="0" w:type="dxa"/>
        </w:tblCellMar>
      </w:tblPr>
      <w:tblGrid>
        <w:gridCol w:w="185"/>
        <w:gridCol w:w="1685"/>
        <w:gridCol w:w="170"/>
        <w:gridCol w:w="170"/>
        <w:gridCol w:w="1070"/>
        <w:gridCol w:w="170"/>
        <w:gridCol w:w="170"/>
        <w:gridCol w:w="635"/>
        <w:gridCol w:w="170"/>
        <w:gridCol w:w="170"/>
        <w:gridCol w:w="1265"/>
        <w:gridCol w:w="170"/>
        <w:gridCol w:w="170"/>
        <w:gridCol w:w="635"/>
        <w:gridCol w:w="215"/>
      </w:tblGrid>
      <w:tr>
        <w:trPr/>
        <w:tc>
          <w:tcPr>
            <w:tcW w:w="185" w:type="dxa"/>
            <w:tcBorders/>
            <w:shd w:fill="1F1C6B" w:val="clear"/>
            <w:vAlign w:val="center"/>
          </w:tcPr>
          <w:p>
            <w:pPr>
              <w:pStyle w:val="TableContents"/>
              <w:bidi w:val="0"/>
              <w:spacing w:before="0" w:after="0"/>
              <w:jc w:val="left"/>
              <w:rPr/>
            </w:pPr>
            <w:r>
              <w:rPr/>
              <w:t> </w:t>
            </w:r>
          </w:p>
        </w:tc>
        <w:tc>
          <w:tcPr>
            <w:tcW w:w="168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3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26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35"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1685"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7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Fees Earned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or Paid in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Cash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3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RSUs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2</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26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All Other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3</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3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Total</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W. Don Cornwell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76" w:right="0" w:hanging="0"/>
              <w:jc w:val="left"/>
              <w:rPr>
                <w:rFonts w:ascii="Arial;Helvetica;sans-serif" w:hAnsi="Arial;Helvetica;sans-serif"/>
                <w:color w:val="636466"/>
                <w:sz w:val="16"/>
              </w:rPr>
            </w:pPr>
            <w:r>
              <w:rPr>
                <w:rFonts w:ascii="Arial;Helvetica;sans-serif" w:hAnsi="Arial;Helvetica;sans-serif"/>
                <w:color w:val="636466"/>
                <w:sz w:val="16"/>
              </w:rPr>
              <w:t>150,000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225,001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16" w:right="0" w:hanging="0"/>
              <w:jc w:val="left"/>
              <w:rPr>
                <w:rFonts w:ascii="Arial;Helvetica;sans-serif" w:hAnsi="Arial;Helvetica;sans-serif"/>
                <w:color w:val="636466"/>
                <w:sz w:val="16"/>
              </w:rPr>
            </w:pPr>
            <w:r>
              <w:rPr>
                <w:rFonts w:ascii="Arial;Helvetica;sans-serif" w:hAnsi="Arial;Helvetica;sans-serif"/>
                <w:color w:val="636466"/>
                <w:sz w:val="16"/>
              </w:rPr>
              <w:t>20,000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395,001</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685"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JoEllen Lyons Dillon</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70" w:type="dxa"/>
            <w:tcBorders/>
            <w:shd w:fill="E7E0EF" w:val="clear"/>
            <w:vAlign w:val="center"/>
          </w:tcPr>
          <w:p>
            <w:pPr>
              <w:pStyle w:val="TableContents"/>
              <w:bidi w:val="0"/>
              <w:spacing w:before="0" w:after="283"/>
              <w:ind w:left="176" w:right="0" w:hanging="0"/>
              <w:jc w:val="left"/>
              <w:rPr>
                <w:rFonts w:ascii="Arial;Helvetica;sans-serif" w:hAnsi="Arial;Helvetica;sans-serif"/>
                <w:color w:val="636466"/>
                <w:sz w:val="16"/>
              </w:rPr>
            </w:pPr>
            <w:r>
              <w:rPr>
                <w:rFonts w:ascii="Arial;Helvetica;sans-serif" w:hAnsi="Arial;Helvetica;sans-serif"/>
                <w:color w:val="636466"/>
                <w:sz w:val="16"/>
              </w:rPr>
              <w:t>200,000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225,001</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265" w:type="dxa"/>
            <w:tcBorders/>
            <w:shd w:fill="E7E0EF" w:val="clear"/>
            <w:vAlign w:val="center"/>
          </w:tcPr>
          <w:p>
            <w:pPr>
              <w:pStyle w:val="TableContents"/>
              <w:bidi w:val="0"/>
              <w:spacing w:before="0" w:after="283"/>
              <w:ind w:left="316" w:right="0" w:hanging="0"/>
              <w:jc w:val="left"/>
              <w:rPr>
                <w:color w:val="636466"/>
              </w:rPr>
            </w:pPr>
            <w:r>
              <w:rPr>
                <w:color w:val="636466"/>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425,001</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Elisha Finney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76" w:right="0" w:hanging="0"/>
              <w:jc w:val="left"/>
              <w:rPr>
                <w:rFonts w:ascii="Arial;Helvetica;sans-serif" w:hAnsi="Arial;Helvetica;sans-serif"/>
                <w:color w:val="636466"/>
                <w:sz w:val="16"/>
              </w:rPr>
            </w:pPr>
            <w:r>
              <w:rPr>
                <w:rFonts w:ascii="Arial;Helvetica;sans-serif" w:hAnsi="Arial;Helvetica;sans-serif"/>
                <w:color w:val="636466"/>
                <w:sz w:val="16"/>
              </w:rPr>
              <w:t>150,000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225,001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16" w:right="0" w:hanging="0"/>
              <w:jc w:val="left"/>
              <w:rPr>
                <w:rFonts w:ascii="Arial;Helvetica;sans-serif" w:hAnsi="Arial;Helvetica;sans-serif"/>
                <w:color w:val="636466"/>
                <w:sz w:val="16"/>
              </w:rPr>
            </w:pPr>
            <w:r>
              <w:rPr>
                <w:rFonts w:ascii="Arial;Helvetica;sans-serif" w:hAnsi="Arial;Helvetica;sans-serif"/>
                <w:color w:val="636466"/>
                <w:sz w:val="16"/>
              </w:rPr>
              <w:t>20,000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395,001</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685"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Leo Groothuis</w:t>
            </w:r>
            <w:r>
              <w:rPr>
                <w:rFonts w:ascii="Arial;Helvetica;sans-serif" w:hAnsi="Arial;Helvetica;sans-serif"/>
                <w:color w:val="636466"/>
                <w:position w:val="5"/>
                <w:sz w:val="13"/>
                <w:sz w:val="16"/>
              </w:rPr>
              <w:t>1</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70" w:type="dxa"/>
            <w:tcBorders/>
            <w:shd w:fill="E7E0EF" w:val="clear"/>
            <w:vAlign w:val="center"/>
          </w:tcPr>
          <w:p>
            <w:pPr>
              <w:pStyle w:val="TableContents"/>
              <w:bidi w:val="0"/>
              <w:spacing w:before="0" w:after="283"/>
              <w:ind w:left="176" w:right="0" w:hanging="0"/>
              <w:jc w:val="left"/>
              <w:rPr>
                <w:rFonts w:ascii="Arial;Helvetica;sans-serif" w:hAnsi="Arial;Helvetica;sans-serif"/>
                <w:color w:val="636466"/>
                <w:sz w:val="16"/>
              </w:rPr>
            </w:pPr>
            <w:r>
              <w:rPr>
                <w:rFonts w:ascii="Arial;Helvetica;sans-serif" w:hAnsi="Arial;Helvetica;sans-serif"/>
                <w:color w:val="636466"/>
                <w:sz w:val="16"/>
              </w:rPr>
              <w:t>175,000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225,001</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265" w:type="dxa"/>
            <w:tcBorders/>
            <w:shd w:fill="E7E0EF" w:val="clear"/>
            <w:vAlign w:val="center"/>
          </w:tcPr>
          <w:p>
            <w:pPr>
              <w:pStyle w:val="TableContents"/>
              <w:bidi w:val="0"/>
              <w:spacing w:before="0" w:after="283"/>
              <w:ind w:left="316" w:right="0" w:hanging="0"/>
              <w:jc w:val="left"/>
              <w:rPr>
                <w:color w:val="636466"/>
              </w:rPr>
            </w:pPr>
            <w:r>
              <w:rPr>
                <w:color w:val="636466"/>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400,001</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Melina Higgins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76" w:right="0" w:hanging="0"/>
              <w:jc w:val="left"/>
              <w:rPr>
                <w:rFonts w:ascii="Arial;Helvetica;sans-serif" w:hAnsi="Arial;Helvetica;sans-serif"/>
                <w:color w:val="636466"/>
                <w:sz w:val="16"/>
              </w:rPr>
            </w:pPr>
            <w:r>
              <w:rPr>
                <w:rFonts w:ascii="Arial;Helvetica;sans-serif" w:hAnsi="Arial;Helvetica;sans-serif"/>
                <w:color w:val="636466"/>
                <w:sz w:val="16"/>
              </w:rPr>
              <w:t>425,000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225,001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16" w:right="0" w:hanging="0"/>
              <w:jc w:val="left"/>
              <w:rPr>
                <w:rFonts w:ascii="Arial;Helvetica;sans-serif" w:hAnsi="Arial;Helvetica;sans-serif"/>
                <w:color w:val="636466"/>
                <w:sz w:val="16"/>
              </w:rPr>
            </w:pPr>
            <w:r>
              <w:rPr>
                <w:rFonts w:ascii="Arial;Helvetica;sans-serif" w:hAnsi="Arial;Helvetica;sans-serif"/>
                <w:color w:val="636466"/>
                <w:sz w:val="16"/>
              </w:rPr>
              <w:t>20,000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670,001</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685"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James M. Kilts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70" w:type="dxa"/>
            <w:tcBorders/>
            <w:shd w:fill="E7E0EF" w:val="clear"/>
            <w:vAlign w:val="center"/>
          </w:tcPr>
          <w:p>
            <w:pPr>
              <w:pStyle w:val="TableContents"/>
              <w:bidi w:val="0"/>
              <w:spacing w:before="0" w:after="283"/>
              <w:ind w:left="176" w:right="0" w:hanging="0"/>
              <w:jc w:val="left"/>
              <w:rPr>
                <w:rFonts w:ascii="Arial;Helvetica;sans-serif" w:hAnsi="Arial;Helvetica;sans-serif"/>
                <w:color w:val="636466"/>
                <w:sz w:val="16"/>
              </w:rPr>
            </w:pPr>
            <w:r>
              <w:rPr>
                <w:rFonts w:ascii="Arial;Helvetica;sans-serif" w:hAnsi="Arial;Helvetica;sans-serif"/>
                <w:color w:val="636466"/>
                <w:sz w:val="16"/>
              </w:rPr>
              <w:t>150,000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225,001</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265" w:type="dxa"/>
            <w:tcBorders/>
            <w:shd w:fill="E7E0EF" w:val="clear"/>
            <w:vAlign w:val="center"/>
          </w:tcPr>
          <w:p>
            <w:pPr>
              <w:pStyle w:val="TableContents"/>
              <w:bidi w:val="0"/>
              <w:spacing w:before="0" w:after="283"/>
              <w:ind w:left="316" w:right="0" w:hanging="0"/>
              <w:jc w:val="left"/>
              <w:rPr>
                <w:rFonts w:ascii="Arial;Helvetica;sans-serif" w:hAnsi="Arial;Helvetica;sans-serif"/>
                <w:color w:val="636466"/>
                <w:sz w:val="16"/>
              </w:rPr>
            </w:pPr>
            <w:r>
              <w:rPr>
                <w:rFonts w:ascii="Arial;Helvetica;sans-serif" w:hAnsi="Arial;Helvetica;sans-serif"/>
                <w:color w:val="636466"/>
                <w:sz w:val="16"/>
              </w:rPr>
              <w:t>20,000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395,001</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Harry Korman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76" w:right="0" w:hanging="0"/>
              <w:jc w:val="left"/>
              <w:rPr>
                <w:rFonts w:ascii="Arial;Helvetica;sans-serif" w:hAnsi="Arial;Helvetica;sans-serif"/>
                <w:color w:val="636466"/>
                <w:sz w:val="16"/>
              </w:rPr>
            </w:pPr>
            <w:r>
              <w:rPr>
                <w:rFonts w:ascii="Arial;Helvetica;sans-serif" w:hAnsi="Arial;Helvetica;sans-serif"/>
                <w:color w:val="636466"/>
                <w:sz w:val="16"/>
              </w:rPr>
              <w:t>175,000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225,001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16" w:right="0" w:hanging="0"/>
              <w:jc w:val="left"/>
              <w:rPr>
                <w:color w:val="636466"/>
              </w:rPr>
            </w:pPr>
            <w:r>
              <w:rPr>
                <w:color w:val="63646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400,001</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685"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Rajiv Malik</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70" w:type="dxa"/>
            <w:tcBorders/>
            <w:shd w:fill="E7E0EF" w:val="clear"/>
            <w:vAlign w:val="center"/>
          </w:tcPr>
          <w:p>
            <w:pPr>
              <w:pStyle w:val="TableContents"/>
              <w:bidi w:val="0"/>
              <w:spacing w:before="0" w:after="283"/>
              <w:ind w:left="176" w:right="0" w:hanging="0"/>
              <w:jc w:val="left"/>
              <w:rPr>
                <w:rFonts w:ascii="Arial;Helvetica;sans-serif" w:hAnsi="Arial;Helvetica;sans-serif"/>
                <w:color w:val="636466"/>
                <w:sz w:val="16"/>
              </w:rPr>
            </w:pPr>
            <w:r>
              <w:rPr>
                <w:rFonts w:ascii="Arial;Helvetica;sans-serif" w:hAnsi="Arial;Helvetica;sans-serif"/>
                <w:color w:val="636466"/>
                <w:sz w:val="16"/>
              </w:rPr>
              <w:t>128,005</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225,009</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265" w:type="dxa"/>
            <w:tcBorders/>
            <w:shd w:fill="E7E0EF" w:val="clear"/>
            <w:vAlign w:val="center"/>
          </w:tcPr>
          <w:p>
            <w:pPr>
              <w:pStyle w:val="TableContents"/>
              <w:bidi w:val="0"/>
              <w:spacing w:before="0" w:after="283"/>
              <w:ind w:left="316" w:right="0" w:hanging="0"/>
              <w:jc w:val="left"/>
              <w:rPr>
                <w:rFonts w:ascii="Arial;Helvetica;sans-serif" w:hAnsi="Arial;Helvetica;sans-serif"/>
                <w:color w:val="636466"/>
                <w:sz w:val="16"/>
              </w:rPr>
            </w:pPr>
            <w:r>
              <w:rPr>
                <w:rFonts w:ascii="Arial;Helvetica;sans-serif" w:hAnsi="Arial;Helvetica;sans-serif"/>
                <w:color w:val="636466"/>
                <w:sz w:val="16"/>
              </w:rPr>
              <w:t>22,773</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375,787</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Richard Mark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76" w:right="0" w:hanging="0"/>
              <w:jc w:val="left"/>
              <w:rPr>
                <w:rFonts w:ascii="Arial;Helvetica;sans-serif" w:hAnsi="Arial;Helvetica;sans-serif"/>
                <w:color w:val="636466"/>
                <w:sz w:val="16"/>
              </w:rPr>
            </w:pPr>
            <w:r>
              <w:rPr>
                <w:rFonts w:ascii="Arial;Helvetica;sans-serif" w:hAnsi="Arial;Helvetica;sans-serif"/>
                <w:color w:val="636466"/>
                <w:sz w:val="16"/>
              </w:rPr>
              <w:t>200,000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225,001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16" w:right="0" w:hanging="0"/>
              <w:jc w:val="left"/>
              <w:rPr>
                <w:rFonts w:ascii="Arial;Helvetica;sans-serif" w:hAnsi="Arial;Helvetica;sans-serif"/>
                <w:color w:val="636466"/>
                <w:sz w:val="16"/>
              </w:rPr>
            </w:pPr>
            <w:r>
              <w:rPr>
                <w:rFonts w:ascii="Arial;Helvetica;sans-serif" w:hAnsi="Arial;Helvetica;sans-serif"/>
                <w:color w:val="636466"/>
                <w:sz w:val="16"/>
              </w:rPr>
              <w:t>20,000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445,001</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685"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Mark Parrish</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70" w:type="dxa"/>
            <w:tcBorders/>
            <w:shd w:fill="E7E0EF" w:val="clear"/>
            <w:vAlign w:val="center"/>
          </w:tcPr>
          <w:p>
            <w:pPr>
              <w:pStyle w:val="TableContents"/>
              <w:bidi w:val="0"/>
              <w:spacing w:before="0" w:after="283"/>
              <w:ind w:left="176" w:right="0" w:hanging="0"/>
              <w:jc w:val="left"/>
              <w:rPr>
                <w:rFonts w:ascii="Arial;Helvetica;sans-serif" w:hAnsi="Arial;Helvetica;sans-serif"/>
                <w:color w:val="636466"/>
                <w:sz w:val="16"/>
              </w:rPr>
            </w:pPr>
            <w:r>
              <w:rPr>
                <w:rFonts w:ascii="Arial;Helvetica;sans-serif" w:hAnsi="Arial;Helvetica;sans-serif"/>
                <w:color w:val="636466"/>
                <w:sz w:val="16"/>
              </w:rPr>
              <w:t>250,000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225,001</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265" w:type="dxa"/>
            <w:tcBorders/>
            <w:shd w:fill="E7E0EF" w:val="clear"/>
            <w:vAlign w:val="center"/>
          </w:tcPr>
          <w:p>
            <w:pPr>
              <w:pStyle w:val="TableContents"/>
              <w:bidi w:val="0"/>
              <w:spacing w:before="0" w:after="283"/>
              <w:ind w:left="316" w:right="0" w:hanging="0"/>
              <w:jc w:val="left"/>
              <w:rPr>
                <w:color w:val="636466"/>
              </w:rPr>
            </w:pPr>
            <w:r>
              <w:rPr>
                <w:color w:val="636466"/>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475,001</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Rogério Vivaldi Coelho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76" w:right="0" w:hanging="0"/>
              <w:jc w:val="left"/>
              <w:rPr>
                <w:rFonts w:ascii="Arial;Helvetica;sans-serif" w:hAnsi="Arial;Helvetica;sans-serif"/>
                <w:color w:val="636466"/>
                <w:sz w:val="16"/>
              </w:rPr>
            </w:pPr>
            <w:r>
              <w:rPr>
                <w:rFonts w:ascii="Arial;Helvetica;sans-serif" w:hAnsi="Arial;Helvetica;sans-serif"/>
                <w:color w:val="636466"/>
                <w:sz w:val="16"/>
              </w:rPr>
              <w:t>86,475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225,005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16" w:right="0" w:hanging="0"/>
              <w:jc w:val="left"/>
              <w:rPr>
                <w:color w:val="636466"/>
              </w:rPr>
            </w:pPr>
            <w:r>
              <w:rPr>
                <w:color w:val="63646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311,480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1</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Fees earned by Mr. Groothuis were paid in Euros. Such amounts were converted into Euros using the monthly conversion rate in effect when each payment was made.</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2</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Represents the grant date fair value of the specific award granted to the Non-Employee Director. Restricted stock unit (“RSU”) awards granted in 2024 vested on March 4, 2025. For information regarding assumptions used in determining the amounts reflected in the table above, please refer to Note 13 to the Company’s Consolidated Financial Statements contained in the Company’s Annual Report on Form 10-K for the year ended December 31, 2024 (“Form 10-K”). The number of unvested RSUs held by each of the Non-Employee Directors, as of December 31, 2024, were as follows: Mr. Cornwell, 18,977; Ms. Dillon, 18,977; Ms. Finney, 18,977; Mr. Groothuis, 18,977; Ms. Higgins,18,977; Mr. Kilts, 18,977; Mr. Korman, 18,977; Mr. Malik, 1,309,759; Mr. Mark, 18,977; Mr. Parrish, 18,977; and Dr. Vivaldi, 21,690. Amounts include all accrued and unvested whole share DEUs that vest only to the extent and at the same time the underlying award on which they are issued vest. The aggregate number of shares subject to stock options held by the Non-Employee Directors, as of December 31, 2024, were as follows: Ms. Dillon, 21,806; Ms. Higgins, 21,806; Mr. Korman, 13,949; Mr. Malik, 373,903; Mr. Mark, 12,260; and Mr. Parrish, 21,806.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3</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The amounts represent charitable contributions made in 2024 under our matching gift program. For Mr. Malik, the amount represents the value of residual company car benefit (including insurance and ancillary expenses) relating to prior service. </w:t>
            </w:r>
          </w:p>
        </w:tc>
      </w:tr>
    </w:tbl>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Viatris’ compensation philosophy for Non-Employee Directors is designed to attract and retain Non-Employee Directors with the experience necessary to represent the Company and oversee executive management. On an annual basis, the Compensation Committee considers market data for our peer group and input received from the Compensation Committee’s independent compensation consultant regarding market practices for Director compensation. Any changes to Non-Employee Director compensation are approved by the Compensation Committee and the independent Directors.</w:t>
      </w:r>
    </w:p>
    <w:tbl>
      <w:tblPr>
        <w:tblW w:w="4980" w:type="dxa"/>
        <w:jc w:val="left"/>
        <w:tblInd w:w="106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36 | 2025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159"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40" descr=""/>
                          <pic:cNvPicPr>
                            <a:picLocks noChangeAspect="1" noChangeArrowheads="1"/>
                          </pic:cNvPicPr>
                        </pic:nvPicPr>
                        <pic:blipFill>
                          <a:blip r:embed="rId150"/>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160"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41" descr=""/>
                    <pic:cNvPicPr>
                      <a:picLocks noChangeAspect="1" noChangeArrowheads="1"/>
                    </pic:cNvPicPr>
                  </pic:nvPicPr>
                  <pic:blipFill>
                    <a:blip r:embed="rId151"/>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94" w:name="ny20055082x771_def14a_106-directors_pg32"/>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righ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p>
      <w:pPr>
        <w:pStyle w:val="TextBody"/>
        <w:bidi w:val="0"/>
        <w:spacing w:before="160" w:after="283"/>
        <w:ind w:left="1060" w:right="0" w:hanging="0"/>
        <w:jc w:val="left"/>
        <w:rPr>
          <w:rFonts w:ascii="Arial;Helvetica;sans-serif" w:hAnsi="Arial;Helvetica;sans-serif"/>
          <w:color w:val="72288A"/>
          <w:sz w:val="24"/>
        </w:rPr>
      </w:pPr>
      <w:r>
        <w:rPr>
          <w:rFonts w:ascii="Arial;Helvetica;sans-serif" w:hAnsi="Arial;Helvetica;sans-serif"/>
          <w:color w:val="72288A"/>
          <w:sz w:val="24"/>
        </w:rPr>
        <w:t>Director Compensation Structure for 2025</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The Compensation Committee and the independent Directors approved the following Non-Employee Director compensation effective for 2025, unchanged from 2024: </w:t>
      </w:r>
    </w:p>
    <w:tbl>
      <w:tblPr>
        <w:tblW w:w="4830" w:type="dxa"/>
        <w:jc w:val="left"/>
        <w:tblInd w:w="1060" w:type="dxa"/>
        <w:tblLayout w:type="fixed"/>
        <w:tblCellMar>
          <w:top w:w="0" w:type="dxa"/>
          <w:left w:w="0" w:type="dxa"/>
          <w:bottom w:w="0" w:type="dxa"/>
          <w:right w:w="0" w:type="dxa"/>
        </w:tblCellMar>
      </w:tblPr>
      <w:tblGrid>
        <w:gridCol w:w="185"/>
        <w:gridCol w:w="3365"/>
        <w:gridCol w:w="170"/>
        <w:gridCol w:w="170"/>
        <w:gridCol w:w="725"/>
        <w:gridCol w:w="215"/>
      </w:tblGrid>
      <w:tr>
        <w:trPr/>
        <w:tc>
          <w:tcPr>
            <w:tcW w:w="185" w:type="dxa"/>
            <w:tcBorders/>
            <w:shd w:fill="1F1C6B" w:val="clear"/>
            <w:vAlign w:val="center"/>
          </w:tcPr>
          <w:p>
            <w:pPr>
              <w:pStyle w:val="TableContents"/>
              <w:bidi w:val="0"/>
              <w:spacing w:before="0" w:after="0"/>
              <w:jc w:val="left"/>
              <w:rPr/>
            </w:pPr>
            <w:r>
              <w:rPr/>
              <w:t> </w:t>
            </w:r>
          </w:p>
        </w:tc>
        <w:tc>
          <w:tcPr>
            <w:tcW w:w="336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25"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3365"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Elements of Compensation</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25" w:type="dxa"/>
            <w:tcBorders/>
            <w:shd w:fill="1F1C6B"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Amount</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65"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Board Member Retainer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$150,000</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3365"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Chair of the Board of Directors Compensation</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2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$225,000</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65"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Vice Chair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$50,000</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3365"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Committee Chair Fee</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2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$25,000</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65"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Executive Committee Member Fee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$25,000</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3365"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Annual Equity Grant Value (RSUs)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2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$225,000</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336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2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p>
      <w:pPr>
        <w:pStyle w:val="TextBody"/>
        <w:bidi w:val="0"/>
        <w:spacing w:before="32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Non-Employee Directors are also eligible to receive matching charitable contributions under the Company’s Director Matching Gift Program. Under this program, to the extent Non-Employee Directors choose to make charitable contributions to qualifying charitable organizations, the Company matches those contributions dollar-for-dollar up to an annual limit of $20,000 per person per calendar year.</w:t>
      </w:r>
    </w:p>
    <w:p>
      <w:pPr>
        <w:pStyle w:val="TextBody"/>
        <w:bidi w:val="0"/>
        <w:spacing w:before="420" w:after="283"/>
        <w:ind w:left="1060" w:right="0" w:hanging="0"/>
        <w:jc w:val="left"/>
        <w:rPr>
          <w:rFonts w:ascii="Arial;Helvetica;sans-serif" w:hAnsi="Arial;Helvetica;sans-serif"/>
          <w:color w:val="1F1C6B"/>
          <w:sz w:val="30"/>
        </w:rPr>
      </w:pPr>
      <w:r>
        <w:rPr>
          <w:rFonts w:ascii="Arial;Helvetica;sans-serif" w:hAnsi="Arial;Helvetica;sans-serif"/>
          <w:color w:val="1F1C6B"/>
          <w:sz w:val="30"/>
        </w:rPr>
        <w:t>Non-Employee Director Share Ownership Guidelines</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Effective January 1, 2021, the Board adopted revised share ownership guidelines for Non-Employee Directors, requiring each to hold common stock valued at five times the amount of their annual cash retainer, excluding any cash retainer paid for committee service. Each Non-Employee Director has five years from his or her start date to attain compliance. These guidelines further demonstrate alignment of Viatris Non-Employee Directors’ interests with shareholders’ interests for the duration of their Board service. Common stock actually owned by the Non-Employee Director as well as restricted shares and unvested RSUs (including corresponding DEUs) count toward compliance with these requirements. </w:t>
      </w:r>
    </w:p>
    <w:tbl>
      <w:tblPr>
        <w:tblW w:w="4980" w:type="dxa"/>
        <w:jc w:val="left"/>
        <w:tblInd w:w="106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161"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42" descr=""/>
                          <pic:cNvPicPr>
                            <a:picLocks noChangeAspect="1" noChangeArrowheads="1"/>
                          </pic:cNvPicPr>
                        </pic:nvPicPr>
                        <pic:blipFill>
                          <a:blip r:embed="rId152"/>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Statement | 37</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162"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43" descr=""/>
                    <pic:cNvPicPr>
                      <a:picLocks noChangeAspect="1" noChangeArrowheads="1"/>
                    </pic:cNvPicPr>
                  </pic:nvPicPr>
                  <pic:blipFill>
                    <a:blip r:embed="rId153"/>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95" w:name="ny20055082x771_def14a_107-security_pg1"/>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1060" w:right="0" w:hanging="0"/>
        <w:jc w:val="left"/>
        <w:rPr>
          <w:color w:val="000000"/>
        </w:rPr>
      </w:pPr>
      <w:r>
        <w:rPr>
          <w:color w:val="000000"/>
        </w:rPr>
        <w:drawing>
          <wp:inline distT="0" distB="0" distL="0" distR="0">
            <wp:extent cx="685800" cy="190500"/>
            <wp:effectExtent l="0" t="0" r="0" b="0"/>
            <wp:docPr id="163"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44" descr=""/>
                    <pic:cNvPicPr>
                      <a:picLocks noChangeAspect="1" noChangeArrowheads="1"/>
                    </pic:cNvPicPr>
                  </pic:nvPicPr>
                  <pic:blipFill>
                    <a:blip r:embed="rId154"/>
                    <a:stretch>
                      <a:fillRect/>
                    </a:stretch>
                  </pic:blipFill>
                  <pic:spPr bwMode="auto">
                    <a:xfrm>
                      <a:off x="0" y="0"/>
                      <a:ext cx="685800" cy="190500"/>
                    </a:xfrm>
                    <a:prstGeom prst="rect">
                      <a:avLst/>
                    </a:prstGeom>
                  </pic:spPr>
                </pic:pic>
              </a:graphicData>
            </a:graphic>
          </wp:inline>
        </w:drawing>
      </w:r>
    </w:p>
    <w:p>
      <w:pPr>
        <w:pStyle w:val="TextBody"/>
        <w:bidi w:val="0"/>
        <w:spacing w:before="295" w:after="283"/>
        <w:ind w:left="1060" w:right="0" w:hanging="0"/>
        <w:jc w:val="left"/>
        <w:rPr>
          <w:rFonts w:ascii="Arial;Helvetica;sans-serif" w:hAnsi="Arial;Helvetica;sans-serif"/>
          <w:color w:val="1F1C6B"/>
          <w:sz w:val="44"/>
        </w:rPr>
      </w:pPr>
      <w:bookmarkStart w:id="96" w:name="tSO"/>
      <w:bookmarkEnd w:id="96"/>
      <w:r>
        <w:rPr>
          <w:rFonts w:ascii="Arial;Helvetica;sans-serif" w:hAnsi="Arial;Helvetica;sans-serif"/>
          <w:color w:val="1F1C6B"/>
          <w:sz w:val="44"/>
        </w:rPr>
        <w:t xml:space="preserve">Security Ownership </w:t>
      </w:r>
    </w:p>
    <w:p>
      <w:pPr>
        <w:pStyle w:val="TextBody"/>
        <w:bidi w:val="0"/>
        <w:spacing w:before="240" w:after="283"/>
        <w:ind w:left="1060" w:right="0" w:hanging="0"/>
        <w:jc w:val="left"/>
        <w:rPr>
          <w:rFonts w:ascii="Arial;Helvetica;sans-serif" w:hAnsi="Arial;Helvetica;sans-serif"/>
          <w:color w:val="1F1C6B"/>
          <w:sz w:val="30"/>
        </w:rPr>
      </w:pPr>
      <w:bookmarkStart w:id="97" w:name="tSOO"/>
      <w:bookmarkEnd w:id="97"/>
      <w:r>
        <w:rPr>
          <w:rFonts w:ascii="Arial;Helvetica;sans-serif" w:hAnsi="Arial;Helvetica;sans-serif"/>
          <w:color w:val="1F1C6B"/>
          <w:sz w:val="30"/>
        </w:rPr>
        <w:t xml:space="preserve">Security Ownership of Directors, Nominees, NEOs, and Executive Officers </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The following table sets forth information regarding the beneficial ownership of common stock of Viatris Inc. as of October 20, 2025 by (i) each Viatris Director and Director nominee, (ii) each named executive officer (“NEO”), and (iii) all Directors and executive officers of Viatris Inc. as a group (based on 1,154,467,256 shares of common stock of Viatris Inc. outstanding as of such date). For purposes of this table, and in accordance with the rules of the SEC, shares are considered “beneficially owned” if the person, directly or indirectly, has sole or shared voting or investment power over such shares. A person also is considered to beneficially own shares that he or she has the right to acquire within 60 days of October 20, 2025. To Viatris’ knowledge, the persons in the following table have sole voting and investment power, either directly or through one or more entities controlled by such person, with respect to all the shares shown as beneficially owned by them, unless otherwise indicated in the footnotes below. The address for each beneficial owner listed in the table below is c/o Viatris Inc., 1000 Mylan Boulevard, Canonsburg, PA, 15317. As noted above, each Non-Employee Director has five years from their start date to attain compliance with our Share Ownership Guidelines. In addition, each of our covered employees has five years to achieve minimum ownership requirements, as discussed in more detail in the Compensation Discussion &amp; Analysis (“CD&amp;A”) section of this document. </w:t>
      </w:r>
    </w:p>
    <w:tbl>
      <w:tblPr>
        <w:tblW w:w="9060" w:type="dxa"/>
        <w:jc w:val="left"/>
        <w:tblInd w:w="1060" w:type="dxa"/>
        <w:tblLayout w:type="fixed"/>
        <w:tblCellMar>
          <w:top w:w="0" w:type="dxa"/>
          <w:left w:w="0" w:type="dxa"/>
          <w:bottom w:w="0" w:type="dxa"/>
          <w:right w:w="0" w:type="dxa"/>
        </w:tblCellMar>
      </w:tblPr>
      <w:tblGrid>
        <w:gridCol w:w="185"/>
        <w:gridCol w:w="4520"/>
        <w:gridCol w:w="170"/>
        <w:gridCol w:w="170"/>
        <w:gridCol w:w="1085"/>
        <w:gridCol w:w="170"/>
        <w:gridCol w:w="170"/>
        <w:gridCol w:w="1340"/>
        <w:gridCol w:w="170"/>
        <w:gridCol w:w="170"/>
        <w:gridCol w:w="695"/>
        <w:gridCol w:w="215"/>
      </w:tblGrid>
      <w:tr>
        <w:trPr/>
        <w:tc>
          <w:tcPr>
            <w:tcW w:w="185" w:type="dxa"/>
            <w:tcBorders/>
            <w:shd w:fill="1F1C6B" w:val="clear"/>
            <w:vAlign w:val="center"/>
          </w:tcPr>
          <w:p>
            <w:pPr>
              <w:pStyle w:val="TableContents"/>
              <w:bidi w:val="0"/>
              <w:spacing w:before="0" w:after="0"/>
              <w:jc w:val="left"/>
              <w:rPr/>
            </w:pPr>
            <w:r>
              <w:rPr/>
              <w:t> </w:t>
            </w:r>
          </w:p>
        </w:tc>
        <w:tc>
          <w:tcPr>
            <w:tcW w:w="452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8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34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95"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4520"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 of Beneficial Owner</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85" w:type="dxa"/>
            <w:tcBorders/>
            <w:shd w:fill="1F1C6B"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Amount and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Nature of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Beneficial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Ownership</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340" w:type="dxa"/>
            <w:tcBorders/>
            <w:shd w:fill="1F1C6B"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Options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Exercisable and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Restricted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Shares Vesting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within 60 days</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95" w:type="dxa"/>
            <w:tcBorders/>
            <w:shd w:fill="1F1C6B"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Percent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of Class</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Paul Campbell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5" w:right="0" w:hanging="0"/>
              <w:jc w:val="left"/>
              <w:rPr>
                <w:rFonts w:ascii="Arial;Helvetica;sans-serif" w:hAnsi="Arial;Helvetica;sans-serif"/>
                <w:color w:val="636466"/>
                <w:sz w:val="16"/>
              </w:rPr>
            </w:pPr>
            <w:r>
              <w:rPr>
                <w:rFonts w:ascii="Arial;Helvetica;sans-serif" w:hAnsi="Arial;Helvetica;sans-serif"/>
                <w:color w:val="636466"/>
                <w:sz w:val="16"/>
              </w:rPr>
              <w:t>254,458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310" w:right="0" w:hanging="0"/>
              <w:jc w:val="left"/>
              <w:rPr>
                <w:rFonts w:ascii="Arial;Helvetica;sans-serif" w:hAnsi="Arial;Helvetica;sans-serif"/>
                <w:color w:val="636466"/>
                <w:sz w:val="16"/>
              </w:rPr>
            </w:pPr>
            <w:r>
              <w:rPr>
                <w:rFonts w:ascii="Arial;Helvetica;sans-serif" w:hAnsi="Arial;Helvetica;sans-serif"/>
                <w:color w:val="636466"/>
                <w:sz w:val="16"/>
              </w:rPr>
              <w:t>36,723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297" w:right="0" w:hanging="0"/>
              <w:jc w:val="left"/>
              <w:rPr>
                <w:rFonts w:ascii="Arial;Helvetica;sans-serif" w:hAnsi="Arial;Helvetica;sans-serif"/>
                <w:color w:val="636466"/>
                <w:sz w:val="16"/>
              </w:rPr>
            </w:pPr>
            <w:r>
              <w:rPr>
                <w:rFonts w:ascii="Arial;Helvetica;sans-serif" w:hAnsi="Arial;Helvetica;sans-serif"/>
                <w:color w:val="636466"/>
                <w:sz w:val="16"/>
              </w:rPr>
              <w:t>*</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520"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 xml:space="preserve">W. Don Cornwell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85" w:type="dxa"/>
            <w:tcBorders/>
            <w:shd w:fill="E7E0EF" w:val="clear"/>
            <w:vAlign w:val="center"/>
          </w:tcPr>
          <w:p>
            <w:pPr>
              <w:pStyle w:val="TableContents"/>
              <w:bidi w:val="0"/>
              <w:spacing w:before="0" w:after="283"/>
              <w:ind w:left="125" w:right="0" w:hanging="0"/>
              <w:jc w:val="left"/>
              <w:rPr>
                <w:rFonts w:ascii="Arial;Helvetica;sans-serif" w:hAnsi="Arial;Helvetica;sans-serif"/>
                <w:color w:val="636466"/>
                <w:sz w:val="16"/>
              </w:rPr>
            </w:pPr>
            <w:r>
              <w:rPr>
                <w:rFonts w:ascii="Arial;Helvetica;sans-serif" w:hAnsi="Arial;Helvetica;sans-serif"/>
                <w:color w:val="636466"/>
                <w:sz w:val="16"/>
              </w:rPr>
              <w:t>80,342</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340" w:type="dxa"/>
            <w:tcBorders/>
            <w:shd w:fill="E7E0EF" w:val="clear"/>
            <w:vAlign w:val="center"/>
          </w:tcPr>
          <w:p>
            <w:pPr>
              <w:pStyle w:val="TableContents"/>
              <w:bidi w:val="0"/>
              <w:spacing w:before="0" w:after="283"/>
              <w:ind w:left="310" w:right="0" w:hanging="0"/>
              <w:jc w:val="left"/>
              <w:rPr>
                <w:color w:val="636466"/>
              </w:rPr>
            </w:pPr>
            <w:r>
              <w:rPr>
                <w:color w:val="636466"/>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95" w:type="dxa"/>
            <w:tcBorders/>
            <w:shd w:fill="E7E0EF" w:val="clear"/>
            <w:vAlign w:val="center"/>
          </w:tcPr>
          <w:p>
            <w:pPr>
              <w:pStyle w:val="TableContents"/>
              <w:bidi w:val="0"/>
              <w:spacing w:before="0" w:after="283"/>
              <w:ind w:left="297" w:right="0" w:hanging="0"/>
              <w:jc w:val="left"/>
              <w:rPr>
                <w:rFonts w:ascii="Arial;Helvetica;sans-serif" w:hAnsi="Arial;Helvetica;sans-serif"/>
                <w:color w:val="636466"/>
                <w:sz w:val="16"/>
              </w:rPr>
            </w:pPr>
            <w:r>
              <w:rPr>
                <w:rFonts w:ascii="Arial;Helvetica;sans-serif" w:hAnsi="Arial;Helvetica;sans-serif"/>
                <w:color w:val="636466"/>
                <w:sz w:val="16"/>
              </w:rPr>
              <w:t>*</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Frank D'Amelio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5" w:right="0" w:hanging="0"/>
              <w:jc w:val="left"/>
              <w:rPr>
                <w:color w:val="636466"/>
              </w:rPr>
            </w:pPr>
            <w:r>
              <w:rPr>
                <w:color w:val="63646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310" w:right="0" w:hanging="0"/>
              <w:jc w:val="left"/>
              <w:rPr>
                <w:color w:val="636466"/>
              </w:rPr>
            </w:pPr>
            <w:r>
              <w:rPr>
                <w:color w:val="63646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297" w:right="0" w:hanging="0"/>
              <w:jc w:val="left"/>
              <w:rPr>
                <w:rFonts w:ascii="Arial;Helvetica;sans-serif" w:hAnsi="Arial;Helvetica;sans-serif"/>
                <w:color w:val="636466"/>
                <w:sz w:val="16"/>
              </w:rPr>
            </w:pPr>
            <w:r>
              <w:rPr>
                <w:rFonts w:ascii="Arial;Helvetica;sans-serif" w:hAnsi="Arial;Helvetica;sans-serif"/>
                <w:color w:val="636466"/>
                <w:sz w:val="16"/>
              </w:rPr>
              <w:t>*</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520"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JoEllen Lyons Dillon</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85" w:type="dxa"/>
            <w:tcBorders/>
            <w:shd w:fill="E7E0EF" w:val="clear"/>
            <w:vAlign w:val="center"/>
          </w:tcPr>
          <w:p>
            <w:pPr>
              <w:pStyle w:val="TableContents"/>
              <w:bidi w:val="0"/>
              <w:spacing w:before="0" w:after="283"/>
              <w:ind w:left="125" w:right="0" w:hanging="0"/>
              <w:jc w:val="left"/>
              <w:rPr>
                <w:rFonts w:ascii="Arial;Helvetica;sans-serif" w:hAnsi="Arial;Helvetica;sans-serif"/>
                <w:color w:val="636466"/>
                <w:sz w:val="16"/>
              </w:rPr>
            </w:pPr>
            <w:r>
              <w:rPr>
                <w:rFonts w:ascii="Arial;Helvetica;sans-serif" w:hAnsi="Arial;Helvetica;sans-serif"/>
                <w:color w:val="636466"/>
                <w:sz w:val="16"/>
              </w:rPr>
              <w:t>77,709</w:t>
            </w:r>
            <w:r>
              <w:rPr>
                <w:rFonts w:ascii="Arial;Helvetica;sans-serif" w:hAnsi="Arial;Helvetica;sans-serif"/>
                <w:color w:val="636466"/>
                <w:position w:val="5"/>
                <w:sz w:val="13"/>
                <w:sz w:val="16"/>
              </w:rPr>
              <w:t>1</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340" w:type="dxa"/>
            <w:tcBorders/>
            <w:shd w:fill="E7E0EF" w:val="clear"/>
            <w:vAlign w:val="center"/>
          </w:tcPr>
          <w:p>
            <w:pPr>
              <w:pStyle w:val="TableContents"/>
              <w:bidi w:val="0"/>
              <w:spacing w:before="0" w:after="283"/>
              <w:ind w:left="310" w:right="0" w:hanging="0"/>
              <w:jc w:val="left"/>
              <w:rPr>
                <w:rFonts w:ascii="Arial;Helvetica;sans-serif" w:hAnsi="Arial;Helvetica;sans-serif"/>
                <w:color w:val="636466"/>
                <w:sz w:val="16"/>
              </w:rPr>
            </w:pPr>
            <w:r>
              <w:rPr>
                <w:rFonts w:ascii="Arial;Helvetica;sans-serif" w:hAnsi="Arial;Helvetica;sans-serif"/>
                <w:color w:val="636466"/>
                <w:sz w:val="16"/>
              </w:rPr>
              <w:t>21,806</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95" w:type="dxa"/>
            <w:tcBorders/>
            <w:shd w:fill="E7E0EF" w:val="clear"/>
            <w:vAlign w:val="center"/>
          </w:tcPr>
          <w:p>
            <w:pPr>
              <w:pStyle w:val="TableContents"/>
              <w:bidi w:val="0"/>
              <w:spacing w:before="0" w:after="283"/>
              <w:ind w:left="297" w:right="0" w:hanging="0"/>
              <w:jc w:val="left"/>
              <w:rPr>
                <w:rFonts w:ascii="Arial;Helvetica;sans-serif" w:hAnsi="Arial;Helvetica;sans-serif"/>
                <w:color w:val="636466"/>
                <w:sz w:val="16"/>
              </w:rPr>
            </w:pPr>
            <w:r>
              <w:rPr>
                <w:rFonts w:ascii="Arial;Helvetica;sans-serif" w:hAnsi="Arial;Helvetica;sans-serif"/>
                <w:color w:val="636466"/>
                <w:sz w:val="16"/>
              </w:rPr>
              <w:t>*</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Elisha Finney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5" w:right="0" w:hanging="0"/>
              <w:jc w:val="left"/>
              <w:rPr>
                <w:rFonts w:ascii="Arial;Helvetica;sans-serif" w:hAnsi="Arial;Helvetica;sans-serif"/>
                <w:color w:val="636466"/>
                <w:sz w:val="16"/>
              </w:rPr>
            </w:pPr>
            <w:r>
              <w:rPr>
                <w:rFonts w:ascii="Arial;Helvetica;sans-serif" w:hAnsi="Arial;Helvetica;sans-serif"/>
                <w:color w:val="636466"/>
                <w:sz w:val="16"/>
              </w:rPr>
              <w:t>37,832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310" w:right="0" w:hanging="0"/>
              <w:jc w:val="left"/>
              <w:rPr>
                <w:color w:val="636466"/>
              </w:rPr>
            </w:pPr>
            <w:r>
              <w:rPr>
                <w:color w:val="63646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297" w:right="0" w:hanging="0"/>
              <w:jc w:val="left"/>
              <w:rPr>
                <w:rFonts w:ascii="Arial;Helvetica;sans-serif" w:hAnsi="Arial;Helvetica;sans-serif"/>
                <w:color w:val="636466"/>
                <w:sz w:val="16"/>
              </w:rPr>
            </w:pPr>
            <w:r>
              <w:rPr>
                <w:rFonts w:ascii="Arial;Helvetica;sans-serif" w:hAnsi="Arial;Helvetica;sans-serif"/>
                <w:color w:val="636466"/>
                <w:sz w:val="16"/>
              </w:rPr>
              <w:t>*</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520"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Leo Groothuis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85" w:type="dxa"/>
            <w:tcBorders/>
            <w:shd w:fill="E7E0EF" w:val="clear"/>
            <w:vAlign w:val="center"/>
          </w:tcPr>
          <w:p>
            <w:pPr>
              <w:pStyle w:val="TableContents"/>
              <w:bidi w:val="0"/>
              <w:spacing w:before="0" w:after="283"/>
              <w:ind w:left="125" w:right="0" w:hanging="0"/>
              <w:jc w:val="left"/>
              <w:rPr>
                <w:rFonts w:ascii="Arial;Helvetica;sans-serif" w:hAnsi="Arial;Helvetica;sans-serif"/>
                <w:color w:val="636466"/>
                <w:sz w:val="16"/>
              </w:rPr>
            </w:pPr>
            <w:r>
              <w:rPr>
                <w:rFonts w:ascii="Arial;Helvetica;sans-serif" w:hAnsi="Arial;Helvetica;sans-serif"/>
                <w:color w:val="636466"/>
                <w:sz w:val="16"/>
              </w:rPr>
              <w:t>39,907</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340" w:type="dxa"/>
            <w:tcBorders/>
            <w:shd w:fill="E7E0EF" w:val="clear"/>
            <w:vAlign w:val="center"/>
          </w:tcPr>
          <w:p>
            <w:pPr>
              <w:pStyle w:val="TableContents"/>
              <w:bidi w:val="0"/>
              <w:spacing w:before="0" w:after="283"/>
              <w:ind w:left="310" w:right="0" w:hanging="0"/>
              <w:jc w:val="left"/>
              <w:rPr>
                <w:color w:val="636466"/>
              </w:rPr>
            </w:pPr>
            <w:r>
              <w:rPr>
                <w:color w:val="636466"/>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95" w:type="dxa"/>
            <w:tcBorders/>
            <w:shd w:fill="E7E0EF" w:val="clear"/>
            <w:vAlign w:val="center"/>
          </w:tcPr>
          <w:p>
            <w:pPr>
              <w:pStyle w:val="TableContents"/>
              <w:bidi w:val="0"/>
              <w:spacing w:before="0" w:after="283"/>
              <w:ind w:left="297" w:right="0" w:hanging="0"/>
              <w:jc w:val="left"/>
              <w:rPr>
                <w:rFonts w:ascii="Arial;Helvetica;sans-serif" w:hAnsi="Arial;Helvetica;sans-serif"/>
                <w:color w:val="636466"/>
                <w:sz w:val="16"/>
              </w:rPr>
            </w:pPr>
            <w:r>
              <w:rPr>
                <w:rFonts w:ascii="Arial;Helvetica;sans-serif" w:hAnsi="Arial;Helvetica;sans-serif"/>
                <w:color w:val="636466"/>
                <w:sz w:val="16"/>
              </w:rPr>
              <w:t>*</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Melina Higgins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5" w:right="0" w:hanging="0"/>
              <w:jc w:val="left"/>
              <w:rPr>
                <w:rFonts w:ascii="Arial;Helvetica;sans-serif" w:hAnsi="Arial;Helvetica;sans-serif"/>
                <w:color w:val="636466"/>
                <w:sz w:val="16"/>
              </w:rPr>
            </w:pPr>
            <w:r>
              <w:rPr>
                <w:rFonts w:ascii="Arial;Helvetica;sans-serif" w:hAnsi="Arial;Helvetica;sans-serif"/>
                <w:color w:val="636466"/>
                <w:sz w:val="16"/>
              </w:rPr>
              <w:t>195,213</w:t>
            </w:r>
            <w:r>
              <w:rPr>
                <w:rFonts w:ascii="Arial;Helvetica;sans-serif" w:hAnsi="Arial;Helvetica;sans-serif"/>
                <w:color w:val="636466"/>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310" w:right="0" w:hanging="0"/>
              <w:jc w:val="left"/>
              <w:rPr>
                <w:rFonts w:ascii="Arial;Helvetica;sans-serif" w:hAnsi="Arial;Helvetica;sans-serif"/>
                <w:color w:val="636466"/>
                <w:sz w:val="16"/>
              </w:rPr>
            </w:pPr>
            <w:r>
              <w:rPr>
                <w:rFonts w:ascii="Arial;Helvetica;sans-serif" w:hAnsi="Arial;Helvetica;sans-serif"/>
                <w:color w:val="636466"/>
                <w:sz w:val="16"/>
              </w:rPr>
              <w:t>21,806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297" w:right="0" w:hanging="0"/>
              <w:jc w:val="left"/>
              <w:rPr>
                <w:rFonts w:ascii="Arial;Helvetica;sans-serif" w:hAnsi="Arial;Helvetica;sans-serif"/>
                <w:color w:val="636466"/>
                <w:sz w:val="16"/>
              </w:rPr>
            </w:pPr>
            <w:r>
              <w:rPr>
                <w:rFonts w:ascii="Arial;Helvetica;sans-serif" w:hAnsi="Arial;Helvetica;sans-serif"/>
                <w:color w:val="636466"/>
                <w:sz w:val="16"/>
              </w:rPr>
              <w:t>*</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520"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James M. Kilts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85" w:type="dxa"/>
            <w:tcBorders/>
            <w:shd w:fill="E7E0EF" w:val="clear"/>
            <w:vAlign w:val="center"/>
          </w:tcPr>
          <w:p>
            <w:pPr>
              <w:pStyle w:val="TableContents"/>
              <w:bidi w:val="0"/>
              <w:spacing w:before="0" w:after="283"/>
              <w:ind w:left="125" w:right="0" w:hanging="0"/>
              <w:jc w:val="left"/>
              <w:rPr>
                <w:rFonts w:ascii="Arial;Helvetica;sans-serif" w:hAnsi="Arial;Helvetica;sans-serif"/>
                <w:color w:val="636466"/>
                <w:sz w:val="16"/>
              </w:rPr>
            </w:pPr>
            <w:r>
              <w:rPr>
                <w:rFonts w:ascii="Arial;Helvetica;sans-serif" w:hAnsi="Arial;Helvetica;sans-serif"/>
                <w:color w:val="636466"/>
                <w:sz w:val="16"/>
              </w:rPr>
              <w:t>136,422</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340" w:type="dxa"/>
            <w:tcBorders/>
            <w:shd w:fill="E7E0EF" w:val="clear"/>
            <w:vAlign w:val="center"/>
          </w:tcPr>
          <w:p>
            <w:pPr>
              <w:pStyle w:val="TableContents"/>
              <w:bidi w:val="0"/>
              <w:spacing w:before="0" w:after="283"/>
              <w:ind w:left="310" w:right="0" w:hanging="0"/>
              <w:jc w:val="left"/>
              <w:rPr>
                <w:color w:val="636466"/>
              </w:rPr>
            </w:pPr>
            <w:r>
              <w:rPr>
                <w:color w:val="636466"/>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95" w:type="dxa"/>
            <w:tcBorders/>
            <w:shd w:fill="E7E0EF" w:val="clear"/>
            <w:vAlign w:val="center"/>
          </w:tcPr>
          <w:p>
            <w:pPr>
              <w:pStyle w:val="TableContents"/>
              <w:bidi w:val="0"/>
              <w:spacing w:before="0" w:after="283"/>
              <w:ind w:left="297" w:right="0" w:hanging="0"/>
              <w:jc w:val="left"/>
              <w:rPr>
                <w:rFonts w:ascii="Arial;Helvetica;sans-serif" w:hAnsi="Arial;Helvetica;sans-serif"/>
                <w:color w:val="636466"/>
                <w:sz w:val="16"/>
              </w:rPr>
            </w:pPr>
            <w:r>
              <w:rPr>
                <w:rFonts w:ascii="Arial;Helvetica;sans-serif" w:hAnsi="Arial;Helvetica;sans-serif"/>
                <w:color w:val="636466"/>
                <w:sz w:val="16"/>
              </w:rPr>
              <w:t>*</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Harry Korman</w:t>
            </w:r>
            <w:r>
              <w:rPr>
                <w:rFonts w:ascii="Arial;Helvetica;sans-serif" w:hAnsi="Arial;Helvetica;sans-serif"/>
                <w:color w:val="636466"/>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5" w:right="0" w:hanging="0"/>
              <w:jc w:val="left"/>
              <w:rPr>
                <w:rFonts w:ascii="Arial;Helvetica;sans-serif" w:hAnsi="Arial;Helvetica;sans-serif"/>
                <w:color w:val="636466"/>
                <w:sz w:val="16"/>
              </w:rPr>
            </w:pPr>
            <w:r>
              <w:rPr>
                <w:rFonts w:ascii="Arial;Helvetica;sans-serif" w:hAnsi="Arial;Helvetica;sans-serif"/>
                <w:color w:val="636466"/>
                <w:sz w:val="16"/>
              </w:rPr>
              <w:t>113,937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310" w:right="0" w:hanging="0"/>
              <w:jc w:val="left"/>
              <w:rPr>
                <w:rFonts w:ascii="Arial;Helvetica;sans-serif" w:hAnsi="Arial;Helvetica;sans-serif"/>
                <w:color w:val="636466"/>
                <w:sz w:val="16"/>
              </w:rPr>
            </w:pPr>
            <w:r>
              <w:rPr>
                <w:rFonts w:ascii="Arial;Helvetica;sans-serif" w:hAnsi="Arial;Helvetica;sans-serif"/>
                <w:color w:val="636466"/>
                <w:sz w:val="16"/>
              </w:rPr>
              <w:t>13,949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297" w:right="0" w:hanging="0"/>
              <w:jc w:val="left"/>
              <w:rPr>
                <w:rFonts w:ascii="Arial;Helvetica;sans-serif" w:hAnsi="Arial;Helvetica;sans-serif"/>
                <w:color w:val="636466"/>
                <w:sz w:val="16"/>
              </w:rPr>
            </w:pPr>
            <w:r>
              <w:rPr>
                <w:rFonts w:ascii="Arial;Helvetica;sans-serif" w:hAnsi="Arial;Helvetica;sans-serif"/>
                <w:color w:val="636466"/>
                <w:sz w:val="16"/>
              </w:rPr>
              <w:t>*</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520"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Corinne Le Goff</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85" w:type="dxa"/>
            <w:tcBorders/>
            <w:shd w:fill="E7E0EF" w:val="clear"/>
            <w:vAlign w:val="center"/>
          </w:tcPr>
          <w:p>
            <w:pPr>
              <w:pStyle w:val="TableContents"/>
              <w:bidi w:val="0"/>
              <w:spacing w:before="0" w:after="283"/>
              <w:ind w:left="125" w:right="0" w:hanging="0"/>
              <w:jc w:val="left"/>
              <w:rPr>
                <w:rFonts w:ascii="Arial;Helvetica;sans-serif" w:hAnsi="Arial;Helvetica;sans-serif"/>
                <w:color w:val="636466"/>
                <w:sz w:val="16"/>
              </w:rPr>
            </w:pPr>
            <w:r>
              <w:rPr>
                <w:rFonts w:ascii="Arial;Helvetica;sans-serif" w:hAnsi="Arial;Helvetica;sans-serif"/>
                <w:color w:val="636466"/>
                <w:sz w:val="16"/>
              </w:rPr>
              <w:t>35,299</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340" w:type="dxa"/>
            <w:tcBorders/>
            <w:shd w:fill="E7E0EF" w:val="clear"/>
            <w:vAlign w:val="center"/>
          </w:tcPr>
          <w:p>
            <w:pPr>
              <w:pStyle w:val="TableContents"/>
              <w:bidi w:val="0"/>
              <w:spacing w:before="0" w:after="283"/>
              <w:ind w:left="310" w:right="0" w:hanging="0"/>
              <w:jc w:val="left"/>
              <w:rPr>
                <w:color w:val="636466"/>
              </w:rPr>
            </w:pPr>
            <w:r>
              <w:rPr>
                <w:color w:val="636466"/>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95" w:type="dxa"/>
            <w:tcBorders/>
            <w:shd w:fill="E7E0EF" w:val="clear"/>
            <w:vAlign w:val="center"/>
          </w:tcPr>
          <w:p>
            <w:pPr>
              <w:pStyle w:val="TableContents"/>
              <w:bidi w:val="0"/>
              <w:spacing w:before="0" w:after="283"/>
              <w:ind w:left="297" w:right="0" w:hanging="0"/>
              <w:jc w:val="left"/>
              <w:rPr>
                <w:rFonts w:ascii="Arial;Helvetica;sans-serif" w:hAnsi="Arial;Helvetica;sans-serif"/>
                <w:color w:val="636466"/>
                <w:sz w:val="16"/>
              </w:rPr>
            </w:pPr>
            <w:r>
              <w:rPr>
                <w:rFonts w:ascii="Arial;Helvetica;sans-serif" w:hAnsi="Arial;Helvetica;sans-serif"/>
                <w:color w:val="636466"/>
                <w:sz w:val="16"/>
              </w:rPr>
              <w:t>*</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Rajiv Malik</w:t>
            </w:r>
            <w:r>
              <w:rPr>
                <w:rFonts w:ascii="Arial;Helvetica;sans-serif" w:hAnsi="Arial;Helvetica;sans-serif"/>
                <w:color w:val="636466"/>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5" w:right="0" w:hanging="0"/>
              <w:jc w:val="left"/>
              <w:rPr>
                <w:rFonts w:ascii="Arial;Helvetica;sans-serif" w:hAnsi="Arial;Helvetica;sans-serif"/>
                <w:color w:val="636466"/>
                <w:sz w:val="16"/>
              </w:rPr>
            </w:pPr>
            <w:r>
              <w:rPr>
                <w:rFonts w:ascii="Arial;Helvetica;sans-serif" w:hAnsi="Arial;Helvetica;sans-serif"/>
                <w:color w:val="636466"/>
                <w:sz w:val="16"/>
              </w:rPr>
              <w:t>1,068,262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310" w:right="0" w:hanging="0"/>
              <w:jc w:val="left"/>
              <w:rPr>
                <w:rFonts w:ascii="Arial;Helvetica;sans-serif" w:hAnsi="Arial;Helvetica;sans-serif"/>
                <w:color w:val="636466"/>
                <w:sz w:val="16"/>
              </w:rPr>
            </w:pPr>
            <w:r>
              <w:rPr>
                <w:rFonts w:ascii="Arial;Helvetica;sans-serif" w:hAnsi="Arial;Helvetica;sans-serif"/>
                <w:color w:val="636466"/>
                <w:sz w:val="16"/>
              </w:rPr>
              <w:t>373,903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297" w:right="0" w:hanging="0"/>
              <w:jc w:val="left"/>
              <w:rPr>
                <w:rFonts w:ascii="Arial;Helvetica;sans-serif" w:hAnsi="Arial;Helvetica;sans-serif"/>
                <w:color w:val="636466"/>
                <w:sz w:val="16"/>
              </w:rPr>
            </w:pPr>
            <w:r>
              <w:rPr>
                <w:rFonts w:ascii="Arial;Helvetica;sans-serif" w:hAnsi="Arial;Helvetica;sans-serif"/>
                <w:color w:val="636466"/>
                <w:sz w:val="16"/>
              </w:rPr>
              <w:t>*</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520"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Richard Mark</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85" w:type="dxa"/>
            <w:tcBorders/>
            <w:shd w:fill="E7E0EF" w:val="clear"/>
            <w:vAlign w:val="center"/>
          </w:tcPr>
          <w:p>
            <w:pPr>
              <w:pStyle w:val="TableContents"/>
              <w:bidi w:val="0"/>
              <w:spacing w:before="0" w:after="283"/>
              <w:ind w:left="125" w:right="0" w:hanging="0"/>
              <w:jc w:val="left"/>
              <w:rPr>
                <w:rFonts w:ascii="Arial;Helvetica;sans-serif" w:hAnsi="Arial;Helvetica;sans-serif"/>
                <w:color w:val="636466"/>
                <w:sz w:val="16"/>
              </w:rPr>
            </w:pPr>
            <w:r>
              <w:rPr>
                <w:rFonts w:ascii="Arial;Helvetica;sans-serif" w:hAnsi="Arial;Helvetica;sans-serif"/>
                <w:color w:val="636466"/>
                <w:sz w:val="16"/>
              </w:rPr>
              <w:t>91,310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340" w:type="dxa"/>
            <w:tcBorders/>
            <w:shd w:fill="E7E0EF" w:val="clear"/>
            <w:vAlign w:val="center"/>
          </w:tcPr>
          <w:p>
            <w:pPr>
              <w:pStyle w:val="TableContents"/>
              <w:bidi w:val="0"/>
              <w:spacing w:before="0" w:after="283"/>
              <w:ind w:left="310" w:right="0" w:hanging="0"/>
              <w:jc w:val="left"/>
              <w:rPr>
                <w:rFonts w:ascii="Arial;Helvetica;sans-serif" w:hAnsi="Arial;Helvetica;sans-serif"/>
                <w:color w:val="636466"/>
                <w:sz w:val="16"/>
              </w:rPr>
            </w:pPr>
            <w:r>
              <w:rPr>
                <w:rFonts w:ascii="Arial;Helvetica;sans-serif" w:hAnsi="Arial;Helvetica;sans-serif"/>
                <w:color w:val="636466"/>
                <w:sz w:val="16"/>
              </w:rPr>
              <w:t>12,260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95" w:type="dxa"/>
            <w:tcBorders/>
            <w:shd w:fill="E7E0EF" w:val="clear"/>
            <w:vAlign w:val="center"/>
          </w:tcPr>
          <w:p>
            <w:pPr>
              <w:pStyle w:val="TableContents"/>
              <w:bidi w:val="0"/>
              <w:spacing w:before="0" w:after="283"/>
              <w:ind w:left="297" w:right="0" w:hanging="0"/>
              <w:jc w:val="left"/>
              <w:rPr>
                <w:rFonts w:ascii="Arial;Helvetica;sans-serif" w:hAnsi="Arial;Helvetica;sans-serif"/>
                <w:color w:val="636466"/>
                <w:sz w:val="16"/>
              </w:rPr>
            </w:pPr>
            <w:r>
              <w:rPr>
                <w:rFonts w:ascii="Arial;Helvetica;sans-serif" w:hAnsi="Arial;Helvetica;sans-serif"/>
                <w:color w:val="636466"/>
                <w:sz w:val="16"/>
              </w:rPr>
              <w:t>*</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Doretta Mistras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5" w:right="0" w:hanging="0"/>
              <w:jc w:val="left"/>
              <w:rPr>
                <w:rFonts w:ascii="Arial;Helvetica;sans-serif" w:hAnsi="Arial;Helvetica;sans-serif"/>
                <w:color w:val="636466"/>
                <w:sz w:val="16"/>
              </w:rPr>
            </w:pPr>
            <w:r>
              <w:rPr>
                <w:rFonts w:ascii="Arial;Helvetica;sans-serif" w:hAnsi="Arial;Helvetica;sans-serif"/>
                <w:color w:val="636466"/>
                <w:sz w:val="16"/>
              </w:rPr>
              <w:t>25,180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310" w:right="0" w:hanging="0"/>
              <w:jc w:val="left"/>
              <w:rPr>
                <w:color w:val="636466"/>
              </w:rPr>
            </w:pPr>
            <w:r>
              <w:rPr>
                <w:color w:val="63646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297" w:right="0" w:hanging="0"/>
              <w:jc w:val="left"/>
              <w:rPr>
                <w:rFonts w:ascii="Arial;Helvetica;sans-serif" w:hAnsi="Arial;Helvetica;sans-serif"/>
                <w:color w:val="636466"/>
                <w:sz w:val="16"/>
              </w:rPr>
            </w:pPr>
            <w:r>
              <w:rPr>
                <w:rFonts w:ascii="Arial;Helvetica;sans-serif" w:hAnsi="Arial;Helvetica;sans-serif"/>
                <w:color w:val="636466"/>
                <w:sz w:val="16"/>
              </w:rPr>
              <w:t>*</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520"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Sanjeev Narula</w:t>
            </w:r>
            <w:r>
              <w:rPr>
                <w:rFonts w:ascii="Arial;Helvetica;sans-serif" w:hAnsi="Arial;Helvetica;sans-serif"/>
                <w:color w:val="636466"/>
                <w:position w:val="5"/>
                <w:sz w:val="13"/>
                <w:sz w:val="16"/>
              </w:rPr>
              <w:t>4</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85" w:type="dxa"/>
            <w:tcBorders/>
            <w:shd w:fill="E7E0EF" w:val="clear"/>
            <w:vAlign w:val="center"/>
          </w:tcPr>
          <w:p>
            <w:pPr>
              <w:pStyle w:val="TableContents"/>
              <w:bidi w:val="0"/>
              <w:spacing w:before="0" w:after="283"/>
              <w:ind w:left="125" w:right="0" w:hanging="0"/>
              <w:jc w:val="left"/>
              <w:rPr>
                <w:rFonts w:ascii="Arial;Helvetica;sans-serif" w:hAnsi="Arial;Helvetica;sans-serif"/>
                <w:color w:val="636466"/>
                <w:sz w:val="16"/>
              </w:rPr>
            </w:pPr>
            <w:r>
              <w:rPr>
                <w:rFonts w:ascii="Arial;Helvetica;sans-serif" w:hAnsi="Arial;Helvetica;sans-serif"/>
                <w:color w:val="636466"/>
                <w:sz w:val="16"/>
              </w:rPr>
              <w:t>253,525</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340" w:type="dxa"/>
            <w:tcBorders/>
            <w:shd w:fill="E7E0EF" w:val="clear"/>
            <w:vAlign w:val="center"/>
          </w:tcPr>
          <w:p>
            <w:pPr>
              <w:pStyle w:val="TableContents"/>
              <w:bidi w:val="0"/>
              <w:spacing w:before="0" w:after="283"/>
              <w:ind w:left="310" w:right="0" w:hanging="0"/>
              <w:jc w:val="left"/>
              <w:rPr>
                <w:color w:val="636466"/>
              </w:rPr>
            </w:pPr>
            <w:r>
              <w:rPr>
                <w:color w:val="636466"/>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95" w:type="dxa"/>
            <w:tcBorders/>
            <w:shd w:fill="E7E0EF" w:val="clear"/>
            <w:vAlign w:val="center"/>
          </w:tcPr>
          <w:p>
            <w:pPr>
              <w:pStyle w:val="TableContents"/>
              <w:bidi w:val="0"/>
              <w:spacing w:before="0" w:after="283"/>
              <w:ind w:left="297" w:right="0" w:hanging="0"/>
              <w:jc w:val="left"/>
              <w:rPr>
                <w:rFonts w:ascii="Arial;Helvetica;sans-serif" w:hAnsi="Arial;Helvetica;sans-serif"/>
                <w:color w:val="636466"/>
                <w:sz w:val="16"/>
              </w:rPr>
            </w:pPr>
            <w:r>
              <w:rPr>
                <w:rFonts w:ascii="Arial;Helvetica;sans-serif" w:hAnsi="Arial;Helvetica;sans-serif"/>
                <w:color w:val="636466"/>
                <w:sz w:val="16"/>
              </w:rPr>
              <w:t>*</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Mark Parrish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5" w:right="0" w:hanging="0"/>
              <w:jc w:val="left"/>
              <w:rPr>
                <w:rFonts w:ascii="Arial;Helvetica;sans-serif" w:hAnsi="Arial;Helvetica;sans-serif"/>
                <w:color w:val="636466"/>
                <w:sz w:val="16"/>
              </w:rPr>
            </w:pPr>
            <w:r>
              <w:rPr>
                <w:rFonts w:ascii="Arial;Helvetica;sans-serif" w:hAnsi="Arial;Helvetica;sans-serif"/>
                <w:color w:val="636466"/>
                <w:sz w:val="16"/>
              </w:rPr>
              <w:t>140,395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310" w:right="0" w:hanging="0"/>
              <w:jc w:val="left"/>
              <w:rPr>
                <w:rFonts w:ascii="Arial;Helvetica;sans-serif" w:hAnsi="Arial;Helvetica;sans-serif"/>
                <w:color w:val="636466"/>
                <w:sz w:val="16"/>
              </w:rPr>
            </w:pPr>
            <w:r>
              <w:rPr>
                <w:rFonts w:ascii="Arial;Helvetica;sans-serif" w:hAnsi="Arial;Helvetica;sans-serif"/>
                <w:color w:val="636466"/>
                <w:sz w:val="16"/>
              </w:rPr>
              <w:t>21,806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297" w:right="0" w:hanging="0"/>
              <w:jc w:val="left"/>
              <w:rPr>
                <w:rFonts w:ascii="Arial;Helvetica;sans-serif" w:hAnsi="Arial;Helvetica;sans-serif"/>
                <w:color w:val="636466"/>
                <w:sz w:val="16"/>
              </w:rPr>
            </w:pPr>
            <w:r>
              <w:rPr>
                <w:rFonts w:ascii="Arial;Helvetica;sans-serif" w:hAnsi="Arial;Helvetica;sans-serif"/>
                <w:color w:val="636466"/>
                <w:sz w:val="16"/>
              </w:rPr>
              <w:t>*</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520"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Brian Roman</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85" w:type="dxa"/>
            <w:tcBorders/>
            <w:shd w:fill="E7E0EF" w:val="clear"/>
            <w:vAlign w:val="center"/>
          </w:tcPr>
          <w:p>
            <w:pPr>
              <w:pStyle w:val="TableContents"/>
              <w:bidi w:val="0"/>
              <w:spacing w:before="0" w:after="283"/>
              <w:ind w:left="125" w:right="0" w:hanging="0"/>
              <w:jc w:val="left"/>
              <w:rPr>
                <w:rFonts w:ascii="Arial;Helvetica;sans-serif" w:hAnsi="Arial;Helvetica;sans-serif"/>
                <w:color w:val="636466"/>
                <w:sz w:val="16"/>
              </w:rPr>
            </w:pPr>
            <w:r>
              <w:rPr>
                <w:rFonts w:ascii="Arial;Helvetica;sans-serif" w:hAnsi="Arial;Helvetica;sans-serif"/>
                <w:color w:val="636466"/>
                <w:sz w:val="16"/>
              </w:rPr>
              <w:t>193,916</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340" w:type="dxa"/>
            <w:tcBorders/>
            <w:shd w:fill="E7E0EF" w:val="clear"/>
            <w:vAlign w:val="center"/>
          </w:tcPr>
          <w:p>
            <w:pPr>
              <w:pStyle w:val="TableContents"/>
              <w:bidi w:val="0"/>
              <w:spacing w:before="0" w:after="283"/>
              <w:ind w:left="310" w:right="0" w:hanging="0"/>
              <w:jc w:val="left"/>
              <w:rPr>
                <w:rFonts w:ascii="Arial;Helvetica;sans-serif" w:hAnsi="Arial;Helvetica;sans-serif"/>
                <w:color w:val="636466"/>
                <w:sz w:val="16"/>
              </w:rPr>
            </w:pPr>
            <w:r>
              <w:rPr>
                <w:rFonts w:ascii="Arial;Helvetica;sans-serif" w:hAnsi="Arial;Helvetica;sans-serif"/>
                <w:color w:val="636466"/>
                <w:sz w:val="16"/>
              </w:rPr>
              <w:t>32,695</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95" w:type="dxa"/>
            <w:tcBorders/>
            <w:shd w:fill="E7E0EF" w:val="clear"/>
            <w:vAlign w:val="center"/>
          </w:tcPr>
          <w:p>
            <w:pPr>
              <w:pStyle w:val="TableContents"/>
              <w:bidi w:val="0"/>
              <w:spacing w:before="0" w:after="283"/>
              <w:ind w:left="297" w:right="0" w:hanging="0"/>
              <w:jc w:val="left"/>
              <w:rPr>
                <w:rFonts w:ascii="Arial;Helvetica;sans-serif" w:hAnsi="Arial;Helvetica;sans-serif"/>
                <w:color w:val="636466"/>
                <w:sz w:val="16"/>
              </w:rPr>
            </w:pPr>
            <w:r>
              <w:rPr>
                <w:rFonts w:ascii="Arial;Helvetica;sans-serif" w:hAnsi="Arial;Helvetica;sans-serif"/>
                <w:color w:val="636466"/>
                <w:sz w:val="16"/>
              </w:rPr>
              <w:t>*</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Michael Severino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5" w:right="0" w:hanging="0"/>
              <w:jc w:val="left"/>
              <w:rPr>
                <w:color w:val="636466"/>
              </w:rPr>
            </w:pPr>
            <w:r>
              <w:rPr>
                <w:color w:val="63646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310" w:right="0" w:hanging="0"/>
              <w:jc w:val="left"/>
              <w:rPr>
                <w:color w:val="636466"/>
              </w:rPr>
            </w:pPr>
            <w:r>
              <w:rPr>
                <w:color w:val="63646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297" w:right="0" w:hanging="0"/>
              <w:jc w:val="left"/>
              <w:rPr>
                <w:rFonts w:ascii="Arial;Helvetica;sans-serif" w:hAnsi="Arial;Helvetica;sans-serif"/>
                <w:color w:val="636466"/>
                <w:sz w:val="16"/>
              </w:rPr>
            </w:pPr>
            <w:r>
              <w:rPr>
                <w:rFonts w:ascii="Arial;Helvetica;sans-serif" w:hAnsi="Arial;Helvetica;sans-serif"/>
                <w:color w:val="636466"/>
                <w:sz w:val="16"/>
              </w:rPr>
              <w:t>*</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520"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David Simmons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85" w:type="dxa"/>
            <w:tcBorders/>
            <w:shd w:fill="E7E0EF" w:val="clear"/>
            <w:vAlign w:val="center"/>
          </w:tcPr>
          <w:p>
            <w:pPr>
              <w:pStyle w:val="TableContents"/>
              <w:bidi w:val="0"/>
              <w:spacing w:before="0" w:after="283"/>
              <w:ind w:left="125" w:right="0" w:hanging="0"/>
              <w:jc w:val="left"/>
              <w:rPr>
                <w:color w:val="636466"/>
              </w:rPr>
            </w:pPr>
            <w:r>
              <w:rPr>
                <w:color w:val="636466"/>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340" w:type="dxa"/>
            <w:tcBorders/>
            <w:shd w:fill="E7E0EF" w:val="clear"/>
            <w:vAlign w:val="center"/>
          </w:tcPr>
          <w:p>
            <w:pPr>
              <w:pStyle w:val="TableContents"/>
              <w:bidi w:val="0"/>
              <w:spacing w:before="0" w:after="283"/>
              <w:ind w:left="310" w:right="0" w:hanging="0"/>
              <w:jc w:val="left"/>
              <w:rPr>
                <w:color w:val="636466"/>
              </w:rPr>
            </w:pPr>
            <w:r>
              <w:rPr>
                <w:color w:val="636466"/>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95" w:type="dxa"/>
            <w:tcBorders/>
            <w:shd w:fill="E7E0EF" w:val="clear"/>
            <w:vAlign w:val="center"/>
          </w:tcPr>
          <w:p>
            <w:pPr>
              <w:pStyle w:val="TableContents"/>
              <w:bidi w:val="0"/>
              <w:spacing w:before="0" w:after="283"/>
              <w:ind w:left="297" w:right="0" w:hanging="0"/>
              <w:jc w:val="left"/>
              <w:rPr>
                <w:rFonts w:ascii="Arial;Helvetica;sans-serif" w:hAnsi="Arial;Helvetica;sans-serif"/>
                <w:color w:val="636466"/>
                <w:sz w:val="16"/>
              </w:rPr>
            </w:pPr>
            <w:r>
              <w:rPr>
                <w:rFonts w:ascii="Arial;Helvetica;sans-serif" w:hAnsi="Arial;Helvetica;sans-serif"/>
                <w:color w:val="636466"/>
                <w:sz w:val="16"/>
              </w:rPr>
              <w:t>*</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Scott A. Smith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5" w:right="0" w:hanging="0"/>
              <w:jc w:val="left"/>
              <w:rPr>
                <w:rFonts w:ascii="Arial;Helvetica;sans-serif" w:hAnsi="Arial;Helvetica;sans-serif"/>
                <w:color w:val="636466"/>
                <w:sz w:val="16"/>
              </w:rPr>
            </w:pPr>
            <w:r>
              <w:rPr>
                <w:rFonts w:ascii="Arial;Helvetica;sans-serif" w:hAnsi="Arial;Helvetica;sans-serif"/>
                <w:color w:val="636466"/>
                <w:sz w:val="16"/>
              </w:rPr>
              <w:t>314,807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310" w:right="0" w:hanging="0"/>
              <w:jc w:val="left"/>
              <w:rPr>
                <w:color w:val="636466"/>
              </w:rPr>
            </w:pPr>
            <w:r>
              <w:rPr>
                <w:color w:val="63646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297" w:right="0" w:hanging="0"/>
              <w:jc w:val="left"/>
              <w:rPr>
                <w:rFonts w:ascii="Arial;Helvetica;sans-serif" w:hAnsi="Arial;Helvetica;sans-serif"/>
                <w:color w:val="636466"/>
                <w:sz w:val="16"/>
              </w:rPr>
            </w:pPr>
            <w:r>
              <w:rPr>
                <w:rFonts w:ascii="Arial;Helvetica;sans-serif" w:hAnsi="Arial;Helvetica;sans-serif"/>
                <w:color w:val="636466"/>
                <w:sz w:val="16"/>
              </w:rPr>
              <w:t>*</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520"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Rogério Vivaldi Coelho</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85" w:type="dxa"/>
            <w:tcBorders/>
            <w:shd w:fill="E7E0EF" w:val="clear"/>
            <w:vAlign w:val="center"/>
          </w:tcPr>
          <w:p>
            <w:pPr>
              <w:pStyle w:val="TableContents"/>
              <w:bidi w:val="0"/>
              <w:spacing w:before="0" w:after="283"/>
              <w:ind w:left="125" w:right="0" w:hanging="0"/>
              <w:jc w:val="left"/>
              <w:rPr>
                <w:rFonts w:ascii="Arial;Helvetica;sans-serif" w:hAnsi="Arial;Helvetica;sans-serif"/>
                <w:color w:val="636466"/>
                <w:sz w:val="16"/>
              </w:rPr>
            </w:pPr>
            <w:r>
              <w:rPr>
                <w:rFonts w:ascii="Arial;Helvetica;sans-serif" w:hAnsi="Arial;Helvetica;sans-serif"/>
                <w:color w:val="636466"/>
                <w:sz w:val="16"/>
              </w:rPr>
              <w:t>21,691</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340" w:type="dxa"/>
            <w:tcBorders/>
            <w:shd w:fill="E7E0EF" w:val="clear"/>
            <w:vAlign w:val="center"/>
          </w:tcPr>
          <w:p>
            <w:pPr>
              <w:pStyle w:val="TableContents"/>
              <w:bidi w:val="0"/>
              <w:spacing w:before="0" w:after="283"/>
              <w:ind w:left="310" w:right="0" w:hanging="0"/>
              <w:jc w:val="left"/>
              <w:rPr>
                <w:color w:val="636466"/>
              </w:rPr>
            </w:pPr>
            <w:r>
              <w:rPr>
                <w:color w:val="636466"/>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95" w:type="dxa"/>
            <w:tcBorders/>
            <w:shd w:fill="E7E0EF" w:val="clear"/>
            <w:vAlign w:val="center"/>
          </w:tcPr>
          <w:p>
            <w:pPr>
              <w:pStyle w:val="TableContents"/>
              <w:bidi w:val="0"/>
              <w:spacing w:before="0" w:after="283"/>
              <w:ind w:left="297" w:right="0" w:hanging="0"/>
              <w:jc w:val="left"/>
              <w:rPr>
                <w:rFonts w:ascii="Arial;Helvetica;sans-serif" w:hAnsi="Arial;Helvetica;sans-serif"/>
                <w:color w:val="636466"/>
                <w:sz w:val="16"/>
              </w:rPr>
            </w:pPr>
            <w:r>
              <w:rPr>
                <w:rFonts w:ascii="Arial;Helvetica;sans-serif" w:hAnsi="Arial;Helvetica;sans-serif"/>
                <w:color w:val="636466"/>
                <w:sz w:val="16"/>
              </w:rPr>
              <w:t xml:space="preserve">*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All Directors and executive officers as a group (20 persons)</w:t>
            </w:r>
            <w:r>
              <w:rPr>
                <w:rFonts w:ascii="Arial;Helvetica;sans-serif" w:hAnsi="Arial;Helvetica;sans-serif"/>
                <w:color w:val="636466"/>
                <w:position w:val="5"/>
                <w:sz w:val="13"/>
                <w:sz w:val="16"/>
              </w:rPr>
              <w:t>5</w:t>
            </w:r>
            <w:r>
              <w:rPr>
                <w:rFonts w:ascii="Arial;Helvetica;sans-serif" w:hAnsi="Arial;Helvetica;sans-serif"/>
                <w:color w:val="636466"/>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5" w:right="0" w:hanging="0"/>
              <w:jc w:val="left"/>
              <w:rPr>
                <w:rFonts w:ascii="Arial;Helvetica;sans-serif" w:hAnsi="Arial;Helvetica;sans-serif"/>
                <w:color w:val="636466"/>
                <w:sz w:val="16"/>
              </w:rPr>
            </w:pPr>
            <w:r>
              <w:rPr>
                <w:rFonts w:ascii="Arial;Helvetica;sans-serif" w:hAnsi="Arial;Helvetica;sans-serif"/>
                <w:color w:val="636466"/>
                <w:sz w:val="16"/>
              </w:rPr>
              <w:t xml:space="preserve">2,956,680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310" w:right="0" w:hanging="0"/>
              <w:jc w:val="left"/>
              <w:rPr>
                <w:rFonts w:ascii="Arial;Helvetica;sans-serif" w:hAnsi="Arial;Helvetica;sans-serif"/>
                <w:color w:val="636466"/>
                <w:sz w:val="16"/>
              </w:rPr>
            </w:pPr>
            <w:r>
              <w:rPr>
                <w:rFonts w:ascii="Arial;Helvetica;sans-serif" w:hAnsi="Arial;Helvetica;sans-serif"/>
                <w:color w:val="636466"/>
                <w:sz w:val="16"/>
              </w:rPr>
              <w:t xml:space="preserve">546,645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297" w:right="0" w:hanging="0"/>
              <w:jc w:val="left"/>
              <w:rPr>
                <w:rFonts w:ascii="Arial;Helvetica;sans-serif" w:hAnsi="Arial;Helvetica;sans-serif"/>
                <w:color w:val="636466"/>
                <w:sz w:val="16"/>
              </w:rPr>
            </w:pPr>
            <w:r>
              <w:rPr>
                <w:rFonts w:ascii="Arial;Helvetica;sans-serif" w:hAnsi="Arial;Helvetica;sans-serif"/>
                <w:color w:val="636466"/>
                <w:sz w:val="16"/>
              </w:rPr>
              <w:t>*</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135" w:type="dxa"/>
        <w:jc w:val="left"/>
        <w:tblInd w:w="1060" w:type="dxa"/>
        <w:tblLayout w:type="fixed"/>
        <w:tblCellMar>
          <w:top w:w="0" w:type="dxa"/>
          <w:left w:w="0" w:type="dxa"/>
          <w:bottom w:w="0" w:type="dxa"/>
          <w:right w:w="0" w:type="dxa"/>
        </w:tblCellMar>
      </w:tblPr>
      <w:tblGrid>
        <w:gridCol w:w="110"/>
        <w:gridCol w:w="1025"/>
      </w:tblGrid>
      <w:tr>
        <w:trPr/>
        <w:tc>
          <w:tcPr>
            <w:tcW w:w="11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w:t>
            </w:r>
          </w:p>
        </w:tc>
        <w:tc>
          <w:tcPr>
            <w:tcW w:w="10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Less than 1%. </w:t>
            </w:r>
          </w:p>
        </w:tc>
      </w:tr>
    </w:tbl>
    <w:tbl>
      <w:tblPr>
        <w:tblW w:w="3220" w:type="dxa"/>
        <w:jc w:val="left"/>
        <w:tblInd w:w="1060" w:type="dxa"/>
        <w:tblLayout w:type="fixed"/>
        <w:tblCellMar>
          <w:top w:w="0" w:type="dxa"/>
          <w:left w:w="0" w:type="dxa"/>
          <w:bottom w:w="0" w:type="dxa"/>
          <w:right w:w="0" w:type="dxa"/>
        </w:tblCellMar>
      </w:tblPr>
      <w:tblGrid>
        <w:gridCol w:w="125"/>
        <w:gridCol w:w="3095"/>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1</w:t>
            </w:r>
          </w:p>
        </w:tc>
        <w:tc>
          <w:tcPr>
            <w:tcW w:w="309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Includes 18 shares held by Ms. Dillon’s spouse. </w:t>
            </w:r>
          </w:p>
        </w:tc>
      </w:tr>
    </w:tbl>
    <w:tbl>
      <w:tblPr>
        <w:tblW w:w="3490" w:type="dxa"/>
        <w:jc w:val="left"/>
        <w:tblInd w:w="1060" w:type="dxa"/>
        <w:tblLayout w:type="fixed"/>
        <w:tblCellMar>
          <w:top w:w="0" w:type="dxa"/>
          <w:left w:w="0" w:type="dxa"/>
          <w:bottom w:w="0" w:type="dxa"/>
          <w:right w:w="0" w:type="dxa"/>
        </w:tblCellMar>
      </w:tblPr>
      <w:tblGrid>
        <w:gridCol w:w="125"/>
        <w:gridCol w:w="3365"/>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2</w:t>
            </w:r>
          </w:p>
        </w:tc>
        <w:tc>
          <w:tcPr>
            <w:tcW w:w="336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Includes 74,000 shares held by Ms. Higgins’ spouse.</w:t>
            </w:r>
          </w:p>
        </w:tc>
      </w:tr>
    </w:tbl>
    <w:tbl>
      <w:tblPr>
        <w:tblW w:w="5500" w:type="dxa"/>
        <w:jc w:val="left"/>
        <w:tblInd w:w="1060" w:type="dxa"/>
        <w:tblLayout w:type="fixed"/>
        <w:tblCellMar>
          <w:top w:w="0" w:type="dxa"/>
          <w:left w:w="0" w:type="dxa"/>
          <w:bottom w:w="0" w:type="dxa"/>
          <w:right w:w="0" w:type="dxa"/>
        </w:tblCellMar>
      </w:tblPr>
      <w:tblGrid>
        <w:gridCol w:w="125"/>
        <w:gridCol w:w="5375"/>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3</w:t>
            </w:r>
          </w:p>
        </w:tc>
        <w:tc>
          <w:tcPr>
            <w:tcW w:w="537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Mr. Korman and Mr. Malik are not nominated for election at the 2025 Annual Meeting. </w:t>
            </w:r>
          </w:p>
        </w:tc>
      </w:tr>
    </w:tbl>
    <w:tbl>
      <w:tblPr>
        <w:tblW w:w="5320" w:type="dxa"/>
        <w:jc w:val="left"/>
        <w:tblInd w:w="1060" w:type="dxa"/>
        <w:tblLayout w:type="fixed"/>
        <w:tblCellMar>
          <w:top w:w="0" w:type="dxa"/>
          <w:left w:w="0" w:type="dxa"/>
          <w:bottom w:w="0" w:type="dxa"/>
          <w:right w:w="0" w:type="dxa"/>
        </w:tblCellMar>
      </w:tblPr>
      <w:tblGrid>
        <w:gridCol w:w="125"/>
        <w:gridCol w:w="5195"/>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4</w:t>
            </w:r>
          </w:p>
        </w:tc>
        <w:tc>
          <w:tcPr>
            <w:tcW w:w="519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Mr. Narula ceased to serve as the Company’s CFO effective as of March 1, 2024. </w:t>
            </w:r>
          </w:p>
        </w:tc>
      </w:tr>
    </w:tbl>
    <w:tbl>
      <w:tblPr>
        <w:tblW w:w="6250" w:type="dxa"/>
        <w:jc w:val="left"/>
        <w:tblInd w:w="1060" w:type="dxa"/>
        <w:tblLayout w:type="fixed"/>
        <w:tblCellMar>
          <w:top w:w="0" w:type="dxa"/>
          <w:left w:w="0" w:type="dxa"/>
          <w:bottom w:w="0" w:type="dxa"/>
          <w:right w:w="0" w:type="dxa"/>
        </w:tblCellMar>
      </w:tblPr>
      <w:tblGrid>
        <w:gridCol w:w="125"/>
        <w:gridCol w:w="6125"/>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5</w:t>
            </w:r>
          </w:p>
        </w:tc>
        <w:tc>
          <w:tcPr>
            <w:tcW w:w="6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Includes the individuals set forth above with the addition of Mr. Enrietti and excluding Mr. Narula. </w:t>
            </w:r>
          </w:p>
        </w:tc>
      </w:tr>
    </w:tbl>
    <w:tbl>
      <w:tblPr>
        <w:tblW w:w="4980" w:type="dxa"/>
        <w:jc w:val="left"/>
        <w:tblInd w:w="106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38 | 2025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164"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45" descr=""/>
                          <pic:cNvPicPr>
                            <a:picLocks noChangeAspect="1" noChangeArrowheads="1"/>
                          </pic:cNvPicPr>
                        </pic:nvPicPr>
                        <pic:blipFill>
                          <a:blip r:embed="rId155"/>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165"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46" descr=""/>
                    <pic:cNvPicPr>
                      <a:picLocks noChangeAspect="1" noChangeArrowheads="1"/>
                    </pic:cNvPicPr>
                  </pic:nvPicPr>
                  <pic:blipFill>
                    <a:blip r:embed="rId156"/>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98" w:name="ny20055082x771_def14a_107-security_pg2"/>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right"/>
        <w:rPr>
          <w:caps/>
          <w:color w:val="1F1C6B"/>
          <w:u w:val="single"/>
        </w:rPr>
      </w:pPr>
      <w:r>
        <w:rPr>
          <w:caps/>
          <w:color w:val="1F1C6B"/>
          <w:u w:val="single"/>
        </w:rPr>
        <w:t> </w:t>
      </w:r>
      <w:r>
        <w:rPr>
          <w:rFonts w:ascii="Arial;Helvetica;sans-serif" w:hAnsi="Arial;Helvetica;sans-serif"/>
          <w:caps/>
          <w:color w:val="1F1C6B"/>
          <w:sz w:val="18"/>
          <w:u w:val="single"/>
        </w:rPr>
        <w:t>Security Ownership </w:t>
      </w:r>
    </w:p>
    <w:p>
      <w:pPr>
        <w:pStyle w:val="TextBody"/>
        <w:bidi w:val="0"/>
        <w:spacing w:before="200" w:after="283"/>
        <w:ind w:left="1060" w:right="0" w:hanging="0"/>
        <w:jc w:val="left"/>
        <w:rPr>
          <w:rFonts w:ascii="Arial;Helvetica;sans-serif" w:hAnsi="Arial;Helvetica;sans-serif"/>
          <w:color w:val="1F1C6B"/>
          <w:sz w:val="30"/>
        </w:rPr>
      </w:pPr>
      <w:bookmarkStart w:id="99" w:name="tSOOC"/>
      <w:bookmarkEnd w:id="99"/>
      <w:r>
        <w:rPr>
          <w:rFonts w:ascii="Arial;Helvetica;sans-serif" w:hAnsi="Arial;Helvetica;sans-serif"/>
          <w:color w:val="1F1C6B"/>
          <w:sz w:val="30"/>
        </w:rPr>
        <w:t>Security Ownership of Certain Beneficial Owners</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The following table lists the names and addresses of shareholders known to management as of October 20, 2025, to own beneficially more than five percent of the shares of common stock of Viatris as set forth below (based on 1,154,467,256 shares of common stock of Viatris Inc. outstanding as of such date):</w:t>
      </w:r>
    </w:p>
    <w:tbl>
      <w:tblPr>
        <w:tblW w:w="7305" w:type="dxa"/>
        <w:jc w:val="left"/>
        <w:tblInd w:w="1060" w:type="dxa"/>
        <w:tblLayout w:type="fixed"/>
        <w:tblCellMar>
          <w:top w:w="0" w:type="dxa"/>
          <w:left w:w="0" w:type="dxa"/>
          <w:bottom w:w="0" w:type="dxa"/>
          <w:right w:w="0" w:type="dxa"/>
        </w:tblCellMar>
      </w:tblPr>
      <w:tblGrid>
        <w:gridCol w:w="185"/>
        <w:gridCol w:w="3875"/>
        <w:gridCol w:w="170"/>
        <w:gridCol w:w="170"/>
        <w:gridCol w:w="1655"/>
        <w:gridCol w:w="170"/>
        <w:gridCol w:w="170"/>
        <w:gridCol w:w="695"/>
        <w:gridCol w:w="215"/>
      </w:tblGrid>
      <w:tr>
        <w:trPr/>
        <w:tc>
          <w:tcPr>
            <w:tcW w:w="185" w:type="dxa"/>
            <w:tcBorders/>
            <w:shd w:fill="1F1C6B" w:val="clear"/>
            <w:vAlign w:val="center"/>
          </w:tcPr>
          <w:p>
            <w:pPr>
              <w:pStyle w:val="TableContents"/>
              <w:bidi w:val="0"/>
              <w:spacing w:before="0" w:after="0"/>
              <w:jc w:val="left"/>
              <w:rPr/>
            </w:pPr>
            <w:r>
              <w:rPr/>
              <w:t> </w:t>
            </w:r>
          </w:p>
        </w:tc>
        <w:tc>
          <w:tcPr>
            <w:tcW w:w="387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65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95"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3875"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 and Address of Beneficial Owner</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655" w:type="dxa"/>
            <w:tcBorders/>
            <w:shd w:fill="1F1C6B"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Amount and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Nature of Beneficial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Ownership</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95" w:type="dxa"/>
            <w:tcBorders/>
            <w:shd w:fill="1F1C6B"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Percent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of Class</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75"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The Vanguard Group,</w:t>
            </w:r>
          </w:p>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100 Vanguard Blvd., Malvern, PA 19355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289" w:right="0" w:hanging="0"/>
              <w:jc w:val="left"/>
              <w:rPr>
                <w:rFonts w:ascii="Arial;Helvetica;sans-serif" w:hAnsi="Arial;Helvetica;sans-serif"/>
                <w:color w:val="636466"/>
                <w:sz w:val="16"/>
              </w:rPr>
            </w:pPr>
            <w:r>
              <w:rPr>
                <w:rFonts w:ascii="Arial;Helvetica;sans-serif" w:hAnsi="Arial;Helvetica;sans-serif"/>
                <w:color w:val="636466"/>
                <w:sz w:val="16"/>
              </w:rPr>
              <w:t>142,262,690</w:t>
            </w:r>
            <w:r>
              <w:rPr>
                <w:rFonts w:ascii="Arial;Helvetica;sans-serif" w:hAnsi="Arial;Helvetica;sans-serif"/>
                <w:color w:val="636466"/>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42" w:right="0" w:hanging="0"/>
              <w:jc w:val="left"/>
              <w:rPr>
                <w:color w:val="636466"/>
              </w:rPr>
            </w:pPr>
            <w:r>
              <w:rPr>
                <w:color w:val="636466"/>
              </w:rPr>
              <w:t>​</w:t>
            </w:r>
            <w:r>
              <w:rPr>
                <w:rFonts w:ascii="Arial;Helvetica;sans-serif" w:hAnsi="Arial;Helvetica;sans-serif"/>
                <w:color w:val="636466"/>
                <w:sz w:val="16"/>
              </w:rPr>
              <w:t>12.3</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3875"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BlackRock, Inc.,</w:t>
            </w:r>
          </w:p>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50 Hudson Yards, New York, NY 10001</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655" w:type="dxa"/>
            <w:tcBorders/>
            <w:shd w:fill="E7E0EF" w:val="clear"/>
            <w:vAlign w:val="center"/>
          </w:tcPr>
          <w:p>
            <w:pPr>
              <w:pStyle w:val="TableContents"/>
              <w:bidi w:val="0"/>
              <w:spacing w:before="0" w:after="283"/>
              <w:ind w:left="289" w:right="0" w:hanging="0"/>
              <w:jc w:val="left"/>
              <w:rPr>
                <w:color w:val="636466"/>
              </w:rPr>
            </w:pPr>
            <w:r>
              <w:rPr>
                <w:color w:val="636466"/>
              </w:rPr>
              <w:t>​</w:t>
            </w:r>
            <w:r>
              <w:rPr>
                <w:rFonts w:ascii="Arial;Helvetica;sans-serif" w:hAnsi="Arial;Helvetica;sans-serif"/>
                <w:color w:val="636466"/>
                <w:sz w:val="16"/>
              </w:rPr>
              <w:t>76,382,158</w:t>
            </w:r>
            <w:r>
              <w:rPr>
                <w:rFonts w:ascii="Arial;Helvetica;sans-serif" w:hAnsi="Arial;Helvetica;sans-serif"/>
                <w:color w:val="636466"/>
                <w:position w:val="5"/>
                <w:sz w:val="13"/>
                <w:sz w:val="16"/>
              </w:rPr>
              <w:t>2</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95" w:type="dxa"/>
            <w:tcBorders/>
            <w:shd w:fill="E7E0EF" w:val="clear"/>
            <w:vAlign w:val="center"/>
          </w:tcPr>
          <w:p>
            <w:pPr>
              <w:pStyle w:val="TableContents"/>
              <w:bidi w:val="0"/>
              <w:spacing w:before="0" w:after="283"/>
              <w:ind w:left="142" w:right="0" w:hanging="0"/>
              <w:jc w:val="left"/>
              <w:rPr>
                <w:color w:val="636466"/>
              </w:rPr>
            </w:pPr>
            <w:r>
              <w:rPr>
                <w:color w:val="636466"/>
              </w:rPr>
              <w:t>​</w:t>
            </w:r>
            <w:r>
              <w:rPr>
                <w:rFonts w:ascii="Arial;Helvetica;sans-serif" w:hAnsi="Arial;Helvetica;sans-serif"/>
                <w:color w:val="636466"/>
                <w:sz w:val="16"/>
              </w:rPr>
              <w:t>6.6</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75"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T. Rowe Price Associates, Inc.,</w:t>
            </w:r>
          </w:p>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1307 Point Street, Baltimore, MD 21231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289" w:right="0" w:hanging="0"/>
              <w:jc w:val="left"/>
              <w:rPr>
                <w:rFonts w:ascii="Arial;Helvetica;sans-serif" w:hAnsi="Arial;Helvetica;sans-serif"/>
                <w:color w:val="636466"/>
                <w:sz w:val="16"/>
              </w:rPr>
            </w:pPr>
            <w:r>
              <w:rPr>
                <w:rFonts w:ascii="Arial;Helvetica;sans-serif" w:hAnsi="Arial;Helvetica;sans-serif"/>
                <w:color w:val="636466"/>
                <w:sz w:val="16"/>
              </w:rPr>
              <w:t>74,715,883</w:t>
            </w:r>
            <w:r>
              <w:rPr>
                <w:rFonts w:ascii="Arial;Helvetica;sans-serif" w:hAnsi="Arial;Helvetica;sans-serif"/>
                <w:color w:val="636466"/>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42" w:right="0" w:hanging="0"/>
              <w:jc w:val="left"/>
              <w:rPr>
                <w:color w:val="636466"/>
              </w:rPr>
            </w:pPr>
            <w:r>
              <w:rPr>
                <w:color w:val="636466"/>
              </w:rPr>
              <w:t>​</w:t>
            </w:r>
            <w:r>
              <w:rPr>
                <w:rFonts w:ascii="Arial;Helvetica;sans-serif" w:hAnsi="Arial;Helvetica;sans-serif"/>
                <w:color w:val="636466"/>
                <w:sz w:val="16"/>
              </w:rPr>
              <w:t>6.5</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3875"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Davis Selected Advisers</w:t>
            </w:r>
          </w:p>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2949 East Elvira Road, Suite 101, Tucson, AZ 85756</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655" w:type="dxa"/>
            <w:tcBorders/>
            <w:shd w:fill="E7E0EF" w:val="clear"/>
            <w:vAlign w:val="center"/>
          </w:tcPr>
          <w:p>
            <w:pPr>
              <w:pStyle w:val="TableContents"/>
              <w:bidi w:val="0"/>
              <w:spacing w:before="0" w:after="283"/>
              <w:ind w:left="289" w:right="0" w:hanging="0"/>
              <w:jc w:val="left"/>
              <w:rPr>
                <w:rFonts w:ascii="Arial;Helvetica;sans-serif" w:hAnsi="Arial;Helvetica;sans-serif"/>
                <w:color w:val="636466"/>
                <w:sz w:val="16"/>
              </w:rPr>
            </w:pPr>
            <w:r>
              <w:rPr>
                <w:rFonts w:ascii="Arial;Helvetica;sans-serif" w:hAnsi="Arial;Helvetica;sans-serif"/>
                <w:color w:val="636466"/>
                <w:sz w:val="16"/>
              </w:rPr>
              <w:t>66,375,520</w:t>
            </w:r>
            <w:r>
              <w:rPr>
                <w:rFonts w:ascii="Arial;Helvetica;sans-serif" w:hAnsi="Arial;Helvetica;sans-serif"/>
                <w:color w:val="636466"/>
                <w:position w:val="5"/>
                <w:sz w:val="13"/>
                <w:sz w:val="16"/>
              </w:rPr>
              <w:t>4</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95" w:type="dxa"/>
            <w:tcBorders/>
            <w:shd w:fill="E7E0EF" w:val="clear"/>
            <w:vAlign w:val="center"/>
          </w:tcPr>
          <w:p>
            <w:pPr>
              <w:pStyle w:val="TableContents"/>
              <w:bidi w:val="0"/>
              <w:spacing w:before="0" w:after="283"/>
              <w:ind w:left="142" w:right="0" w:hanging="0"/>
              <w:jc w:val="left"/>
              <w:rPr>
                <w:color w:val="636466"/>
              </w:rPr>
            </w:pPr>
            <w:r>
              <w:rPr>
                <w:color w:val="636466"/>
              </w:rPr>
              <w:t>​</w:t>
            </w:r>
            <w:r>
              <w:rPr>
                <w:rFonts w:ascii="Arial;Helvetica;sans-serif" w:hAnsi="Arial;Helvetica;sans-serif"/>
                <w:color w:val="636466"/>
                <w:sz w:val="16"/>
              </w:rPr>
              <w:t>5.7</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387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65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9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1</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Based on the Schedule 13G/A filed by The Vanguard Group with the SEC on February 13, 2024, as of December 29, 2023, The Vanguard Group has sole voting power over 0 shares of common stock, shared voting power over 1,620,666 shares of common stock, sole dispositive power over 136,880,832 shares of common stock and shared dispositive power over 5,381,858 shares of common stock.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2</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Based on the Schedule 13G/A filed by BlackRock, Inc. with the SEC on October 17, 2025, as of September 30, 2025, BlackRock, Inc. has sole voting power over 71,733,857 shares of common stock, shared voting power over 0 shares of common stock, sole dispositive power over 76,382,158 shares of common stock and shared dispositive power over 0 shares of common stock.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3</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Based on the Schedule 13G filed by T. Rowe Price Associates, Inc. with the SEC on May 14, 2025, as of March 31, 2025, T. Rowe Price Associates, Inc. has sole voting power over 70,171,778 shares of common stock, shared voting power over 0 shares of common stock, sole dispositive power over 74,708,405 shares of common stock and shared dispositive power over 0 shares of common stock.</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4</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Based on the Schedule 13G/A filed by Davis Selected Advisers with the SEC on August 7, 2025, as of June 30, 2025, Davis Selected Advisors has sole voting power over 63,774,660 shares of common stock, shared voting power over 0 shares of common stock, sole dispositive power over 66,375,520 shares of common stock and shared dispositive power over 0 shares of common stock.</w:t>
            </w:r>
          </w:p>
        </w:tc>
      </w:tr>
    </w:tbl>
    <w:tbl>
      <w:tblPr>
        <w:tblW w:w="4980" w:type="dxa"/>
        <w:jc w:val="left"/>
        <w:tblInd w:w="106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166"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47" descr=""/>
                          <pic:cNvPicPr>
                            <a:picLocks noChangeAspect="1" noChangeArrowheads="1"/>
                          </pic:cNvPicPr>
                        </pic:nvPicPr>
                        <pic:blipFill>
                          <a:blip r:embed="rId157"/>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Statement | 39</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167"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48" descr=""/>
                    <pic:cNvPicPr>
                      <a:picLocks noChangeAspect="1" noChangeArrowheads="1"/>
                    </pic:cNvPicPr>
                  </pic:nvPicPr>
                  <pic:blipFill>
                    <a:blip r:embed="rId158"/>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00" w:name="ny20055082x771_def14a_108-executive_pg1"/>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1060" w:right="0" w:hanging="0"/>
        <w:jc w:val="left"/>
        <w:rPr>
          <w:color w:val="000000"/>
        </w:rPr>
      </w:pPr>
      <w:r>
        <w:rPr>
          <w:color w:val="000000"/>
        </w:rPr>
        <w:drawing>
          <wp:inline distT="0" distB="0" distL="0" distR="0">
            <wp:extent cx="685800" cy="190500"/>
            <wp:effectExtent l="0" t="0" r="0" b="0"/>
            <wp:docPr id="168"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49" descr=""/>
                    <pic:cNvPicPr>
                      <a:picLocks noChangeAspect="1" noChangeArrowheads="1"/>
                    </pic:cNvPicPr>
                  </pic:nvPicPr>
                  <pic:blipFill>
                    <a:blip r:embed="rId159"/>
                    <a:stretch>
                      <a:fillRect/>
                    </a:stretch>
                  </pic:blipFill>
                  <pic:spPr bwMode="auto">
                    <a:xfrm>
                      <a:off x="0" y="0"/>
                      <a:ext cx="685800" cy="190500"/>
                    </a:xfrm>
                    <a:prstGeom prst="rect">
                      <a:avLst/>
                    </a:prstGeom>
                  </pic:spPr>
                </pic:pic>
              </a:graphicData>
            </a:graphic>
          </wp:inline>
        </w:drawing>
      </w:r>
    </w:p>
    <w:p>
      <w:pPr>
        <w:pStyle w:val="TextBody"/>
        <w:bidi w:val="0"/>
        <w:spacing w:before="295" w:after="283"/>
        <w:ind w:left="1060" w:right="0" w:hanging="0"/>
        <w:jc w:val="left"/>
        <w:rPr>
          <w:rFonts w:ascii="Arial;Helvetica;sans-serif" w:hAnsi="Arial;Helvetica;sans-serif"/>
          <w:color w:val="1F1C6B"/>
          <w:sz w:val="44"/>
        </w:rPr>
      </w:pPr>
      <w:bookmarkStart w:id="101" w:name="tEO"/>
      <w:bookmarkEnd w:id="101"/>
      <w:r>
        <w:rPr>
          <w:rFonts w:ascii="Arial;Helvetica;sans-serif" w:hAnsi="Arial;Helvetica;sans-serif"/>
          <w:color w:val="1F1C6B"/>
          <w:sz w:val="44"/>
        </w:rPr>
        <w:t>Executive Officers</w:t>
      </w:r>
    </w:p>
    <w:p>
      <w:pPr>
        <w:pStyle w:val="TextBody"/>
        <w:bidi w:val="0"/>
        <w:spacing w:before="33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The following table sets forth the names, ages, and positions of Viatris’ executive officers as of October 20, 2025: </w:t>
      </w:r>
    </w:p>
    <w:tbl>
      <w:tblPr>
        <w:tblW w:w="9120" w:type="dxa"/>
        <w:jc w:val="left"/>
        <w:tblInd w:w="1060" w:type="dxa"/>
        <w:tblLayout w:type="fixed"/>
        <w:tblCellMar>
          <w:top w:w="0" w:type="dxa"/>
          <w:left w:w="0" w:type="dxa"/>
          <w:bottom w:w="0" w:type="dxa"/>
          <w:right w:w="0" w:type="dxa"/>
        </w:tblCellMar>
      </w:tblPr>
      <w:tblGrid>
        <w:gridCol w:w="185"/>
        <w:gridCol w:w="2045"/>
        <w:gridCol w:w="170"/>
        <w:gridCol w:w="170"/>
        <w:gridCol w:w="230"/>
        <w:gridCol w:w="170"/>
        <w:gridCol w:w="170"/>
        <w:gridCol w:w="5765"/>
        <w:gridCol w:w="215"/>
      </w:tblGrid>
      <w:tr>
        <w:trPr/>
        <w:tc>
          <w:tcPr>
            <w:tcW w:w="185" w:type="dxa"/>
            <w:tcBorders/>
            <w:vAlign w:val="center"/>
          </w:tcPr>
          <w:p>
            <w:pPr>
              <w:pStyle w:val="TableContents"/>
              <w:bidi w:val="0"/>
              <w:spacing w:before="0" w:after="0"/>
              <w:jc w:val="left"/>
              <w:rPr/>
            </w:pPr>
            <w:r>
              <w:rPr/>
              <w:t> </w:t>
            </w:r>
          </w:p>
        </w:tc>
        <w:tc>
          <w:tcPr>
            <w:tcW w:w="20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6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45"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Scott A. Smith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6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Chief Executive Officer (principal executive officer)</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045"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Theodora (Doretta) Mistras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30" w:type="dxa"/>
            <w:tcBorders/>
            <w:shd w:fill="E7E0EF" w:val="clear"/>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43</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76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Chief Financial Officer (principal financial officer)</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45"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Dr. Corinne Le Goff</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6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Chief Commercial Officer</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045"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Brian Roman</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30" w:type="dxa"/>
            <w:tcBorders/>
            <w:shd w:fill="E7E0EF" w:val="clear"/>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55</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76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Chief Legal Officer</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45"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Paul Campbell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6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Chief Accounting Officer and Corporate Controller (principal accounting officer)</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045"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Andrew Enrietti</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30" w:type="dxa"/>
            <w:tcBorders/>
            <w:shd w:fill="E7E0EF" w:val="clear"/>
            <w:vAlign w:val="center"/>
          </w:tcPr>
          <w:p>
            <w:pPr>
              <w:pStyle w:val="TableContents"/>
              <w:bidi w:val="0"/>
              <w:spacing w:before="0" w:after="283"/>
              <w:jc w:val="center"/>
              <w:rPr>
                <w:color w:val="636466"/>
              </w:rPr>
            </w:pPr>
            <w:r>
              <w:rPr>
                <w:color w:val="636466"/>
              </w:rPr>
              <w:t>​</w:t>
            </w:r>
            <w:r>
              <w:rPr>
                <w:rFonts w:ascii="Arial;Helvetica;sans-serif" w:hAnsi="Arial;Helvetica;sans-serif"/>
                <w:color w:val="636466"/>
                <w:sz w:val="16"/>
              </w:rPr>
              <w:t>41</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76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Chief Administrative and Transformation Officer</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04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3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76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p>
      <w:pPr>
        <w:pStyle w:val="TextBody"/>
        <w:bidi w:val="0"/>
        <w:spacing w:before="320" w:after="283"/>
        <w:ind w:left="1060" w:right="0" w:hanging="0"/>
        <w:jc w:val="left"/>
        <w:rPr/>
      </w:pPr>
      <w:r>
        <w:rPr>
          <w:rFonts w:ascii="Arial;Helvetica;sans-serif" w:hAnsi="Arial;Helvetica;sans-serif"/>
          <w:b/>
          <w:color w:val="636466"/>
          <w:sz w:val="18"/>
        </w:rPr>
        <w:t>Scott A. Smith</w:t>
      </w:r>
      <w:r>
        <w:rPr>
          <w:rFonts w:ascii="Arial;Helvetica;sans-serif" w:hAnsi="Arial;Helvetica;sans-serif"/>
          <w:b w:val="false"/>
          <w:color w:val="636466"/>
          <w:sz w:val="18"/>
        </w:rPr>
        <w:t xml:space="preserve">. Mr. Smith has served as Viatris’ CEO since April 1, 2023. His responsibilities include leading the daily management and the overall performance of the Company and executing on the strategies developed in collaboration with the Board, among other responsibilities. Mr. Smith is also a member of the Board and additional details regarding his background and experience can be found under the heading “Directors Nominated for Election at the 2025 Annual Meeting” on page </w:t>
      </w:r>
      <w:hyperlink w:anchor="tVBOAD">
        <w:r>
          <w:rPr>
            <w:rStyle w:val="InternetLink"/>
          </w:rPr>
          <w:t>21</w:t>
        </w:r>
      </w:hyperlink>
      <w:r>
        <w:rPr>
          <w:rFonts w:ascii="Arial;Helvetica;sans-serif" w:hAnsi="Arial;Helvetica;sans-serif"/>
          <w:b w:val="false"/>
          <w:color w:val="636466"/>
          <w:sz w:val="18"/>
        </w:rPr>
        <w:t xml:space="preserve">. </w:t>
      </w:r>
    </w:p>
    <w:p>
      <w:pPr>
        <w:pStyle w:val="TextBody"/>
        <w:bidi w:val="0"/>
        <w:spacing w:before="320" w:after="283"/>
        <w:ind w:left="1060" w:right="0" w:hanging="0"/>
        <w:jc w:val="left"/>
        <w:rPr>
          <w:rFonts w:ascii="Arial;Helvetica;sans-serif" w:hAnsi="Arial;Helvetica;sans-serif"/>
          <w:b/>
          <w:color w:val="636466"/>
          <w:sz w:val="18"/>
        </w:rPr>
      </w:pPr>
      <w:r>
        <w:rPr>
          <w:rFonts w:ascii="Arial;Helvetica;sans-serif" w:hAnsi="Arial;Helvetica;sans-serif"/>
          <w:b/>
          <w:color w:val="636466"/>
          <w:sz w:val="18"/>
        </w:rPr>
        <w:t>Doretta Mistras</w:t>
      </w:r>
      <w:r>
        <w:rPr>
          <w:rFonts w:ascii="Arial;Helvetica;sans-serif" w:hAnsi="Arial;Helvetica;sans-serif"/>
          <w:b w:val="false"/>
          <w:color w:val="636466"/>
          <w:sz w:val="18"/>
        </w:rPr>
        <w:t xml:space="preserve">. Ms. Mistras has served as Viatris’ CFO since March 1, 2024. Her responsibilities include oversight of the global Finance Department, which includes corporate controllership, financial planning and analysis, internal audit, and tax and Treasury functions, among others. Prior to joining the Company as of January 1, 2024 as CFO-elect, Ms. Mistras was Managing Director, Healthcare Investment Banking at Citigroup Global Markets from September 2019 to December 2023 and prior to that was Managing Director, Healthcare Investment Banking at Goldman Sachs, where she spent over 15 years in their investment banking healthcare group. She has almost two decades of leadership, advisory, and capital markets experience helping guide corporate boards and leadership teams on matters affecting corporate strategy, including business development, financial planning, corporate finance and investor relations. Ms. Mistras has also advised leading healthcare corporations on a multitude of important financial and strategic decisions, including M&amp;A, joint ventures, and capital markets transactions. </w:t>
      </w:r>
    </w:p>
    <w:p>
      <w:pPr>
        <w:pStyle w:val="TextBody"/>
        <w:bidi w:val="0"/>
        <w:spacing w:before="320" w:after="283"/>
        <w:ind w:left="1060" w:right="0" w:hanging="0"/>
        <w:jc w:val="left"/>
        <w:rPr>
          <w:rFonts w:ascii="Arial;Helvetica;sans-serif" w:hAnsi="Arial;Helvetica;sans-serif"/>
          <w:b/>
          <w:color w:val="636466"/>
          <w:sz w:val="18"/>
        </w:rPr>
      </w:pPr>
      <w:r>
        <w:rPr>
          <w:rFonts w:ascii="Arial;Helvetica;sans-serif" w:hAnsi="Arial;Helvetica;sans-serif"/>
          <w:b/>
          <w:color w:val="636466"/>
          <w:sz w:val="18"/>
        </w:rPr>
        <w:t>Dr. Corinne Le Goff, Pharm D</w:t>
      </w:r>
      <w:r>
        <w:rPr>
          <w:rFonts w:ascii="Arial;Helvetica;sans-serif" w:hAnsi="Arial;Helvetica;sans-serif"/>
          <w:b w:val="false"/>
          <w:color w:val="636466"/>
          <w:sz w:val="18"/>
        </w:rPr>
        <w:t>. Dr. Le Goff has served as Chief Commercial Officer since April 15, 2024. Her responsibilities include oversight of the Company’s global commercial organization, including the Developed Markets, Emerging Markets, JANZ and Greater China segments, and the Company's Global Commercial functions, including Global Strategic Marketing, Global Market Access and Value, Global Commercial Insights &amp; Analytics, and Global Commercial Development. Prior to joining the Company, Dr. Le Goff held roles at biotechnology companies, most recently as President, Chief Executive Officer, and Director of Imunon, Inc. (“Imunon”), a clinical stage biotechnology company, from July 2022 until March 2024, where she led an organizational turnaround and rebranding effort (Imunon was known as Celsion Corporation until September 2022). Prior to Imunon, she was Chief Commercial Officer of Moderna, Inc. from January 2021 through January 2022 and served in various roles at Amgen Inc. from June 2015 to January 2021, including President of the U.S. business from March 2019 to January 2021, Senior Vice President of Global Product Strategy and Commercial Innovation from June 2018 to March 2019 and President of the Europe Region from June 2015 to May 2018. Dr. Le Goff also held various positions within the Roche Group, a publicly traded Swiss multinational healthcare company, including President of Roche’s French affiliate from May 2012 to May 2015 and Senior Vice President Global Neuroscience and Rare Diseases Business Unit from 2011 to May 2012. Dr. Le Goff served on the board of directors of Longboard Pharmaceuticals Inc., a clinical-stage biopharmaceutical company from March 2021 until December 2024 when the company was acquired by H. Lundbeck A/S, most recently serving on that company’s Audit and Nominating and Corporate Governance Committees, and previously served on the boards of directors of EuroAPI S.A., which develops, manufactures, markets and distributes APIs and intermediates used in the formulation of medicines for human and veterinary use, from April 2022 to January 2023, Acticor Biotech SAS, a clinical stage biopharmaceutical company, from May 2022 to December 2023, and CFAO Group, a trading company, from October 2014 to October 2020.</w:t>
      </w:r>
    </w:p>
    <w:p>
      <w:pPr>
        <w:pStyle w:val="TextBody"/>
        <w:bidi w:val="0"/>
        <w:spacing w:before="320" w:after="283"/>
        <w:ind w:left="1060" w:right="0" w:hanging="0"/>
        <w:jc w:val="left"/>
        <w:rPr>
          <w:rFonts w:ascii="Arial;Helvetica;sans-serif" w:hAnsi="Arial;Helvetica;sans-serif"/>
          <w:b/>
          <w:color w:val="636466"/>
          <w:sz w:val="18"/>
        </w:rPr>
      </w:pPr>
      <w:r>
        <w:rPr>
          <w:rFonts w:ascii="Arial;Helvetica;sans-serif" w:hAnsi="Arial;Helvetica;sans-serif"/>
          <w:b/>
          <w:color w:val="636466"/>
          <w:sz w:val="18"/>
        </w:rPr>
        <w:t>Brian Roman</w:t>
      </w:r>
      <w:r>
        <w:rPr>
          <w:rFonts w:ascii="Arial;Helvetica;sans-serif" w:hAnsi="Arial;Helvetica;sans-serif"/>
          <w:b w:val="false"/>
          <w:color w:val="636466"/>
          <w:sz w:val="18"/>
        </w:rPr>
        <w:t xml:space="preserve">. Mr. Roman served as Viatris’ Global General Counsel since the closing of the Combination on November 16, 2020 and was named Chief Legal Officer on April 1, 2024. His responsibilities include oversight of the Company’s global legal organization, including securities, global contracts, labor and employment, global regulatory, business development, litigation, and intellectual property, and, together with the Compliance and Risk Oversight Committee, overseeing the Company’s compliance </w:t>
      </w:r>
    </w:p>
    <w:tbl>
      <w:tblPr>
        <w:tblW w:w="4980" w:type="dxa"/>
        <w:jc w:val="left"/>
        <w:tblInd w:w="106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40 | 2025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169"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50" descr=""/>
                          <pic:cNvPicPr>
                            <a:picLocks noChangeAspect="1" noChangeArrowheads="1"/>
                          </pic:cNvPicPr>
                        </pic:nvPicPr>
                        <pic:blipFill>
                          <a:blip r:embed="rId160"/>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170"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51" descr=""/>
                    <pic:cNvPicPr>
                      <a:picLocks noChangeAspect="1" noChangeArrowheads="1"/>
                    </pic:cNvPicPr>
                  </pic:nvPicPr>
                  <pic:blipFill>
                    <a:blip r:embed="rId161"/>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02" w:name="ny20055082x771_def14a_108-executive_pg2"/>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right"/>
        <w:rPr>
          <w:caps/>
          <w:color w:val="1F1C6B"/>
          <w:u w:val="single"/>
        </w:rPr>
      </w:pPr>
      <w:r>
        <w:rPr>
          <w:caps/>
          <w:color w:val="1F1C6B"/>
          <w:u w:val="single"/>
        </w:rPr>
        <w:t> </w:t>
      </w:r>
      <w:r>
        <w:rPr>
          <w:rFonts w:ascii="Arial;Helvetica;sans-serif" w:hAnsi="Arial;Helvetica;sans-serif"/>
          <w:caps/>
          <w:color w:val="1F1C6B"/>
          <w:sz w:val="18"/>
          <w:u w:val="single"/>
        </w:rPr>
        <w:t>Executive Officers  </w:t>
      </w:r>
    </w:p>
    <w:p>
      <w:pPr>
        <w:pStyle w:val="TextBody"/>
        <w:bidi w:val="0"/>
        <w:spacing w:before="12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function, among other areas. From July 2017 until the closing of the Combination, Mr. Roman was Mylan’s Global General Counsel, with similar responsibilities for oversight of the global legal organization. Prior to 2017, Mr. Roman served as Mylan’s Chief Administrative Officer from January 2016 until June 2017, with responsibility for oversight of the Human Relations, Compliance, Facilities, Security, Information Security, and Privacy functions. He served as Mylan’s Senior Vice President and Chief Compliance Officer from April 2010 until December 2015 and Vice President and General Counsel, North America from October 2005 until April 2010. </w:t>
      </w:r>
    </w:p>
    <w:p>
      <w:pPr>
        <w:pStyle w:val="TextBody"/>
        <w:bidi w:val="0"/>
        <w:spacing w:before="320" w:after="283"/>
        <w:ind w:left="1060" w:right="0" w:hanging="0"/>
        <w:jc w:val="left"/>
        <w:rPr>
          <w:rFonts w:ascii="Arial;Helvetica;sans-serif" w:hAnsi="Arial;Helvetica;sans-serif"/>
          <w:b/>
          <w:color w:val="636466"/>
          <w:sz w:val="18"/>
        </w:rPr>
      </w:pPr>
      <w:r>
        <w:rPr>
          <w:rFonts w:ascii="Arial;Helvetica;sans-serif" w:hAnsi="Arial;Helvetica;sans-serif"/>
          <w:b/>
          <w:color w:val="636466"/>
          <w:sz w:val="18"/>
        </w:rPr>
        <w:t>Paul Campbell</w:t>
      </w:r>
      <w:r>
        <w:rPr>
          <w:rFonts w:ascii="Arial;Helvetica;sans-serif" w:hAnsi="Arial;Helvetica;sans-serif"/>
          <w:b w:val="false"/>
          <w:color w:val="636466"/>
          <w:sz w:val="18"/>
        </w:rPr>
        <w:t xml:space="preserve">. Mr. Campbell has served as Viatris’ Chief Accounting Officer and Corporate Controller since the closing of the Combination on November 16, 2020. He is responsible for oversight of the day-to-day operations of the accounting and finance functions of the Company, including planning, implementing, and managing the Company’s finance and accounting activities. Prior to the closing of the Combination, Mr. Campbell was Mylan’s Chief Accounting Officer, Senior Vice President and Controller. Before his appointment as Chief Accounting Officer in November 2015, Mr. Campbell served as Mylan’s Senior Vice President and Controller beginning in May 2015, with responsibility for overseeing the company’s accounting and financial operations and reporting, and he previously held roles of increasing responsibility at Mylan since 2002. </w:t>
      </w:r>
    </w:p>
    <w:p>
      <w:pPr>
        <w:pStyle w:val="TextBody"/>
        <w:bidi w:val="0"/>
        <w:spacing w:before="320" w:after="283"/>
        <w:ind w:left="1060" w:right="0" w:hanging="0"/>
        <w:jc w:val="left"/>
        <w:rPr>
          <w:rFonts w:ascii="Arial;Helvetica;sans-serif" w:hAnsi="Arial;Helvetica;sans-serif"/>
          <w:b/>
          <w:color w:val="636466"/>
          <w:sz w:val="18"/>
        </w:rPr>
      </w:pPr>
      <w:r>
        <w:rPr>
          <w:rFonts w:ascii="Arial;Helvetica;sans-serif" w:hAnsi="Arial;Helvetica;sans-serif"/>
          <w:b/>
          <w:color w:val="636466"/>
          <w:sz w:val="18"/>
        </w:rPr>
        <w:t>Andrew Enrietti</w:t>
      </w:r>
      <w:r>
        <w:rPr>
          <w:rFonts w:ascii="Arial;Helvetica;sans-serif" w:hAnsi="Arial;Helvetica;sans-serif"/>
          <w:b w:val="false"/>
          <w:color w:val="636466"/>
          <w:sz w:val="18"/>
        </w:rPr>
        <w:t xml:space="preserve">. Mr. Enrietti has served as Viatris’ Chief Administrative and Transformation Officer since August 15, 2025. His responsibilities include oversight of the Company’s Human Relations, Business Transformation, IT, Information Security, Global Transportation and Security, and Global Workplaces and Real Estate functions. Mr. Enrietti most recently served as Viatris’ Chief People Officer where he led the strategy and execution of HR, global workplaces and real estate. Prior to the Combination, he served as Mylan’s Head of Global Total Rewards &amp; HR M&amp;A, with responsibilities that included the design, development and implementation of the company’s global executive and broad-based compensation and equity programs, employee benefit programs and oversight of benefit activities related to corporate M&amp;A and divestitures. </w:t>
      </w:r>
    </w:p>
    <w:p>
      <w:pPr>
        <w:pStyle w:val="TextBody"/>
        <w:bidi w:val="0"/>
        <w:spacing w:before="32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Pursuant to the Bylaws, officers hold office until their successors are chosen and qualify in their stead or until their earlier death, resignation, or removal.</w:t>
      </w:r>
    </w:p>
    <w:tbl>
      <w:tblPr>
        <w:tblW w:w="4980" w:type="dxa"/>
        <w:jc w:val="left"/>
        <w:tblInd w:w="106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171"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52" descr=""/>
                          <pic:cNvPicPr>
                            <a:picLocks noChangeAspect="1" noChangeArrowheads="1"/>
                          </pic:cNvPicPr>
                        </pic:nvPicPr>
                        <pic:blipFill>
                          <a:blip r:embed="rId162"/>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Statement | 41</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172"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53" descr=""/>
                    <pic:cNvPicPr>
                      <a:picLocks noChangeAspect="1" noChangeArrowheads="1"/>
                    </pic:cNvPicPr>
                  </pic:nvPicPr>
                  <pic:blipFill>
                    <a:blip r:embed="rId163"/>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03" w:name="ny20055082x771_def14a_109-item2_pg1"/>
        <w:bookmarkEnd w:id="103"/>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1060" w:right="0" w:hanging="0"/>
        <w:jc w:val="left"/>
        <w:rPr>
          <w:color w:val="000000"/>
        </w:rPr>
      </w:pPr>
      <w:r>
        <w:rPr>
          <w:color w:val="000000"/>
        </w:rPr>
        <w:drawing>
          <wp:inline distT="0" distB="0" distL="0" distR="0">
            <wp:extent cx="685800" cy="190500"/>
            <wp:effectExtent l="0" t="0" r="0" b="0"/>
            <wp:docPr id="173"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54" descr=""/>
                    <pic:cNvPicPr>
                      <a:picLocks noChangeAspect="1" noChangeArrowheads="1"/>
                    </pic:cNvPicPr>
                  </pic:nvPicPr>
                  <pic:blipFill>
                    <a:blip r:embed="rId164"/>
                    <a:stretch>
                      <a:fillRect/>
                    </a:stretch>
                  </pic:blipFill>
                  <pic:spPr bwMode="auto">
                    <a:xfrm>
                      <a:off x="0" y="0"/>
                      <a:ext cx="685800" cy="190500"/>
                    </a:xfrm>
                    <a:prstGeom prst="rect">
                      <a:avLst/>
                    </a:prstGeom>
                  </pic:spPr>
                </pic:pic>
              </a:graphicData>
            </a:graphic>
          </wp:inline>
        </w:drawing>
      </w:r>
    </w:p>
    <w:p>
      <w:pPr>
        <w:pStyle w:val="Normal"/>
        <w:bidi w:val="0"/>
        <w:spacing w:before="0" w:after="0"/>
        <w:ind w:left="1060" w:right="0" w:hanging="0"/>
        <w:jc w:val="left"/>
        <w:rPr>
          <w:sz w:val="4"/>
          <w:szCs w:val="4"/>
        </w:rPr>
      </w:pPr>
      <w:r>
        <w:rPr>
          <w:sz w:val="4"/>
          <w:szCs w:val="4"/>
        </w:rPr>
      </w:r>
      <w:r>
        <mc:AlternateContent>
          <mc:Choice Requires="wps">
            <w:drawing>
              <wp:anchor behindDoc="0" distT="0" distB="0" distL="304800" distR="0" simplePos="0" locked="0" layoutInCell="1" allowOverlap="1" relativeHeight="44">
                <wp:simplePos x="0" y="0"/>
                <wp:positionH relativeFrom="column">
                  <wp:align>left</wp:align>
                </wp:positionH>
                <wp:positionV relativeFrom="line">
                  <wp:posOffset>635</wp:posOffset>
                </wp:positionV>
                <wp:extent cx="1993900" cy="8837930"/>
                <wp:effectExtent l="0" t="0" r="0" b="0"/>
                <wp:wrapSquare wrapText="right"/>
                <wp:docPr id="174" name="Frame12"/>
                <a:graphic xmlns:a="http://schemas.openxmlformats.org/drawingml/2006/main">
                  <a:graphicData uri="http://schemas.microsoft.com/office/word/2010/wordprocessingShape">
                    <wps:wsp>
                      <wps:cNvSpPr txBox="1"/>
                      <wps:spPr>
                        <a:xfrm>
                          <a:off x="0" y="0"/>
                          <a:ext cx="1993900" cy="8837930"/>
                        </a:xfrm>
                        <a:prstGeom prst="rect"/>
                        <a:solidFill>
                          <a:srgbClr val="FFFFFF"/>
                        </a:solidFill>
                      </wps:spPr>
                      <wps:txbx>
                        <w:txbxContent>
                          <w:tbl>
                            <w:tblPr>
                              <w:tblW w:w="2700" w:type="dxa"/>
                              <w:jc w:val="left"/>
                              <w:tblInd w:w="1060" w:type="dxa"/>
                              <w:tblLayout w:type="fixed"/>
                              <w:tblCellMar>
                                <w:top w:w="0" w:type="dxa"/>
                                <w:left w:w="0" w:type="dxa"/>
                                <w:bottom w:w="0" w:type="dxa"/>
                                <w:right w:w="0" w:type="dxa"/>
                              </w:tblCellMar>
                            </w:tblPr>
                            <w:tblGrid>
                              <w:gridCol w:w="185"/>
                              <w:gridCol w:w="2300"/>
                              <w:gridCol w:w="215"/>
                            </w:tblGrid>
                            <w:tr>
                              <w:trPr/>
                              <w:tc>
                                <w:tcPr>
                                  <w:tcW w:w="185" w:type="dxa"/>
                                  <w:tcBorders/>
                                  <w:shd w:fill="DEDEF6" w:val="clear"/>
                                  <w:vAlign w:val="center"/>
                                </w:tcPr>
                                <w:p>
                                  <w:pPr>
                                    <w:pStyle w:val="TableContents"/>
                                    <w:bidi w:val="0"/>
                                    <w:spacing w:before="0" w:after="0"/>
                                    <w:jc w:val="left"/>
                                    <w:rPr/>
                                  </w:pPr>
                                  <w:r>
                                    <w:rPr/>
                                    <w:t> </w:t>
                                  </w:r>
                                </w:p>
                              </w:tc>
                              <w:tc>
                                <w:tcPr>
                                  <w:tcW w:w="2300" w:type="dxa"/>
                                  <w:tcBorders/>
                                  <w:shd w:fill="DEDEF6" w:val="clear"/>
                                  <w:vAlign w:val="center"/>
                                </w:tcPr>
                                <w:p>
                                  <w:pPr>
                                    <w:pStyle w:val="TableContents"/>
                                    <w:bidi w:val="0"/>
                                    <w:spacing w:before="0" w:after="0"/>
                                    <w:jc w:val="left"/>
                                    <w:rPr/>
                                  </w:pPr>
                                  <w:r>
                                    <w:rPr/>
                                    <w:t> </w:t>
                                  </w:r>
                                </w:p>
                              </w:tc>
                              <w:tc>
                                <w:tcPr>
                                  <w:tcW w:w="215" w:type="dxa"/>
                                  <w:tcBorders/>
                                  <w:shd w:fill="DEDEF6" w:val="clear"/>
                                  <w:vAlign w:val="center"/>
                                </w:tcPr>
                                <w:p>
                                  <w:pPr>
                                    <w:pStyle w:val="TableContents"/>
                                    <w:bidi w:val="0"/>
                                    <w:spacing w:before="0" w:after="0"/>
                                    <w:jc w:val="left"/>
                                    <w:rPr/>
                                  </w:pPr>
                                  <w:r>
                                    <w:rPr/>
                                    <w:t> </w:t>
                                  </w:r>
                                </w:p>
                              </w:tc>
                            </w:tr>
                            <w:tr>
                              <w:trPr/>
                              <w:tc>
                                <w:tcPr>
                                  <w:tcW w:w="185" w:type="dxa"/>
                                  <w:tcBorders/>
                                  <w:shd w:fill="DEDEF6" w:val="clear"/>
                                  <w:vAlign w:val="center"/>
                                </w:tcPr>
                                <w:p>
                                  <w:pPr>
                                    <w:pStyle w:val="TableContents"/>
                                    <w:bidi w:val="0"/>
                                    <w:spacing w:before="0" w:after="0"/>
                                    <w:jc w:val="left"/>
                                    <w:rPr/>
                                  </w:pPr>
                                  <w:r>
                                    <w:rPr/>
                                    <w:t> </w:t>
                                  </w:r>
                                </w:p>
                              </w:tc>
                              <w:tc>
                                <w:tcPr>
                                  <w:tcW w:w="2300" w:type="dxa"/>
                                  <w:tcBorders/>
                                  <w:shd w:fill="DEDEF6" w:val="clear"/>
                                  <w:vAlign w:val="center"/>
                                </w:tcPr>
                                <w:p>
                                  <w:pPr>
                                    <w:pStyle w:val="TableContents"/>
                                    <w:bidi w:val="0"/>
                                    <w:spacing w:before="0" w:after="283"/>
                                    <w:ind w:left="120" w:right="0" w:hanging="0"/>
                                    <w:jc w:val="left"/>
                                    <w:rPr>
                                      <w:rFonts w:ascii="Arial;Helvetica;sans-serif" w:hAnsi="Arial;Helvetica;sans-serif"/>
                                      <w:b/>
                                      <w:color w:val="484484"/>
                                      <w:sz w:val="20"/>
                                    </w:rPr>
                                  </w:pPr>
                                  <w:r>
                                    <w:rPr>
                                      <w:rFonts w:ascii="Arial;Helvetica;sans-serif" w:hAnsi="Arial;Helvetica;sans-serif"/>
                                      <w:b/>
                                      <w:color w:val="484484"/>
                                      <w:sz w:val="20"/>
                                    </w:rPr>
                                    <w:t>Board Recommendation</w:t>
                                  </w:r>
                                </w:p>
                              </w:tc>
                              <w:tc>
                                <w:tcPr>
                                  <w:tcW w:w="215" w:type="dxa"/>
                                  <w:tcBorders/>
                                  <w:shd w:fill="DEDEF6" w:val="clear"/>
                                  <w:vAlign w:val="center"/>
                                </w:tcPr>
                                <w:p>
                                  <w:pPr>
                                    <w:pStyle w:val="TableContents"/>
                                    <w:bidi w:val="0"/>
                                    <w:spacing w:before="0" w:after="0"/>
                                    <w:jc w:val="left"/>
                                    <w:rPr/>
                                  </w:pPr>
                                  <w:r>
                                    <w:rPr/>
                                    <w:t> </w:t>
                                  </w:r>
                                </w:p>
                              </w:tc>
                            </w:tr>
                            <w:tr>
                              <w:trPr/>
                              <w:tc>
                                <w:tcPr>
                                  <w:tcW w:w="185" w:type="dxa"/>
                                  <w:tcBorders/>
                                  <w:shd w:fill="DEDEF6" w:val="clear"/>
                                  <w:vAlign w:val="center"/>
                                </w:tcPr>
                                <w:p>
                                  <w:pPr>
                                    <w:pStyle w:val="TableContents"/>
                                    <w:bidi w:val="0"/>
                                    <w:spacing w:before="0" w:after="0"/>
                                    <w:jc w:val="left"/>
                                    <w:rPr/>
                                  </w:pPr>
                                  <w:r>
                                    <w:rPr/>
                                    <w:t> </w:t>
                                  </w:r>
                                </w:p>
                              </w:tc>
                              <w:tc>
                                <w:tcPr>
                                  <w:tcW w:w="2300" w:type="dxa"/>
                                  <w:tcBorders/>
                                  <w:shd w:fill="DEDEF6" w:val="clear"/>
                                  <w:vAlign w:val="center"/>
                                </w:tcPr>
                                <w:p>
                                  <w:pPr>
                                    <w:pStyle w:val="TableContents"/>
                                    <w:bidi w:val="0"/>
                                    <w:spacing w:before="0" w:after="0"/>
                                    <w:jc w:val="left"/>
                                    <w:rPr/>
                                  </w:pPr>
                                  <w:r>
                                    <w:rPr/>
                                    <w:t> </w:t>
                                  </w:r>
                                </w:p>
                              </w:tc>
                              <w:tc>
                                <w:tcPr>
                                  <w:tcW w:w="215" w:type="dxa"/>
                                  <w:tcBorders/>
                                  <w:shd w:fill="DEDEF6" w:val="clear"/>
                                  <w:vAlign w:val="center"/>
                                </w:tcPr>
                                <w:p>
                                  <w:pPr>
                                    <w:pStyle w:val="TableContents"/>
                                    <w:bidi w:val="0"/>
                                    <w:spacing w:before="0" w:after="0"/>
                                    <w:jc w:val="left"/>
                                    <w:rPr/>
                                  </w:pPr>
                                  <w:r>
                                    <w:rPr/>
                                    <w:t> </w:t>
                                  </w:r>
                                </w:p>
                              </w:tc>
                            </w:tr>
                          </w:tbl>
                          <w:tbl>
                            <w:tblPr>
                              <w:tblW w:w="8865" w:type="dxa"/>
                              <w:jc w:val="left"/>
                              <w:tblInd w:w="1060" w:type="dxa"/>
                              <w:tblLayout w:type="fixed"/>
                              <w:tblCellMar>
                                <w:top w:w="0" w:type="dxa"/>
                                <w:left w:w="0" w:type="dxa"/>
                                <w:bottom w:w="0" w:type="dxa"/>
                                <w:right w:w="0" w:type="dxa"/>
                              </w:tblCellMar>
                            </w:tblPr>
                            <w:tblGrid>
                              <w:gridCol w:w="185"/>
                              <w:gridCol w:w="8465"/>
                              <w:gridCol w:w="215"/>
                            </w:tblGrid>
                            <w:tr>
                              <w:trPr/>
                              <w:tc>
                                <w:tcPr>
                                  <w:tcW w:w="185" w:type="dxa"/>
                                  <w:tcBorders/>
                                  <w:shd w:fill="E7E0EF" w:val="clear"/>
                                  <w:vAlign w:val="center"/>
                                </w:tcPr>
                                <w:p>
                                  <w:pPr>
                                    <w:pStyle w:val="TableContents"/>
                                    <w:bidi w:val="0"/>
                                    <w:spacing w:before="0" w:after="0"/>
                                    <w:jc w:val="left"/>
                                    <w:rPr/>
                                  </w:pPr>
                                  <w:r>
                                    <w:rPr/>
                                    <w:t> </w:t>
                                  </w:r>
                                </w:p>
                              </w:tc>
                              <w:tc>
                                <w:tcPr>
                                  <w:tcW w:w="846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8465" w:type="dxa"/>
                                  <w:tcBorders/>
                                  <w:shd w:fill="E7E0EF" w:val="clear"/>
                                  <w:vAlign w:val="center"/>
                                </w:tcPr>
                                <w:p>
                                  <w:pPr>
                                    <w:pStyle w:val="TableContents"/>
                                    <w:bidi w:val="0"/>
                                    <w:spacing w:before="0" w:after="283"/>
                                    <w:ind w:left="120" w:right="0" w:hanging="0"/>
                                    <w:jc w:val="left"/>
                                    <w:rPr>
                                      <w:rFonts w:ascii="Arial;Helvetica;sans-serif" w:hAnsi="Arial;Helvetica;sans-serif"/>
                                      <w:color w:val="636466"/>
                                      <w:sz w:val="26"/>
                                    </w:rPr>
                                  </w:pPr>
                                  <w:r>
                                    <w:rPr>
                                      <w:rFonts w:ascii="Arial;Helvetica;sans-serif" w:hAnsi="Arial;Helvetica;sans-serif"/>
                                      <w:color w:val="636466"/>
                                      <w:sz w:val="26"/>
                                    </w:rPr>
                                    <w:t xml:space="preserve">Viatris’ Board </w:t>
                                  </w:r>
                                </w:p>
                                <w:p>
                                  <w:pPr>
                                    <w:pStyle w:val="TableContents"/>
                                    <w:bidi w:val="0"/>
                                    <w:spacing w:before="0" w:after="283"/>
                                    <w:ind w:left="120" w:right="0" w:hanging="0"/>
                                    <w:jc w:val="left"/>
                                    <w:rPr>
                                      <w:rFonts w:ascii="Arial;Helvetica;sans-serif" w:hAnsi="Arial;Helvetica;sans-serif"/>
                                      <w:color w:val="636466"/>
                                      <w:sz w:val="26"/>
                                    </w:rPr>
                                  </w:pPr>
                                  <w:r>
                                    <w:rPr>
                                      <w:rFonts w:ascii="Arial;Helvetica;sans-serif" w:hAnsi="Arial;Helvetica;sans-serif"/>
                                      <w:color w:val="636466"/>
                                      <w:sz w:val="26"/>
                                    </w:rPr>
                                    <w:t xml:space="preserve">recommends a vote </w:t>
                                  </w:r>
                                  <w:r>
                                    <w:rPr>
                                      <w:rFonts w:ascii="Arial;Helvetica;sans-serif" w:hAnsi="Arial;Helvetica;sans-serif"/>
                                      <w:color w:val="8A58A0"/>
                                      <w:sz w:val="26"/>
                                    </w:rPr>
                                    <w:t>“</w:t>
                                  </w:r>
                                  <w:r>
                                    <w:rPr>
                                      <w:rFonts w:ascii="Arial;Helvetica;sans-serif" w:hAnsi="Arial;Helvetica;sans-serif"/>
                                      <w:color w:val="8A58A0"/>
                                      <w:sz w:val="44"/>
                                    </w:rPr>
                                    <w:t>FOR”</w:t>
                                  </w:r>
                                </w:p>
                                <w:p>
                                  <w:pPr>
                                    <w:pStyle w:val="TableContents"/>
                                    <w:bidi w:val="0"/>
                                    <w:spacing w:before="0" w:after="283"/>
                                    <w:ind w:left="120" w:right="0" w:hanging="0"/>
                                    <w:jc w:val="left"/>
                                    <w:rPr>
                                      <w:rFonts w:ascii="Arial;Helvetica;sans-serif" w:hAnsi="Arial;Helvetica;sans-serif"/>
                                      <w:color w:val="636466"/>
                                      <w:sz w:val="26"/>
                                    </w:rPr>
                                  </w:pPr>
                                  <w:r>
                                    <w:rPr>
                                      <w:rFonts w:ascii="Arial;Helvetica;sans-serif" w:hAnsi="Arial;Helvetica;sans-serif"/>
                                      <w:color w:val="636466"/>
                                      <w:sz w:val="26"/>
                                    </w:rPr>
                                    <w:t>the approval, on an advisory basis, of the 2024 compensation of the NEOs.</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846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p>
                            <w:pPr>
                              <w:pStyle w:val="TextBody"/>
                              <w:bidi w:val="0"/>
                              <w:spacing w:before="60" w:after="283"/>
                              <w:ind w:left="1060" w:right="0" w:hanging="0"/>
                              <w:jc w:val="left"/>
                              <w:rPr>
                                <w:color w:val="636466"/>
                              </w:rPr>
                            </w:pPr>
                            <w:r>
                              <w:rPr>
                                <w:color w:val="636466"/>
                              </w:rPr>
                              <w:drawing>
                                <wp:inline distT="0" distB="0" distL="0" distR="0">
                                  <wp:extent cx="2009775" cy="6019800"/>
                                  <wp:effectExtent l="0" t="0" r="0" b="0"/>
                                  <wp:docPr id="175"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55" descr=""/>
                                          <pic:cNvPicPr>
                                            <a:picLocks noChangeAspect="1" noChangeArrowheads="1"/>
                                          </pic:cNvPicPr>
                                        </pic:nvPicPr>
                                        <pic:blipFill>
                                          <a:blip r:embed="rId165"/>
                                          <a:stretch>
                                            <a:fillRect/>
                                          </a:stretch>
                                        </pic:blipFill>
                                        <pic:spPr bwMode="auto">
                                          <a:xfrm>
                                            <a:off x="0" y="0"/>
                                            <a:ext cx="2009775" cy="6019800"/>
                                          </a:xfrm>
                                          <a:prstGeom prst="rect">
                                            <a:avLst/>
                                          </a:prstGeom>
                                        </pic:spPr>
                                      </pic:pic>
                                    </a:graphicData>
                                  </a:graphic>
                                </wp:inline>
                              </w:drawing>
                            </w:r>
                            <w:r>
                              <w:rPr>
                                <w:color w:val="636466"/>
                              </w:rPr>
                              <w:t> </w:t>
                            </w:r>
                          </w:p>
                        </w:txbxContent>
                      </wps:txbx>
                      <wps:bodyPr anchor="t" lIns="0" tIns="0" rIns="0" bIns="0">
                        <a:noAutofit/>
                      </wps:bodyPr>
                    </wps:wsp>
                  </a:graphicData>
                </a:graphic>
              </wp:anchor>
            </w:drawing>
          </mc:Choice>
          <mc:Fallback>
            <w:pict>
              <v:rect style="position:absolute;rotation:-0;width:157pt;height:695.9pt;mso-wrap-distance-left:24pt;mso-wrap-distance-right:0pt;mso-wrap-distance-top:0pt;mso-wrap-distance-bottom:0pt;margin-top:0pt;mso-position-vertical:top;mso-position-vertical-relative:text;margin-left:24pt;mso-position-horizontal:left;mso-position-horizontal-relative:text">
                <v:textbox>
                  <w:txbxContent>
                    <w:tbl>
                      <w:tblPr>
                        <w:tblW w:w="2700" w:type="dxa"/>
                        <w:jc w:val="left"/>
                        <w:tblInd w:w="1060" w:type="dxa"/>
                        <w:tblLayout w:type="fixed"/>
                        <w:tblCellMar>
                          <w:top w:w="0" w:type="dxa"/>
                          <w:left w:w="0" w:type="dxa"/>
                          <w:bottom w:w="0" w:type="dxa"/>
                          <w:right w:w="0" w:type="dxa"/>
                        </w:tblCellMar>
                      </w:tblPr>
                      <w:tblGrid>
                        <w:gridCol w:w="185"/>
                        <w:gridCol w:w="2300"/>
                        <w:gridCol w:w="215"/>
                      </w:tblGrid>
                      <w:tr>
                        <w:trPr/>
                        <w:tc>
                          <w:tcPr>
                            <w:tcW w:w="185" w:type="dxa"/>
                            <w:tcBorders/>
                            <w:shd w:fill="DEDEF6" w:val="clear"/>
                            <w:vAlign w:val="center"/>
                          </w:tcPr>
                          <w:p>
                            <w:pPr>
                              <w:pStyle w:val="TableContents"/>
                              <w:bidi w:val="0"/>
                              <w:spacing w:before="0" w:after="0"/>
                              <w:jc w:val="left"/>
                              <w:rPr/>
                            </w:pPr>
                            <w:r>
                              <w:rPr/>
                              <w:t> </w:t>
                            </w:r>
                          </w:p>
                        </w:tc>
                        <w:tc>
                          <w:tcPr>
                            <w:tcW w:w="2300" w:type="dxa"/>
                            <w:tcBorders/>
                            <w:shd w:fill="DEDEF6" w:val="clear"/>
                            <w:vAlign w:val="center"/>
                          </w:tcPr>
                          <w:p>
                            <w:pPr>
                              <w:pStyle w:val="TableContents"/>
                              <w:bidi w:val="0"/>
                              <w:spacing w:before="0" w:after="0"/>
                              <w:jc w:val="left"/>
                              <w:rPr/>
                            </w:pPr>
                            <w:r>
                              <w:rPr/>
                              <w:t> </w:t>
                            </w:r>
                          </w:p>
                        </w:tc>
                        <w:tc>
                          <w:tcPr>
                            <w:tcW w:w="215" w:type="dxa"/>
                            <w:tcBorders/>
                            <w:shd w:fill="DEDEF6" w:val="clear"/>
                            <w:vAlign w:val="center"/>
                          </w:tcPr>
                          <w:p>
                            <w:pPr>
                              <w:pStyle w:val="TableContents"/>
                              <w:bidi w:val="0"/>
                              <w:spacing w:before="0" w:after="0"/>
                              <w:jc w:val="left"/>
                              <w:rPr/>
                            </w:pPr>
                            <w:r>
                              <w:rPr/>
                              <w:t> </w:t>
                            </w:r>
                          </w:p>
                        </w:tc>
                      </w:tr>
                      <w:tr>
                        <w:trPr/>
                        <w:tc>
                          <w:tcPr>
                            <w:tcW w:w="185" w:type="dxa"/>
                            <w:tcBorders/>
                            <w:shd w:fill="DEDEF6" w:val="clear"/>
                            <w:vAlign w:val="center"/>
                          </w:tcPr>
                          <w:p>
                            <w:pPr>
                              <w:pStyle w:val="TableContents"/>
                              <w:bidi w:val="0"/>
                              <w:spacing w:before="0" w:after="0"/>
                              <w:jc w:val="left"/>
                              <w:rPr/>
                            </w:pPr>
                            <w:r>
                              <w:rPr/>
                              <w:t> </w:t>
                            </w:r>
                          </w:p>
                        </w:tc>
                        <w:tc>
                          <w:tcPr>
                            <w:tcW w:w="2300" w:type="dxa"/>
                            <w:tcBorders/>
                            <w:shd w:fill="DEDEF6" w:val="clear"/>
                            <w:vAlign w:val="center"/>
                          </w:tcPr>
                          <w:p>
                            <w:pPr>
                              <w:pStyle w:val="TableContents"/>
                              <w:bidi w:val="0"/>
                              <w:spacing w:before="0" w:after="283"/>
                              <w:ind w:left="120" w:right="0" w:hanging="0"/>
                              <w:jc w:val="left"/>
                              <w:rPr>
                                <w:rFonts w:ascii="Arial;Helvetica;sans-serif" w:hAnsi="Arial;Helvetica;sans-serif"/>
                                <w:b/>
                                <w:color w:val="484484"/>
                                <w:sz w:val="20"/>
                              </w:rPr>
                            </w:pPr>
                            <w:r>
                              <w:rPr>
                                <w:rFonts w:ascii="Arial;Helvetica;sans-serif" w:hAnsi="Arial;Helvetica;sans-serif"/>
                                <w:b/>
                                <w:color w:val="484484"/>
                                <w:sz w:val="20"/>
                              </w:rPr>
                              <w:t>Board Recommendation</w:t>
                            </w:r>
                          </w:p>
                        </w:tc>
                        <w:tc>
                          <w:tcPr>
                            <w:tcW w:w="215" w:type="dxa"/>
                            <w:tcBorders/>
                            <w:shd w:fill="DEDEF6" w:val="clear"/>
                            <w:vAlign w:val="center"/>
                          </w:tcPr>
                          <w:p>
                            <w:pPr>
                              <w:pStyle w:val="TableContents"/>
                              <w:bidi w:val="0"/>
                              <w:spacing w:before="0" w:after="0"/>
                              <w:jc w:val="left"/>
                              <w:rPr/>
                            </w:pPr>
                            <w:r>
                              <w:rPr/>
                              <w:t> </w:t>
                            </w:r>
                          </w:p>
                        </w:tc>
                      </w:tr>
                      <w:tr>
                        <w:trPr/>
                        <w:tc>
                          <w:tcPr>
                            <w:tcW w:w="185" w:type="dxa"/>
                            <w:tcBorders/>
                            <w:shd w:fill="DEDEF6" w:val="clear"/>
                            <w:vAlign w:val="center"/>
                          </w:tcPr>
                          <w:p>
                            <w:pPr>
                              <w:pStyle w:val="TableContents"/>
                              <w:bidi w:val="0"/>
                              <w:spacing w:before="0" w:after="0"/>
                              <w:jc w:val="left"/>
                              <w:rPr/>
                            </w:pPr>
                            <w:r>
                              <w:rPr/>
                              <w:t> </w:t>
                            </w:r>
                          </w:p>
                        </w:tc>
                        <w:tc>
                          <w:tcPr>
                            <w:tcW w:w="2300" w:type="dxa"/>
                            <w:tcBorders/>
                            <w:shd w:fill="DEDEF6" w:val="clear"/>
                            <w:vAlign w:val="center"/>
                          </w:tcPr>
                          <w:p>
                            <w:pPr>
                              <w:pStyle w:val="TableContents"/>
                              <w:bidi w:val="0"/>
                              <w:spacing w:before="0" w:after="0"/>
                              <w:jc w:val="left"/>
                              <w:rPr/>
                            </w:pPr>
                            <w:r>
                              <w:rPr/>
                              <w:t> </w:t>
                            </w:r>
                          </w:p>
                        </w:tc>
                        <w:tc>
                          <w:tcPr>
                            <w:tcW w:w="215" w:type="dxa"/>
                            <w:tcBorders/>
                            <w:shd w:fill="DEDEF6" w:val="clear"/>
                            <w:vAlign w:val="center"/>
                          </w:tcPr>
                          <w:p>
                            <w:pPr>
                              <w:pStyle w:val="TableContents"/>
                              <w:bidi w:val="0"/>
                              <w:spacing w:before="0" w:after="0"/>
                              <w:jc w:val="left"/>
                              <w:rPr/>
                            </w:pPr>
                            <w:r>
                              <w:rPr/>
                              <w:t> </w:t>
                            </w:r>
                          </w:p>
                        </w:tc>
                      </w:tr>
                    </w:tbl>
                    <w:tbl>
                      <w:tblPr>
                        <w:tblW w:w="8865" w:type="dxa"/>
                        <w:jc w:val="left"/>
                        <w:tblInd w:w="1060" w:type="dxa"/>
                        <w:tblLayout w:type="fixed"/>
                        <w:tblCellMar>
                          <w:top w:w="0" w:type="dxa"/>
                          <w:left w:w="0" w:type="dxa"/>
                          <w:bottom w:w="0" w:type="dxa"/>
                          <w:right w:w="0" w:type="dxa"/>
                        </w:tblCellMar>
                      </w:tblPr>
                      <w:tblGrid>
                        <w:gridCol w:w="185"/>
                        <w:gridCol w:w="8465"/>
                        <w:gridCol w:w="215"/>
                      </w:tblGrid>
                      <w:tr>
                        <w:trPr/>
                        <w:tc>
                          <w:tcPr>
                            <w:tcW w:w="185" w:type="dxa"/>
                            <w:tcBorders/>
                            <w:shd w:fill="E7E0EF" w:val="clear"/>
                            <w:vAlign w:val="center"/>
                          </w:tcPr>
                          <w:p>
                            <w:pPr>
                              <w:pStyle w:val="TableContents"/>
                              <w:bidi w:val="0"/>
                              <w:spacing w:before="0" w:after="0"/>
                              <w:jc w:val="left"/>
                              <w:rPr/>
                            </w:pPr>
                            <w:r>
                              <w:rPr/>
                              <w:t> </w:t>
                            </w:r>
                          </w:p>
                        </w:tc>
                        <w:tc>
                          <w:tcPr>
                            <w:tcW w:w="846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8465" w:type="dxa"/>
                            <w:tcBorders/>
                            <w:shd w:fill="E7E0EF" w:val="clear"/>
                            <w:vAlign w:val="center"/>
                          </w:tcPr>
                          <w:p>
                            <w:pPr>
                              <w:pStyle w:val="TableContents"/>
                              <w:bidi w:val="0"/>
                              <w:spacing w:before="0" w:after="283"/>
                              <w:ind w:left="120" w:right="0" w:hanging="0"/>
                              <w:jc w:val="left"/>
                              <w:rPr>
                                <w:rFonts w:ascii="Arial;Helvetica;sans-serif" w:hAnsi="Arial;Helvetica;sans-serif"/>
                                <w:color w:val="636466"/>
                                <w:sz w:val="26"/>
                              </w:rPr>
                            </w:pPr>
                            <w:r>
                              <w:rPr>
                                <w:rFonts w:ascii="Arial;Helvetica;sans-serif" w:hAnsi="Arial;Helvetica;sans-serif"/>
                                <w:color w:val="636466"/>
                                <w:sz w:val="26"/>
                              </w:rPr>
                              <w:t xml:space="preserve">Viatris’ Board </w:t>
                            </w:r>
                          </w:p>
                          <w:p>
                            <w:pPr>
                              <w:pStyle w:val="TableContents"/>
                              <w:bidi w:val="0"/>
                              <w:spacing w:before="0" w:after="283"/>
                              <w:ind w:left="120" w:right="0" w:hanging="0"/>
                              <w:jc w:val="left"/>
                              <w:rPr>
                                <w:rFonts w:ascii="Arial;Helvetica;sans-serif" w:hAnsi="Arial;Helvetica;sans-serif"/>
                                <w:color w:val="636466"/>
                                <w:sz w:val="26"/>
                              </w:rPr>
                            </w:pPr>
                            <w:r>
                              <w:rPr>
                                <w:rFonts w:ascii="Arial;Helvetica;sans-serif" w:hAnsi="Arial;Helvetica;sans-serif"/>
                                <w:color w:val="636466"/>
                                <w:sz w:val="26"/>
                              </w:rPr>
                              <w:t xml:space="preserve">recommends a vote </w:t>
                            </w:r>
                            <w:r>
                              <w:rPr>
                                <w:rFonts w:ascii="Arial;Helvetica;sans-serif" w:hAnsi="Arial;Helvetica;sans-serif"/>
                                <w:color w:val="8A58A0"/>
                                <w:sz w:val="26"/>
                              </w:rPr>
                              <w:t>“</w:t>
                            </w:r>
                            <w:r>
                              <w:rPr>
                                <w:rFonts w:ascii="Arial;Helvetica;sans-serif" w:hAnsi="Arial;Helvetica;sans-serif"/>
                                <w:color w:val="8A58A0"/>
                                <w:sz w:val="44"/>
                              </w:rPr>
                              <w:t>FOR”</w:t>
                            </w:r>
                          </w:p>
                          <w:p>
                            <w:pPr>
                              <w:pStyle w:val="TableContents"/>
                              <w:bidi w:val="0"/>
                              <w:spacing w:before="0" w:after="283"/>
                              <w:ind w:left="120" w:right="0" w:hanging="0"/>
                              <w:jc w:val="left"/>
                              <w:rPr>
                                <w:rFonts w:ascii="Arial;Helvetica;sans-serif" w:hAnsi="Arial;Helvetica;sans-serif"/>
                                <w:color w:val="636466"/>
                                <w:sz w:val="26"/>
                              </w:rPr>
                            </w:pPr>
                            <w:r>
                              <w:rPr>
                                <w:rFonts w:ascii="Arial;Helvetica;sans-serif" w:hAnsi="Arial;Helvetica;sans-serif"/>
                                <w:color w:val="636466"/>
                                <w:sz w:val="26"/>
                              </w:rPr>
                              <w:t>the approval, on an advisory basis, of the 2024 compensation of the NEOs.</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846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p>
                      <w:pPr>
                        <w:pStyle w:val="TextBody"/>
                        <w:bidi w:val="0"/>
                        <w:spacing w:before="60" w:after="283"/>
                        <w:ind w:left="1060" w:right="0" w:hanging="0"/>
                        <w:jc w:val="left"/>
                        <w:rPr>
                          <w:color w:val="636466"/>
                        </w:rPr>
                      </w:pPr>
                      <w:r>
                        <w:rPr>
                          <w:color w:val="636466"/>
                        </w:rPr>
                        <w:drawing>
                          <wp:inline distT="0" distB="0" distL="0" distR="0">
                            <wp:extent cx="2009775" cy="6019800"/>
                            <wp:effectExtent l="0" t="0" r="0" b="0"/>
                            <wp:docPr id="176"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55" descr=""/>
                                    <pic:cNvPicPr>
                                      <a:picLocks noChangeAspect="1" noChangeArrowheads="1"/>
                                    </pic:cNvPicPr>
                                  </pic:nvPicPr>
                                  <pic:blipFill>
                                    <a:blip r:embed="rId166"/>
                                    <a:stretch>
                                      <a:fillRect/>
                                    </a:stretch>
                                  </pic:blipFill>
                                  <pic:spPr bwMode="auto">
                                    <a:xfrm>
                                      <a:off x="0" y="0"/>
                                      <a:ext cx="2009775" cy="6019800"/>
                                    </a:xfrm>
                                    <a:prstGeom prst="rect">
                                      <a:avLst/>
                                    </a:prstGeom>
                                  </pic:spPr>
                                </pic:pic>
                              </a:graphicData>
                            </a:graphic>
                          </wp:inline>
                        </w:drawing>
                      </w:r>
                      <w:r>
                        <w:rPr>
                          <w:color w:val="636466"/>
                        </w:rPr>
                        <w:t> </w:t>
                      </w:r>
                    </w:p>
                  </w:txbxContent>
                </v:textbox>
                <w10:wrap type="square" side="right"/>
              </v:rect>
            </w:pict>
          </mc:Fallback>
        </mc:AlternateContent>
      </w:r>
      <w:r>
        <mc:AlternateContent>
          <mc:Choice Requires="wps">
            <w:drawing>
              <wp:anchor behindDoc="0" distT="0" distB="0" distL="0" distR="0" simplePos="0" locked="0" layoutInCell="1" allowOverlap="1" relativeHeight="303">
                <wp:simplePos x="0" y="0"/>
                <wp:positionH relativeFrom="column">
                  <wp:align>left</wp:align>
                </wp:positionH>
                <wp:positionV relativeFrom="line">
                  <wp:posOffset>635</wp:posOffset>
                </wp:positionV>
                <wp:extent cx="4330700" cy="8307705"/>
                <wp:effectExtent l="0" t="0" r="0" b="0"/>
                <wp:wrapSquare wrapText="right"/>
                <wp:docPr id="177" name="Frame11"/>
                <a:graphic xmlns:a="http://schemas.openxmlformats.org/drawingml/2006/main">
                  <a:graphicData uri="http://schemas.microsoft.com/office/word/2010/wordprocessingShape">
                    <wps:wsp>
                      <wps:cNvSpPr txBox="1"/>
                      <wps:spPr>
                        <a:xfrm>
                          <a:off x="0" y="0"/>
                          <a:ext cx="4330700" cy="8307705"/>
                        </a:xfrm>
                        <a:prstGeom prst="rect"/>
                        <a:solidFill>
                          <a:srgbClr val="FFFFFF"/>
                        </a:solidFill>
                      </wps:spPr>
                      <wps:txbx>
                        <w:txbxContent>
                          <w:p>
                            <w:pPr>
                              <w:pStyle w:val="TextBody"/>
                              <w:bidi w:val="0"/>
                              <w:spacing w:before="295" w:after="283"/>
                              <w:ind w:left="1060" w:right="0" w:hanging="0"/>
                              <w:jc w:val="left"/>
                              <w:rPr>
                                <w:rFonts w:ascii="Arial;Helvetica;sans-serif" w:hAnsi="Arial;Helvetica;sans-serif"/>
                                <w:color w:val="72288A"/>
                                <w:sz w:val="30"/>
                              </w:rPr>
                            </w:pPr>
                            <w:bookmarkStart w:id="104" w:name="tAVT2"/>
                            <w:bookmarkEnd w:id="104"/>
                            <w:r>
                              <w:rPr>
                                <w:rFonts w:ascii="Arial;Helvetica;sans-serif" w:hAnsi="Arial;Helvetica;sans-serif"/>
                                <w:color w:val="72288A"/>
                                <w:sz w:val="30"/>
                              </w:rPr>
                              <w:t>Item 2</w:t>
                            </w:r>
                            <w:r>
                              <w:rPr>
                                <w:rFonts w:ascii="Arial;Helvetica;sans-serif" w:hAnsi="Arial;Helvetica;sans-serif"/>
                                <w:color w:val="1F1C6B"/>
                                <w:sz w:val="30"/>
                              </w:rPr>
                              <w:t xml:space="preserve"> </w:t>
                            </w:r>
                          </w:p>
                          <w:p>
                            <w:pPr>
                              <w:pStyle w:val="TextBody"/>
                              <w:bidi w:val="0"/>
                              <w:spacing w:before="0" w:after="283"/>
                              <w:ind w:left="1060" w:right="0" w:hanging="0"/>
                              <w:jc w:val="left"/>
                              <w:rPr>
                                <w:rFonts w:ascii="Arial;Helvetica;sans-serif" w:hAnsi="Arial;Helvetica;sans-serif"/>
                                <w:color w:val="1F1C6B"/>
                                <w:sz w:val="44"/>
                              </w:rPr>
                            </w:pPr>
                            <w:r>
                              <w:rPr>
                                <w:rFonts w:ascii="Arial;Helvetica;sans-serif" w:hAnsi="Arial;Helvetica;sans-serif"/>
                                <w:color w:val="1F1C6B"/>
                                <w:sz w:val="44"/>
                              </w:rPr>
                              <w:t xml:space="preserve">Advisory Vote to Approve the 2024 Compensation of the Named Executive Officers of the Company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As required by Section 14A of the Exchange Act, Viatris’ shareholders have the opportunity to vote to approve, on a non-binding, advisory basis, the 2024 compensation of our NEOs as disclosed in this Proxy Statement in accordance with SEC rules, which we also have referred to herein as the “Say-on-Pay vote”.</w:t>
                            </w:r>
                          </w:p>
                          <w:p>
                            <w:pPr>
                              <w:pStyle w:val="TextBody"/>
                              <w:bidi w:val="0"/>
                              <w:spacing w:before="240" w:after="283"/>
                              <w:ind w:left="1060" w:right="0" w:hanging="0"/>
                              <w:jc w:val="left"/>
                              <w:rPr/>
                            </w:pPr>
                            <w:r>
                              <w:rPr>
                                <w:rFonts w:ascii="Arial;Helvetica;sans-serif" w:hAnsi="Arial;Helvetica;sans-serif"/>
                                <w:color w:val="636466"/>
                                <w:sz w:val="18"/>
                              </w:rPr>
                              <w:t xml:space="preserve">As detailed in the Compensation Discussion and Analysis section of this Proxy Statement, which begins on page </w:t>
                            </w:r>
                            <w:hyperlink w:anchor="tCDA">
                              <w:r>
                                <w:rPr>
                                  <w:rStyle w:val="InternetLink"/>
                                  <w:rFonts w:ascii="Arial;Helvetica;sans-serif" w:hAnsi="Arial;Helvetica;sans-serif"/>
                                  <w:color w:val="000080"/>
                                  <w:sz w:val="18"/>
                                </w:rPr>
                                <w:t>43</w:t>
                              </w:r>
                            </w:hyperlink>
                            <w:r>
                              <w:rPr>
                                <w:rFonts w:ascii="Arial;Helvetica;sans-serif" w:hAnsi="Arial;Helvetica;sans-serif"/>
                                <w:color w:val="636466"/>
                                <w:sz w:val="18"/>
                              </w:rPr>
                              <w:t>, our NEO compensation program is designed to incentivize the continued development of our durable business and shareholder value creation over the short- and long-term, while providing a competitive level of compensation to attract, retain, and motivate our talented NEOs. Our program also aligns compensation with performance and shareholder and other stakeholder interests. The Compensation Committee has also continued to enhance our compensation program in connection with robust shareholder engagement and feedback. The Board urges you to consider the factors discussed in the Compensation Discussion and Analysis section when deciding how to vote on this Item 2.</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Given the leadership, dedication, and performance of our NEOs, their proven ability to capitalize on opportunities and manage challenging market conditions, and the strong alignment between pay and performance in our compensation program, the Board recommends that shareholders vote “</w:t>
                            </w:r>
                            <w:r>
                              <w:rPr>
                                <w:rFonts w:ascii="Arial;Helvetica;sans-serif" w:hAnsi="Arial;Helvetica;sans-serif"/>
                                <w:b/>
                                <w:color w:val="636466"/>
                                <w:sz w:val="18"/>
                              </w:rPr>
                              <w:t xml:space="preserve">FOR” </w:t>
                            </w:r>
                            <w:r>
                              <w:rPr>
                                <w:rFonts w:ascii="Arial;Helvetica;sans-serif" w:hAnsi="Arial;Helvetica;sans-serif"/>
                                <w:color w:val="636466"/>
                                <w:sz w:val="18"/>
                              </w:rPr>
                              <w:t>the following resolution at the 2025 Annual Meeting:</w:t>
                            </w:r>
                          </w:p>
                          <w:p>
                            <w:pPr>
                              <w:pStyle w:val="TextBody"/>
                              <w:bidi w:val="0"/>
                              <w:spacing w:before="240" w:after="283"/>
                              <w:ind w:left="1460" w:right="0" w:hanging="0"/>
                              <w:jc w:val="left"/>
                              <w:rPr/>
                            </w:pPr>
                            <w:r>
                              <w:rPr>
                                <w:color w:val="636466"/>
                              </w:rPr>
                              <w:t>“</w:t>
                            </w:r>
                            <w:r>
                              <w:rPr>
                                <w:rFonts w:ascii="Arial;Helvetica;sans-serif" w:hAnsi="Arial;Helvetica;sans-serif"/>
                                <w:b/>
                                <w:color w:val="636466"/>
                                <w:sz w:val="18"/>
                              </w:rPr>
                              <w:t>RESOLVED</w:t>
                            </w:r>
                            <w:r>
                              <w:rPr>
                                <w:rFonts w:ascii="Arial;Helvetica;sans-serif" w:hAnsi="Arial;Helvetica;sans-serif"/>
                                <w:color w:val="636466"/>
                                <w:sz w:val="18"/>
                              </w:rPr>
                              <w:t xml:space="preserve">, that Viatris shareholders approve, on an advisory basis, the 2024 compensation of the Company’s named executive officers, as disclosed on pages </w:t>
                            </w:r>
                            <w:hyperlink w:anchor="tCDA">
                              <w:r>
                                <w:rPr>
                                  <w:rStyle w:val="InternetLink"/>
                                  <w:rFonts w:ascii="Arial;Helvetica;sans-serif" w:hAnsi="Arial;Helvetica;sans-serif"/>
                                  <w:color w:val="000080"/>
                                  <w:sz w:val="18"/>
                                </w:rPr>
                                <w:t>43</w:t>
                              </w:r>
                            </w:hyperlink>
                            <w:r>
                              <w:rPr>
                                <w:rFonts w:ascii="Arial;Helvetica;sans-serif" w:hAnsi="Arial;Helvetica;sans-serif"/>
                                <w:color w:val="636466"/>
                                <w:sz w:val="18"/>
                              </w:rPr>
                              <w:t xml:space="preserve"> to </w:t>
                            </w:r>
                            <w:hyperlink w:anchor="tCPR">
                              <w:r>
                                <w:rPr>
                                  <w:rStyle w:val="InternetLink"/>
                                  <w:rFonts w:ascii="Arial;Helvetica;sans-serif" w:hAnsi="Arial;Helvetica;sans-serif"/>
                                  <w:color w:val="000080"/>
                                  <w:sz w:val="18"/>
                                </w:rPr>
                                <w:t>66</w:t>
                              </w:r>
                            </w:hyperlink>
                            <w:r>
                              <w:rPr>
                                <w:rFonts w:ascii="Arial;Helvetica;sans-serif" w:hAnsi="Arial;Helvetica;sans-serif"/>
                                <w:color w:val="636466"/>
                                <w:sz w:val="18"/>
                              </w:rPr>
                              <w:t xml:space="preserve"> of Viatris’ Proxy Statement for the 2025 Annual Meeting of Shareholders pursuant to Item 402 of Regulation S-K, including the Compensation Discussion and Analysis, the compensation and other tables and narrative discussion.”</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Although advisory and not binding, the Compensation Committee and the Board will take into account the outcome of this vote when considering future compensation arrangements for Viatris’ NEOs as they deem appropriate. We currently provide shareholders with a Say-on-Pay vote on an annual basis and expect that the next such vote will occur at the 2026 annual meeting of shareholders.</w:t>
                            </w:r>
                          </w:p>
                        </w:txbxContent>
                      </wps:txbx>
                      <wps:bodyPr anchor="t" lIns="0" tIns="0" rIns="0" bIns="0">
                        <a:noAutofit/>
                      </wps:bodyPr>
                    </wps:wsp>
                  </a:graphicData>
                </a:graphic>
              </wp:anchor>
            </w:drawing>
          </mc:Choice>
          <mc:Fallback>
            <w:pict>
              <v:rect style="position:absolute;rotation:-0;width:341pt;height:654.15pt;mso-wrap-distance-left:0pt;mso-wrap-distance-right:0pt;mso-wrap-distance-top:0pt;mso-wrap-distance-bottom:0pt;margin-top:0pt;mso-position-vertical:top;mso-position-vertical-relative:text;margin-left:181pt;mso-position-horizontal:left;mso-position-horizontal-relative:text">
                <v:textbox>
                  <w:txbxContent>
                    <w:p>
                      <w:pPr>
                        <w:pStyle w:val="TextBody"/>
                        <w:bidi w:val="0"/>
                        <w:spacing w:before="295" w:after="283"/>
                        <w:ind w:left="1060" w:right="0" w:hanging="0"/>
                        <w:jc w:val="left"/>
                        <w:rPr>
                          <w:rFonts w:ascii="Arial;Helvetica;sans-serif" w:hAnsi="Arial;Helvetica;sans-serif"/>
                          <w:color w:val="72288A"/>
                          <w:sz w:val="30"/>
                        </w:rPr>
                      </w:pPr>
                      <w:bookmarkStart w:id="105" w:name="tAVT2"/>
                      <w:bookmarkEnd w:id="105"/>
                      <w:r>
                        <w:rPr>
                          <w:rFonts w:ascii="Arial;Helvetica;sans-serif" w:hAnsi="Arial;Helvetica;sans-serif"/>
                          <w:color w:val="72288A"/>
                          <w:sz w:val="30"/>
                        </w:rPr>
                        <w:t>Item 2</w:t>
                      </w:r>
                      <w:r>
                        <w:rPr>
                          <w:rFonts w:ascii="Arial;Helvetica;sans-serif" w:hAnsi="Arial;Helvetica;sans-serif"/>
                          <w:color w:val="1F1C6B"/>
                          <w:sz w:val="30"/>
                        </w:rPr>
                        <w:t xml:space="preserve"> </w:t>
                      </w:r>
                    </w:p>
                    <w:p>
                      <w:pPr>
                        <w:pStyle w:val="TextBody"/>
                        <w:bidi w:val="0"/>
                        <w:spacing w:before="0" w:after="283"/>
                        <w:ind w:left="1060" w:right="0" w:hanging="0"/>
                        <w:jc w:val="left"/>
                        <w:rPr>
                          <w:rFonts w:ascii="Arial;Helvetica;sans-serif" w:hAnsi="Arial;Helvetica;sans-serif"/>
                          <w:color w:val="1F1C6B"/>
                          <w:sz w:val="44"/>
                        </w:rPr>
                      </w:pPr>
                      <w:r>
                        <w:rPr>
                          <w:rFonts w:ascii="Arial;Helvetica;sans-serif" w:hAnsi="Arial;Helvetica;sans-serif"/>
                          <w:color w:val="1F1C6B"/>
                          <w:sz w:val="44"/>
                        </w:rPr>
                        <w:t xml:space="preserve">Advisory Vote to Approve the 2024 Compensation of the Named Executive Officers of the Company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As required by Section 14A of the Exchange Act, Viatris’ shareholders have the opportunity to vote to approve, on a non-binding, advisory basis, the 2024 compensation of our NEOs as disclosed in this Proxy Statement in accordance with SEC rules, which we also have referred to herein as the “Say-on-Pay vote”.</w:t>
                      </w:r>
                    </w:p>
                    <w:p>
                      <w:pPr>
                        <w:pStyle w:val="TextBody"/>
                        <w:bidi w:val="0"/>
                        <w:spacing w:before="240" w:after="283"/>
                        <w:ind w:left="1060" w:right="0" w:hanging="0"/>
                        <w:jc w:val="left"/>
                        <w:rPr/>
                      </w:pPr>
                      <w:r>
                        <w:rPr>
                          <w:rFonts w:ascii="Arial;Helvetica;sans-serif" w:hAnsi="Arial;Helvetica;sans-serif"/>
                          <w:color w:val="636466"/>
                          <w:sz w:val="18"/>
                        </w:rPr>
                        <w:t xml:space="preserve">As detailed in the Compensation Discussion and Analysis section of this Proxy Statement, which begins on page </w:t>
                      </w:r>
                      <w:hyperlink w:anchor="tCDA">
                        <w:r>
                          <w:rPr>
                            <w:rStyle w:val="InternetLink"/>
                            <w:rFonts w:ascii="Arial;Helvetica;sans-serif" w:hAnsi="Arial;Helvetica;sans-serif"/>
                            <w:color w:val="000080"/>
                            <w:sz w:val="18"/>
                          </w:rPr>
                          <w:t>43</w:t>
                        </w:r>
                      </w:hyperlink>
                      <w:r>
                        <w:rPr>
                          <w:rFonts w:ascii="Arial;Helvetica;sans-serif" w:hAnsi="Arial;Helvetica;sans-serif"/>
                          <w:color w:val="636466"/>
                          <w:sz w:val="18"/>
                        </w:rPr>
                        <w:t>, our NEO compensation program is designed to incentivize the continued development of our durable business and shareholder value creation over the short- and long-term, while providing a competitive level of compensation to attract, retain, and motivate our talented NEOs. Our program also aligns compensation with performance and shareholder and other stakeholder interests. The Compensation Committee has also continued to enhance our compensation program in connection with robust shareholder engagement and feedback. The Board urges you to consider the factors discussed in the Compensation Discussion and Analysis section when deciding how to vote on this Item 2.</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Given the leadership, dedication, and performance of our NEOs, their proven ability to capitalize on opportunities and manage challenging market conditions, and the strong alignment between pay and performance in our compensation program, the Board recommends that shareholders vote “</w:t>
                      </w:r>
                      <w:r>
                        <w:rPr>
                          <w:rFonts w:ascii="Arial;Helvetica;sans-serif" w:hAnsi="Arial;Helvetica;sans-serif"/>
                          <w:b/>
                          <w:color w:val="636466"/>
                          <w:sz w:val="18"/>
                        </w:rPr>
                        <w:t xml:space="preserve">FOR” </w:t>
                      </w:r>
                      <w:r>
                        <w:rPr>
                          <w:rFonts w:ascii="Arial;Helvetica;sans-serif" w:hAnsi="Arial;Helvetica;sans-serif"/>
                          <w:color w:val="636466"/>
                          <w:sz w:val="18"/>
                        </w:rPr>
                        <w:t>the following resolution at the 2025 Annual Meeting:</w:t>
                      </w:r>
                    </w:p>
                    <w:p>
                      <w:pPr>
                        <w:pStyle w:val="TextBody"/>
                        <w:bidi w:val="0"/>
                        <w:spacing w:before="240" w:after="283"/>
                        <w:ind w:left="1460" w:right="0" w:hanging="0"/>
                        <w:jc w:val="left"/>
                        <w:rPr/>
                      </w:pPr>
                      <w:r>
                        <w:rPr>
                          <w:color w:val="636466"/>
                        </w:rPr>
                        <w:t>“</w:t>
                      </w:r>
                      <w:r>
                        <w:rPr>
                          <w:rFonts w:ascii="Arial;Helvetica;sans-serif" w:hAnsi="Arial;Helvetica;sans-serif"/>
                          <w:b/>
                          <w:color w:val="636466"/>
                          <w:sz w:val="18"/>
                        </w:rPr>
                        <w:t>RESOLVED</w:t>
                      </w:r>
                      <w:r>
                        <w:rPr>
                          <w:rFonts w:ascii="Arial;Helvetica;sans-serif" w:hAnsi="Arial;Helvetica;sans-serif"/>
                          <w:color w:val="636466"/>
                          <w:sz w:val="18"/>
                        </w:rPr>
                        <w:t xml:space="preserve">, that Viatris shareholders approve, on an advisory basis, the 2024 compensation of the Company’s named executive officers, as disclosed on pages </w:t>
                      </w:r>
                      <w:hyperlink w:anchor="tCDA">
                        <w:r>
                          <w:rPr>
                            <w:rStyle w:val="InternetLink"/>
                            <w:rFonts w:ascii="Arial;Helvetica;sans-serif" w:hAnsi="Arial;Helvetica;sans-serif"/>
                            <w:color w:val="000080"/>
                            <w:sz w:val="18"/>
                          </w:rPr>
                          <w:t>43</w:t>
                        </w:r>
                      </w:hyperlink>
                      <w:r>
                        <w:rPr>
                          <w:rFonts w:ascii="Arial;Helvetica;sans-serif" w:hAnsi="Arial;Helvetica;sans-serif"/>
                          <w:color w:val="636466"/>
                          <w:sz w:val="18"/>
                        </w:rPr>
                        <w:t xml:space="preserve"> to </w:t>
                      </w:r>
                      <w:hyperlink w:anchor="tCPR">
                        <w:r>
                          <w:rPr>
                            <w:rStyle w:val="InternetLink"/>
                            <w:rFonts w:ascii="Arial;Helvetica;sans-serif" w:hAnsi="Arial;Helvetica;sans-serif"/>
                            <w:color w:val="000080"/>
                            <w:sz w:val="18"/>
                          </w:rPr>
                          <w:t>66</w:t>
                        </w:r>
                      </w:hyperlink>
                      <w:r>
                        <w:rPr>
                          <w:rFonts w:ascii="Arial;Helvetica;sans-serif" w:hAnsi="Arial;Helvetica;sans-serif"/>
                          <w:color w:val="636466"/>
                          <w:sz w:val="18"/>
                        </w:rPr>
                        <w:t xml:space="preserve"> of Viatris’ Proxy Statement for the 2025 Annual Meeting of Shareholders pursuant to Item 402 of Regulation S-K, including the Compensation Discussion and Analysis, the compensation and other tables and narrative discussion.”</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Although advisory and not binding, the Compensation Committee and the Board will take into account the outcome of this vote when considering future compensation arrangements for Viatris’ NEOs as they deem appropriate. We currently provide shareholders with a Say-on-Pay vote on an annual basis and expect that the next such vote will occur at the 2026 annual meeting of shareholders.</w:t>
                      </w:r>
                    </w:p>
                  </w:txbxContent>
                </v:textbox>
                <w10:wrap type="square" side="right"/>
              </v:rect>
            </w:pict>
          </mc:Fallback>
        </mc:AlternateContent>
      </w:r>
    </w:p>
    <w:tbl>
      <w:tblPr>
        <w:tblW w:w="4980" w:type="dxa"/>
        <w:jc w:val="left"/>
        <w:tblInd w:w="106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42 | 2025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178"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56" descr=""/>
                          <pic:cNvPicPr>
                            <a:picLocks noChangeAspect="1" noChangeArrowheads="1"/>
                          </pic:cNvPicPr>
                        </pic:nvPicPr>
                        <pic:blipFill>
                          <a:blip r:embed="rId167"/>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179"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57" descr=""/>
                    <pic:cNvPicPr>
                      <a:picLocks noChangeAspect="1" noChangeArrowheads="1"/>
                    </pic:cNvPicPr>
                  </pic:nvPicPr>
                  <pic:blipFill>
                    <a:blip r:embed="rId168"/>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06" w:name="ny20055082x771_def14a_110-cda_pg1"/>
        <w:bookmarkEnd w:id="106"/>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1060" w:right="0" w:hanging="0"/>
        <w:jc w:val="left"/>
        <w:rPr>
          <w:color w:val="000000"/>
        </w:rPr>
      </w:pPr>
      <w:r>
        <w:rPr>
          <w:color w:val="000000"/>
        </w:rPr>
        <w:drawing>
          <wp:inline distT="0" distB="0" distL="0" distR="0">
            <wp:extent cx="685800" cy="190500"/>
            <wp:effectExtent l="0" t="0" r="0" b="0"/>
            <wp:docPr id="180"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58" descr=""/>
                    <pic:cNvPicPr>
                      <a:picLocks noChangeAspect="1" noChangeArrowheads="1"/>
                    </pic:cNvPicPr>
                  </pic:nvPicPr>
                  <pic:blipFill>
                    <a:blip r:embed="rId169"/>
                    <a:stretch>
                      <a:fillRect/>
                    </a:stretch>
                  </pic:blipFill>
                  <pic:spPr bwMode="auto">
                    <a:xfrm>
                      <a:off x="0" y="0"/>
                      <a:ext cx="685800" cy="190500"/>
                    </a:xfrm>
                    <a:prstGeom prst="rect">
                      <a:avLst/>
                    </a:prstGeom>
                  </pic:spPr>
                </pic:pic>
              </a:graphicData>
            </a:graphic>
          </wp:inline>
        </w:drawing>
      </w:r>
    </w:p>
    <w:p>
      <w:pPr>
        <w:pStyle w:val="TextBody"/>
        <w:bidi w:val="0"/>
        <w:spacing w:before="295" w:after="283"/>
        <w:ind w:left="1060" w:right="0" w:hanging="0"/>
        <w:jc w:val="left"/>
        <w:rPr>
          <w:rFonts w:ascii="Arial;Helvetica;sans-serif" w:hAnsi="Arial;Helvetica;sans-serif"/>
          <w:color w:val="1F1C6B"/>
          <w:sz w:val="44"/>
        </w:rPr>
      </w:pPr>
      <w:bookmarkStart w:id="107" w:name="tCDA"/>
      <w:bookmarkEnd w:id="107"/>
      <w:r>
        <w:rPr>
          <w:rFonts w:ascii="Arial;Helvetica;sans-serif" w:hAnsi="Arial;Helvetica;sans-serif"/>
          <w:color w:val="1F1C6B"/>
          <w:sz w:val="44"/>
        </w:rPr>
        <w:t xml:space="preserve">Compensation Discussion and Analysis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This Compensation Discussion and Analysis (“CD&amp;A”) describes the compensation of our Named Executive Officers (“NEOs”) for 2024. Our compensation program continues to be closely aligned to the Company’s performance objectives and is designed to attract, retain, and incentivize our key leaders. </w:t>
      </w:r>
    </w:p>
    <w:p>
      <w:pPr>
        <w:pStyle w:val="Normal"/>
        <w:bidi w:val="0"/>
        <w:spacing w:before="0" w:after="0"/>
        <w:ind w:left="106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2286000" cy="9445625"/>
                <wp:effectExtent l="0" t="0" r="0" b="0"/>
                <wp:wrapSquare wrapText="right"/>
                <wp:docPr id="181" name="Frame13"/>
                <a:graphic xmlns:a="http://schemas.openxmlformats.org/drawingml/2006/main">
                  <a:graphicData uri="http://schemas.microsoft.com/office/word/2010/wordprocessingShape">
                    <wps:wsp>
                      <wps:cNvSpPr txBox="1"/>
                      <wps:spPr>
                        <a:xfrm>
                          <a:off x="0" y="0"/>
                          <a:ext cx="2286000" cy="9445625"/>
                        </a:xfrm>
                        <a:prstGeom prst="rect"/>
                        <a:solidFill>
                          <a:srgbClr val="FFFFFF"/>
                        </a:solidFill>
                      </wps:spPr>
                      <wps:txbx>
                        <w:txbxContent>
                          <w:p>
                            <w:pPr>
                              <w:pStyle w:val="TextBody"/>
                              <w:bidi w:val="0"/>
                              <w:spacing w:before="160" w:after="283"/>
                              <w:ind w:left="1060" w:right="0" w:hanging="0"/>
                              <w:jc w:val="left"/>
                              <w:rPr>
                                <w:rFonts w:ascii="Arial;Helvetica;sans-serif" w:hAnsi="Arial;Helvetica;sans-serif"/>
                                <w:color w:val="1F1C6B"/>
                                <w:sz w:val="24"/>
                              </w:rPr>
                            </w:pPr>
                            <w:bookmarkStart w:id="108" w:name="tNEO"/>
                            <w:bookmarkEnd w:id="108"/>
                            <w:r>
                              <w:rPr>
                                <w:rFonts w:ascii="Arial;Helvetica;sans-serif" w:hAnsi="Arial;Helvetica;sans-serif"/>
                                <w:color w:val="1F1C6B"/>
                                <w:sz w:val="24"/>
                              </w:rPr>
                              <w:t xml:space="preserve">Named Executive Officers </w:t>
                            </w:r>
                          </w:p>
                          <w:tbl>
                            <w:tblPr>
                              <w:tblW w:w="5730" w:type="dxa"/>
                              <w:jc w:val="left"/>
                              <w:tblInd w:w="1060" w:type="dxa"/>
                              <w:tblLayout w:type="fixed"/>
                              <w:tblCellMar>
                                <w:top w:w="0" w:type="dxa"/>
                                <w:left w:w="0" w:type="dxa"/>
                                <w:bottom w:w="0" w:type="dxa"/>
                                <w:right w:w="0" w:type="dxa"/>
                              </w:tblCellMar>
                            </w:tblPr>
                            <w:tblGrid>
                              <w:gridCol w:w="1245"/>
                              <w:gridCol w:w="170"/>
                              <w:gridCol w:w="170"/>
                              <w:gridCol w:w="4145"/>
                            </w:tblGrid>
                            <w:tr>
                              <w:trPr/>
                              <w:tc>
                                <w:tcPr>
                                  <w:tcW w:w="12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45" w:type="dxa"/>
                                  <w:tcBorders/>
                                  <w:vAlign w:val="center"/>
                                </w:tcPr>
                                <w:p>
                                  <w:pPr>
                                    <w:pStyle w:val="TableContents"/>
                                    <w:bidi w:val="0"/>
                                    <w:spacing w:before="0" w:after="0"/>
                                    <w:jc w:val="left"/>
                                    <w:rPr/>
                                  </w:pPr>
                                  <w:r>
                                    <w:rPr/>
                                    <w:t> </w:t>
                                  </w:r>
                                </w:p>
                              </w:tc>
                            </w:tr>
                            <w:tr>
                              <w:trPr/>
                              <w:tc>
                                <w:tcPr>
                                  <w:tcW w:w="1245" w:type="dxa"/>
                                  <w:tcBorders>
                                    <w:bottom w:val="single" w:sz="8" w:space="0" w:color="636466"/>
                                  </w:tcBorders>
                                  <w:tcMar>
                                    <w:bottom w:w="140" w:type="dxa"/>
                                  </w:tcMar>
                                  <w:vAlign w:val="center"/>
                                </w:tcPr>
                                <w:p>
                                  <w:pPr>
                                    <w:pStyle w:val="TableContents"/>
                                    <w:bidi w:val="0"/>
                                    <w:spacing w:before="0" w:after="283"/>
                                    <w:ind w:left="0" w:right="0" w:hanging="0"/>
                                    <w:jc w:val="left"/>
                                    <w:rPr>
                                      <w:color w:val="000000"/>
                                    </w:rPr>
                                  </w:pPr>
                                  <w:r>
                                    <w:rPr>
                                      <w:color w:val="000000"/>
                                    </w:rPr>
                                    <w:drawing>
                                      <wp:inline distT="0" distB="0" distL="0" distR="0">
                                        <wp:extent cx="762000" cy="762000"/>
                                        <wp:effectExtent l="0" t="0" r="0" b="0"/>
                                        <wp:docPr id="182"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59" descr=""/>
                                                <pic:cNvPicPr>
                                                  <a:picLocks noChangeAspect="1" noChangeArrowheads="1"/>
                                                </pic:cNvPicPr>
                                              </pic:nvPicPr>
                                              <pic:blipFill>
                                                <a:blip r:embed="rId170"/>
                                                <a:stretch>
                                                  <a:fillRect/>
                                                </a:stretch>
                                              </pic:blipFill>
                                              <pic:spPr bwMode="auto">
                                                <a:xfrm>
                                                  <a:off x="0" y="0"/>
                                                  <a:ext cx="762000" cy="7620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c>
                                <w:tcPr>
                                  <w:tcW w:w="170" w:type="dxa"/>
                                  <w:tcBorders>
                                    <w:bottom w:val="single" w:sz="8" w:space="0" w:color="636466"/>
                                  </w:tcBorders>
                                  <w:tcMar>
                                    <w:bottom w:w="28" w:type="dxa"/>
                                  </w:tcMar>
                                  <w:vAlign w:val="center"/>
                                </w:tcPr>
                                <w:p>
                                  <w:pPr>
                                    <w:pStyle w:val="TableContents"/>
                                    <w:bidi w:val="0"/>
                                    <w:spacing w:before="0" w:after="0"/>
                                    <w:jc w:val="left"/>
                                    <w:rPr/>
                                  </w:pPr>
                                  <w:r>
                                    <w:rPr/>
                                    <w:t> </w:t>
                                  </w:r>
                                </w:p>
                              </w:tc>
                              <w:tc>
                                <w:tcPr>
                                  <w:tcW w:w="170" w:type="dxa"/>
                                  <w:tcBorders>
                                    <w:bottom w:val="single" w:sz="8" w:space="0" w:color="636466"/>
                                  </w:tcBorders>
                                  <w:tcMar>
                                    <w:bottom w:w="28" w:type="dxa"/>
                                  </w:tcMar>
                                  <w:vAlign w:val="center"/>
                                </w:tcPr>
                                <w:p>
                                  <w:pPr>
                                    <w:pStyle w:val="TableContents"/>
                                    <w:bidi w:val="0"/>
                                    <w:spacing w:before="0" w:after="0"/>
                                    <w:jc w:val="left"/>
                                    <w:rPr/>
                                  </w:pPr>
                                  <w:r>
                                    <w:rPr/>
                                    <w:t> </w:t>
                                  </w:r>
                                </w:p>
                              </w:tc>
                              <w:tc>
                                <w:tcPr>
                                  <w:tcW w:w="4145" w:type="dxa"/>
                                  <w:tcBorders>
                                    <w:bottom w:val="single" w:sz="8" w:space="0" w:color="636466"/>
                                  </w:tcBorders>
                                  <w:tcMar>
                                    <w:bottom w:w="140" w:type="dxa"/>
                                  </w:tcMar>
                                  <w:vAlign w:val="center"/>
                                </w:tcPr>
                                <w:p>
                                  <w:pPr>
                                    <w:pStyle w:val="TableContents"/>
                                    <w:bidi w:val="0"/>
                                    <w:spacing w:before="0" w:after="283"/>
                                    <w:ind w:left="0" w:right="0" w:hanging="0"/>
                                    <w:jc w:val="left"/>
                                    <w:rPr>
                                      <w:rFonts w:ascii="Arial;Helvetica;sans-serif" w:hAnsi="Arial;Helvetica;sans-serif"/>
                                      <w:b/>
                                      <w:color w:val="72288A"/>
                                      <w:sz w:val="22"/>
                                    </w:rPr>
                                  </w:pPr>
                                  <w:r>
                                    <w:rPr>
                                      <w:rFonts w:ascii="Arial;Helvetica;sans-serif" w:hAnsi="Arial;Helvetica;sans-serif"/>
                                      <w:b/>
                                      <w:color w:val="72288A"/>
                                      <w:sz w:val="22"/>
                                    </w:rPr>
                                    <w:t>Scott A. Smith</w:t>
                                  </w:r>
                                  <w:r>
                                    <w:rPr>
                                      <w:rFonts w:ascii="Arial;Helvetica;sans-serif" w:hAnsi="Arial;Helvetica;sans-serif"/>
                                      <w:b/>
                                      <w:color w:val="636466"/>
                                      <w:sz w:val="22"/>
                                    </w:rPr>
                                    <w:t xml:space="preserve"> </w:t>
                                  </w:r>
                                </w:p>
                                <w:p>
                                  <w:pPr>
                                    <w:pStyle w:val="TableContents"/>
                                    <w:bidi w:val="0"/>
                                    <w:spacing w:before="0" w:after="283"/>
                                    <w:ind w:left="0" w:right="0" w:hanging="0"/>
                                    <w:jc w:val="left"/>
                                    <w:rPr>
                                      <w:rFonts w:ascii="Arial;Helvetica;sans-serif" w:hAnsi="Arial;Helvetica;sans-serif"/>
                                      <w:b w:val="false"/>
                                      <w:color w:val="636466"/>
                                      <w:sz w:val="18"/>
                                    </w:rPr>
                                  </w:pPr>
                                  <w:r>
                                    <w:rPr>
                                      <w:rFonts w:ascii="Arial;Helvetica;sans-serif" w:hAnsi="Arial;Helvetica;sans-serif"/>
                                      <w:b w:val="false"/>
                                      <w:color w:val="636466"/>
                                      <w:sz w:val="18"/>
                                    </w:rPr>
                                    <w:t>Chief Executive Officer</w:t>
                                  </w:r>
                                </w:p>
                              </w:tc>
                            </w:tr>
                            <w:tr>
                              <w:trPr/>
                              <w:tc>
                                <w:tcPr>
                                  <w:tcW w:w="1245" w:type="dxa"/>
                                  <w:tcBorders>
                                    <w:bottom w:val="single" w:sz="8" w:space="0" w:color="636466"/>
                                  </w:tcBorders>
                                  <w:tcMar>
                                    <w:bottom w:w="140" w:type="dxa"/>
                                  </w:tcMar>
                                  <w:vAlign w:val="center"/>
                                </w:tcPr>
                                <w:p>
                                  <w:pPr>
                                    <w:pStyle w:val="TableContents"/>
                                    <w:bidi w:val="0"/>
                                    <w:spacing w:before="0" w:after="283"/>
                                    <w:ind w:left="0" w:right="0" w:hanging="0"/>
                                    <w:jc w:val="left"/>
                                    <w:rPr>
                                      <w:color w:val="000000"/>
                                    </w:rPr>
                                  </w:pPr>
                                  <w:r>
                                    <w:rPr>
                                      <w:color w:val="000000"/>
                                    </w:rPr>
                                    <w:drawing>
                                      <wp:inline distT="0" distB="0" distL="0" distR="0">
                                        <wp:extent cx="762000" cy="762000"/>
                                        <wp:effectExtent l="0" t="0" r="0" b="0"/>
                                        <wp:docPr id="183"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60" descr=""/>
                                                <pic:cNvPicPr>
                                                  <a:picLocks noChangeAspect="1" noChangeArrowheads="1"/>
                                                </pic:cNvPicPr>
                                              </pic:nvPicPr>
                                              <pic:blipFill>
                                                <a:blip r:embed="rId171"/>
                                                <a:stretch>
                                                  <a:fillRect/>
                                                </a:stretch>
                                              </pic:blipFill>
                                              <pic:spPr bwMode="auto">
                                                <a:xfrm>
                                                  <a:off x="0" y="0"/>
                                                  <a:ext cx="762000" cy="7620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bottom w:val="single" w:sz="8" w:space="0" w:color="636466"/>
                                  </w:tcBorders>
                                  <w:tcMar>
                                    <w:bottom w:w="28" w:type="dxa"/>
                                  </w:tcMar>
                                  <w:vAlign w:val="center"/>
                                </w:tcPr>
                                <w:p>
                                  <w:pPr>
                                    <w:pStyle w:val="TableContents"/>
                                    <w:bidi w:val="0"/>
                                    <w:spacing w:before="0" w:after="0"/>
                                    <w:jc w:val="left"/>
                                    <w:rPr/>
                                  </w:pPr>
                                  <w:r>
                                    <w:rPr/>
                                    <w:t> </w:t>
                                  </w:r>
                                </w:p>
                              </w:tc>
                              <w:tc>
                                <w:tcPr>
                                  <w:tcW w:w="170" w:type="dxa"/>
                                  <w:tcBorders>
                                    <w:bottom w:val="single" w:sz="8" w:space="0" w:color="636466"/>
                                  </w:tcBorders>
                                  <w:tcMar>
                                    <w:bottom w:w="28" w:type="dxa"/>
                                  </w:tcMar>
                                  <w:vAlign w:val="center"/>
                                </w:tcPr>
                                <w:p>
                                  <w:pPr>
                                    <w:pStyle w:val="TableContents"/>
                                    <w:bidi w:val="0"/>
                                    <w:spacing w:before="0" w:after="0"/>
                                    <w:jc w:val="left"/>
                                    <w:rPr/>
                                  </w:pPr>
                                  <w:r>
                                    <w:rPr/>
                                    <w:t> </w:t>
                                  </w:r>
                                </w:p>
                              </w:tc>
                              <w:tc>
                                <w:tcPr>
                                  <w:tcW w:w="4145" w:type="dxa"/>
                                  <w:tcBorders>
                                    <w:bottom w:val="single" w:sz="8" w:space="0" w:color="636466"/>
                                  </w:tcBorders>
                                  <w:tcMar>
                                    <w:bottom w:w="140" w:type="dxa"/>
                                  </w:tcMar>
                                  <w:vAlign w:val="center"/>
                                </w:tcPr>
                                <w:p>
                                  <w:pPr>
                                    <w:pStyle w:val="TableContents"/>
                                    <w:bidi w:val="0"/>
                                    <w:spacing w:before="0" w:after="283"/>
                                    <w:ind w:left="0" w:right="0" w:hanging="0"/>
                                    <w:jc w:val="left"/>
                                    <w:rPr>
                                      <w:rFonts w:ascii="Arial;Helvetica;sans-serif" w:hAnsi="Arial;Helvetica;sans-serif"/>
                                      <w:b/>
                                      <w:color w:val="72288A"/>
                                      <w:sz w:val="22"/>
                                    </w:rPr>
                                  </w:pPr>
                                  <w:r>
                                    <w:rPr>
                                      <w:rFonts w:ascii="Arial;Helvetica;sans-serif" w:hAnsi="Arial;Helvetica;sans-serif"/>
                                      <w:b/>
                                      <w:color w:val="72288A"/>
                                      <w:sz w:val="22"/>
                                    </w:rPr>
                                    <w:t>Doretta Mistras</w:t>
                                  </w:r>
                                  <w:r>
                                    <w:rPr>
                                      <w:rFonts w:ascii="Arial;Helvetica;sans-serif" w:hAnsi="Arial;Helvetica;sans-serif"/>
                                      <w:b/>
                                      <w:color w:val="636466"/>
                                      <w:sz w:val="22"/>
                                    </w:rPr>
                                    <w:t xml:space="preserve"> </w:t>
                                  </w:r>
                                </w:p>
                                <w:p>
                                  <w:pPr>
                                    <w:pStyle w:val="TableContents"/>
                                    <w:bidi w:val="0"/>
                                    <w:spacing w:before="0" w:after="283"/>
                                    <w:ind w:left="0" w:right="0" w:hanging="0"/>
                                    <w:jc w:val="left"/>
                                    <w:rPr>
                                      <w:rFonts w:ascii="Arial;Helvetica;sans-serif" w:hAnsi="Arial;Helvetica;sans-serif"/>
                                      <w:b w:val="false"/>
                                      <w:color w:val="636466"/>
                                      <w:sz w:val="18"/>
                                    </w:rPr>
                                  </w:pPr>
                                  <w:r>
                                    <w:rPr>
                                      <w:rFonts w:ascii="Arial;Helvetica;sans-serif" w:hAnsi="Arial;Helvetica;sans-serif"/>
                                      <w:b w:val="false"/>
                                      <w:color w:val="636466"/>
                                      <w:sz w:val="18"/>
                                    </w:rPr>
                                    <w:t>Chief Financial Officer</w:t>
                                  </w:r>
                                </w:p>
                              </w:tc>
                            </w:tr>
                            <w:tr>
                              <w:trPr/>
                              <w:tc>
                                <w:tcPr>
                                  <w:tcW w:w="1245" w:type="dxa"/>
                                  <w:tcBorders>
                                    <w:bottom w:val="single" w:sz="8" w:space="0" w:color="636466"/>
                                  </w:tcBorders>
                                  <w:tcMar>
                                    <w:bottom w:w="140" w:type="dxa"/>
                                  </w:tcMar>
                                  <w:vAlign w:val="center"/>
                                </w:tcPr>
                                <w:p>
                                  <w:pPr>
                                    <w:pStyle w:val="TableContents"/>
                                    <w:bidi w:val="0"/>
                                    <w:spacing w:before="0" w:after="283"/>
                                    <w:ind w:left="0" w:right="0" w:hanging="0"/>
                                    <w:jc w:val="left"/>
                                    <w:rPr>
                                      <w:color w:val="000000"/>
                                    </w:rPr>
                                  </w:pPr>
                                  <w:r>
                                    <w:rPr>
                                      <w:color w:val="000000"/>
                                    </w:rPr>
                                    <w:drawing>
                                      <wp:inline distT="0" distB="0" distL="0" distR="0">
                                        <wp:extent cx="762000" cy="762000"/>
                                        <wp:effectExtent l="0" t="0" r="0" b="0"/>
                                        <wp:docPr id="184"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61" descr=""/>
                                                <pic:cNvPicPr>
                                                  <a:picLocks noChangeAspect="1" noChangeArrowheads="1"/>
                                                </pic:cNvPicPr>
                                              </pic:nvPicPr>
                                              <pic:blipFill>
                                                <a:blip r:embed="rId172"/>
                                                <a:stretch>
                                                  <a:fillRect/>
                                                </a:stretch>
                                              </pic:blipFill>
                                              <pic:spPr bwMode="auto">
                                                <a:xfrm>
                                                  <a:off x="0" y="0"/>
                                                  <a:ext cx="762000" cy="7620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bottom w:val="single" w:sz="8" w:space="0" w:color="636466"/>
                                  </w:tcBorders>
                                  <w:tcMar>
                                    <w:bottom w:w="28" w:type="dxa"/>
                                  </w:tcMar>
                                  <w:vAlign w:val="center"/>
                                </w:tcPr>
                                <w:p>
                                  <w:pPr>
                                    <w:pStyle w:val="TableContents"/>
                                    <w:bidi w:val="0"/>
                                    <w:spacing w:before="0" w:after="0"/>
                                    <w:jc w:val="left"/>
                                    <w:rPr/>
                                  </w:pPr>
                                  <w:r>
                                    <w:rPr/>
                                    <w:t> </w:t>
                                  </w:r>
                                </w:p>
                              </w:tc>
                              <w:tc>
                                <w:tcPr>
                                  <w:tcW w:w="170" w:type="dxa"/>
                                  <w:tcBorders>
                                    <w:bottom w:val="single" w:sz="8" w:space="0" w:color="636466"/>
                                  </w:tcBorders>
                                  <w:tcMar>
                                    <w:bottom w:w="28" w:type="dxa"/>
                                  </w:tcMar>
                                  <w:vAlign w:val="center"/>
                                </w:tcPr>
                                <w:p>
                                  <w:pPr>
                                    <w:pStyle w:val="TableContents"/>
                                    <w:bidi w:val="0"/>
                                    <w:spacing w:before="0" w:after="0"/>
                                    <w:jc w:val="left"/>
                                    <w:rPr/>
                                  </w:pPr>
                                  <w:r>
                                    <w:rPr/>
                                    <w:t> </w:t>
                                  </w:r>
                                </w:p>
                              </w:tc>
                              <w:tc>
                                <w:tcPr>
                                  <w:tcW w:w="4145" w:type="dxa"/>
                                  <w:tcBorders>
                                    <w:bottom w:val="single" w:sz="8" w:space="0" w:color="636466"/>
                                  </w:tcBorders>
                                  <w:tcMar>
                                    <w:bottom w:w="140" w:type="dxa"/>
                                  </w:tcMar>
                                  <w:vAlign w:val="center"/>
                                </w:tcPr>
                                <w:p>
                                  <w:pPr>
                                    <w:pStyle w:val="TableContents"/>
                                    <w:bidi w:val="0"/>
                                    <w:spacing w:before="0" w:after="283"/>
                                    <w:ind w:left="0" w:right="0" w:hanging="0"/>
                                    <w:jc w:val="left"/>
                                    <w:rPr>
                                      <w:rFonts w:ascii="Arial;Helvetica;sans-serif" w:hAnsi="Arial;Helvetica;sans-serif"/>
                                      <w:b/>
                                      <w:color w:val="72288A"/>
                                      <w:sz w:val="22"/>
                                    </w:rPr>
                                  </w:pPr>
                                  <w:r>
                                    <w:rPr>
                                      <w:rFonts w:ascii="Arial;Helvetica;sans-serif" w:hAnsi="Arial;Helvetica;sans-serif"/>
                                      <w:b/>
                                      <w:color w:val="72288A"/>
                                      <w:sz w:val="22"/>
                                    </w:rPr>
                                    <w:t>Corinne Le Goff</w:t>
                                  </w:r>
                                  <w:r>
                                    <w:rPr>
                                      <w:rFonts w:ascii="Arial;Helvetica;sans-serif" w:hAnsi="Arial;Helvetica;sans-serif"/>
                                      <w:b/>
                                      <w:color w:val="636466"/>
                                      <w:sz w:val="22"/>
                                    </w:rPr>
                                    <w:t xml:space="preserve"> </w:t>
                                  </w:r>
                                </w:p>
                                <w:p>
                                  <w:pPr>
                                    <w:pStyle w:val="TableContents"/>
                                    <w:bidi w:val="0"/>
                                    <w:spacing w:before="0" w:after="283"/>
                                    <w:ind w:left="0" w:right="0" w:hanging="0"/>
                                    <w:jc w:val="left"/>
                                    <w:rPr>
                                      <w:rFonts w:ascii="Arial;Helvetica;sans-serif" w:hAnsi="Arial;Helvetica;sans-serif"/>
                                      <w:b w:val="false"/>
                                      <w:color w:val="636466"/>
                                      <w:sz w:val="18"/>
                                    </w:rPr>
                                  </w:pPr>
                                  <w:r>
                                    <w:rPr>
                                      <w:rFonts w:ascii="Arial;Helvetica;sans-serif" w:hAnsi="Arial;Helvetica;sans-serif"/>
                                      <w:b w:val="false"/>
                                      <w:color w:val="636466"/>
                                      <w:sz w:val="18"/>
                                    </w:rPr>
                                    <w:t>Chief Commercial Officer</w:t>
                                  </w:r>
                                </w:p>
                              </w:tc>
                            </w:tr>
                            <w:tr>
                              <w:trPr/>
                              <w:tc>
                                <w:tcPr>
                                  <w:tcW w:w="1245" w:type="dxa"/>
                                  <w:tcBorders>
                                    <w:bottom w:val="single" w:sz="8" w:space="0" w:color="636466"/>
                                  </w:tcBorders>
                                  <w:tcMar>
                                    <w:bottom w:w="140" w:type="dxa"/>
                                  </w:tcMar>
                                  <w:vAlign w:val="center"/>
                                </w:tcPr>
                                <w:p>
                                  <w:pPr>
                                    <w:pStyle w:val="TableContents"/>
                                    <w:bidi w:val="0"/>
                                    <w:spacing w:before="0" w:after="283"/>
                                    <w:ind w:left="0" w:right="0" w:hanging="0"/>
                                    <w:jc w:val="left"/>
                                    <w:rPr>
                                      <w:color w:val="000000"/>
                                    </w:rPr>
                                  </w:pPr>
                                  <w:r>
                                    <w:rPr>
                                      <w:color w:val="000000"/>
                                    </w:rPr>
                                    <w:drawing>
                                      <wp:inline distT="0" distB="0" distL="0" distR="0">
                                        <wp:extent cx="762000" cy="762000"/>
                                        <wp:effectExtent l="0" t="0" r="0" b="0"/>
                                        <wp:docPr id="185"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62" descr=""/>
                                                <pic:cNvPicPr>
                                                  <a:picLocks noChangeAspect="1" noChangeArrowheads="1"/>
                                                </pic:cNvPicPr>
                                              </pic:nvPicPr>
                                              <pic:blipFill>
                                                <a:blip r:embed="rId173"/>
                                                <a:stretch>
                                                  <a:fillRect/>
                                                </a:stretch>
                                              </pic:blipFill>
                                              <pic:spPr bwMode="auto">
                                                <a:xfrm>
                                                  <a:off x="0" y="0"/>
                                                  <a:ext cx="762000" cy="7620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bottom w:val="single" w:sz="8" w:space="0" w:color="636466"/>
                                  </w:tcBorders>
                                  <w:tcMar>
                                    <w:bottom w:w="28" w:type="dxa"/>
                                  </w:tcMar>
                                  <w:vAlign w:val="center"/>
                                </w:tcPr>
                                <w:p>
                                  <w:pPr>
                                    <w:pStyle w:val="TableContents"/>
                                    <w:bidi w:val="0"/>
                                    <w:spacing w:before="0" w:after="0"/>
                                    <w:jc w:val="left"/>
                                    <w:rPr/>
                                  </w:pPr>
                                  <w:r>
                                    <w:rPr/>
                                    <w:t> </w:t>
                                  </w:r>
                                </w:p>
                              </w:tc>
                              <w:tc>
                                <w:tcPr>
                                  <w:tcW w:w="170" w:type="dxa"/>
                                  <w:tcBorders>
                                    <w:bottom w:val="single" w:sz="8" w:space="0" w:color="636466"/>
                                  </w:tcBorders>
                                  <w:tcMar>
                                    <w:bottom w:w="28" w:type="dxa"/>
                                  </w:tcMar>
                                  <w:vAlign w:val="center"/>
                                </w:tcPr>
                                <w:p>
                                  <w:pPr>
                                    <w:pStyle w:val="TableContents"/>
                                    <w:bidi w:val="0"/>
                                    <w:spacing w:before="0" w:after="0"/>
                                    <w:jc w:val="left"/>
                                    <w:rPr/>
                                  </w:pPr>
                                  <w:r>
                                    <w:rPr/>
                                    <w:t> </w:t>
                                  </w:r>
                                </w:p>
                              </w:tc>
                              <w:tc>
                                <w:tcPr>
                                  <w:tcW w:w="4145" w:type="dxa"/>
                                  <w:tcBorders>
                                    <w:bottom w:val="single" w:sz="8" w:space="0" w:color="636466"/>
                                  </w:tcBorders>
                                  <w:tcMar>
                                    <w:bottom w:w="140" w:type="dxa"/>
                                  </w:tcMar>
                                  <w:vAlign w:val="center"/>
                                </w:tcPr>
                                <w:p>
                                  <w:pPr>
                                    <w:pStyle w:val="TableContents"/>
                                    <w:bidi w:val="0"/>
                                    <w:spacing w:before="0" w:after="283"/>
                                    <w:ind w:left="0" w:right="0" w:hanging="0"/>
                                    <w:jc w:val="left"/>
                                    <w:rPr>
                                      <w:rFonts w:ascii="Arial;Helvetica;sans-serif" w:hAnsi="Arial;Helvetica;sans-serif"/>
                                      <w:b/>
                                      <w:color w:val="72288A"/>
                                      <w:sz w:val="22"/>
                                    </w:rPr>
                                  </w:pPr>
                                  <w:r>
                                    <w:rPr>
                                      <w:rFonts w:ascii="Arial;Helvetica;sans-serif" w:hAnsi="Arial;Helvetica;sans-serif"/>
                                      <w:b/>
                                      <w:color w:val="72288A"/>
                                      <w:sz w:val="22"/>
                                    </w:rPr>
                                    <w:t>Brian Roman</w:t>
                                  </w:r>
                                  <w:r>
                                    <w:rPr>
                                      <w:rFonts w:ascii="Arial;Helvetica;sans-serif" w:hAnsi="Arial;Helvetica;sans-serif"/>
                                      <w:b/>
                                      <w:color w:val="636466"/>
                                      <w:sz w:val="22"/>
                                    </w:rPr>
                                    <w:t xml:space="preserve"> </w:t>
                                  </w:r>
                                </w:p>
                                <w:p>
                                  <w:pPr>
                                    <w:pStyle w:val="TableContents"/>
                                    <w:bidi w:val="0"/>
                                    <w:spacing w:before="0" w:after="283"/>
                                    <w:ind w:left="0" w:right="0" w:hanging="0"/>
                                    <w:jc w:val="left"/>
                                    <w:rPr>
                                      <w:rFonts w:ascii="Arial;Helvetica;sans-serif" w:hAnsi="Arial;Helvetica;sans-serif"/>
                                      <w:b w:val="false"/>
                                      <w:color w:val="636466"/>
                                      <w:sz w:val="18"/>
                                    </w:rPr>
                                  </w:pPr>
                                  <w:r>
                                    <w:rPr>
                                      <w:rFonts w:ascii="Arial;Helvetica;sans-serif" w:hAnsi="Arial;Helvetica;sans-serif"/>
                                      <w:b w:val="false"/>
                                      <w:color w:val="636466"/>
                                      <w:sz w:val="18"/>
                                    </w:rPr>
                                    <w:t>Chief Legal Officer</w:t>
                                  </w:r>
                                </w:p>
                              </w:tc>
                            </w:tr>
                            <w:tr>
                              <w:trPr/>
                              <w:tc>
                                <w:tcPr>
                                  <w:tcW w:w="1245" w:type="dxa"/>
                                  <w:tcBorders>
                                    <w:bottom w:val="single" w:sz="8" w:space="0" w:color="636466"/>
                                  </w:tcBorders>
                                  <w:tcMar>
                                    <w:bottom w:w="140" w:type="dxa"/>
                                  </w:tcMar>
                                  <w:vAlign w:val="center"/>
                                </w:tcPr>
                                <w:p>
                                  <w:pPr>
                                    <w:pStyle w:val="TableContents"/>
                                    <w:bidi w:val="0"/>
                                    <w:spacing w:before="0" w:after="283"/>
                                    <w:ind w:left="0" w:right="0" w:hanging="0"/>
                                    <w:jc w:val="left"/>
                                    <w:rPr>
                                      <w:color w:val="000000"/>
                                    </w:rPr>
                                  </w:pPr>
                                  <w:r>
                                    <w:rPr>
                                      <w:color w:val="000000"/>
                                    </w:rPr>
                                    <w:drawing>
                                      <wp:inline distT="0" distB="0" distL="0" distR="0">
                                        <wp:extent cx="762000" cy="762000"/>
                                        <wp:effectExtent l="0" t="0" r="0" b="0"/>
                                        <wp:docPr id="186"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63" descr=""/>
                                                <pic:cNvPicPr>
                                                  <a:picLocks noChangeAspect="1" noChangeArrowheads="1"/>
                                                </pic:cNvPicPr>
                                              </pic:nvPicPr>
                                              <pic:blipFill>
                                                <a:blip r:embed="rId174"/>
                                                <a:stretch>
                                                  <a:fillRect/>
                                                </a:stretch>
                                              </pic:blipFill>
                                              <pic:spPr bwMode="auto">
                                                <a:xfrm>
                                                  <a:off x="0" y="0"/>
                                                  <a:ext cx="762000" cy="7620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bottom w:val="single" w:sz="8" w:space="0" w:color="636466"/>
                                  </w:tcBorders>
                                  <w:tcMar>
                                    <w:bottom w:w="28" w:type="dxa"/>
                                  </w:tcMar>
                                  <w:vAlign w:val="center"/>
                                </w:tcPr>
                                <w:p>
                                  <w:pPr>
                                    <w:pStyle w:val="TableContents"/>
                                    <w:bidi w:val="0"/>
                                    <w:spacing w:before="0" w:after="0"/>
                                    <w:jc w:val="left"/>
                                    <w:rPr/>
                                  </w:pPr>
                                  <w:r>
                                    <w:rPr/>
                                    <w:t> </w:t>
                                  </w:r>
                                </w:p>
                              </w:tc>
                              <w:tc>
                                <w:tcPr>
                                  <w:tcW w:w="170" w:type="dxa"/>
                                  <w:tcBorders>
                                    <w:bottom w:val="single" w:sz="8" w:space="0" w:color="636466"/>
                                  </w:tcBorders>
                                  <w:tcMar>
                                    <w:bottom w:w="28" w:type="dxa"/>
                                  </w:tcMar>
                                  <w:vAlign w:val="center"/>
                                </w:tcPr>
                                <w:p>
                                  <w:pPr>
                                    <w:pStyle w:val="TableContents"/>
                                    <w:bidi w:val="0"/>
                                    <w:spacing w:before="0" w:after="0"/>
                                    <w:jc w:val="left"/>
                                    <w:rPr/>
                                  </w:pPr>
                                  <w:r>
                                    <w:rPr/>
                                    <w:t> </w:t>
                                  </w:r>
                                </w:p>
                              </w:tc>
                              <w:tc>
                                <w:tcPr>
                                  <w:tcW w:w="4145" w:type="dxa"/>
                                  <w:tcBorders>
                                    <w:bottom w:val="single" w:sz="8" w:space="0" w:color="636466"/>
                                  </w:tcBorders>
                                  <w:tcMar>
                                    <w:bottom w:w="140" w:type="dxa"/>
                                  </w:tcMar>
                                  <w:vAlign w:val="center"/>
                                </w:tcPr>
                                <w:p>
                                  <w:pPr>
                                    <w:pStyle w:val="TableContents"/>
                                    <w:bidi w:val="0"/>
                                    <w:spacing w:before="0" w:after="283"/>
                                    <w:ind w:left="0" w:right="0" w:hanging="0"/>
                                    <w:jc w:val="left"/>
                                    <w:rPr>
                                      <w:rFonts w:ascii="Arial;Helvetica;sans-serif" w:hAnsi="Arial;Helvetica;sans-serif"/>
                                      <w:b/>
                                      <w:color w:val="72288A"/>
                                      <w:sz w:val="22"/>
                                    </w:rPr>
                                  </w:pPr>
                                  <w:r>
                                    <w:rPr>
                                      <w:rFonts w:ascii="Arial;Helvetica;sans-serif" w:hAnsi="Arial;Helvetica;sans-serif"/>
                                      <w:b/>
                                      <w:color w:val="72288A"/>
                                      <w:sz w:val="22"/>
                                    </w:rPr>
                                    <w:t>Paul Campbell</w:t>
                                  </w:r>
                                  <w:r>
                                    <w:rPr>
                                      <w:rFonts w:ascii="Arial;Helvetica;sans-serif" w:hAnsi="Arial;Helvetica;sans-serif"/>
                                      <w:b/>
                                      <w:color w:val="636466"/>
                                      <w:sz w:val="22"/>
                                    </w:rPr>
                                    <w:t xml:space="preserve"> </w:t>
                                  </w:r>
                                </w:p>
                                <w:p>
                                  <w:pPr>
                                    <w:pStyle w:val="TableContents"/>
                                    <w:bidi w:val="0"/>
                                    <w:spacing w:before="0" w:after="283"/>
                                    <w:ind w:left="0" w:right="0" w:hanging="0"/>
                                    <w:jc w:val="left"/>
                                    <w:rPr>
                                      <w:rFonts w:ascii="Arial;Helvetica;sans-serif" w:hAnsi="Arial;Helvetica;sans-serif"/>
                                      <w:b w:val="false"/>
                                      <w:color w:val="636466"/>
                                      <w:sz w:val="18"/>
                                    </w:rPr>
                                  </w:pPr>
                                  <w:r>
                                    <w:rPr>
                                      <w:rFonts w:ascii="Arial;Helvetica;sans-serif" w:hAnsi="Arial;Helvetica;sans-serif"/>
                                      <w:b w:val="false"/>
                                      <w:color w:val="636466"/>
                                      <w:sz w:val="18"/>
                                    </w:rPr>
                                    <w:t>Chief Accounting Officer and Corporate Controller</w:t>
                                  </w:r>
                                </w:p>
                              </w:tc>
                            </w:tr>
                            <w:tr>
                              <w:trPr/>
                              <w:tc>
                                <w:tcPr>
                                  <w:tcW w:w="12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762000" cy="762000"/>
                                        <wp:effectExtent l="0" t="0" r="0" b="0"/>
                                        <wp:docPr id="187"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64" descr=""/>
                                                <pic:cNvPicPr>
                                                  <a:picLocks noChangeAspect="1" noChangeArrowheads="1"/>
                                                </pic:cNvPicPr>
                                              </pic:nvPicPr>
                                              <pic:blipFill>
                                                <a:blip r:embed="rId175"/>
                                                <a:stretch>
                                                  <a:fillRect/>
                                                </a:stretch>
                                              </pic:blipFill>
                                              <pic:spPr bwMode="auto">
                                                <a:xfrm>
                                                  <a:off x="0" y="0"/>
                                                  <a:ext cx="762000" cy="7620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45" w:type="dxa"/>
                                  <w:tcBorders/>
                                  <w:vAlign w:val="center"/>
                                </w:tcPr>
                                <w:p>
                                  <w:pPr>
                                    <w:pStyle w:val="TableContents"/>
                                    <w:bidi w:val="0"/>
                                    <w:spacing w:before="0" w:after="283"/>
                                    <w:ind w:left="0" w:right="0" w:hanging="0"/>
                                    <w:jc w:val="left"/>
                                    <w:rPr>
                                      <w:rFonts w:ascii="Arial;Helvetica;sans-serif" w:hAnsi="Arial;Helvetica;sans-serif"/>
                                      <w:b/>
                                      <w:color w:val="72288A"/>
                                      <w:sz w:val="22"/>
                                    </w:rPr>
                                  </w:pPr>
                                  <w:r>
                                    <w:rPr>
                                      <w:rFonts w:ascii="Arial;Helvetica;sans-serif" w:hAnsi="Arial;Helvetica;sans-serif"/>
                                      <w:b/>
                                      <w:color w:val="72288A"/>
                                      <w:sz w:val="22"/>
                                    </w:rPr>
                                    <w:t>Sanjeev Narula</w:t>
                                  </w:r>
                                  <w:r>
                                    <w:rPr>
                                      <w:rFonts w:ascii="Arial;Helvetica;sans-serif" w:hAnsi="Arial;Helvetica;sans-serif"/>
                                      <w:b/>
                                      <w:color w:val="636466"/>
                                      <w:sz w:val="22"/>
                                    </w:rPr>
                                    <w:t xml:space="preserve"> </w:t>
                                  </w:r>
                                </w:p>
                                <w:p>
                                  <w:pPr>
                                    <w:pStyle w:val="TableContents"/>
                                    <w:bidi w:val="0"/>
                                    <w:spacing w:before="0" w:after="283"/>
                                    <w:ind w:left="0" w:right="0" w:hanging="0"/>
                                    <w:jc w:val="left"/>
                                    <w:rPr>
                                      <w:rFonts w:ascii="Arial;Helvetica;sans-serif" w:hAnsi="Arial;Helvetica;sans-serif"/>
                                      <w:b w:val="false"/>
                                      <w:color w:val="636466"/>
                                      <w:sz w:val="18"/>
                                    </w:rPr>
                                  </w:pPr>
                                  <w:r>
                                    <w:rPr>
                                      <w:rFonts w:ascii="Arial;Helvetica;sans-serif" w:hAnsi="Arial;Helvetica;sans-serif"/>
                                      <w:b w:val="false"/>
                                      <w:color w:val="636466"/>
                                      <w:sz w:val="18"/>
                                    </w:rPr>
                                    <w:t>Former Chief Financial Officer</w:t>
                                  </w:r>
                                </w:p>
                              </w:tc>
                            </w:tr>
                            <w:tr>
                              <w:trPr/>
                              <w:tc>
                                <w:tcPr>
                                  <w:tcW w:w="12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45" w:type="dxa"/>
                                  <w:tcBorders/>
                                  <w:vAlign w:val="center"/>
                                </w:tcPr>
                                <w:p>
                                  <w:pPr>
                                    <w:pStyle w:val="TableContents"/>
                                    <w:bidi w:val="0"/>
                                    <w:spacing w:before="0" w:after="0"/>
                                    <w:jc w:val="left"/>
                                    <w:rPr/>
                                  </w:pPr>
                                  <w:r>
                                    <w:rPr/>
                                    <w:t> </w:t>
                                  </w:r>
                                </w:p>
                              </w:tc>
                            </w:tr>
                          </w:tbl>
                          <w:p>
                            <w:pPr>
                              <w:pStyle w:val="TextBody"/>
                              <w:bidi w:val="0"/>
                              <w:spacing w:before="0" w:after="283"/>
                              <w:ind w:left="1060" w:right="0" w:hanging="0"/>
                              <w:jc w:val="left"/>
                              <w:rPr/>
                            </w:pPr>
                            <w:r>
                              <w:rPr/>
                            </w:r>
                          </w:p>
                        </w:txbxContent>
                      </wps:txbx>
                      <wps:bodyPr anchor="t" lIns="0" tIns="0" rIns="0" bIns="0">
                        <a:noAutofit/>
                      </wps:bodyPr>
                    </wps:wsp>
                  </a:graphicData>
                </a:graphic>
              </wp:anchor>
            </w:drawing>
          </mc:Choice>
          <mc:Fallback>
            <w:pict>
              <v:rect style="position:absolute;rotation:-0;width:180pt;height:743.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60" w:after="283"/>
                        <w:ind w:left="1060" w:right="0" w:hanging="0"/>
                        <w:jc w:val="left"/>
                        <w:rPr>
                          <w:rFonts w:ascii="Arial;Helvetica;sans-serif" w:hAnsi="Arial;Helvetica;sans-serif"/>
                          <w:color w:val="1F1C6B"/>
                          <w:sz w:val="24"/>
                        </w:rPr>
                      </w:pPr>
                      <w:bookmarkStart w:id="109" w:name="tNEO"/>
                      <w:bookmarkEnd w:id="109"/>
                      <w:r>
                        <w:rPr>
                          <w:rFonts w:ascii="Arial;Helvetica;sans-serif" w:hAnsi="Arial;Helvetica;sans-serif"/>
                          <w:color w:val="1F1C6B"/>
                          <w:sz w:val="24"/>
                        </w:rPr>
                        <w:t xml:space="preserve">Named Executive Officers </w:t>
                      </w:r>
                    </w:p>
                    <w:tbl>
                      <w:tblPr>
                        <w:tblW w:w="5730" w:type="dxa"/>
                        <w:jc w:val="left"/>
                        <w:tblInd w:w="1060" w:type="dxa"/>
                        <w:tblLayout w:type="fixed"/>
                        <w:tblCellMar>
                          <w:top w:w="0" w:type="dxa"/>
                          <w:left w:w="0" w:type="dxa"/>
                          <w:bottom w:w="0" w:type="dxa"/>
                          <w:right w:w="0" w:type="dxa"/>
                        </w:tblCellMar>
                      </w:tblPr>
                      <w:tblGrid>
                        <w:gridCol w:w="1245"/>
                        <w:gridCol w:w="170"/>
                        <w:gridCol w:w="170"/>
                        <w:gridCol w:w="4145"/>
                      </w:tblGrid>
                      <w:tr>
                        <w:trPr/>
                        <w:tc>
                          <w:tcPr>
                            <w:tcW w:w="12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45" w:type="dxa"/>
                            <w:tcBorders/>
                            <w:vAlign w:val="center"/>
                          </w:tcPr>
                          <w:p>
                            <w:pPr>
                              <w:pStyle w:val="TableContents"/>
                              <w:bidi w:val="0"/>
                              <w:spacing w:before="0" w:after="0"/>
                              <w:jc w:val="left"/>
                              <w:rPr/>
                            </w:pPr>
                            <w:r>
                              <w:rPr/>
                              <w:t> </w:t>
                            </w:r>
                          </w:p>
                        </w:tc>
                      </w:tr>
                      <w:tr>
                        <w:trPr/>
                        <w:tc>
                          <w:tcPr>
                            <w:tcW w:w="1245" w:type="dxa"/>
                            <w:tcBorders>
                              <w:bottom w:val="single" w:sz="8" w:space="0" w:color="636466"/>
                            </w:tcBorders>
                            <w:tcMar>
                              <w:bottom w:w="140" w:type="dxa"/>
                            </w:tcMar>
                            <w:vAlign w:val="center"/>
                          </w:tcPr>
                          <w:p>
                            <w:pPr>
                              <w:pStyle w:val="TableContents"/>
                              <w:bidi w:val="0"/>
                              <w:spacing w:before="0" w:after="283"/>
                              <w:ind w:left="0" w:right="0" w:hanging="0"/>
                              <w:jc w:val="left"/>
                              <w:rPr>
                                <w:color w:val="000000"/>
                              </w:rPr>
                            </w:pPr>
                            <w:r>
                              <w:rPr>
                                <w:color w:val="000000"/>
                              </w:rPr>
                              <w:drawing>
                                <wp:inline distT="0" distB="0" distL="0" distR="0">
                                  <wp:extent cx="762000" cy="762000"/>
                                  <wp:effectExtent l="0" t="0" r="0" b="0"/>
                                  <wp:docPr id="188"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59" descr=""/>
                                          <pic:cNvPicPr>
                                            <a:picLocks noChangeAspect="1" noChangeArrowheads="1"/>
                                          </pic:cNvPicPr>
                                        </pic:nvPicPr>
                                        <pic:blipFill>
                                          <a:blip r:embed="rId176"/>
                                          <a:stretch>
                                            <a:fillRect/>
                                          </a:stretch>
                                        </pic:blipFill>
                                        <pic:spPr bwMode="auto">
                                          <a:xfrm>
                                            <a:off x="0" y="0"/>
                                            <a:ext cx="762000" cy="7620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c>
                          <w:tcPr>
                            <w:tcW w:w="170" w:type="dxa"/>
                            <w:tcBorders>
                              <w:bottom w:val="single" w:sz="8" w:space="0" w:color="636466"/>
                            </w:tcBorders>
                            <w:tcMar>
                              <w:bottom w:w="28" w:type="dxa"/>
                            </w:tcMar>
                            <w:vAlign w:val="center"/>
                          </w:tcPr>
                          <w:p>
                            <w:pPr>
                              <w:pStyle w:val="TableContents"/>
                              <w:bidi w:val="0"/>
                              <w:spacing w:before="0" w:after="0"/>
                              <w:jc w:val="left"/>
                              <w:rPr/>
                            </w:pPr>
                            <w:r>
                              <w:rPr/>
                              <w:t> </w:t>
                            </w:r>
                          </w:p>
                        </w:tc>
                        <w:tc>
                          <w:tcPr>
                            <w:tcW w:w="170" w:type="dxa"/>
                            <w:tcBorders>
                              <w:bottom w:val="single" w:sz="8" w:space="0" w:color="636466"/>
                            </w:tcBorders>
                            <w:tcMar>
                              <w:bottom w:w="28" w:type="dxa"/>
                            </w:tcMar>
                            <w:vAlign w:val="center"/>
                          </w:tcPr>
                          <w:p>
                            <w:pPr>
                              <w:pStyle w:val="TableContents"/>
                              <w:bidi w:val="0"/>
                              <w:spacing w:before="0" w:after="0"/>
                              <w:jc w:val="left"/>
                              <w:rPr/>
                            </w:pPr>
                            <w:r>
                              <w:rPr/>
                              <w:t> </w:t>
                            </w:r>
                          </w:p>
                        </w:tc>
                        <w:tc>
                          <w:tcPr>
                            <w:tcW w:w="4145" w:type="dxa"/>
                            <w:tcBorders>
                              <w:bottom w:val="single" w:sz="8" w:space="0" w:color="636466"/>
                            </w:tcBorders>
                            <w:tcMar>
                              <w:bottom w:w="140" w:type="dxa"/>
                            </w:tcMar>
                            <w:vAlign w:val="center"/>
                          </w:tcPr>
                          <w:p>
                            <w:pPr>
                              <w:pStyle w:val="TableContents"/>
                              <w:bidi w:val="0"/>
                              <w:spacing w:before="0" w:after="283"/>
                              <w:ind w:left="0" w:right="0" w:hanging="0"/>
                              <w:jc w:val="left"/>
                              <w:rPr>
                                <w:rFonts w:ascii="Arial;Helvetica;sans-serif" w:hAnsi="Arial;Helvetica;sans-serif"/>
                                <w:b/>
                                <w:color w:val="72288A"/>
                                <w:sz w:val="22"/>
                              </w:rPr>
                            </w:pPr>
                            <w:r>
                              <w:rPr>
                                <w:rFonts w:ascii="Arial;Helvetica;sans-serif" w:hAnsi="Arial;Helvetica;sans-serif"/>
                                <w:b/>
                                <w:color w:val="72288A"/>
                                <w:sz w:val="22"/>
                              </w:rPr>
                              <w:t>Scott A. Smith</w:t>
                            </w:r>
                            <w:r>
                              <w:rPr>
                                <w:rFonts w:ascii="Arial;Helvetica;sans-serif" w:hAnsi="Arial;Helvetica;sans-serif"/>
                                <w:b/>
                                <w:color w:val="636466"/>
                                <w:sz w:val="22"/>
                              </w:rPr>
                              <w:t xml:space="preserve"> </w:t>
                            </w:r>
                          </w:p>
                          <w:p>
                            <w:pPr>
                              <w:pStyle w:val="TableContents"/>
                              <w:bidi w:val="0"/>
                              <w:spacing w:before="0" w:after="283"/>
                              <w:ind w:left="0" w:right="0" w:hanging="0"/>
                              <w:jc w:val="left"/>
                              <w:rPr>
                                <w:rFonts w:ascii="Arial;Helvetica;sans-serif" w:hAnsi="Arial;Helvetica;sans-serif"/>
                                <w:b w:val="false"/>
                                <w:color w:val="636466"/>
                                <w:sz w:val="18"/>
                              </w:rPr>
                            </w:pPr>
                            <w:r>
                              <w:rPr>
                                <w:rFonts w:ascii="Arial;Helvetica;sans-serif" w:hAnsi="Arial;Helvetica;sans-serif"/>
                                <w:b w:val="false"/>
                                <w:color w:val="636466"/>
                                <w:sz w:val="18"/>
                              </w:rPr>
                              <w:t>Chief Executive Officer</w:t>
                            </w:r>
                          </w:p>
                        </w:tc>
                      </w:tr>
                      <w:tr>
                        <w:trPr/>
                        <w:tc>
                          <w:tcPr>
                            <w:tcW w:w="1245" w:type="dxa"/>
                            <w:tcBorders>
                              <w:bottom w:val="single" w:sz="8" w:space="0" w:color="636466"/>
                            </w:tcBorders>
                            <w:tcMar>
                              <w:bottom w:w="140" w:type="dxa"/>
                            </w:tcMar>
                            <w:vAlign w:val="center"/>
                          </w:tcPr>
                          <w:p>
                            <w:pPr>
                              <w:pStyle w:val="TableContents"/>
                              <w:bidi w:val="0"/>
                              <w:spacing w:before="0" w:after="283"/>
                              <w:ind w:left="0" w:right="0" w:hanging="0"/>
                              <w:jc w:val="left"/>
                              <w:rPr>
                                <w:color w:val="000000"/>
                              </w:rPr>
                            </w:pPr>
                            <w:r>
                              <w:rPr>
                                <w:color w:val="000000"/>
                              </w:rPr>
                              <w:drawing>
                                <wp:inline distT="0" distB="0" distL="0" distR="0">
                                  <wp:extent cx="762000" cy="762000"/>
                                  <wp:effectExtent l="0" t="0" r="0" b="0"/>
                                  <wp:docPr id="189"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60" descr=""/>
                                          <pic:cNvPicPr>
                                            <a:picLocks noChangeAspect="1" noChangeArrowheads="1"/>
                                          </pic:cNvPicPr>
                                        </pic:nvPicPr>
                                        <pic:blipFill>
                                          <a:blip r:embed="rId177"/>
                                          <a:stretch>
                                            <a:fillRect/>
                                          </a:stretch>
                                        </pic:blipFill>
                                        <pic:spPr bwMode="auto">
                                          <a:xfrm>
                                            <a:off x="0" y="0"/>
                                            <a:ext cx="762000" cy="7620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bottom w:val="single" w:sz="8" w:space="0" w:color="636466"/>
                            </w:tcBorders>
                            <w:tcMar>
                              <w:bottom w:w="28" w:type="dxa"/>
                            </w:tcMar>
                            <w:vAlign w:val="center"/>
                          </w:tcPr>
                          <w:p>
                            <w:pPr>
                              <w:pStyle w:val="TableContents"/>
                              <w:bidi w:val="0"/>
                              <w:spacing w:before="0" w:after="0"/>
                              <w:jc w:val="left"/>
                              <w:rPr/>
                            </w:pPr>
                            <w:r>
                              <w:rPr/>
                              <w:t> </w:t>
                            </w:r>
                          </w:p>
                        </w:tc>
                        <w:tc>
                          <w:tcPr>
                            <w:tcW w:w="170" w:type="dxa"/>
                            <w:tcBorders>
                              <w:bottom w:val="single" w:sz="8" w:space="0" w:color="636466"/>
                            </w:tcBorders>
                            <w:tcMar>
                              <w:bottom w:w="28" w:type="dxa"/>
                            </w:tcMar>
                            <w:vAlign w:val="center"/>
                          </w:tcPr>
                          <w:p>
                            <w:pPr>
                              <w:pStyle w:val="TableContents"/>
                              <w:bidi w:val="0"/>
                              <w:spacing w:before="0" w:after="0"/>
                              <w:jc w:val="left"/>
                              <w:rPr/>
                            </w:pPr>
                            <w:r>
                              <w:rPr/>
                              <w:t> </w:t>
                            </w:r>
                          </w:p>
                        </w:tc>
                        <w:tc>
                          <w:tcPr>
                            <w:tcW w:w="4145" w:type="dxa"/>
                            <w:tcBorders>
                              <w:bottom w:val="single" w:sz="8" w:space="0" w:color="636466"/>
                            </w:tcBorders>
                            <w:tcMar>
                              <w:bottom w:w="140" w:type="dxa"/>
                            </w:tcMar>
                            <w:vAlign w:val="center"/>
                          </w:tcPr>
                          <w:p>
                            <w:pPr>
                              <w:pStyle w:val="TableContents"/>
                              <w:bidi w:val="0"/>
                              <w:spacing w:before="0" w:after="283"/>
                              <w:ind w:left="0" w:right="0" w:hanging="0"/>
                              <w:jc w:val="left"/>
                              <w:rPr>
                                <w:rFonts w:ascii="Arial;Helvetica;sans-serif" w:hAnsi="Arial;Helvetica;sans-serif"/>
                                <w:b/>
                                <w:color w:val="72288A"/>
                                <w:sz w:val="22"/>
                              </w:rPr>
                            </w:pPr>
                            <w:r>
                              <w:rPr>
                                <w:rFonts w:ascii="Arial;Helvetica;sans-serif" w:hAnsi="Arial;Helvetica;sans-serif"/>
                                <w:b/>
                                <w:color w:val="72288A"/>
                                <w:sz w:val="22"/>
                              </w:rPr>
                              <w:t>Doretta Mistras</w:t>
                            </w:r>
                            <w:r>
                              <w:rPr>
                                <w:rFonts w:ascii="Arial;Helvetica;sans-serif" w:hAnsi="Arial;Helvetica;sans-serif"/>
                                <w:b/>
                                <w:color w:val="636466"/>
                                <w:sz w:val="22"/>
                              </w:rPr>
                              <w:t xml:space="preserve"> </w:t>
                            </w:r>
                          </w:p>
                          <w:p>
                            <w:pPr>
                              <w:pStyle w:val="TableContents"/>
                              <w:bidi w:val="0"/>
                              <w:spacing w:before="0" w:after="283"/>
                              <w:ind w:left="0" w:right="0" w:hanging="0"/>
                              <w:jc w:val="left"/>
                              <w:rPr>
                                <w:rFonts w:ascii="Arial;Helvetica;sans-serif" w:hAnsi="Arial;Helvetica;sans-serif"/>
                                <w:b w:val="false"/>
                                <w:color w:val="636466"/>
                                <w:sz w:val="18"/>
                              </w:rPr>
                            </w:pPr>
                            <w:r>
                              <w:rPr>
                                <w:rFonts w:ascii="Arial;Helvetica;sans-serif" w:hAnsi="Arial;Helvetica;sans-serif"/>
                                <w:b w:val="false"/>
                                <w:color w:val="636466"/>
                                <w:sz w:val="18"/>
                              </w:rPr>
                              <w:t>Chief Financial Officer</w:t>
                            </w:r>
                          </w:p>
                        </w:tc>
                      </w:tr>
                      <w:tr>
                        <w:trPr/>
                        <w:tc>
                          <w:tcPr>
                            <w:tcW w:w="1245" w:type="dxa"/>
                            <w:tcBorders>
                              <w:bottom w:val="single" w:sz="8" w:space="0" w:color="636466"/>
                            </w:tcBorders>
                            <w:tcMar>
                              <w:bottom w:w="140" w:type="dxa"/>
                            </w:tcMar>
                            <w:vAlign w:val="center"/>
                          </w:tcPr>
                          <w:p>
                            <w:pPr>
                              <w:pStyle w:val="TableContents"/>
                              <w:bidi w:val="0"/>
                              <w:spacing w:before="0" w:after="283"/>
                              <w:ind w:left="0" w:right="0" w:hanging="0"/>
                              <w:jc w:val="left"/>
                              <w:rPr>
                                <w:color w:val="000000"/>
                              </w:rPr>
                            </w:pPr>
                            <w:r>
                              <w:rPr>
                                <w:color w:val="000000"/>
                              </w:rPr>
                              <w:drawing>
                                <wp:inline distT="0" distB="0" distL="0" distR="0">
                                  <wp:extent cx="762000" cy="762000"/>
                                  <wp:effectExtent l="0" t="0" r="0" b="0"/>
                                  <wp:docPr id="190"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61" descr=""/>
                                          <pic:cNvPicPr>
                                            <a:picLocks noChangeAspect="1" noChangeArrowheads="1"/>
                                          </pic:cNvPicPr>
                                        </pic:nvPicPr>
                                        <pic:blipFill>
                                          <a:blip r:embed="rId178"/>
                                          <a:stretch>
                                            <a:fillRect/>
                                          </a:stretch>
                                        </pic:blipFill>
                                        <pic:spPr bwMode="auto">
                                          <a:xfrm>
                                            <a:off x="0" y="0"/>
                                            <a:ext cx="762000" cy="7620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bottom w:val="single" w:sz="8" w:space="0" w:color="636466"/>
                            </w:tcBorders>
                            <w:tcMar>
                              <w:bottom w:w="28" w:type="dxa"/>
                            </w:tcMar>
                            <w:vAlign w:val="center"/>
                          </w:tcPr>
                          <w:p>
                            <w:pPr>
                              <w:pStyle w:val="TableContents"/>
                              <w:bidi w:val="0"/>
                              <w:spacing w:before="0" w:after="0"/>
                              <w:jc w:val="left"/>
                              <w:rPr/>
                            </w:pPr>
                            <w:r>
                              <w:rPr/>
                              <w:t> </w:t>
                            </w:r>
                          </w:p>
                        </w:tc>
                        <w:tc>
                          <w:tcPr>
                            <w:tcW w:w="170" w:type="dxa"/>
                            <w:tcBorders>
                              <w:bottom w:val="single" w:sz="8" w:space="0" w:color="636466"/>
                            </w:tcBorders>
                            <w:tcMar>
                              <w:bottom w:w="28" w:type="dxa"/>
                            </w:tcMar>
                            <w:vAlign w:val="center"/>
                          </w:tcPr>
                          <w:p>
                            <w:pPr>
                              <w:pStyle w:val="TableContents"/>
                              <w:bidi w:val="0"/>
                              <w:spacing w:before="0" w:after="0"/>
                              <w:jc w:val="left"/>
                              <w:rPr/>
                            </w:pPr>
                            <w:r>
                              <w:rPr/>
                              <w:t> </w:t>
                            </w:r>
                          </w:p>
                        </w:tc>
                        <w:tc>
                          <w:tcPr>
                            <w:tcW w:w="4145" w:type="dxa"/>
                            <w:tcBorders>
                              <w:bottom w:val="single" w:sz="8" w:space="0" w:color="636466"/>
                            </w:tcBorders>
                            <w:tcMar>
                              <w:bottom w:w="140" w:type="dxa"/>
                            </w:tcMar>
                            <w:vAlign w:val="center"/>
                          </w:tcPr>
                          <w:p>
                            <w:pPr>
                              <w:pStyle w:val="TableContents"/>
                              <w:bidi w:val="0"/>
                              <w:spacing w:before="0" w:after="283"/>
                              <w:ind w:left="0" w:right="0" w:hanging="0"/>
                              <w:jc w:val="left"/>
                              <w:rPr>
                                <w:rFonts w:ascii="Arial;Helvetica;sans-serif" w:hAnsi="Arial;Helvetica;sans-serif"/>
                                <w:b/>
                                <w:color w:val="72288A"/>
                                <w:sz w:val="22"/>
                              </w:rPr>
                            </w:pPr>
                            <w:r>
                              <w:rPr>
                                <w:rFonts w:ascii="Arial;Helvetica;sans-serif" w:hAnsi="Arial;Helvetica;sans-serif"/>
                                <w:b/>
                                <w:color w:val="72288A"/>
                                <w:sz w:val="22"/>
                              </w:rPr>
                              <w:t>Corinne Le Goff</w:t>
                            </w:r>
                            <w:r>
                              <w:rPr>
                                <w:rFonts w:ascii="Arial;Helvetica;sans-serif" w:hAnsi="Arial;Helvetica;sans-serif"/>
                                <w:b/>
                                <w:color w:val="636466"/>
                                <w:sz w:val="22"/>
                              </w:rPr>
                              <w:t xml:space="preserve"> </w:t>
                            </w:r>
                          </w:p>
                          <w:p>
                            <w:pPr>
                              <w:pStyle w:val="TableContents"/>
                              <w:bidi w:val="0"/>
                              <w:spacing w:before="0" w:after="283"/>
                              <w:ind w:left="0" w:right="0" w:hanging="0"/>
                              <w:jc w:val="left"/>
                              <w:rPr>
                                <w:rFonts w:ascii="Arial;Helvetica;sans-serif" w:hAnsi="Arial;Helvetica;sans-serif"/>
                                <w:b w:val="false"/>
                                <w:color w:val="636466"/>
                                <w:sz w:val="18"/>
                              </w:rPr>
                            </w:pPr>
                            <w:r>
                              <w:rPr>
                                <w:rFonts w:ascii="Arial;Helvetica;sans-serif" w:hAnsi="Arial;Helvetica;sans-serif"/>
                                <w:b w:val="false"/>
                                <w:color w:val="636466"/>
                                <w:sz w:val="18"/>
                              </w:rPr>
                              <w:t>Chief Commercial Officer</w:t>
                            </w:r>
                          </w:p>
                        </w:tc>
                      </w:tr>
                      <w:tr>
                        <w:trPr/>
                        <w:tc>
                          <w:tcPr>
                            <w:tcW w:w="1245" w:type="dxa"/>
                            <w:tcBorders>
                              <w:bottom w:val="single" w:sz="8" w:space="0" w:color="636466"/>
                            </w:tcBorders>
                            <w:tcMar>
                              <w:bottom w:w="140" w:type="dxa"/>
                            </w:tcMar>
                            <w:vAlign w:val="center"/>
                          </w:tcPr>
                          <w:p>
                            <w:pPr>
                              <w:pStyle w:val="TableContents"/>
                              <w:bidi w:val="0"/>
                              <w:spacing w:before="0" w:after="283"/>
                              <w:ind w:left="0" w:right="0" w:hanging="0"/>
                              <w:jc w:val="left"/>
                              <w:rPr>
                                <w:color w:val="000000"/>
                              </w:rPr>
                            </w:pPr>
                            <w:r>
                              <w:rPr>
                                <w:color w:val="000000"/>
                              </w:rPr>
                              <w:drawing>
                                <wp:inline distT="0" distB="0" distL="0" distR="0">
                                  <wp:extent cx="762000" cy="762000"/>
                                  <wp:effectExtent l="0" t="0" r="0" b="0"/>
                                  <wp:docPr id="191"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62" descr=""/>
                                          <pic:cNvPicPr>
                                            <a:picLocks noChangeAspect="1" noChangeArrowheads="1"/>
                                          </pic:cNvPicPr>
                                        </pic:nvPicPr>
                                        <pic:blipFill>
                                          <a:blip r:embed="rId179"/>
                                          <a:stretch>
                                            <a:fillRect/>
                                          </a:stretch>
                                        </pic:blipFill>
                                        <pic:spPr bwMode="auto">
                                          <a:xfrm>
                                            <a:off x="0" y="0"/>
                                            <a:ext cx="762000" cy="7620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bottom w:val="single" w:sz="8" w:space="0" w:color="636466"/>
                            </w:tcBorders>
                            <w:tcMar>
                              <w:bottom w:w="28" w:type="dxa"/>
                            </w:tcMar>
                            <w:vAlign w:val="center"/>
                          </w:tcPr>
                          <w:p>
                            <w:pPr>
                              <w:pStyle w:val="TableContents"/>
                              <w:bidi w:val="0"/>
                              <w:spacing w:before="0" w:after="0"/>
                              <w:jc w:val="left"/>
                              <w:rPr/>
                            </w:pPr>
                            <w:r>
                              <w:rPr/>
                              <w:t> </w:t>
                            </w:r>
                          </w:p>
                        </w:tc>
                        <w:tc>
                          <w:tcPr>
                            <w:tcW w:w="170" w:type="dxa"/>
                            <w:tcBorders>
                              <w:bottom w:val="single" w:sz="8" w:space="0" w:color="636466"/>
                            </w:tcBorders>
                            <w:tcMar>
                              <w:bottom w:w="28" w:type="dxa"/>
                            </w:tcMar>
                            <w:vAlign w:val="center"/>
                          </w:tcPr>
                          <w:p>
                            <w:pPr>
                              <w:pStyle w:val="TableContents"/>
                              <w:bidi w:val="0"/>
                              <w:spacing w:before="0" w:after="0"/>
                              <w:jc w:val="left"/>
                              <w:rPr/>
                            </w:pPr>
                            <w:r>
                              <w:rPr/>
                              <w:t> </w:t>
                            </w:r>
                          </w:p>
                        </w:tc>
                        <w:tc>
                          <w:tcPr>
                            <w:tcW w:w="4145" w:type="dxa"/>
                            <w:tcBorders>
                              <w:bottom w:val="single" w:sz="8" w:space="0" w:color="636466"/>
                            </w:tcBorders>
                            <w:tcMar>
                              <w:bottom w:w="140" w:type="dxa"/>
                            </w:tcMar>
                            <w:vAlign w:val="center"/>
                          </w:tcPr>
                          <w:p>
                            <w:pPr>
                              <w:pStyle w:val="TableContents"/>
                              <w:bidi w:val="0"/>
                              <w:spacing w:before="0" w:after="283"/>
                              <w:ind w:left="0" w:right="0" w:hanging="0"/>
                              <w:jc w:val="left"/>
                              <w:rPr>
                                <w:rFonts w:ascii="Arial;Helvetica;sans-serif" w:hAnsi="Arial;Helvetica;sans-serif"/>
                                <w:b/>
                                <w:color w:val="72288A"/>
                                <w:sz w:val="22"/>
                              </w:rPr>
                            </w:pPr>
                            <w:r>
                              <w:rPr>
                                <w:rFonts w:ascii="Arial;Helvetica;sans-serif" w:hAnsi="Arial;Helvetica;sans-serif"/>
                                <w:b/>
                                <w:color w:val="72288A"/>
                                <w:sz w:val="22"/>
                              </w:rPr>
                              <w:t>Brian Roman</w:t>
                            </w:r>
                            <w:r>
                              <w:rPr>
                                <w:rFonts w:ascii="Arial;Helvetica;sans-serif" w:hAnsi="Arial;Helvetica;sans-serif"/>
                                <w:b/>
                                <w:color w:val="636466"/>
                                <w:sz w:val="22"/>
                              </w:rPr>
                              <w:t xml:space="preserve"> </w:t>
                            </w:r>
                          </w:p>
                          <w:p>
                            <w:pPr>
                              <w:pStyle w:val="TableContents"/>
                              <w:bidi w:val="0"/>
                              <w:spacing w:before="0" w:after="283"/>
                              <w:ind w:left="0" w:right="0" w:hanging="0"/>
                              <w:jc w:val="left"/>
                              <w:rPr>
                                <w:rFonts w:ascii="Arial;Helvetica;sans-serif" w:hAnsi="Arial;Helvetica;sans-serif"/>
                                <w:b w:val="false"/>
                                <w:color w:val="636466"/>
                                <w:sz w:val="18"/>
                              </w:rPr>
                            </w:pPr>
                            <w:r>
                              <w:rPr>
                                <w:rFonts w:ascii="Arial;Helvetica;sans-serif" w:hAnsi="Arial;Helvetica;sans-serif"/>
                                <w:b w:val="false"/>
                                <w:color w:val="636466"/>
                                <w:sz w:val="18"/>
                              </w:rPr>
                              <w:t>Chief Legal Officer</w:t>
                            </w:r>
                          </w:p>
                        </w:tc>
                      </w:tr>
                      <w:tr>
                        <w:trPr/>
                        <w:tc>
                          <w:tcPr>
                            <w:tcW w:w="1245" w:type="dxa"/>
                            <w:tcBorders>
                              <w:bottom w:val="single" w:sz="8" w:space="0" w:color="636466"/>
                            </w:tcBorders>
                            <w:tcMar>
                              <w:bottom w:w="140" w:type="dxa"/>
                            </w:tcMar>
                            <w:vAlign w:val="center"/>
                          </w:tcPr>
                          <w:p>
                            <w:pPr>
                              <w:pStyle w:val="TableContents"/>
                              <w:bidi w:val="0"/>
                              <w:spacing w:before="0" w:after="283"/>
                              <w:ind w:left="0" w:right="0" w:hanging="0"/>
                              <w:jc w:val="left"/>
                              <w:rPr>
                                <w:color w:val="000000"/>
                              </w:rPr>
                            </w:pPr>
                            <w:r>
                              <w:rPr>
                                <w:color w:val="000000"/>
                              </w:rPr>
                              <w:drawing>
                                <wp:inline distT="0" distB="0" distL="0" distR="0">
                                  <wp:extent cx="762000" cy="762000"/>
                                  <wp:effectExtent l="0" t="0" r="0" b="0"/>
                                  <wp:docPr id="192"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63" descr=""/>
                                          <pic:cNvPicPr>
                                            <a:picLocks noChangeAspect="1" noChangeArrowheads="1"/>
                                          </pic:cNvPicPr>
                                        </pic:nvPicPr>
                                        <pic:blipFill>
                                          <a:blip r:embed="rId180"/>
                                          <a:stretch>
                                            <a:fillRect/>
                                          </a:stretch>
                                        </pic:blipFill>
                                        <pic:spPr bwMode="auto">
                                          <a:xfrm>
                                            <a:off x="0" y="0"/>
                                            <a:ext cx="762000" cy="7620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bottom w:val="single" w:sz="8" w:space="0" w:color="636466"/>
                            </w:tcBorders>
                            <w:tcMar>
                              <w:bottom w:w="28" w:type="dxa"/>
                            </w:tcMar>
                            <w:vAlign w:val="center"/>
                          </w:tcPr>
                          <w:p>
                            <w:pPr>
                              <w:pStyle w:val="TableContents"/>
                              <w:bidi w:val="0"/>
                              <w:spacing w:before="0" w:after="0"/>
                              <w:jc w:val="left"/>
                              <w:rPr/>
                            </w:pPr>
                            <w:r>
                              <w:rPr/>
                              <w:t> </w:t>
                            </w:r>
                          </w:p>
                        </w:tc>
                        <w:tc>
                          <w:tcPr>
                            <w:tcW w:w="170" w:type="dxa"/>
                            <w:tcBorders>
                              <w:bottom w:val="single" w:sz="8" w:space="0" w:color="636466"/>
                            </w:tcBorders>
                            <w:tcMar>
                              <w:bottom w:w="28" w:type="dxa"/>
                            </w:tcMar>
                            <w:vAlign w:val="center"/>
                          </w:tcPr>
                          <w:p>
                            <w:pPr>
                              <w:pStyle w:val="TableContents"/>
                              <w:bidi w:val="0"/>
                              <w:spacing w:before="0" w:after="0"/>
                              <w:jc w:val="left"/>
                              <w:rPr/>
                            </w:pPr>
                            <w:r>
                              <w:rPr/>
                              <w:t> </w:t>
                            </w:r>
                          </w:p>
                        </w:tc>
                        <w:tc>
                          <w:tcPr>
                            <w:tcW w:w="4145" w:type="dxa"/>
                            <w:tcBorders>
                              <w:bottom w:val="single" w:sz="8" w:space="0" w:color="636466"/>
                            </w:tcBorders>
                            <w:tcMar>
                              <w:bottom w:w="140" w:type="dxa"/>
                            </w:tcMar>
                            <w:vAlign w:val="center"/>
                          </w:tcPr>
                          <w:p>
                            <w:pPr>
                              <w:pStyle w:val="TableContents"/>
                              <w:bidi w:val="0"/>
                              <w:spacing w:before="0" w:after="283"/>
                              <w:ind w:left="0" w:right="0" w:hanging="0"/>
                              <w:jc w:val="left"/>
                              <w:rPr>
                                <w:rFonts w:ascii="Arial;Helvetica;sans-serif" w:hAnsi="Arial;Helvetica;sans-serif"/>
                                <w:b/>
                                <w:color w:val="72288A"/>
                                <w:sz w:val="22"/>
                              </w:rPr>
                            </w:pPr>
                            <w:r>
                              <w:rPr>
                                <w:rFonts w:ascii="Arial;Helvetica;sans-serif" w:hAnsi="Arial;Helvetica;sans-serif"/>
                                <w:b/>
                                <w:color w:val="72288A"/>
                                <w:sz w:val="22"/>
                              </w:rPr>
                              <w:t>Paul Campbell</w:t>
                            </w:r>
                            <w:r>
                              <w:rPr>
                                <w:rFonts w:ascii="Arial;Helvetica;sans-serif" w:hAnsi="Arial;Helvetica;sans-serif"/>
                                <w:b/>
                                <w:color w:val="636466"/>
                                <w:sz w:val="22"/>
                              </w:rPr>
                              <w:t xml:space="preserve"> </w:t>
                            </w:r>
                          </w:p>
                          <w:p>
                            <w:pPr>
                              <w:pStyle w:val="TableContents"/>
                              <w:bidi w:val="0"/>
                              <w:spacing w:before="0" w:after="283"/>
                              <w:ind w:left="0" w:right="0" w:hanging="0"/>
                              <w:jc w:val="left"/>
                              <w:rPr>
                                <w:rFonts w:ascii="Arial;Helvetica;sans-serif" w:hAnsi="Arial;Helvetica;sans-serif"/>
                                <w:b w:val="false"/>
                                <w:color w:val="636466"/>
                                <w:sz w:val="18"/>
                              </w:rPr>
                            </w:pPr>
                            <w:r>
                              <w:rPr>
                                <w:rFonts w:ascii="Arial;Helvetica;sans-serif" w:hAnsi="Arial;Helvetica;sans-serif"/>
                                <w:b w:val="false"/>
                                <w:color w:val="636466"/>
                                <w:sz w:val="18"/>
                              </w:rPr>
                              <w:t>Chief Accounting Officer and Corporate Controller</w:t>
                            </w:r>
                          </w:p>
                        </w:tc>
                      </w:tr>
                      <w:tr>
                        <w:trPr/>
                        <w:tc>
                          <w:tcPr>
                            <w:tcW w:w="12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762000" cy="762000"/>
                                  <wp:effectExtent l="0" t="0" r="0" b="0"/>
                                  <wp:docPr id="193"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64" descr=""/>
                                          <pic:cNvPicPr>
                                            <a:picLocks noChangeAspect="1" noChangeArrowheads="1"/>
                                          </pic:cNvPicPr>
                                        </pic:nvPicPr>
                                        <pic:blipFill>
                                          <a:blip r:embed="rId181"/>
                                          <a:stretch>
                                            <a:fillRect/>
                                          </a:stretch>
                                        </pic:blipFill>
                                        <pic:spPr bwMode="auto">
                                          <a:xfrm>
                                            <a:off x="0" y="0"/>
                                            <a:ext cx="762000" cy="7620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45" w:type="dxa"/>
                            <w:tcBorders/>
                            <w:vAlign w:val="center"/>
                          </w:tcPr>
                          <w:p>
                            <w:pPr>
                              <w:pStyle w:val="TableContents"/>
                              <w:bidi w:val="0"/>
                              <w:spacing w:before="0" w:after="283"/>
                              <w:ind w:left="0" w:right="0" w:hanging="0"/>
                              <w:jc w:val="left"/>
                              <w:rPr>
                                <w:rFonts w:ascii="Arial;Helvetica;sans-serif" w:hAnsi="Arial;Helvetica;sans-serif"/>
                                <w:b/>
                                <w:color w:val="72288A"/>
                                <w:sz w:val="22"/>
                              </w:rPr>
                            </w:pPr>
                            <w:r>
                              <w:rPr>
                                <w:rFonts w:ascii="Arial;Helvetica;sans-serif" w:hAnsi="Arial;Helvetica;sans-serif"/>
                                <w:b/>
                                <w:color w:val="72288A"/>
                                <w:sz w:val="22"/>
                              </w:rPr>
                              <w:t>Sanjeev Narula</w:t>
                            </w:r>
                            <w:r>
                              <w:rPr>
                                <w:rFonts w:ascii="Arial;Helvetica;sans-serif" w:hAnsi="Arial;Helvetica;sans-serif"/>
                                <w:b/>
                                <w:color w:val="636466"/>
                                <w:sz w:val="22"/>
                              </w:rPr>
                              <w:t xml:space="preserve"> </w:t>
                            </w:r>
                          </w:p>
                          <w:p>
                            <w:pPr>
                              <w:pStyle w:val="TableContents"/>
                              <w:bidi w:val="0"/>
                              <w:spacing w:before="0" w:after="283"/>
                              <w:ind w:left="0" w:right="0" w:hanging="0"/>
                              <w:jc w:val="left"/>
                              <w:rPr>
                                <w:rFonts w:ascii="Arial;Helvetica;sans-serif" w:hAnsi="Arial;Helvetica;sans-serif"/>
                                <w:b w:val="false"/>
                                <w:color w:val="636466"/>
                                <w:sz w:val="18"/>
                              </w:rPr>
                            </w:pPr>
                            <w:r>
                              <w:rPr>
                                <w:rFonts w:ascii="Arial;Helvetica;sans-serif" w:hAnsi="Arial;Helvetica;sans-serif"/>
                                <w:b w:val="false"/>
                                <w:color w:val="636466"/>
                                <w:sz w:val="18"/>
                              </w:rPr>
                              <w:t>Former Chief Financial Officer</w:t>
                            </w:r>
                          </w:p>
                        </w:tc>
                      </w:tr>
                      <w:tr>
                        <w:trPr/>
                        <w:tc>
                          <w:tcPr>
                            <w:tcW w:w="12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45" w:type="dxa"/>
                            <w:tcBorders/>
                            <w:vAlign w:val="center"/>
                          </w:tcPr>
                          <w:p>
                            <w:pPr>
                              <w:pStyle w:val="TableContents"/>
                              <w:bidi w:val="0"/>
                              <w:spacing w:before="0" w:after="0"/>
                              <w:jc w:val="left"/>
                              <w:rPr/>
                            </w:pPr>
                            <w:r>
                              <w:rPr/>
                              <w:t> </w:t>
                            </w:r>
                          </w:p>
                        </w:tc>
                      </w:tr>
                    </w:tbl>
                    <w:p>
                      <w:pPr>
                        <w:pStyle w:val="TextBody"/>
                        <w:bidi w:val="0"/>
                        <w:spacing w:before="0" w:after="283"/>
                        <w:ind w:left="1060" w:right="0" w:hanging="0"/>
                        <w:jc w:val="left"/>
                        <w:rPr/>
                      </w:pPr>
                      <w:r>
                        <w:rPr/>
                      </w:r>
                    </w:p>
                  </w:txbxContent>
                </v:textbox>
                <w10:wrap type="square" side="right"/>
              </v:rect>
            </w:pict>
          </mc:Fallback>
        </mc:AlternateContent>
      </w:r>
      <w:r>
        <mc:AlternateContent>
          <mc:Choice Requires="wps">
            <w:drawing>
              <wp:anchor behindDoc="0" distT="0" distB="0" distL="381000" distR="0" simplePos="0" locked="0" layoutInCell="1" allowOverlap="1" relativeHeight="304">
                <wp:simplePos x="0" y="0"/>
                <wp:positionH relativeFrom="column">
                  <wp:align>left</wp:align>
                </wp:positionH>
                <wp:positionV relativeFrom="line">
                  <wp:posOffset>635</wp:posOffset>
                </wp:positionV>
                <wp:extent cx="3962400" cy="9972040"/>
                <wp:effectExtent l="0" t="0" r="0" b="0"/>
                <wp:wrapSquare wrapText="right"/>
                <wp:docPr id="194" name="Frame14"/>
                <a:graphic xmlns:a="http://schemas.openxmlformats.org/drawingml/2006/main">
                  <a:graphicData uri="http://schemas.microsoft.com/office/word/2010/wordprocessingShape">
                    <wps:wsp>
                      <wps:cNvSpPr txBox="1"/>
                      <wps:spPr>
                        <a:xfrm>
                          <a:off x="0" y="0"/>
                          <a:ext cx="3962400" cy="9972040"/>
                        </a:xfrm>
                        <a:prstGeom prst="rect"/>
                        <a:solidFill>
                          <a:srgbClr val="FFFFFF"/>
                        </a:solidFill>
                      </wps:spPr>
                      <wps:txbx>
                        <w:txbxContent>
                          <w:p>
                            <w:pPr>
                              <w:pStyle w:val="TextBody"/>
                              <w:bidi w:val="0"/>
                              <w:spacing w:before="160" w:after="283"/>
                              <w:ind w:left="1060" w:right="0" w:hanging="0"/>
                              <w:jc w:val="left"/>
                              <w:rPr>
                                <w:rFonts w:ascii="Arial;Helvetica;sans-serif" w:hAnsi="Arial;Helvetica;sans-serif"/>
                                <w:color w:val="1F1C6B"/>
                                <w:sz w:val="24"/>
                              </w:rPr>
                            </w:pPr>
                            <w:r>
                              <w:rPr>
                                <w:rFonts w:ascii="Arial;Helvetica;sans-serif" w:hAnsi="Arial;Helvetica;sans-serif"/>
                                <w:color w:val="1F1C6B"/>
                                <w:sz w:val="24"/>
                              </w:rPr>
                              <w:t xml:space="preserve">Table of Contents </w:t>
                            </w:r>
                          </w:p>
                          <w:tbl>
                            <w:tblPr>
                              <w:tblW w:w="8450" w:type="dxa"/>
                              <w:jc w:val="left"/>
                              <w:tblInd w:w="1060" w:type="dxa"/>
                              <w:tblLayout w:type="fixed"/>
                              <w:tblCellMar>
                                <w:top w:w="0" w:type="dxa"/>
                                <w:left w:w="0" w:type="dxa"/>
                                <w:bottom w:w="0" w:type="dxa"/>
                                <w:right w:w="0" w:type="dxa"/>
                              </w:tblCellMar>
                            </w:tblPr>
                            <w:tblGrid>
                              <w:gridCol w:w="275"/>
                              <w:gridCol w:w="170"/>
                              <w:gridCol w:w="170"/>
                              <w:gridCol w:w="7835"/>
                            </w:tblGrid>
                            <w:tr>
                              <w:trPr/>
                              <w:tc>
                                <w:tcPr>
                                  <w:tcW w:w="275" w:type="dxa"/>
                                  <w:tcBorders/>
                                  <w:vAlign w:val="center"/>
                                </w:tcPr>
                                <w:p>
                                  <w:pPr>
                                    <w:pStyle w:val="TableContents"/>
                                    <w:bidi w:val="0"/>
                                    <w:spacing w:before="60" w:after="283"/>
                                    <w:ind w:left="0" w:right="0" w:hanging="0"/>
                                    <w:jc w:val="left"/>
                                    <w:rPr/>
                                  </w:pPr>
                                  <w:hyperlink w:anchor="tNEO">
                                    <w:r>
                                      <w:rPr>
                                        <w:rStyle w:val="InternetLink"/>
                                        <w:rFonts w:ascii="Arial;Helvetica;sans-serif" w:hAnsi="Arial;Helvetica;sans-serif"/>
                                        <w:b/>
                                        <w:color w:val="484484"/>
                                        <w:sz w:val="18"/>
                                      </w:rPr>
                                      <w:t>43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60" w:after="283"/>
                                    <w:ind w:left="0" w:right="0" w:hanging="0"/>
                                    <w:jc w:val="left"/>
                                    <w:rPr/>
                                  </w:pPr>
                                  <w:hyperlink w:anchor="tNEO">
                                    <w:r>
                                      <w:rPr>
                                        <w:rStyle w:val="InternetLink"/>
                                        <w:rFonts w:ascii="Arial;Helvetica;sans-serif" w:hAnsi="Arial;Helvetica;sans-serif"/>
                                        <w:b/>
                                        <w:color w:val="484484"/>
                                        <w:sz w:val="18"/>
                                      </w:rPr>
                                      <w:t>Named Executive Officers</w:t>
                                    </w:r>
                                  </w:hyperlink>
                                </w:p>
                              </w:tc>
                            </w:tr>
                            <w:tr>
                              <w:trPr/>
                              <w:tc>
                                <w:tcPr>
                                  <w:tcW w:w="275" w:type="dxa"/>
                                  <w:tcBorders/>
                                  <w:vAlign w:val="center"/>
                                </w:tcPr>
                                <w:p>
                                  <w:pPr>
                                    <w:pStyle w:val="TableContents"/>
                                    <w:bidi w:val="0"/>
                                    <w:spacing w:before="60" w:after="283"/>
                                    <w:ind w:left="0" w:right="0" w:hanging="0"/>
                                    <w:jc w:val="left"/>
                                    <w:rPr/>
                                  </w:pPr>
                                  <w:hyperlink w:anchor="tES">
                                    <w:r>
                                      <w:rPr>
                                        <w:rStyle w:val="InternetLink"/>
                                        <w:rFonts w:ascii="Arial;Helvetica;sans-serif" w:hAnsi="Arial;Helvetica;sans-serif"/>
                                        <w:b/>
                                        <w:color w:val="484484"/>
                                        <w:sz w:val="18"/>
                                      </w:rPr>
                                      <w:t>44</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60" w:after="283"/>
                                    <w:ind w:left="0" w:right="0" w:hanging="0"/>
                                    <w:jc w:val="left"/>
                                    <w:rPr/>
                                  </w:pPr>
                                  <w:hyperlink w:anchor="tES">
                                    <w:r>
                                      <w:rPr>
                                        <w:rStyle w:val="InternetLink"/>
                                        <w:rFonts w:ascii="Arial;Helvetica;sans-serif" w:hAnsi="Arial;Helvetica;sans-serif"/>
                                        <w:b/>
                                        <w:color w:val="484484"/>
                                        <w:sz w:val="18"/>
                                      </w:rPr>
                                      <w:t>Executive Summary</w:t>
                                    </w:r>
                                  </w:hyperlink>
                                </w:p>
                              </w:tc>
                            </w:tr>
                            <w:tr>
                              <w:trPr/>
                              <w:tc>
                                <w:tcPr>
                                  <w:tcW w:w="275" w:type="dxa"/>
                                  <w:tcBorders/>
                                  <w:vAlign w:val="center"/>
                                </w:tcPr>
                                <w:p>
                                  <w:pPr>
                                    <w:pStyle w:val="TableContents"/>
                                    <w:bidi w:val="0"/>
                                    <w:spacing w:before="60" w:after="283"/>
                                    <w:ind w:left="0" w:right="0" w:hanging="0"/>
                                    <w:jc w:val="left"/>
                                    <w:rPr/>
                                  </w:pPr>
                                  <w:hyperlink w:anchor="tSHA">
                                    <w:r>
                                      <w:rPr>
                                        <w:rStyle w:val="InternetLink"/>
                                        <w:rFonts w:ascii="Arial;Helvetica;sans-serif" w:hAnsi="Arial;Helvetica;sans-serif"/>
                                        <w:b/>
                                        <w:color w:val="484484"/>
                                        <w:sz w:val="18"/>
                                      </w:rPr>
                                      <w:t>45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60" w:after="283"/>
                                    <w:ind w:left="0" w:right="0" w:hanging="0"/>
                                    <w:jc w:val="left"/>
                                    <w:rPr/>
                                  </w:pPr>
                                  <w:hyperlink w:anchor="tSHA">
                                    <w:r>
                                      <w:rPr>
                                        <w:rStyle w:val="InternetLink"/>
                                        <w:rFonts w:ascii="Arial;Helvetica;sans-serif" w:hAnsi="Arial;Helvetica;sans-serif"/>
                                        <w:b/>
                                        <w:color w:val="484484"/>
                                        <w:sz w:val="18"/>
                                      </w:rPr>
                                      <w:t>Selected Highlights and Recent Developments</w:t>
                                    </w:r>
                                  </w:hyperlink>
                                </w:p>
                              </w:tc>
                            </w:tr>
                            <w:tr>
                              <w:trPr/>
                              <w:tc>
                                <w:tcPr>
                                  <w:tcW w:w="275" w:type="dxa"/>
                                  <w:tcBorders/>
                                  <w:vAlign w:val="center"/>
                                </w:tcPr>
                                <w:p>
                                  <w:pPr>
                                    <w:pStyle w:val="TableContents"/>
                                    <w:bidi w:val="0"/>
                                    <w:spacing w:before="60" w:after="283"/>
                                    <w:ind w:left="0" w:right="0" w:hanging="0"/>
                                    <w:jc w:val="left"/>
                                    <w:rPr/>
                                  </w:pPr>
                                  <w:hyperlink w:anchor="tECP">
                                    <w:r>
                                      <w:rPr>
                                        <w:rStyle w:val="InternetLink"/>
                                        <w:rFonts w:ascii="Arial;Helvetica;sans-serif" w:hAnsi="Arial;Helvetica;sans-serif"/>
                                        <w:b/>
                                        <w:color w:val="484484"/>
                                        <w:sz w:val="18"/>
                                      </w:rPr>
                                      <w:t>47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60" w:after="283"/>
                                    <w:ind w:left="0" w:right="0" w:hanging="0"/>
                                    <w:jc w:val="left"/>
                                    <w:rPr/>
                                  </w:pPr>
                                  <w:hyperlink w:anchor="tECP">
                                    <w:r>
                                      <w:rPr>
                                        <w:rStyle w:val="InternetLink"/>
                                        <w:rFonts w:ascii="Arial;Helvetica;sans-serif" w:hAnsi="Arial;Helvetica;sans-serif"/>
                                        <w:b/>
                                        <w:color w:val="484484"/>
                                        <w:sz w:val="18"/>
                                      </w:rPr>
                                      <w:t>Executive Compensation Philosophy</w:t>
                                    </w:r>
                                  </w:hyperlink>
                                </w:p>
                              </w:tc>
                            </w:tr>
                            <w:tr>
                              <w:trPr/>
                              <w:tc>
                                <w:tcPr>
                                  <w:tcW w:w="275" w:type="dxa"/>
                                  <w:tcBorders/>
                                  <w:vAlign w:val="center"/>
                                </w:tcPr>
                                <w:p>
                                  <w:pPr>
                                    <w:pStyle w:val="TableContents"/>
                                    <w:bidi w:val="0"/>
                                    <w:spacing w:before="60" w:after="283"/>
                                    <w:ind w:left="0" w:right="0" w:hanging="0"/>
                                    <w:jc w:val="left"/>
                                    <w:rPr/>
                                  </w:pPr>
                                  <w:hyperlink w:anchor="tTTC">
                                    <w:r>
                                      <w:rPr>
                                        <w:rStyle w:val="InternetLink"/>
                                        <w:rFonts w:ascii="Arial;Helvetica;sans-serif" w:hAnsi="Arial;Helvetica;sans-serif"/>
                                        <w:b/>
                                        <w:color w:val="484484"/>
                                        <w:sz w:val="18"/>
                                      </w:rPr>
                                      <w:t>48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60" w:after="283"/>
                                    <w:ind w:left="0" w:right="0" w:hanging="0"/>
                                    <w:jc w:val="left"/>
                                    <w:rPr/>
                                  </w:pPr>
                                  <w:hyperlink w:anchor="tTTC">
                                    <w:r>
                                      <w:rPr>
                                        <w:rStyle w:val="InternetLink"/>
                                        <w:rFonts w:ascii="Arial;Helvetica;sans-serif" w:hAnsi="Arial;Helvetica;sans-serif"/>
                                        <w:b/>
                                        <w:color w:val="484484"/>
                                        <w:sz w:val="18"/>
                                      </w:rPr>
                                      <w:t>2024 Performance-Based Compensation Program</w:t>
                                    </w:r>
                                  </w:hyperlink>
                                </w:p>
                              </w:tc>
                            </w:tr>
                            <w:tr>
                              <w:trPr/>
                              <w:tc>
                                <w:tcPr>
                                  <w:tcW w:w="275" w:type="dxa"/>
                                  <w:tcBorders/>
                                  <w:vAlign w:val="center"/>
                                </w:tcPr>
                                <w:p>
                                  <w:pPr>
                                    <w:pStyle w:val="TableContents"/>
                                    <w:bidi w:val="0"/>
                                    <w:spacing w:before="0" w:after="283"/>
                                    <w:ind w:left="0" w:right="0" w:hanging="0"/>
                                    <w:jc w:val="left"/>
                                    <w:rPr/>
                                  </w:pPr>
                                  <w:hyperlink w:anchor="tTTC">
                                    <w:r>
                                      <w:rPr>
                                        <w:rStyle w:val="InternetLink"/>
                                        <w:rFonts w:ascii="Arial;Helvetica;sans-serif" w:hAnsi="Arial;Helvetica;sans-serif"/>
                                        <w:color w:val="636466"/>
                                        <w:sz w:val="18"/>
                                      </w:rPr>
                                      <w:t>48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283"/>
                                    <w:ind w:left="0" w:right="0" w:hanging="0"/>
                                    <w:jc w:val="left"/>
                                    <w:rPr/>
                                  </w:pPr>
                                  <w:hyperlink w:anchor="tTTC">
                                    <w:r>
                                      <w:rPr>
                                        <w:rStyle w:val="InternetLink"/>
                                        <w:rFonts w:ascii="Arial;Helvetica;sans-serif" w:hAnsi="Arial;Helvetica;sans-serif"/>
                                        <w:color w:val="636466"/>
                                        <w:sz w:val="18"/>
                                      </w:rPr>
                                      <w:t>2024 Total Target Compensation</w:t>
                                    </w:r>
                                  </w:hyperlink>
                                </w:p>
                              </w:tc>
                            </w:tr>
                            <w:tr>
                              <w:trPr/>
                              <w:tc>
                                <w:tcPr>
                                  <w:tcW w:w="275" w:type="dxa"/>
                                  <w:tcBorders/>
                                  <w:vAlign w:val="center"/>
                                </w:tcPr>
                                <w:p>
                                  <w:pPr>
                                    <w:pStyle w:val="TableContents"/>
                                    <w:bidi w:val="0"/>
                                    <w:spacing w:before="0" w:after="283"/>
                                    <w:ind w:left="0" w:right="0" w:hanging="0"/>
                                    <w:jc w:val="left"/>
                                    <w:rPr/>
                                  </w:pPr>
                                  <w:hyperlink w:anchor="tCFS">
                                    <w:r>
                                      <w:rPr>
                                        <w:rStyle w:val="InternetLink"/>
                                        <w:rFonts w:ascii="Arial;Helvetica;sans-serif" w:hAnsi="Arial;Helvetica;sans-serif"/>
                                        <w:color w:val="636466"/>
                                        <w:sz w:val="18"/>
                                      </w:rPr>
                                      <w:t>48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283"/>
                                    <w:ind w:left="0" w:right="0" w:hanging="0"/>
                                    <w:jc w:val="left"/>
                                    <w:rPr/>
                                  </w:pPr>
                                  <w:hyperlink w:anchor="tCFS">
                                    <w:r>
                                      <w:rPr>
                                        <w:rStyle w:val="InternetLink"/>
                                        <w:rFonts w:ascii="Arial;Helvetica;sans-serif" w:hAnsi="Arial;Helvetica;sans-serif"/>
                                        <w:color w:val="636466"/>
                                        <w:sz w:val="18"/>
                                      </w:rPr>
                                      <w:t>Considerations for Setting 2024 Incentive Performance Goals</w:t>
                                    </w:r>
                                  </w:hyperlink>
                                </w:p>
                              </w:tc>
                            </w:tr>
                            <w:tr>
                              <w:trPr/>
                              <w:tc>
                                <w:tcPr>
                                  <w:tcW w:w="275" w:type="dxa"/>
                                  <w:tcBorders/>
                                  <w:vAlign w:val="center"/>
                                </w:tcPr>
                                <w:p>
                                  <w:pPr>
                                    <w:pStyle w:val="TableContents"/>
                                    <w:bidi w:val="0"/>
                                    <w:spacing w:before="0" w:after="283"/>
                                    <w:ind w:left="0" w:right="0" w:hanging="0"/>
                                    <w:jc w:val="left"/>
                                    <w:rPr/>
                                  </w:pPr>
                                  <w:hyperlink w:anchor="tPG">
                                    <w:r>
                                      <w:rPr>
                                        <w:rStyle w:val="InternetLink"/>
                                        <w:rFonts w:ascii="Arial;Helvetica;sans-serif" w:hAnsi="Arial;Helvetica;sans-serif"/>
                                        <w:color w:val="636466"/>
                                        <w:sz w:val="18"/>
                                      </w:rPr>
                                      <w:t>48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283"/>
                                    <w:ind w:left="0" w:right="0" w:hanging="0"/>
                                    <w:jc w:val="left"/>
                                    <w:rPr/>
                                  </w:pPr>
                                  <w:hyperlink w:anchor="tPG">
                                    <w:r>
                                      <w:rPr>
                                        <w:rStyle w:val="InternetLink"/>
                                        <w:rFonts w:ascii="Arial;Helvetica;sans-serif" w:hAnsi="Arial;Helvetica;sans-serif"/>
                                        <w:color w:val="636466"/>
                                        <w:sz w:val="18"/>
                                      </w:rPr>
                                      <w:t>2024 Peer Group</w:t>
                                    </w:r>
                                  </w:hyperlink>
                                </w:p>
                              </w:tc>
                            </w:tr>
                            <w:tr>
                              <w:trPr/>
                              <w:tc>
                                <w:tcPr>
                                  <w:tcW w:w="275" w:type="dxa"/>
                                  <w:tcBorders/>
                                  <w:vAlign w:val="center"/>
                                </w:tcPr>
                                <w:p>
                                  <w:pPr>
                                    <w:pStyle w:val="TableContents"/>
                                    <w:bidi w:val="0"/>
                                    <w:spacing w:before="60" w:after="283"/>
                                    <w:ind w:left="0" w:right="0" w:hanging="0"/>
                                    <w:jc w:val="left"/>
                                    <w:rPr/>
                                  </w:pPr>
                                  <w:hyperlink w:anchor="tEOC">
                                    <w:r>
                                      <w:rPr>
                                        <w:rStyle w:val="InternetLink"/>
                                        <w:rFonts w:ascii="Arial;Helvetica;sans-serif" w:hAnsi="Arial;Helvetica;sans-serif"/>
                                        <w:b/>
                                        <w:color w:val="484484"/>
                                        <w:sz w:val="18"/>
                                      </w:rPr>
                                      <w:t>49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60" w:after="283"/>
                                    <w:ind w:left="0" w:right="0" w:hanging="0"/>
                                    <w:jc w:val="left"/>
                                    <w:rPr/>
                                  </w:pPr>
                                  <w:hyperlink w:anchor="tEOC">
                                    <w:r>
                                      <w:rPr>
                                        <w:rStyle w:val="InternetLink"/>
                                        <w:rFonts w:ascii="Arial;Helvetica;sans-serif" w:hAnsi="Arial;Helvetica;sans-serif"/>
                                        <w:b/>
                                        <w:color w:val="484484"/>
                                        <w:sz w:val="18"/>
                                      </w:rPr>
                                      <w:t>Elements of 2024 Compensation</w:t>
                                    </w:r>
                                  </w:hyperlink>
                                </w:p>
                              </w:tc>
                            </w:tr>
                            <w:tr>
                              <w:trPr/>
                              <w:tc>
                                <w:tcPr>
                                  <w:tcW w:w="275" w:type="dxa"/>
                                  <w:tcBorders/>
                                  <w:vAlign w:val="center"/>
                                </w:tcPr>
                                <w:p>
                                  <w:pPr>
                                    <w:pStyle w:val="TableContents"/>
                                    <w:bidi w:val="0"/>
                                    <w:spacing w:before="0" w:after="283"/>
                                    <w:ind w:left="0" w:right="0" w:hanging="0"/>
                                    <w:jc w:val="left"/>
                                    <w:rPr/>
                                  </w:pPr>
                                  <w:hyperlink w:anchor="tBS">
                                    <w:r>
                                      <w:rPr>
                                        <w:rStyle w:val="InternetLink"/>
                                        <w:rFonts w:ascii="Arial;Helvetica;sans-serif" w:hAnsi="Arial;Helvetica;sans-serif"/>
                                        <w:color w:val="636466"/>
                                        <w:sz w:val="18"/>
                                      </w:rPr>
                                      <w:t>49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283"/>
                                    <w:ind w:left="0" w:right="0" w:hanging="0"/>
                                    <w:jc w:val="left"/>
                                    <w:rPr/>
                                  </w:pPr>
                                  <w:hyperlink w:anchor="tBS">
                                    <w:r>
                                      <w:rPr>
                                        <w:rStyle w:val="InternetLink"/>
                                        <w:rFonts w:ascii="Arial;Helvetica;sans-serif" w:hAnsi="Arial;Helvetica;sans-serif"/>
                                        <w:color w:val="636466"/>
                                        <w:sz w:val="18"/>
                                      </w:rPr>
                                      <w:t>Base Salaries</w:t>
                                    </w:r>
                                  </w:hyperlink>
                                </w:p>
                              </w:tc>
                            </w:tr>
                            <w:tr>
                              <w:trPr/>
                              <w:tc>
                                <w:tcPr>
                                  <w:tcW w:w="275" w:type="dxa"/>
                                  <w:tcBorders/>
                                  <w:vAlign w:val="center"/>
                                </w:tcPr>
                                <w:p>
                                  <w:pPr>
                                    <w:pStyle w:val="TableContents"/>
                                    <w:bidi w:val="0"/>
                                    <w:spacing w:before="0" w:after="283"/>
                                    <w:ind w:left="0" w:right="0" w:hanging="0"/>
                                    <w:jc w:val="left"/>
                                    <w:rPr/>
                                  </w:pPr>
                                  <w:hyperlink w:anchor="tAIC">
                                    <w:r>
                                      <w:rPr>
                                        <w:rStyle w:val="InternetLink"/>
                                        <w:rFonts w:ascii="Arial;Helvetica;sans-serif" w:hAnsi="Arial;Helvetica;sans-serif"/>
                                        <w:color w:val="636466"/>
                                        <w:sz w:val="18"/>
                                      </w:rPr>
                                      <w:t>49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283"/>
                                    <w:ind w:left="0" w:right="0" w:hanging="0"/>
                                    <w:jc w:val="left"/>
                                    <w:rPr/>
                                  </w:pPr>
                                  <w:hyperlink w:anchor="tAIC">
                                    <w:r>
                                      <w:rPr>
                                        <w:rStyle w:val="InternetLink"/>
                                        <w:rFonts w:ascii="Arial;Helvetica;sans-serif" w:hAnsi="Arial;Helvetica;sans-serif"/>
                                        <w:color w:val="636466"/>
                                        <w:sz w:val="18"/>
                                      </w:rPr>
                                      <w:t>2024 Annual Incentive Compensation Program</w:t>
                                    </w:r>
                                  </w:hyperlink>
                                </w:p>
                              </w:tc>
                            </w:tr>
                            <w:tr>
                              <w:trPr/>
                              <w:tc>
                                <w:tcPr>
                                  <w:tcW w:w="275" w:type="dxa"/>
                                  <w:tcBorders/>
                                  <w:vAlign w:val="center"/>
                                </w:tcPr>
                                <w:p>
                                  <w:pPr>
                                    <w:pStyle w:val="TableContents"/>
                                    <w:bidi w:val="0"/>
                                    <w:spacing w:before="0" w:after="283"/>
                                    <w:ind w:left="0" w:right="0" w:hanging="0"/>
                                    <w:jc w:val="left"/>
                                    <w:rPr/>
                                  </w:pPr>
                                  <w:hyperlink w:anchor="tLTI">
                                    <w:r>
                                      <w:rPr>
                                        <w:rStyle w:val="InternetLink"/>
                                        <w:rFonts w:ascii="Arial;Helvetica;sans-serif" w:hAnsi="Arial;Helvetica;sans-serif"/>
                                        <w:color w:val="636466"/>
                                        <w:sz w:val="18"/>
                                      </w:rPr>
                                      <w:t>51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283"/>
                                    <w:ind w:left="0" w:right="0" w:hanging="0"/>
                                    <w:jc w:val="left"/>
                                    <w:rPr/>
                                  </w:pPr>
                                  <w:hyperlink w:anchor="tLTI">
                                    <w:r>
                                      <w:rPr>
                                        <w:rStyle w:val="InternetLink"/>
                                        <w:rFonts w:ascii="Arial;Helvetica;sans-serif" w:hAnsi="Arial;Helvetica;sans-serif"/>
                                        <w:color w:val="636466"/>
                                        <w:sz w:val="18"/>
                                      </w:rPr>
                                      <w:t>2024 Long-Term Incentive Compensation Programs</w:t>
                                    </w:r>
                                  </w:hyperlink>
                                </w:p>
                              </w:tc>
                            </w:tr>
                            <w:tr>
                              <w:trPr/>
                              <w:tc>
                                <w:tcPr>
                                  <w:tcW w:w="275" w:type="dxa"/>
                                  <w:tcBorders/>
                                  <w:vAlign w:val="center"/>
                                </w:tcPr>
                                <w:p>
                                  <w:pPr>
                                    <w:pStyle w:val="TableContents"/>
                                    <w:bidi w:val="0"/>
                                    <w:spacing w:before="60" w:after="283"/>
                                    <w:ind w:left="0" w:right="0" w:hanging="0"/>
                                    <w:jc w:val="left"/>
                                    <w:rPr/>
                                  </w:pPr>
                                  <w:hyperlink w:anchor="tCGA">
                                    <w:r>
                                      <w:rPr>
                                        <w:rStyle w:val="InternetLink"/>
                                        <w:rFonts w:ascii="Arial;Helvetica;sans-serif" w:hAnsi="Arial;Helvetica;sans-serif"/>
                                        <w:b/>
                                        <w:color w:val="484484"/>
                                        <w:sz w:val="18"/>
                                      </w:rPr>
                                      <w:t>52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60" w:after="283"/>
                                    <w:ind w:left="0" w:right="0" w:hanging="0"/>
                                    <w:jc w:val="left"/>
                                    <w:rPr/>
                                  </w:pPr>
                                  <w:hyperlink w:anchor="tCGA">
                                    <w:r>
                                      <w:rPr>
                                        <w:rStyle w:val="InternetLink"/>
                                        <w:rFonts w:ascii="Arial;Helvetica;sans-serif" w:hAnsi="Arial;Helvetica;sans-serif"/>
                                        <w:b/>
                                        <w:color w:val="484484"/>
                                        <w:sz w:val="18"/>
                                      </w:rPr>
                                      <w:t>Compensation Governance and Policies</w:t>
                                    </w:r>
                                  </w:hyperlink>
                                </w:p>
                              </w:tc>
                            </w:tr>
                            <w:tr>
                              <w:trPr/>
                              <w:tc>
                                <w:tcPr>
                                  <w:tcW w:w="275" w:type="dxa"/>
                                  <w:tcBorders/>
                                  <w:vAlign w:val="center"/>
                                </w:tcPr>
                                <w:p>
                                  <w:pPr>
                                    <w:pStyle w:val="TableContents"/>
                                    <w:bidi w:val="0"/>
                                    <w:spacing w:before="0" w:after="283"/>
                                    <w:ind w:left="0" w:right="0" w:hanging="0"/>
                                    <w:jc w:val="left"/>
                                    <w:rPr/>
                                  </w:pPr>
                                  <w:hyperlink w:anchor="tVCD">
                                    <w:r>
                                      <w:rPr>
                                        <w:rStyle w:val="InternetLink"/>
                                        <w:rFonts w:ascii="Arial;Helvetica;sans-serif" w:hAnsi="Arial;Helvetica;sans-serif"/>
                                        <w:color w:val="636466"/>
                                        <w:sz w:val="18"/>
                                      </w:rPr>
                                      <w:t>52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283"/>
                                    <w:ind w:left="0" w:right="0" w:hanging="0"/>
                                    <w:jc w:val="left"/>
                                    <w:rPr/>
                                  </w:pPr>
                                  <w:hyperlink w:anchor="tVCD">
                                    <w:r>
                                      <w:rPr>
                                        <w:rStyle w:val="InternetLink"/>
                                        <w:rFonts w:ascii="Arial;Helvetica;sans-serif" w:hAnsi="Arial;Helvetica;sans-serif"/>
                                        <w:color w:val="636466"/>
                                        <w:sz w:val="18"/>
                                      </w:rPr>
                                      <w:t>Governance and Other Considerations Impacting Viatris Compensation Decisions</w:t>
                                    </w:r>
                                  </w:hyperlink>
                                </w:p>
                              </w:tc>
                            </w:tr>
                            <w:tr>
                              <w:trPr/>
                              <w:tc>
                                <w:tcPr>
                                  <w:tcW w:w="275" w:type="dxa"/>
                                  <w:tcBorders/>
                                  <w:vAlign w:val="center"/>
                                </w:tcPr>
                                <w:p>
                                  <w:pPr>
                                    <w:pStyle w:val="TableContents"/>
                                    <w:bidi w:val="0"/>
                                    <w:spacing w:before="0" w:after="283"/>
                                    <w:ind w:left="0" w:right="0" w:hanging="0"/>
                                    <w:jc w:val="left"/>
                                    <w:rPr/>
                                  </w:pPr>
                                  <w:hyperlink w:anchor="tCTR">
                                    <w:r>
                                      <w:rPr>
                                        <w:rStyle w:val="InternetLink"/>
                                        <w:rFonts w:ascii="Arial;Helvetica;sans-serif" w:hAnsi="Arial;Helvetica;sans-serif"/>
                                        <w:color w:val="636466"/>
                                        <w:sz w:val="18"/>
                                      </w:rPr>
                                      <w:t>53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283"/>
                                    <w:ind w:left="0" w:right="0" w:hanging="0"/>
                                    <w:jc w:val="left"/>
                                    <w:rPr/>
                                  </w:pPr>
                                  <w:hyperlink w:anchor="tCTR">
                                    <w:r>
                                      <w:rPr>
                                        <w:rStyle w:val="InternetLink"/>
                                        <w:rFonts w:ascii="Arial;Helvetica;sans-serif" w:hAnsi="Arial;Helvetica;sans-serif"/>
                                        <w:color w:val="636466"/>
                                        <w:sz w:val="18"/>
                                      </w:rPr>
                                      <w:t>Commitment to Responsible, Shareholder-Aligned Compensation Governance Practices</w:t>
                                    </w:r>
                                  </w:hyperlink>
                                </w:p>
                              </w:tc>
                            </w:tr>
                            <w:tr>
                              <w:trPr/>
                              <w:tc>
                                <w:tcPr>
                                  <w:tcW w:w="275" w:type="dxa"/>
                                  <w:tcBorders/>
                                  <w:vAlign w:val="center"/>
                                </w:tcPr>
                                <w:p>
                                  <w:pPr>
                                    <w:pStyle w:val="TableContents"/>
                                    <w:bidi w:val="0"/>
                                    <w:spacing w:before="0" w:after="283"/>
                                    <w:ind w:left="0" w:right="0" w:hanging="0"/>
                                    <w:jc w:val="left"/>
                                    <w:rPr/>
                                  </w:pPr>
                                  <w:hyperlink w:anchor="tLP">
                                    <w:r>
                                      <w:rPr>
                                        <w:rStyle w:val="InternetLink"/>
                                        <w:rFonts w:ascii="Arial;Helvetica;sans-serif" w:hAnsi="Arial;Helvetica;sans-serif"/>
                                        <w:color w:val="636466"/>
                                        <w:sz w:val="18"/>
                                      </w:rPr>
                                      <w:t>53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283"/>
                                    <w:ind w:left="0" w:right="0" w:hanging="0"/>
                                    <w:jc w:val="left"/>
                                    <w:rPr/>
                                  </w:pPr>
                                  <w:hyperlink w:anchor="tLP">
                                    <w:r>
                                      <w:rPr>
                                        <w:rStyle w:val="InternetLink"/>
                                        <w:rFonts w:ascii="Arial;Helvetica;sans-serif" w:hAnsi="Arial;Helvetica;sans-serif"/>
                                        <w:color w:val="636466"/>
                                        <w:sz w:val="18"/>
                                      </w:rPr>
                                      <w:t>Limited Perquisites</w:t>
                                    </w:r>
                                  </w:hyperlink>
                                </w:p>
                              </w:tc>
                            </w:tr>
                            <w:tr>
                              <w:trPr/>
                              <w:tc>
                                <w:tcPr>
                                  <w:tcW w:w="275" w:type="dxa"/>
                                  <w:tcBorders/>
                                  <w:vAlign w:val="center"/>
                                </w:tcPr>
                                <w:p>
                                  <w:pPr>
                                    <w:pStyle w:val="TableContents"/>
                                    <w:bidi w:val="0"/>
                                    <w:spacing w:before="0" w:after="283"/>
                                    <w:ind w:left="0" w:right="0" w:hanging="0"/>
                                    <w:jc w:val="left"/>
                                    <w:rPr/>
                                  </w:pPr>
                                  <w:hyperlink w:anchor="tRP">
                                    <w:r>
                                      <w:rPr>
                                        <w:rStyle w:val="InternetLink"/>
                                        <w:rFonts w:ascii="Arial;Helvetica;sans-serif" w:hAnsi="Arial;Helvetica;sans-serif"/>
                                        <w:color w:val="636466"/>
                                        <w:sz w:val="18"/>
                                      </w:rPr>
                                      <w:t>54</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283"/>
                                    <w:ind w:left="0" w:right="0" w:hanging="0"/>
                                    <w:jc w:val="left"/>
                                    <w:rPr/>
                                  </w:pPr>
                                  <w:hyperlink w:anchor="tRP">
                                    <w:r>
                                      <w:rPr>
                                        <w:rStyle w:val="InternetLink"/>
                                        <w:rFonts w:ascii="Arial;Helvetica;sans-serif" w:hAnsi="Arial;Helvetica;sans-serif"/>
                                        <w:color w:val="636466"/>
                                        <w:sz w:val="18"/>
                                      </w:rPr>
                                      <w:t>401(k) Restoration Plan</w:t>
                                    </w:r>
                                  </w:hyperlink>
                                </w:p>
                              </w:tc>
                            </w:tr>
                            <w:tr>
                              <w:trPr/>
                              <w:tc>
                                <w:tcPr>
                                  <w:tcW w:w="275" w:type="dxa"/>
                                  <w:tcBorders/>
                                  <w:vAlign w:val="center"/>
                                </w:tcPr>
                                <w:p>
                                  <w:pPr>
                                    <w:pStyle w:val="TableContents"/>
                                    <w:bidi w:val="0"/>
                                    <w:spacing w:before="0" w:after="283"/>
                                    <w:ind w:left="0" w:right="0" w:hanging="0"/>
                                    <w:jc w:val="left"/>
                                    <w:rPr/>
                                  </w:pPr>
                                  <w:hyperlink w:anchor="tSOR">
                                    <w:r>
                                      <w:rPr>
                                        <w:rStyle w:val="InternetLink"/>
                                        <w:rFonts w:ascii="Arial;Helvetica;sans-serif" w:hAnsi="Arial;Helvetica;sans-serif"/>
                                        <w:color w:val="636466"/>
                                        <w:sz w:val="18"/>
                                      </w:rPr>
                                      <w:t>54</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283"/>
                                    <w:ind w:left="0" w:right="0" w:hanging="0"/>
                                    <w:jc w:val="left"/>
                                    <w:rPr/>
                                  </w:pPr>
                                  <w:hyperlink w:anchor="tSOR">
                                    <w:r>
                                      <w:rPr>
                                        <w:rStyle w:val="InternetLink"/>
                                        <w:rFonts w:ascii="Arial;Helvetica;sans-serif" w:hAnsi="Arial;Helvetica;sans-serif"/>
                                        <w:color w:val="636466"/>
                                        <w:sz w:val="18"/>
                                      </w:rPr>
                                      <w:t>2024 Share Ownership Requirements</w:t>
                                    </w:r>
                                  </w:hyperlink>
                                </w:p>
                              </w:tc>
                            </w:tr>
                            <w:tr>
                              <w:trPr/>
                              <w:tc>
                                <w:tcPr>
                                  <w:tcW w:w="275" w:type="dxa"/>
                                  <w:tcBorders/>
                                  <w:vAlign w:val="center"/>
                                </w:tcPr>
                                <w:p>
                                  <w:pPr>
                                    <w:pStyle w:val="TableContents"/>
                                    <w:bidi w:val="0"/>
                                    <w:spacing w:before="0" w:after="283"/>
                                    <w:ind w:left="0" w:right="0" w:hanging="0"/>
                                    <w:jc w:val="left"/>
                                    <w:rPr/>
                                  </w:pPr>
                                  <w:hyperlink w:anchor="tCP">
                                    <w:r>
                                      <w:rPr>
                                        <w:rStyle w:val="InternetLink"/>
                                        <w:rFonts w:ascii="Arial;Helvetica;sans-serif" w:hAnsi="Arial;Helvetica;sans-serif"/>
                                        <w:color w:val="636466"/>
                                        <w:sz w:val="18"/>
                                      </w:rPr>
                                      <w:t>54</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283"/>
                                    <w:ind w:left="0" w:right="0" w:hanging="0"/>
                                    <w:jc w:val="left"/>
                                    <w:rPr/>
                                  </w:pPr>
                                  <w:hyperlink w:anchor="tCP">
                                    <w:r>
                                      <w:rPr>
                                        <w:rStyle w:val="InternetLink"/>
                                        <w:rFonts w:ascii="Arial;Helvetica;sans-serif" w:hAnsi="Arial;Helvetica;sans-serif"/>
                                        <w:color w:val="636466"/>
                                        <w:sz w:val="18"/>
                                      </w:rPr>
                                      <w:t>Clawback Policy</w:t>
                                    </w:r>
                                  </w:hyperlink>
                                </w:p>
                              </w:tc>
                            </w:tr>
                            <w:tr>
                              <w:trPr/>
                              <w:tc>
                                <w:tcPr>
                                  <w:tcW w:w="275" w:type="dxa"/>
                                  <w:tcBorders/>
                                  <w:vAlign w:val="center"/>
                                </w:tcPr>
                                <w:p>
                                  <w:pPr>
                                    <w:pStyle w:val="TableContents"/>
                                    <w:bidi w:val="0"/>
                                    <w:spacing w:before="0" w:after="283"/>
                                    <w:ind w:left="0" w:right="0" w:hanging="0"/>
                                    <w:jc w:val="left"/>
                                    <w:rPr/>
                                  </w:pPr>
                                  <w:hyperlink w:anchor="tAHA">
                                    <w:r>
                                      <w:rPr>
                                        <w:rStyle w:val="InternetLink"/>
                                        <w:rFonts w:ascii="Arial;Helvetica;sans-serif" w:hAnsi="Arial;Helvetica;sans-serif"/>
                                        <w:color w:val="636466"/>
                                        <w:sz w:val="18"/>
                                      </w:rPr>
                                      <w:t>55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283"/>
                                    <w:ind w:left="0" w:right="0" w:hanging="0"/>
                                    <w:jc w:val="left"/>
                                    <w:rPr/>
                                  </w:pPr>
                                  <w:hyperlink w:anchor="tAHA">
                                    <w:r>
                                      <w:rPr>
                                        <w:rStyle w:val="InternetLink"/>
                                        <w:rFonts w:ascii="Arial;Helvetica;sans-serif" w:hAnsi="Arial;Helvetica;sans-serif"/>
                                        <w:color w:val="636466"/>
                                        <w:sz w:val="18"/>
                                      </w:rPr>
                                      <w:t>Anti-Hedging and Anti-Pledging Policy</w:t>
                                    </w:r>
                                  </w:hyperlink>
                                </w:p>
                              </w:tc>
                            </w:tr>
                            <w:tr>
                              <w:trPr/>
                              <w:tc>
                                <w:tcPr>
                                  <w:tcW w:w="275" w:type="dxa"/>
                                  <w:tcBorders/>
                                  <w:vAlign w:val="center"/>
                                </w:tcPr>
                                <w:p>
                                  <w:pPr>
                                    <w:pStyle w:val="TableContents"/>
                                    <w:bidi w:val="0"/>
                                    <w:spacing w:before="0" w:after="283"/>
                                    <w:ind w:left="0" w:right="0" w:hanging="0"/>
                                    <w:jc w:val="left"/>
                                    <w:rPr/>
                                  </w:pPr>
                                  <w:hyperlink w:anchor="tCOR">
                                    <w:r>
                                      <w:rPr>
                                        <w:rStyle w:val="InternetLink"/>
                                        <w:rFonts w:ascii="Arial;Helvetica;sans-serif" w:hAnsi="Arial;Helvetica;sans-serif"/>
                                        <w:color w:val="636466"/>
                                        <w:sz w:val="18"/>
                                      </w:rPr>
                                      <w:t>55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283"/>
                                    <w:ind w:left="0" w:right="0" w:hanging="0"/>
                                    <w:jc w:val="left"/>
                                    <w:rPr/>
                                  </w:pPr>
                                  <w:hyperlink w:anchor="tCOR">
                                    <w:r>
                                      <w:rPr>
                                        <w:rStyle w:val="InternetLink"/>
                                        <w:rFonts w:ascii="Arial;Helvetica;sans-serif" w:hAnsi="Arial;Helvetica;sans-serif"/>
                                        <w:color w:val="636466"/>
                                        <w:sz w:val="18"/>
                                      </w:rPr>
                                      <w:t>Consideration of Risk in Company Compensation Policies</w:t>
                                    </w:r>
                                  </w:hyperlink>
                                </w:p>
                              </w:tc>
                            </w:tr>
                            <w:tr>
                              <w:trPr/>
                              <w:tc>
                                <w:tcPr>
                                  <w:tcW w:w="275" w:type="dxa"/>
                                  <w:tcBorders/>
                                  <w:vAlign w:val="center"/>
                                </w:tcPr>
                                <w:p>
                                  <w:pPr>
                                    <w:pStyle w:val="TableContents"/>
                                    <w:bidi w:val="0"/>
                                    <w:spacing w:before="0" w:after="283"/>
                                    <w:ind w:left="0" w:right="0" w:hanging="0"/>
                                    <w:jc w:val="left"/>
                                    <w:rPr/>
                                  </w:pPr>
                                  <w:hyperlink w:anchor="tROT">
                                    <w:r>
                                      <w:rPr>
                                        <w:rStyle w:val="InternetLink"/>
                                        <w:rFonts w:ascii="Arial;Helvetica;sans-serif" w:hAnsi="Arial;Helvetica;sans-serif"/>
                                        <w:color w:val="636466"/>
                                        <w:sz w:val="18"/>
                                      </w:rPr>
                                      <w:t>56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283"/>
                                    <w:ind w:left="0" w:right="0" w:hanging="0"/>
                                    <w:jc w:val="left"/>
                                    <w:rPr/>
                                  </w:pPr>
                                  <w:hyperlink w:anchor="tROT">
                                    <w:r>
                                      <w:rPr>
                                        <w:rStyle w:val="InternetLink"/>
                                        <w:rFonts w:ascii="Arial;Helvetica;sans-serif" w:hAnsi="Arial;Helvetica;sans-serif"/>
                                        <w:color w:val="636466"/>
                                        <w:sz w:val="18"/>
                                      </w:rPr>
                                      <w:t>Role of the Compensation Committee</w:t>
                                    </w:r>
                                  </w:hyperlink>
                                </w:p>
                              </w:tc>
                            </w:tr>
                            <w:tr>
                              <w:trPr/>
                              <w:tc>
                                <w:tcPr>
                                  <w:tcW w:w="275" w:type="dxa"/>
                                  <w:tcBorders/>
                                  <w:vAlign w:val="center"/>
                                </w:tcPr>
                                <w:p>
                                  <w:pPr>
                                    <w:pStyle w:val="TableContents"/>
                                    <w:bidi w:val="0"/>
                                    <w:spacing w:before="0" w:after="283"/>
                                    <w:ind w:left="0" w:right="0" w:hanging="0"/>
                                    <w:jc w:val="left"/>
                                    <w:rPr/>
                                  </w:pPr>
                                  <w:hyperlink w:anchor="tTDC">
                                    <w:r>
                                      <w:rPr>
                                        <w:rStyle w:val="InternetLink"/>
                                        <w:rFonts w:ascii="Arial;Helvetica;sans-serif" w:hAnsi="Arial;Helvetica;sans-serif"/>
                                        <w:color w:val="636466"/>
                                        <w:sz w:val="18"/>
                                      </w:rPr>
                                      <w:t>56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283"/>
                                    <w:ind w:left="0" w:right="0" w:hanging="0"/>
                                    <w:jc w:val="left"/>
                                    <w:rPr/>
                                  </w:pPr>
                                  <w:hyperlink w:anchor="tTDC">
                                    <w:r>
                                      <w:rPr>
                                        <w:rStyle w:val="InternetLink"/>
                                        <w:rFonts w:ascii="Arial;Helvetica;sans-serif" w:hAnsi="Arial;Helvetica;sans-serif"/>
                                        <w:color w:val="636466"/>
                                        <w:sz w:val="18"/>
                                      </w:rPr>
                                      <w:t>Tax Deduction Cap on Executive Compensation</w:t>
                                    </w:r>
                                  </w:hyperlink>
                                </w:p>
                              </w:tc>
                            </w:tr>
                            <w:tr>
                              <w:trPr/>
                              <w:tc>
                                <w:tcPr>
                                  <w:tcW w:w="275" w:type="dxa"/>
                                  <w:tcBorders/>
                                  <w:vAlign w:val="center"/>
                                </w:tcPr>
                                <w:p>
                                  <w:pPr>
                                    <w:pStyle w:val="TableContents"/>
                                    <w:bidi w:val="0"/>
                                    <w:spacing w:before="0" w:after="283"/>
                                    <w:ind w:left="0" w:right="0" w:hanging="0"/>
                                    <w:jc w:val="left"/>
                                    <w:rPr/>
                                  </w:pPr>
                                  <w:hyperlink w:anchor="tITPP">
                                    <w:r>
                                      <w:rPr>
                                        <w:rStyle w:val="InternetLink"/>
                                        <w:rFonts w:ascii="Arial;Helvetica;sans-serif" w:hAnsi="Arial;Helvetica;sans-serif"/>
                                        <w:color w:val="636466"/>
                                        <w:sz w:val="18"/>
                                      </w:rPr>
                                      <w:t>56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283"/>
                                    <w:ind w:left="0" w:right="0" w:hanging="0"/>
                                    <w:jc w:val="left"/>
                                    <w:rPr/>
                                  </w:pPr>
                                  <w:hyperlink w:anchor="tITPP">
                                    <w:r>
                                      <w:rPr>
                                        <w:rStyle w:val="InternetLink"/>
                                        <w:rFonts w:ascii="Arial;Helvetica;sans-serif" w:hAnsi="Arial;Helvetica;sans-serif"/>
                                        <w:color w:val="636466"/>
                                        <w:sz w:val="18"/>
                                      </w:rPr>
                                      <w:t>Insider Trading Policies and Procedures</w:t>
                                    </w:r>
                                  </w:hyperlink>
                                </w:p>
                              </w:tc>
                            </w:tr>
                            <w:tr>
                              <w:trPr/>
                              <w:tc>
                                <w:tcPr>
                                  <w:tcW w:w="275" w:type="dxa"/>
                                  <w:tcBorders/>
                                  <w:vAlign w:val="center"/>
                                </w:tcPr>
                                <w:p>
                                  <w:pPr>
                                    <w:pStyle w:val="TableContents"/>
                                    <w:bidi w:val="0"/>
                                    <w:spacing w:before="0" w:after="283"/>
                                    <w:ind w:left="0" w:right="0" w:hanging="0"/>
                                    <w:jc w:val="left"/>
                                    <w:rPr/>
                                  </w:pPr>
                                  <w:hyperlink w:anchor="tEAGP">
                                    <w:r>
                                      <w:rPr>
                                        <w:rStyle w:val="InternetLink"/>
                                        <w:rFonts w:ascii="Arial;Helvetica;sans-serif" w:hAnsi="Arial;Helvetica;sans-serif"/>
                                        <w:color w:val="636466"/>
                                        <w:sz w:val="18"/>
                                      </w:rPr>
                                      <w:t>56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283"/>
                                    <w:ind w:left="0" w:right="0" w:hanging="0"/>
                                    <w:jc w:val="left"/>
                                    <w:rPr/>
                                  </w:pPr>
                                  <w:hyperlink w:anchor="tEAGP">
                                    <w:r>
                                      <w:rPr>
                                        <w:rStyle w:val="InternetLink"/>
                                        <w:rFonts w:ascii="Arial;Helvetica;sans-serif" w:hAnsi="Arial;Helvetica;sans-serif"/>
                                        <w:color w:val="636466"/>
                                        <w:sz w:val="18"/>
                                      </w:rPr>
                                      <w:t>Equity Award Grant Practices</w:t>
                                    </w:r>
                                  </w:hyperlink>
                                </w:p>
                              </w:tc>
                            </w:tr>
                            <w:tr>
                              <w:trPr/>
                              <w:tc>
                                <w:tcPr>
                                  <w:tcW w:w="275" w:type="dxa"/>
                                  <w:tcBorders/>
                                  <w:vAlign w:val="center"/>
                                </w:tcPr>
                                <w:p>
                                  <w:pPr>
                                    <w:pStyle w:val="TableContents"/>
                                    <w:bidi w:val="0"/>
                                    <w:spacing w:before="0" w:after="283"/>
                                    <w:ind w:left="0" w:right="0" w:hanging="0"/>
                                    <w:jc w:val="left"/>
                                    <w:rPr/>
                                  </w:pPr>
                                  <w:hyperlink w:anchor="tCCR">
                                    <w:r>
                                      <w:rPr>
                                        <w:rStyle w:val="InternetLink"/>
                                        <w:rFonts w:ascii="Arial;Helvetica;sans-serif" w:hAnsi="Arial;Helvetica;sans-serif"/>
                                        <w:color w:val="636466"/>
                                        <w:sz w:val="18"/>
                                      </w:rPr>
                                      <w:t>57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283"/>
                                    <w:ind w:left="0" w:right="0" w:hanging="0"/>
                                    <w:jc w:val="left"/>
                                    <w:rPr/>
                                  </w:pPr>
                                  <w:hyperlink w:anchor="tCCR">
                                    <w:r>
                                      <w:rPr>
                                        <w:rStyle w:val="InternetLink"/>
                                        <w:rFonts w:ascii="Arial;Helvetica;sans-serif" w:hAnsi="Arial;Helvetica;sans-serif"/>
                                        <w:color w:val="636466"/>
                                        <w:sz w:val="18"/>
                                      </w:rPr>
                                      <w:t>Compensation Committee Report</w:t>
                                    </w:r>
                                  </w:hyperlink>
                                </w:p>
                              </w:tc>
                            </w:tr>
                            <w:tr>
                              <w:trPr/>
                              <w:tc>
                                <w:tcPr>
                                  <w:tcW w:w="275" w:type="dxa"/>
                                  <w:tcBorders/>
                                  <w:vAlign w:val="center"/>
                                </w:tcPr>
                                <w:p>
                                  <w:pPr>
                                    <w:pStyle w:val="TableContents"/>
                                    <w:bidi w:val="0"/>
                                    <w:spacing w:before="0" w:after="283"/>
                                    <w:ind w:left="0" w:right="0" w:hanging="0"/>
                                    <w:jc w:val="left"/>
                                    <w:rPr/>
                                  </w:pPr>
                                  <w:hyperlink w:anchor="tCCIA">
                                    <w:r>
                                      <w:rPr>
                                        <w:rStyle w:val="InternetLink"/>
                                        <w:rFonts w:ascii="Arial;Helvetica;sans-serif" w:hAnsi="Arial;Helvetica;sans-serif"/>
                                        <w:color w:val="636466"/>
                                        <w:sz w:val="18"/>
                                      </w:rPr>
                                      <w:t>57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283"/>
                                    <w:ind w:left="0" w:right="0" w:hanging="0"/>
                                    <w:jc w:val="left"/>
                                    <w:rPr/>
                                  </w:pPr>
                                  <w:hyperlink w:anchor="tCCIA">
                                    <w:r>
                                      <w:rPr>
                                        <w:rStyle w:val="InternetLink"/>
                                        <w:color w:val="636466"/>
                                      </w:rPr>
                                      <w:t>​</w:t>
                                    </w:r>
                                  </w:hyperlink>
                                  <w:hyperlink w:anchor="tCCIA">
                                    <w:r>
                                      <w:rPr>
                                        <w:rStyle w:val="InternetLink"/>
                                        <w:rFonts w:ascii="Arial;Helvetica;sans-serif" w:hAnsi="Arial;Helvetica;sans-serif"/>
                                        <w:color w:val="636466"/>
                                        <w:sz w:val="18"/>
                                      </w:rPr>
                                      <w:t>Compensation Committee Interlocks and Insider Participation</w:t>
                                    </w:r>
                                  </w:hyperlink>
                                </w:p>
                              </w:tc>
                            </w:tr>
                            <w:tr>
                              <w:trPr/>
                              <w:tc>
                                <w:tcPr>
                                  <w:tcW w:w="275" w:type="dxa"/>
                                  <w:tcBorders/>
                                  <w:vAlign w:val="center"/>
                                </w:tcPr>
                                <w:p>
                                  <w:pPr>
                                    <w:pStyle w:val="TableContents"/>
                                    <w:bidi w:val="0"/>
                                    <w:spacing w:before="60" w:after="283"/>
                                    <w:ind w:left="0" w:right="0" w:hanging="0"/>
                                    <w:jc w:val="left"/>
                                    <w:rPr/>
                                  </w:pPr>
                                  <w:hyperlink w:anchor="tECT">
                                    <w:r>
                                      <w:rPr>
                                        <w:rStyle w:val="InternetLink"/>
                                        <w:rFonts w:ascii="Arial;Helvetica;sans-serif" w:hAnsi="Arial;Helvetica;sans-serif"/>
                                        <w:b/>
                                        <w:color w:val="484484"/>
                                        <w:sz w:val="18"/>
                                      </w:rPr>
                                      <w:t>58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60" w:after="283"/>
                                    <w:ind w:left="0" w:right="0" w:hanging="0"/>
                                    <w:jc w:val="left"/>
                                    <w:rPr/>
                                  </w:pPr>
                                  <w:hyperlink w:anchor="tECT">
                                    <w:r>
                                      <w:rPr>
                                        <w:rStyle w:val="InternetLink"/>
                                        <w:rFonts w:ascii="Arial;Helvetica;sans-serif" w:hAnsi="Arial;Helvetica;sans-serif"/>
                                        <w:b/>
                                        <w:color w:val="484484"/>
                                        <w:sz w:val="18"/>
                                      </w:rPr>
                                      <w:t>Executive Compensation Tables</w:t>
                                    </w:r>
                                  </w:hyperlink>
                                </w:p>
                              </w:tc>
                            </w:tr>
                            <w:tr>
                              <w:trPr/>
                              <w:tc>
                                <w:tcPr>
                                  <w:tcW w:w="275" w:type="dxa"/>
                                  <w:tcBorders/>
                                  <w:vAlign w:val="center"/>
                                </w:tcPr>
                                <w:p>
                                  <w:pPr>
                                    <w:pStyle w:val="TableContents"/>
                                    <w:bidi w:val="0"/>
                                    <w:spacing w:before="60" w:after="283"/>
                                    <w:ind w:left="0" w:right="0" w:hanging="0"/>
                                    <w:jc w:val="left"/>
                                    <w:rPr/>
                                  </w:pPr>
                                  <w:hyperlink w:anchor="tEPI">
                                    <w:r>
                                      <w:rPr>
                                        <w:rStyle w:val="InternetLink"/>
                                        <w:rFonts w:ascii="Arial;Helvetica;sans-serif" w:hAnsi="Arial;Helvetica;sans-serif"/>
                                        <w:b/>
                                        <w:color w:val="484484"/>
                                        <w:sz w:val="18"/>
                                      </w:rPr>
                                      <w:t>63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60" w:after="283"/>
                                    <w:ind w:left="0" w:right="0" w:hanging="0"/>
                                    <w:jc w:val="left"/>
                                    <w:rPr/>
                                  </w:pPr>
                                  <w:hyperlink w:anchor="tEPI">
                                    <w:r>
                                      <w:rPr>
                                        <w:rStyle w:val="InternetLink"/>
                                        <w:rFonts w:ascii="Arial;Helvetica;sans-serif" w:hAnsi="Arial;Helvetica;sans-serif"/>
                                        <w:b/>
                                        <w:color w:val="484484"/>
                                        <w:sz w:val="18"/>
                                      </w:rPr>
                                      <w:t>Estimated Payments In Connection with a Termination of Employment or Change in Control</w:t>
                                    </w:r>
                                  </w:hyperlink>
                                </w:p>
                              </w:tc>
                            </w:tr>
                            <w:tr>
                              <w:trPr/>
                              <w:tc>
                                <w:tcPr>
                                  <w:tcW w:w="275" w:type="dxa"/>
                                  <w:tcBorders/>
                                  <w:vAlign w:val="center"/>
                                </w:tcPr>
                                <w:p>
                                  <w:pPr>
                                    <w:pStyle w:val="TableContents"/>
                                    <w:bidi w:val="0"/>
                                    <w:spacing w:before="60" w:after="283"/>
                                    <w:ind w:left="0" w:right="0" w:hanging="0"/>
                                    <w:jc w:val="left"/>
                                    <w:rPr/>
                                  </w:pPr>
                                  <w:hyperlink w:anchor="tCPR">
                                    <w:r>
                                      <w:rPr>
                                        <w:rStyle w:val="InternetLink"/>
                                        <w:rFonts w:ascii="Arial;Helvetica;sans-serif" w:hAnsi="Arial;Helvetica;sans-serif"/>
                                        <w:b/>
                                        <w:color w:val="484484"/>
                                        <w:sz w:val="18"/>
                                      </w:rPr>
                                      <w:t>66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60" w:after="283"/>
                                    <w:ind w:left="0" w:right="0" w:hanging="0"/>
                                    <w:jc w:val="left"/>
                                    <w:rPr/>
                                  </w:pPr>
                                  <w:hyperlink w:anchor="tCPR">
                                    <w:r>
                                      <w:rPr>
                                        <w:rStyle w:val="InternetLink"/>
                                        <w:rFonts w:ascii="Arial;Helvetica;sans-serif" w:hAnsi="Arial;Helvetica;sans-serif"/>
                                        <w:b/>
                                        <w:color w:val="484484"/>
                                        <w:sz w:val="18"/>
                                      </w:rPr>
                                      <w:t>CEO Pay Ratio</w:t>
                                    </w:r>
                                  </w:hyperlink>
                                </w:p>
                              </w:tc>
                            </w:tr>
                            <w:tr>
                              <w:trPr/>
                              <w:tc>
                                <w:tcPr>
                                  <w:tcW w:w="275" w:type="dxa"/>
                                  <w:tcBorders/>
                                  <w:vAlign w:val="center"/>
                                </w:tcPr>
                                <w:p>
                                  <w:pPr>
                                    <w:pStyle w:val="TableContents"/>
                                    <w:bidi w:val="0"/>
                                    <w:spacing w:before="60" w:after="283"/>
                                    <w:ind w:left="0" w:right="0" w:hanging="0"/>
                                    <w:jc w:val="left"/>
                                    <w:rPr/>
                                  </w:pPr>
                                  <w:hyperlink w:anchor="tPVP">
                                    <w:r>
                                      <w:rPr>
                                        <w:rStyle w:val="InternetLink"/>
                                        <w:rFonts w:ascii="Arial;Helvetica;sans-serif" w:hAnsi="Arial;Helvetica;sans-serif"/>
                                        <w:b/>
                                        <w:color w:val="484484"/>
                                        <w:sz w:val="18"/>
                                      </w:rPr>
                                      <w:t>67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60" w:after="283"/>
                                    <w:ind w:left="0" w:right="0" w:hanging="0"/>
                                    <w:jc w:val="left"/>
                                    <w:rPr/>
                                  </w:pPr>
                                  <w:hyperlink w:anchor="tPVP">
                                    <w:r>
                                      <w:rPr>
                                        <w:rStyle w:val="InternetLink"/>
                                        <w:rFonts w:ascii="Arial;Helvetica;sans-serif" w:hAnsi="Arial;Helvetica;sans-serif"/>
                                        <w:b/>
                                        <w:color w:val="484484"/>
                                        <w:sz w:val="18"/>
                                      </w:rPr>
                                      <w:t>Pay Versus Performance</w:t>
                                    </w:r>
                                  </w:hyperlink>
                                </w:p>
                              </w:tc>
                            </w:tr>
                          </w:tbl>
                          <w:p>
                            <w:pPr>
                              <w:pStyle w:val="TextBody"/>
                              <w:bidi w:val="0"/>
                              <w:spacing w:before="0" w:after="283"/>
                              <w:ind w:left="1060" w:right="0" w:hanging="0"/>
                              <w:jc w:val="left"/>
                              <w:rPr/>
                            </w:pPr>
                            <w:r>
                              <w:rPr/>
                            </w:r>
                          </w:p>
                        </w:txbxContent>
                      </wps:txbx>
                      <wps:bodyPr anchor="t" lIns="0" tIns="0" rIns="0" bIns="0">
                        <a:noAutofit/>
                      </wps:bodyPr>
                    </wps:wsp>
                  </a:graphicData>
                </a:graphic>
              </wp:anchor>
            </w:drawing>
          </mc:Choice>
          <mc:Fallback>
            <w:pict>
              <v:rect style="position:absolute;rotation:-0;width:312pt;height:785.2pt;mso-wrap-distance-left:30pt;mso-wrap-distance-right:0pt;mso-wrap-distance-top:0pt;mso-wrap-distance-bottom:0pt;margin-top:0pt;mso-position-vertical:top;mso-position-vertical-relative:text;margin-left:210pt;mso-position-horizontal:left;mso-position-horizontal-relative:text">
                <v:textbox>
                  <w:txbxContent>
                    <w:p>
                      <w:pPr>
                        <w:pStyle w:val="TextBody"/>
                        <w:bidi w:val="0"/>
                        <w:spacing w:before="160" w:after="283"/>
                        <w:ind w:left="1060" w:right="0" w:hanging="0"/>
                        <w:jc w:val="left"/>
                        <w:rPr>
                          <w:rFonts w:ascii="Arial;Helvetica;sans-serif" w:hAnsi="Arial;Helvetica;sans-serif"/>
                          <w:color w:val="1F1C6B"/>
                          <w:sz w:val="24"/>
                        </w:rPr>
                      </w:pPr>
                      <w:r>
                        <w:rPr>
                          <w:rFonts w:ascii="Arial;Helvetica;sans-serif" w:hAnsi="Arial;Helvetica;sans-serif"/>
                          <w:color w:val="1F1C6B"/>
                          <w:sz w:val="24"/>
                        </w:rPr>
                        <w:t xml:space="preserve">Table of Contents </w:t>
                      </w:r>
                    </w:p>
                    <w:tbl>
                      <w:tblPr>
                        <w:tblW w:w="8450" w:type="dxa"/>
                        <w:jc w:val="left"/>
                        <w:tblInd w:w="1060" w:type="dxa"/>
                        <w:tblLayout w:type="fixed"/>
                        <w:tblCellMar>
                          <w:top w:w="0" w:type="dxa"/>
                          <w:left w:w="0" w:type="dxa"/>
                          <w:bottom w:w="0" w:type="dxa"/>
                          <w:right w:w="0" w:type="dxa"/>
                        </w:tblCellMar>
                      </w:tblPr>
                      <w:tblGrid>
                        <w:gridCol w:w="275"/>
                        <w:gridCol w:w="170"/>
                        <w:gridCol w:w="170"/>
                        <w:gridCol w:w="7835"/>
                      </w:tblGrid>
                      <w:tr>
                        <w:trPr/>
                        <w:tc>
                          <w:tcPr>
                            <w:tcW w:w="275" w:type="dxa"/>
                            <w:tcBorders/>
                            <w:vAlign w:val="center"/>
                          </w:tcPr>
                          <w:p>
                            <w:pPr>
                              <w:pStyle w:val="TableContents"/>
                              <w:bidi w:val="0"/>
                              <w:spacing w:before="60" w:after="283"/>
                              <w:ind w:left="0" w:right="0" w:hanging="0"/>
                              <w:jc w:val="left"/>
                              <w:rPr/>
                            </w:pPr>
                            <w:hyperlink w:anchor="tNEO">
                              <w:r>
                                <w:rPr>
                                  <w:rStyle w:val="InternetLink"/>
                                  <w:rFonts w:ascii="Arial;Helvetica;sans-serif" w:hAnsi="Arial;Helvetica;sans-serif"/>
                                  <w:b/>
                                  <w:color w:val="484484"/>
                                  <w:sz w:val="18"/>
                                </w:rPr>
                                <w:t>43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60" w:after="283"/>
                              <w:ind w:left="0" w:right="0" w:hanging="0"/>
                              <w:jc w:val="left"/>
                              <w:rPr/>
                            </w:pPr>
                            <w:hyperlink w:anchor="tNEO">
                              <w:r>
                                <w:rPr>
                                  <w:rStyle w:val="InternetLink"/>
                                  <w:rFonts w:ascii="Arial;Helvetica;sans-serif" w:hAnsi="Arial;Helvetica;sans-serif"/>
                                  <w:b/>
                                  <w:color w:val="484484"/>
                                  <w:sz w:val="18"/>
                                </w:rPr>
                                <w:t>Named Executive Officers</w:t>
                              </w:r>
                            </w:hyperlink>
                          </w:p>
                        </w:tc>
                      </w:tr>
                      <w:tr>
                        <w:trPr/>
                        <w:tc>
                          <w:tcPr>
                            <w:tcW w:w="275" w:type="dxa"/>
                            <w:tcBorders/>
                            <w:vAlign w:val="center"/>
                          </w:tcPr>
                          <w:p>
                            <w:pPr>
                              <w:pStyle w:val="TableContents"/>
                              <w:bidi w:val="0"/>
                              <w:spacing w:before="60" w:after="283"/>
                              <w:ind w:left="0" w:right="0" w:hanging="0"/>
                              <w:jc w:val="left"/>
                              <w:rPr/>
                            </w:pPr>
                            <w:hyperlink w:anchor="tES">
                              <w:r>
                                <w:rPr>
                                  <w:rStyle w:val="InternetLink"/>
                                  <w:rFonts w:ascii="Arial;Helvetica;sans-serif" w:hAnsi="Arial;Helvetica;sans-serif"/>
                                  <w:b/>
                                  <w:color w:val="484484"/>
                                  <w:sz w:val="18"/>
                                </w:rPr>
                                <w:t>44</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60" w:after="283"/>
                              <w:ind w:left="0" w:right="0" w:hanging="0"/>
                              <w:jc w:val="left"/>
                              <w:rPr/>
                            </w:pPr>
                            <w:hyperlink w:anchor="tES">
                              <w:r>
                                <w:rPr>
                                  <w:rStyle w:val="InternetLink"/>
                                  <w:rFonts w:ascii="Arial;Helvetica;sans-serif" w:hAnsi="Arial;Helvetica;sans-serif"/>
                                  <w:b/>
                                  <w:color w:val="484484"/>
                                  <w:sz w:val="18"/>
                                </w:rPr>
                                <w:t>Executive Summary</w:t>
                              </w:r>
                            </w:hyperlink>
                          </w:p>
                        </w:tc>
                      </w:tr>
                      <w:tr>
                        <w:trPr/>
                        <w:tc>
                          <w:tcPr>
                            <w:tcW w:w="275" w:type="dxa"/>
                            <w:tcBorders/>
                            <w:vAlign w:val="center"/>
                          </w:tcPr>
                          <w:p>
                            <w:pPr>
                              <w:pStyle w:val="TableContents"/>
                              <w:bidi w:val="0"/>
                              <w:spacing w:before="60" w:after="283"/>
                              <w:ind w:left="0" w:right="0" w:hanging="0"/>
                              <w:jc w:val="left"/>
                              <w:rPr/>
                            </w:pPr>
                            <w:hyperlink w:anchor="tSHA">
                              <w:r>
                                <w:rPr>
                                  <w:rStyle w:val="InternetLink"/>
                                  <w:rFonts w:ascii="Arial;Helvetica;sans-serif" w:hAnsi="Arial;Helvetica;sans-serif"/>
                                  <w:b/>
                                  <w:color w:val="484484"/>
                                  <w:sz w:val="18"/>
                                </w:rPr>
                                <w:t>45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60" w:after="283"/>
                              <w:ind w:left="0" w:right="0" w:hanging="0"/>
                              <w:jc w:val="left"/>
                              <w:rPr/>
                            </w:pPr>
                            <w:hyperlink w:anchor="tSHA">
                              <w:r>
                                <w:rPr>
                                  <w:rStyle w:val="InternetLink"/>
                                  <w:rFonts w:ascii="Arial;Helvetica;sans-serif" w:hAnsi="Arial;Helvetica;sans-serif"/>
                                  <w:b/>
                                  <w:color w:val="484484"/>
                                  <w:sz w:val="18"/>
                                </w:rPr>
                                <w:t>Selected Highlights and Recent Developments</w:t>
                              </w:r>
                            </w:hyperlink>
                          </w:p>
                        </w:tc>
                      </w:tr>
                      <w:tr>
                        <w:trPr/>
                        <w:tc>
                          <w:tcPr>
                            <w:tcW w:w="275" w:type="dxa"/>
                            <w:tcBorders/>
                            <w:vAlign w:val="center"/>
                          </w:tcPr>
                          <w:p>
                            <w:pPr>
                              <w:pStyle w:val="TableContents"/>
                              <w:bidi w:val="0"/>
                              <w:spacing w:before="60" w:after="283"/>
                              <w:ind w:left="0" w:right="0" w:hanging="0"/>
                              <w:jc w:val="left"/>
                              <w:rPr/>
                            </w:pPr>
                            <w:hyperlink w:anchor="tECP">
                              <w:r>
                                <w:rPr>
                                  <w:rStyle w:val="InternetLink"/>
                                  <w:rFonts w:ascii="Arial;Helvetica;sans-serif" w:hAnsi="Arial;Helvetica;sans-serif"/>
                                  <w:b/>
                                  <w:color w:val="484484"/>
                                  <w:sz w:val="18"/>
                                </w:rPr>
                                <w:t>47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60" w:after="283"/>
                              <w:ind w:left="0" w:right="0" w:hanging="0"/>
                              <w:jc w:val="left"/>
                              <w:rPr/>
                            </w:pPr>
                            <w:hyperlink w:anchor="tECP">
                              <w:r>
                                <w:rPr>
                                  <w:rStyle w:val="InternetLink"/>
                                  <w:rFonts w:ascii="Arial;Helvetica;sans-serif" w:hAnsi="Arial;Helvetica;sans-serif"/>
                                  <w:b/>
                                  <w:color w:val="484484"/>
                                  <w:sz w:val="18"/>
                                </w:rPr>
                                <w:t>Executive Compensation Philosophy</w:t>
                              </w:r>
                            </w:hyperlink>
                          </w:p>
                        </w:tc>
                      </w:tr>
                      <w:tr>
                        <w:trPr/>
                        <w:tc>
                          <w:tcPr>
                            <w:tcW w:w="275" w:type="dxa"/>
                            <w:tcBorders/>
                            <w:vAlign w:val="center"/>
                          </w:tcPr>
                          <w:p>
                            <w:pPr>
                              <w:pStyle w:val="TableContents"/>
                              <w:bidi w:val="0"/>
                              <w:spacing w:before="60" w:after="283"/>
                              <w:ind w:left="0" w:right="0" w:hanging="0"/>
                              <w:jc w:val="left"/>
                              <w:rPr/>
                            </w:pPr>
                            <w:hyperlink w:anchor="tTTC">
                              <w:r>
                                <w:rPr>
                                  <w:rStyle w:val="InternetLink"/>
                                  <w:rFonts w:ascii="Arial;Helvetica;sans-serif" w:hAnsi="Arial;Helvetica;sans-serif"/>
                                  <w:b/>
                                  <w:color w:val="484484"/>
                                  <w:sz w:val="18"/>
                                </w:rPr>
                                <w:t>48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60" w:after="283"/>
                              <w:ind w:left="0" w:right="0" w:hanging="0"/>
                              <w:jc w:val="left"/>
                              <w:rPr/>
                            </w:pPr>
                            <w:hyperlink w:anchor="tTTC">
                              <w:r>
                                <w:rPr>
                                  <w:rStyle w:val="InternetLink"/>
                                  <w:rFonts w:ascii="Arial;Helvetica;sans-serif" w:hAnsi="Arial;Helvetica;sans-serif"/>
                                  <w:b/>
                                  <w:color w:val="484484"/>
                                  <w:sz w:val="18"/>
                                </w:rPr>
                                <w:t>2024 Performance-Based Compensation Program</w:t>
                              </w:r>
                            </w:hyperlink>
                          </w:p>
                        </w:tc>
                      </w:tr>
                      <w:tr>
                        <w:trPr/>
                        <w:tc>
                          <w:tcPr>
                            <w:tcW w:w="275" w:type="dxa"/>
                            <w:tcBorders/>
                            <w:vAlign w:val="center"/>
                          </w:tcPr>
                          <w:p>
                            <w:pPr>
                              <w:pStyle w:val="TableContents"/>
                              <w:bidi w:val="0"/>
                              <w:spacing w:before="0" w:after="283"/>
                              <w:ind w:left="0" w:right="0" w:hanging="0"/>
                              <w:jc w:val="left"/>
                              <w:rPr/>
                            </w:pPr>
                            <w:hyperlink w:anchor="tTTC">
                              <w:r>
                                <w:rPr>
                                  <w:rStyle w:val="InternetLink"/>
                                  <w:rFonts w:ascii="Arial;Helvetica;sans-serif" w:hAnsi="Arial;Helvetica;sans-serif"/>
                                  <w:color w:val="636466"/>
                                  <w:sz w:val="18"/>
                                </w:rPr>
                                <w:t>48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283"/>
                              <w:ind w:left="0" w:right="0" w:hanging="0"/>
                              <w:jc w:val="left"/>
                              <w:rPr/>
                            </w:pPr>
                            <w:hyperlink w:anchor="tTTC">
                              <w:r>
                                <w:rPr>
                                  <w:rStyle w:val="InternetLink"/>
                                  <w:rFonts w:ascii="Arial;Helvetica;sans-serif" w:hAnsi="Arial;Helvetica;sans-serif"/>
                                  <w:color w:val="636466"/>
                                  <w:sz w:val="18"/>
                                </w:rPr>
                                <w:t>2024 Total Target Compensation</w:t>
                              </w:r>
                            </w:hyperlink>
                          </w:p>
                        </w:tc>
                      </w:tr>
                      <w:tr>
                        <w:trPr/>
                        <w:tc>
                          <w:tcPr>
                            <w:tcW w:w="275" w:type="dxa"/>
                            <w:tcBorders/>
                            <w:vAlign w:val="center"/>
                          </w:tcPr>
                          <w:p>
                            <w:pPr>
                              <w:pStyle w:val="TableContents"/>
                              <w:bidi w:val="0"/>
                              <w:spacing w:before="0" w:after="283"/>
                              <w:ind w:left="0" w:right="0" w:hanging="0"/>
                              <w:jc w:val="left"/>
                              <w:rPr/>
                            </w:pPr>
                            <w:hyperlink w:anchor="tCFS">
                              <w:r>
                                <w:rPr>
                                  <w:rStyle w:val="InternetLink"/>
                                  <w:rFonts w:ascii="Arial;Helvetica;sans-serif" w:hAnsi="Arial;Helvetica;sans-serif"/>
                                  <w:color w:val="636466"/>
                                  <w:sz w:val="18"/>
                                </w:rPr>
                                <w:t>48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283"/>
                              <w:ind w:left="0" w:right="0" w:hanging="0"/>
                              <w:jc w:val="left"/>
                              <w:rPr/>
                            </w:pPr>
                            <w:hyperlink w:anchor="tCFS">
                              <w:r>
                                <w:rPr>
                                  <w:rStyle w:val="InternetLink"/>
                                  <w:rFonts w:ascii="Arial;Helvetica;sans-serif" w:hAnsi="Arial;Helvetica;sans-serif"/>
                                  <w:color w:val="636466"/>
                                  <w:sz w:val="18"/>
                                </w:rPr>
                                <w:t>Considerations for Setting 2024 Incentive Performance Goals</w:t>
                              </w:r>
                            </w:hyperlink>
                          </w:p>
                        </w:tc>
                      </w:tr>
                      <w:tr>
                        <w:trPr/>
                        <w:tc>
                          <w:tcPr>
                            <w:tcW w:w="275" w:type="dxa"/>
                            <w:tcBorders/>
                            <w:vAlign w:val="center"/>
                          </w:tcPr>
                          <w:p>
                            <w:pPr>
                              <w:pStyle w:val="TableContents"/>
                              <w:bidi w:val="0"/>
                              <w:spacing w:before="0" w:after="283"/>
                              <w:ind w:left="0" w:right="0" w:hanging="0"/>
                              <w:jc w:val="left"/>
                              <w:rPr/>
                            </w:pPr>
                            <w:hyperlink w:anchor="tPG">
                              <w:r>
                                <w:rPr>
                                  <w:rStyle w:val="InternetLink"/>
                                  <w:rFonts w:ascii="Arial;Helvetica;sans-serif" w:hAnsi="Arial;Helvetica;sans-serif"/>
                                  <w:color w:val="636466"/>
                                  <w:sz w:val="18"/>
                                </w:rPr>
                                <w:t>48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283"/>
                              <w:ind w:left="0" w:right="0" w:hanging="0"/>
                              <w:jc w:val="left"/>
                              <w:rPr/>
                            </w:pPr>
                            <w:hyperlink w:anchor="tPG">
                              <w:r>
                                <w:rPr>
                                  <w:rStyle w:val="InternetLink"/>
                                  <w:rFonts w:ascii="Arial;Helvetica;sans-serif" w:hAnsi="Arial;Helvetica;sans-serif"/>
                                  <w:color w:val="636466"/>
                                  <w:sz w:val="18"/>
                                </w:rPr>
                                <w:t>2024 Peer Group</w:t>
                              </w:r>
                            </w:hyperlink>
                          </w:p>
                        </w:tc>
                      </w:tr>
                      <w:tr>
                        <w:trPr/>
                        <w:tc>
                          <w:tcPr>
                            <w:tcW w:w="275" w:type="dxa"/>
                            <w:tcBorders/>
                            <w:vAlign w:val="center"/>
                          </w:tcPr>
                          <w:p>
                            <w:pPr>
                              <w:pStyle w:val="TableContents"/>
                              <w:bidi w:val="0"/>
                              <w:spacing w:before="60" w:after="283"/>
                              <w:ind w:left="0" w:right="0" w:hanging="0"/>
                              <w:jc w:val="left"/>
                              <w:rPr/>
                            </w:pPr>
                            <w:hyperlink w:anchor="tEOC">
                              <w:r>
                                <w:rPr>
                                  <w:rStyle w:val="InternetLink"/>
                                  <w:rFonts w:ascii="Arial;Helvetica;sans-serif" w:hAnsi="Arial;Helvetica;sans-serif"/>
                                  <w:b/>
                                  <w:color w:val="484484"/>
                                  <w:sz w:val="18"/>
                                </w:rPr>
                                <w:t>49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60" w:after="283"/>
                              <w:ind w:left="0" w:right="0" w:hanging="0"/>
                              <w:jc w:val="left"/>
                              <w:rPr/>
                            </w:pPr>
                            <w:hyperlink w:anchor="tEOC">
                              <w:r>
                                <w:rPr>
                                  <w:rStyle w:val="InternetLink"/>
                                  <w:rFonts w:ascii="Arial;Helvetica;sans-serif" w:hAnsi="Arial;Helvetica;sans-serif"/>
                                  <w:b/>
                                  <w:color w:val="484484"/>
                                  <w:sz w:val="18"/>
                                </w:rPr>
                                <w:t>Elements of 2024 Compensation</w:t>
                              </w:r>
                            </w:hyperlink>
                          </w:p>
                        </w:tc>
                      </w:tr>
                      <w:tr>
                        <w:trPr/>
                        <w:tc>
                          <w:tcPr>
                            <w:tcW w:w="275" w:type="dxa"/>
                            <w:tcBorders/>
                            <w:vAlign w:val="center"/>
                          </w:tcPr>
                          <w:p>
                            <w:pPr>
                              <w:pStyle w:val="TableContents"/>
                              <w:bidi w:val="0"/>
                              <w:spacing w:before="0" w:after="283"/>
                              <w:ind w:left="0" w:right="0" w:hanging="0"/>
                              <w:jc w:val="left"/>
                              <w:rPr/>
                            </w:pPr>
                            <w:hyperlink w:anchor="tBS">
                              <w:r>
                                <w:rPr>
                                  <w:rStyle w:val="InternetLink"/>
                                  <w:rFonts w:ascii="Arial;Helvetica;sans-serif" w:hAnsi="Arial;Helvetica;sans-serif"/>
                                  <w:color w:val="636466"/>
                                  <w:sz w:val="18"/>
                                </w:rPr>
                                <w:t>49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283"/>
                              <w:ind w:left="0" w:right="0" w:hanging="0"/>
                              <w:jc w:val="left"/>
                              <w:rPr/>
                            </w:pPr>
                            <w:hyperlink w:anchor="tBS">
                              <w:r>
                                <w:rPr>
                                  <w:rStyle w:val="InternetLink"/>
                                  <w:rFonts w:ascii="Arial;Helvetica;sans-serif" w:hAnsi="Arial;Helvetica;sans-serif"/>
                                  <w:color w:val="636466"/>
                                  <w:sz w:val="18"/>
                                </w:rPr>
                                <w:t>Base Salaries</w:t>
                              </w:r>
                            </w:hyperlink>
                          </w:p>
                        </w:tc>
                      </w:tr>
                      <w:tr>
                        <w:trPr/>
                        <w:tc>
                          <w:tcPr>
                            <w:tcW w:w="275" w:type="dxa"/>
                            <w:tcBorders/>
                            <w:vAlign w:val="center"/>
                          </w:tcPr>
                          <w:p>
                            <w:pPr>
                              <w:pStyle w:val="TableContents"/>
                              <w:bidi w:val="0"/>
                              <w:spacing w:before="0" w:after="283"/>
                              <w:ind w:left="0" w:right="0" w:hanging="0"/>
                              <w:jc w:val="left"/>
                              <w:rPr/>
                            </w:pPr>
                            <w:hyperlink w:anchor="tAIC">
                              <w:r>
                                <w:rPr>
                                  <w:rStyle w:val="InternetLink"/>
                                  <w:rFonts w:ascii="Arial;Helvetica;sans-serif" w:hAnsi="Arial;Helvetica;sans-serif"/>
                                  <w:color w:val="636466"/>
                                  <w:sz w:val="18"/>
                                </w:rPr>
                                <w:t>49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283"/>
                              <w:ind w:left="0" w:right="0" w:hanging="0"/>
                              <w:jc w:val="left"/>
                              <w:rPr/>
                            </w:pPr>
                            <w:hyperlink w:anchor="tAIC">
                              <w:r>
                                <w:rPr>
                                  <w:rStyle w:val="InternetLink"/>
                                  <w:rFonts w:ascii="Arial;Helvetica;sans-serif" w:hAnsi="Arial;Helvetica;sans-serif"/>
                                  <w:color w:val="636466"/>
                                  <w:sz w:val="18"/>
                                </w:rPr>
                                <w:t>2024 Annual Incentive Compensation Program</w:t>
                              </w:r>
                            </w:hyperlink>
                          </w:p>
                        </w:tc>
                      </w:tr>
                      <w:tr>
                        <w:trPr/>
                        <w:tc>
                          <w:tcPr>
                            <w:tcW w:w="275" w:type="dxa"/>
                            <w:tcBorders/>
                            <w:vAlign w:val="center"/>
                          </w:tcPr>
                          <w:p>
                            <w:pPr>
                              <w:pStyle w:val="TableContents"/>
                              <w:bidi w:val="0"/>
                              <w:spacing w:before="0" w:after="283"/>
                              <w:ind w:left="0" w:right="0" w:hanging="0"/>
                              <w:jc w:val="left"/>
                              <w:rPr/>
                            </w:pPr>
                            <w:hyperlink w:anchor="tLTI">
                              <w:r>
                                <w:rPr>
                                  <w:rStyle w:val="InternetLink"/>
                                  <w:rFonts w:ascii="Arial;Helvetica;sans-serif" w:hAnsi="Arial;Helvetica;sans-serif"/>
                                  <w:color w:val="636466"/>
                                  <w:sz w:val="18"/>
                                </w:rPr>
                                <w:t>51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283"/>
                              <w:ind w:left="0" w:right="0" w:hanging="0"/>
                              <w:jc w:val="left"/>
                              <w:rPr/>
                            </w:pPr>
                            <w:hyperlink w:anchor="tLTI">
                              <w:r>
                                <w:rPr>
                                  <w:rStyle w:val="InternetLink"/>
                                  <w:rFonts w:ascii="Arial;Helvetica;sans-serif" w:hAnsi="Arial;Helvetica;sans-serif"/>
                                  <w:color w:val="636466"/>
                                  <w:sz w:val="18"/>
                                </w:rPr>
                                <w:t>2024 Long-Term Incentive Compensation Programs</w:t>
                              </w:r>
                            </w:hyperlink>
                          </w:p>
                        </w:tc>
                      </w:tr>
                      <w:tr>
                        <w:trPr/>
                        <w:tc>
                          <w:tcPr>
                            <w:tcW w:w="275" w:type="dxa"/>
                            <w:tcBorders/>
                            <w:vAlign w:val="center"/>
                          </w:tcPr>
                          <w:p>
                            <w:pPr>
                              <w:pStyle w:val="TableContents"/>
                              <w:bidi w:val="0"/>
                              <w:spacing w:before="60" w:after="283"/>
                              <w:ind w:left="0" w:right="0" w:hanging="0"/>
                              <w:jc w:val="left"/>
                              <w:rPr/>
                            </w:pPr>
                            <w:hyperlink w:anchor="tCGA">
                              <w:r>
                                <w:rPr>
                                  <w:rStyle w:val="InternetLink"/>
                                  <w:rFonts w:ascii="Arial;Helvetica;sans-serif" w:hAnsi="Arial;Helvetica;sans-serif"/>
                                  <w:b/>
                                  <w:color w:val="484484"/>
                                  <w:sz w:val="18"/>
                                </w:rPr>
                                <w:t>52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60" w:after="283"/>
                              <w:ind w:left="0" w:right="0" w:hanging="0"/>
                              <w:jc w:val="left"/>
                              <w:rPr/>
                            </w:pPr>
                            <w:hyperlink w:anchor="tCGA">
                              <w:r>
                                <w:rPr>
                                  <w:rStyle w:val="InternetLink"/>
                                  <w:rFonts w:ascii="Arial;Helvetica;sans-serif" w:hAnsi="Arial;Helvetica;sans-serif"/>
                                  <w:b/>
                                  <w:color w:val="484484"/>
                                  <w:sz w:val="18"/>
                                </w:rPr>
                                <w:t>Compensation Governance and Policies</w:t>
                              </w:r>
                            </w:hyperlink>
                          </w:p>
                        </w:tc>
                      </w:tr>
                      <w:tr>
                        <w:trPr/>
                        <w:tc>
                          <w:tcPr>
                            <w:tcW w:w="275" w:type="dxa"/>
                            <w:tcBorders/>
                            <w:vAlign w:val="center"/>
                          </w:tcPr>
                          <w:p>
                            <w:pPr>
                              <w:pStyle w:val="TableContents"/>
                              <w:bidi w:val="0"/>
                              <w:spacing w:before="0" w:after="283"/>
                              <w:ind w:left="0" w:right="0" w:hanging="0"/>
                              <w:jc w:val="left"/>
                              <w:rPr/>
                            </w:pPr>
                            <w:hyperlink w:anchor="tVCD">
                              <w:r>
                                <w:rPr>
                                  <w:rStyle w:val="InternetLink"/>
                                  <w:rFonts w:ascii="Arial;Helvetica;sans-serif" w:hAnsi="Arial;Helvetica;sans-serif"/>
                                  <w:color w:val="636466"/>
                                  <w:sz w:val="18"/>
                                </w:rPr>
                                <w:t>52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283"/>
                              <w:ind w:left="0" w:right="0" w:hanging="0"/>
                              <w:jc w:val="left"/>
                              <w:rPr/>
                            </w:pPr>
                            <w:hyperlink w:anchor="tVCD">
                              <w:r>
                                <w:rPr>
                                  <w:rStyle w:val="InternetLink"/>
                                  <w:rFonts w:ascii="Arial;Helvetica;sans-serif" w:hAnsi="Arial;Helvetica;sans-serif"/>
                                  <w:color w:val="636466"/>
                                  <w:sz w:val="18"/>
                                </w:rPr>
                                <w:t>Governance and Other Considerations Impacting Viatris Compensation Decisions</w:t>
                              </w:r>
                            </w:hyperlink>
                          </w:p>
                        </w:tc>
                      </w:tr>
                      <w:tr>
                        <w:trPr/>
                        <w:tc>
                          <w:tcPr>
                            <w:tcW w:w="275" w:type="dxa"/>
                            <w:tcBorders/>
                            <w:vAlign w:val="center"/>
                          </w:tcPr>
                          <w:p>
                            <w:pPr>
                              <w:pStyle w:val="TableContents"/>
                              <w:bidi w:val="0"/>
                              <w:spacing w:before="0" w:after="283"/>
                              <w:ind w:left="0" w:right="0" w:hanging="0"/>
                              <w:jc w:val="left"/>
                              <w:rPr/>
                            </w:pPr>
                            <w:hyperlink w:anchor="tCTR">
                              <w:r>
                                <w:rPr>
                                  <w:rStyle w:val="InternetLink"/>
                                  <w:rFonts w:ascii="Arial;Helvetica;sans-serif" w:hAnsi="Arial;Helvetica;sans-serif"/>
                                  <w:color w:val="636466"/>
                                  <w:sz w:val="18"/>
                                </w:rPr>
                                <w:t>53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283"/>
                              <w:ind w:left="0" w:right="0" w:hanging="0"/>
                              <w:jc w:val="left"/>
                              <w:rPr/>
                            </w:pPr>
                            <w:hyperlink w:anchor="tCTR">
                              <w:r>
                                <w:rPr>
                                  <w:rStyle w:val="InternetLink"/>
                                  <w:rFonts w:ascii="Arial;Helvetica;sans-serif" w:hAnsi="Arial;Helvetica;sans-serif"/>
                                  <w:color w:val="636466"/>
                                  <w:sz w:val="18"/>
                                </w:rPr>
                                <w:t>Commitment to Responsible, Shareholder-Aligned Compensation Governance Practices</w:t>
                              </w:r>
                            </w:hyperlink>
                          </w:p>
                        </w:tc>
                      </w:tr>
                      <w:tr>
                        <w:trPr/>
                        <w:tc>
                          <w:tcPr>
                            <w:tcW w:w="275" w:type="dxa"/>
                            <w:tcBorders/>
                            <w:vAlign w:val="center"/>
                          </w:tcPr>
                          <w:p>
                            <w:pPr>
                              <w:pStyle w:val="TableContents"/>
                              <w:bidi w:val="0"/>
                              <w:spacing w:before="0" w:after="283"/>
                              <w:ind w:left="0" w:right="0" w:hanging="0"/>
                              <w:jc w:val="left"/>
                              <w:rPr/>
                            </w:pPr>
                            <w:hyperlink w:anchor="tLP">
                              <w:r>
                                <w:rPr>
                                  <w:rStyle w:val="InternetLink"/>
                                  <w:rFonts w:ascii="Arial;Helvetica;sans-serif" w:hAnsi="Arial;Helvetica;sans-serif"/>
                                  <w:color w:val="636466"/>
                                  <w:sz w:val="18"/>
                                </w:rPr>
                                <w:t>53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283"/>
                              <w:ind w:left="0" w:right="0" w:hanging="0"/>
                              <w:jc w:val="left"/>
                              <w:rPr/>
                            </w:pPr>
                            <w:hyperlink w:anchor="tLP">
                              <w:r>
                                <w:rPr>
                                  <w:rStyle w:val="InternetLink"/>
                                  <w:rFonts w:ascii="Arial;Helvetica;sans-serif" w:hAnsi="Arial;Helvetica;sans-serif"/>
                                  <w:color w:val="636466"/>
                                  <w:sz w:val="18"/>
                                </w:rPr>
                                <w:t>Limited Perquisites</w:t>
                              </w:r>
                            </w:hyperlink>
                          </w:p>
                        </w:tc>
                      </w:tr>
                      <w:tr>
                        <w:trPr/>
                        <w:tc>
                          <w:tcPr>
                            <w:tcW w:w="275" w:type="dxa"/>
                            <w:tcBorders/>
                            <w:vAlign w:val="center"/>
                          </w:tcPr>
                          <w:p>
                            <w:pPr>
                              <w:pStyle w:val="TableContents"/>
                              <w:bidi w:val="0"/>
                              <w:spacing w:before="0" w:after="283"/>
                              <w:ind w:left="0" w:right="0" w:hanging="0"/>
                              <w:jc w:val="left"/>
                              <w:rPr/>
                            </w:pPr>
                            <w:hyperlink w:anchor="tRP">
                              <w:r>
                                <w:rPr>
                                  <w:rStyle w:val="InternetLink"/>
                                  <w:rFonts w:ascii="Arial;Helvetica;sans-serif" w:hAnsi="Arial;Helvetica;sans-serif"/>
                                  <w:color w:val="636466"/>
                                  <w:sz w:val="18"/>
                                </w:rPr>
                                <w:t>54</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283"/>
                              <w:ind w:left="0" w:right="0" w:hanging="0"/>
                              <w:jc w:val="left"/>
                              <w:rPr/>
                            </w:pPr>
                            <w:hyperlink w:anchor="tRP">
                              <w:r>
                                <w:rPr>
                                  <w:rStyle w:val="InternetLink"/>
                                  <w:rFonts w:ascii="Arial;Helvetica;sans-serif" w:hAnsi="Arial;Helvetica;sans-serif"/>
                                  <w:color w:val="636466"/>
                                  <w:sz w:val="18"/>
                                </w:rPr>
                                <w:t>401(k) Restoration Plan</w:t>
                              </w:r>
                            </w:hyperlink>
                          </w:p>
                        </w:tc>
                      </w:tr>
                      <w:tr>
                        <w:trPr/>
                        <w:tc>
                          <w:tcPr>
                            <w:tcW w:w="275" w:type="dxa"/>
                            <w:tcBorders/>
                            <w:vAlign w:val="center"/>
                          </w:tcPr>
                          <w:p>
                            <w:pPr>
                              <w:pStyle w:val="TableContents"/>
                              <w:bidi w:val="0"/>
                              <w:spacing w:before="0" w:after="283"/>
                              <w:ind w:left="0" w:right="0" w:hanging="0"/>
                              <w:jc w:val="left"/>
                              <w:rPr/>
                            </w:pPr>
                            <w:hyperlink w:anchor="tSOR">
                              <w:r>
                                <w:rPr>
                                  <w:rStyle w:val="InternetLink"/>
                                  <w:rFonts w:ascii="Arial;Helvetica;sans-serif" w:hAnsi="Arial;Helvetica;sans-serif"/>
                                  <w:color w:val="636466"/>
                                  <w:sz w:val="18"/>
                                </w:rPr>
                                <w:t>54</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283"/>
                              <w:ind w:left="0" w:right="0" w:hanging="0"/>
                              <w:jc w:val="left"/>
                              <w:rPr/>
                            </w:pPr>
                            <w:hyperlink w:anchor="tSOR">
                              <w:r>
                                <w:rPr>
                                  <w:rStyle w:val="InternetLink"/>
                                  <w:rFonts w:ascii="Arial;Helvetica;sans-serif" w:hAnsi="Arial;Helvetica;sans-serif"/>
                                  <w:color w:val="636466"/>
                                  <w:sz w:val="18"/>
                                </w:rPr>
                                <w:t>2024 Share Ownership Requirements</w:t>
                              </w:r>
                            </w:hyperlink>
                          </w:p>
                        </w:tc>
                      </w:tr>
                      <w:tr>
                        <w:trPr/>
                        <w:tc>
                          <w:tcPr>
                            <w:tcW w:w="275" w:type="dxa"/>
                            <w:tcBorders/>
                            <w:vAlign w:val="center"/>
                          </w:tcPr>
                          <w:p>
                            <w:pPr>
                              <w:pStyle w:val="TableContents"/>
                              <w:bidi w:val="0"/>
                              <w:spacing w:before="0" w:after="283"/>
                              <w:ind w:left="0" w:right="0" w:hanging="0"/>
                              <w:jc w:val="left"/>
                              <w:rPr/>
                            </w:pPr>
                            <w:hyperlink w:anchor="tCP">
                              <w:r>
                                <w:rPr>
                                  <w:rStyle w:val="InternetLink"/>
                                  <w:rFonts w:ascii="Arial;Helvetica;sans-serif" w:hAnsi="Arial;Helvetica;sans-serif"/>
                                  <w:color w:val="636466"/>
                                  <w:sz w:val="18"/>
                                </w:rPr>
                                <w:t>54</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283"/>
                              <w:ind w:left="0" w:right="0" w:hanging="0"/>
                              <w:jc w:val="left"/>
                              <w:rPr/>
                            </w:pPr>
                            <w:hyperlink w:anchor="tCP">
                              <w:r>
                                <w:rPr>
                                  <w:rStyle w:val="InternetLink"/>
                                  <w:rFonts w:ascii="Arial;Helvetica;sans-serif" w:hAnsi="Arial;Helvetica;sans-serif"/>
                                  <w:color w:val="636466"/>
                                  <w:sz w:val="18"/>
                                </w:rPr>
                                <w:t>Clawback Policy</w:t>
                              </w:r>
                            </w:hyperlink>
                          </w:p>
                        </w:tc>
                      </w:tr>
                      <w:tr>
                        <w:trPr/>
                        <w:tc>
                          <w:tcPr>
                            <w:tcW w:w="275" w:type="dxa"/>
                            <w:tcBorders/>
                            <w:vAlign w:val="center"/>
                          </w:tcPr>
                          <w:p>
                            <w:pPr>
                              <w:pStyle w:val="TableContents"/>
                              <w:bidi w:val="0"/>
                              <w:spacing w:before="0" w:after="283"/>
                              <w:ind w:left="0" w:right="0" w:hanging="0"/>
                              <w:jc w:val="left"/>
                              <w:rPr/>
                            </w:pPr>
                            <w:hyperlink w:anchor="tAHA">
                              <w:r>
                                <w:rPr>
                                  <w:rStyle w:val="InternetLink"/>
                                  <w:rFonts w:ascii="Arial;Helvetica;sans-serif" w:hAnsi="Arial;Helvetica;sans-serif"/>
                                  <w:color w:val="636466"/>
                                  <w:sz w:val="18"/>
                                </w:rPr>
                                <w:t>55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283"/>
                              <w:ind w:left="0" w:right="0" w:hanging="0"/>
                              <w:jc w:val="left"/>
                              <w:rPr/>
                            </w:pPr>
                            <w:hyperlink w:anchor="tAHA">
                              <w:r>
                                <w:rPr>
                                  <w:rStyle w:val="InternetLink"/>
                                  <w:rFonts w:ascii="Arial;Helvetica;sans-serif" w:hAnsi="Arial;Helvetica;sans-serif"/>
                                  <w:color w:val="636466"/>
                                  <w:sz w:val="18"/>
                                </w:rPr>
                                <w:t>Anti-Hedging and Anti-Pledging Policy</w:t>
                              </w:r>
                            </w:hyperlink>
                          </w:p>
                        </w:tc>
                      </w:tr>
                      <w:tr>
                        <w:trPr/>
                        <w:tc>
                          <w:tcPr>
                            <w:tcW w:w="275" w:type="dxa"/>
                            <w:tcBorders/>
                            <w:vAlign w:val="center"/>
                          </w:tcPr>
                          <w:p>
                            <w:pPr>
                              <w:pStyle w:val="TableContents"/>
                              <w:bidi w:val="0"/>
                              <w:spacing w:before="0" w:after="283"/>
                              <w:ind w:left="0" w:right="0" w:hanging="0"/>
                              <w:jc w:val="left"/>
                              <w:rPr/>
                            </w:pPr>
                            <w:hyperlink w:anchor="tCOR">
                              <w:r>
                                <w:rPr>
                                  <w:rStyle w:val="InternetLink"/>
                                  <w:rFonts w:ascii="Arial;Helvetica;sans-serif" w:hAnsi="Arial;Helvetica;sans-serif"/>
                                  <w:color w:val="636466"/>
                                  <w:sz w:val="18"/>
                                </w:rPr>
                                <w:t>55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283"/>
                              <w:ind w:left="0" w:right="0" w:hanging="0"/>
                              <w:jc w:val="left"/>
                              <w:rPr/>
                            </w:pPr>
                            <w:hyperlink w:anchor="tCOR">
                              <w:r>
                                <w:rPr>
                                  <w:rStyle w:val="InternetLink"/>
                                  <w:rFonts w:ascii="Arial;Helvetica;sans-serif" w:hAnsi="Arial;Helvetica;sans-serif"/>
                                  <w:color w:val="636466"/>
                                  <w:sz w:val="18"/>
                                </w:rPr>
                                <w:t>Consideration of Risk in Company Compensation Policies</w:t>
                              </w:r>
                            </w:hyperlink>
                          </w:p>
                        </w:tc>
                      </w:tr>
                      <w:tr>
                        <w:trPr/>
                        <w:tc>
                          <w:tcPr>
                            <w:tcW w:w="275" w:type="dxa"/>
                            <w:tcBorders/>
                            <w:vAlign w:val="center"/>
                          </w:tcPr>
                          <w:p>
                            <w:pPr>
                              <w:pStyle w:val="TableContents"/>
                              <w:bidi w:val="0"/>
                              <w:spacing w:before="0" w:after="283"/>
                              <w:ind w:left="0" w:right="0" w:hanging="0"/>
                              <w:jc w:val="left"/>
                              <w:rPr/>
                            </w:pPr>
                            <w:hyperlink w:anchor="tROT">
                              <w:r>
                                <w:rPr>
                                  <w:rStyle w:val="InternetLink"/>
                                  <w:rFonts w:ascii="Arial;Helvetica;sans-serif" w:hAnsi="Arial;Helvetica;sans-serif"/>
                                  <w:color w:val="636466"/>
                                  <w:sz w:val="18"/>
                                </w:rPr>
                                <w:t>56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283"/>
                              <w:ind w:left="0" w:right="0" w:hanging="0"/>
                              <w:jc w:val="left"/>
                              <w:rPr/>
                            </w:pPr>
                            <w:hyperlink w:anchor="tROT">
                              <w:r>
                                <w:rPr>
                                  <w:rStyle w:val="InternetLink"/>
                                  <w:rFonts w:ascii="Arial;Helvetica;sans-serif" w:hAnsi="Arial;Helvetica;sans-serif"/>
                                  <w:color w:val="636466"/>
                                  <w:sz w:val="18"/>
                                </w:rPr>
                                <w:t>Role of the Compensation Committee</w:t>
                              </w:r>
                            </w:hyperlink>
                          </w:p>
                        </w:tc>
                      </w:tr>
                      <w:tr>
                        <w:trPr/>
                        <w:tc>
                          <w:tcPr>
                            <w:tcW w:w="275" w:type="dxa"/>
                            <w:tcBorders/>
                            <w:vAlign w:val="center"/>
                          </w:tcPr>
                          <w:p>
                            <w:pPr>
                              <w:pStyle w:val="TableContents"/>
                              <w:bidi w:val="0"/>
                              <w:spacing w:before="0" w:after="283"/>
                              <w:ind w:left="0" w:right="0" w:hanging="0"/>
                              <w:jc w:val="left"/>
                              <w:rPr/>
                            </w:pPr>
                            <w:hyperlink w:anchor="tTDC">
                              <w:r>
                                <w:rPr>
                                  <w:rStyle w:val="InternetLink"/>
                                  <w:rFonts w:ascii="Arial;Helvetica;sans-serif" w:hAnsi="Arial;Helvetica;sans-serif"/>
                                  <w:color w:val="636466"/>
                                  <w:sz w:val="18"/>
                                </w:rPr>
                                <w:t>56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283"/>
                              <w:ind w:left="0" w:right="0" w:hanging="0"/>
                              <w:jc w:val="left"/>
                              <w:rPr/>
                            </w:pPr>
                            <w:hyperlink w:anchor="tTDC">
                              <w:r>
                                <w:rPr>
                                  <w:rStyle w:val="InternetLink"/>
                                  <w:rFonts w:ascii="Arial;Helvetica;sans-serif" w:hAnsi="Arial;Helvetica;sans-serif"/>
                                  <w:color w:val="636466"/>
                                  <w:sz w:val="18"/>
                                </w:rPr>
                                <w:t>Tax Deduction Cap on Executive Compensation</w:t>
                              </w:r>
                            </w:hyperlink>
                          </w:p>
                        </w:tc>
                      </w:tr>
                      <w:tr>
                        <w:trPr/>
                        <w:tc>
                          <w:tcPr>
                            <w:tcW w:w="275" w:type="dxa"/>
                            <w:tcBorders/>
                            <w:vAlign w:val="center"/>
                          </w:tcPr>
                          <w:p>
                            <w:pPr>
                              <w:pStyle w:val="TableContents"/>
                              <w:bidi w:val="0"/>
                              <w:spacing w:before="0" w:after="283"/>
                              <w:ind w:left="0" w:right="0" w:hanging="0"/>
                              <w:jc w:val="left"/>
                              <w:rPr/>
                            </w:pPr>
                            <w:hyperlink w:anchor="tITPP">
                              <w:r>
                                <w:rPr>
                                  <w:rStyle w:val="InternetLink"/>
                                  <w:rFonts w:ascii="Arial;Helvetica;sans-serif" w:hAnsi="Arial;Helvetica;sans-serif"/>
                                  <w:color w:val="636466"/>
                                  <w:sz w:val="18"/>
                                </w:rPr>
                                <w:t>56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283"/>
                              <w:ind w:left="0" w:right="0" w:hanging="0"/>
                              <w:jc w:val="left"/>
                              <w:rPr/>
                            </w:pPr>
                            <w:hyperlink w:anchor="tITPP">
                              <w:r>
                                <w:rPr>
                                  <w:rStyle w:val="InternetLink"/>
                                  <w:rFonts w:ascii="Arial;Helvetica;sans-serif" w:hAnsi="Arial;Helvetica;sans-serif"/>
                                  <w:color w:val="636466"/>
                                  <w:sz w:val="18"/>
                                </w:rPr>
                                <w:t>Insider Trading Policies and Procedures</w:t>
                              </w:r>
                            </w:hyperlink>
                          </w:p>
                        </w:tc>
                      </w:tr>
                      <w:tr>
                        <w:trPr/>
                        <w:tc>
                          <w:tcPr>
                            <w:tcW w:w="275" w:type="dxa"/>
                            <w:tcBorders/>
                            <w:vAlign w:val="center"/>
                          </w:tcPr>
                          <w:p>
                            <w:pPr>
                              <w:pStyle w:val="TableContents"/>
                              <w:bidi w:val="0"/>
                              <w:spacing w:before="0" w:after="283"/>
                              <w:ind w:left="0" w:right="0" w:hanging="0"/>
                              <w:jc w:val="left"/>
                              <w:rPr/>
                            </w:pPr>
                            <w:hyperlink w:anchor="tEAGP">
                              <w:r>
                                <w:rPr>
                                  <w:rStyle w:val="InternetLink"/>
                                  <w:rFonts w:ascii="Arial;Helvetica;sans-serif" w:hAnsi="Arial;Helvetica;sans-serif"/>
                                  <w:color w:val="636466"/>
                                  <w:sz w:val="18"/>
                                </w:rPr>
                                <w:t>56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283"/>
                              <w:ind w:left="0" w:right="0" w:hanging="0"/>
                              <w:jc w:val="left"/>
                              <w:rPr/>
                            </w:pPr>
                            <w:hyperlink w:anchor="tEAGP">
                              <w:r>
                                <w:rPr>
                                  <w:rStyle w:val="InternetLink"/>
                                  <w:rFonts w:ascii="Arial;Helvetica;sans-serif" w:hAnsi="Arial;Helvetica;sans-serif"/>
                                  <w:color w:val="636466"/>
                                  <w:sz w:val="18"/>
                                </w:rPr>
                                <w:t>Equity Award Grant Practices</w:t>
                              </w:r>
                            </w:hyperlink>
                          </w:p>
                        </w:tc>
                      </w:tr>
                      <w:tr>
                        <w:trPr/>
                        <w:tc>
                          <w:tcPr>
                            <w:tcW w:w="275" w:type="dxa"/>
                            <w:tcBorders/>
                            <w:vAlign w:val="center"/>
                          </w:tcPr>
                          <w:p>
                            <w:pPr>
                              <w:pStyle w:val="TableContents"/>
                              <w:bidi w:val="0"/>
                              <w:spacing w:before="0" w:after="283"/>
                              <w:ind w:left="0" w:right="0" w:hanging="0"/>
                              <w:jc w:val="left"/>
                              <w:rPr/>
                            </w:pPr>
                            <w:hyperlink w:anchor="tCCR">
                              <w:r>
                                <w:rPr>
                                  <w:rStyle w:val="InternetLink"/>
                                  <w:rFonts w:ascii="Arial;Helvetica;sans-serif" w:hAnsi="Arial;Helvetica;sans-serif"/>
                                  <w:color w:val="636466"/>
                                  <w:sz w:val="18"/>
                                </w:rPr>
                                <w:t>57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283"/>
                              <w:ind w:left="0" w:right="0" w:hanging="0"/>
                              <w:jc w:val="left"/>
                              <w:rPr/>
                            </w:pPr>
                            <w:hyperlink w:anchor="tCCR">
                              <w:r>
                                <w:rPr>
                                  <w:rStyle w:val="InternetLink"/>
                                  <w:rFonts w:ascii="Arial;Helvetica;sans-serif" w:hAnsi="Arial;Helvetica;sans-serif"/>
                                  <w:color w:val="636466"/>
                                  <w:sz w:val="18"/>
                                </w:rPr>
                                <w:t>Compensation Committee Report</w:t>
                              </w:r>
                            </w:hyperlink>
                          </w:p>
                        </w:tc>
                      </w:tr>
                      <w:tr>
                        <w:trPr/>
                        <w:tc>
                          <w:tcPr>
                            <w:tcW w:w="275" w:type="dxa"/>
                            <w:tcBorders/>
                            <w:vAlign w:val="center"/>
                          </w:tcPr>
                          <w:p>
                            <w:pPr>
                              <w:pStyle w:val="TableContents"/>
                              <w:bidi w:val="0"/>
                              <w:spacing w:before="0" w:after="283"/>
                              <w:ind w:left="0" w:right="0" w:hanging="0"/>
                              <w:jc w:val="left"/>
                              <w:rPr/>
                            </w:pPr>
                            <w:hyperlink w:anchor="tCCIA">
                              <w:r>
                                <w:rPr>
                                  <w:rStyle w:val="InternetLink"/>
                                  <w:rFonts w:ascii="Arial;Helvetica;sans-serif" w:hAnsi="Arial;Helvetica;sans-serif"/>
                                  <w:color w:val="636466"/>
                                  <w:sz w:val="18"/>
                                </w:rPr>
                                <w:t>57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283"/>
                              <w:ind w:left="0" w:right="0" w:hanging="0"/>
                              <w:jc w:val="left"/>
                              <w:rPr/>
                            </w:pPr>
                            <w:hyperlink w:anchor="tCCIA">
                              <w:r>
                                <w:rPr>
                                  <w:rStyle w:val="InternetLink"/>
                                  <w:color w:val="636466"/>
                                </w:rPr>
                                <w:t>​</w:t>
                              </w:r>
                            </w:hyperlink>
                            <w:hyperlink w:anchor="tCCIA">
                              <w:r>
                                <w:rPr>
                                  <w:rStyle w:val="InternetLink"/>
                                  <w:rFonts w:ascii="Arial;Helvetica;sans-serif" w:hAnsi="Arial;Helvetica;sans-serif"/>
                                  <w:color w:val="636466"/>
                                  <w:sz w:val="18"/>
                                </w:rPr>
                                <w:t>Compensation Committee Interlocks and Insider Participation</w:t>
                              </w:r>
                            </w:hyperlink>
                          </w:p>
                        </w:tc>
                      </w:tr>
                      <w:tr>
                        <w:trPr/>
                        <w:tc>
                          <w:tcPr>
                            <w:tcW w:w="275" w:type="dxa"/>
                            <w:tcBorders/>
                            <w:vAlign w:val="center"/>
                          </w:tcPr>
                          <w:p>
                            <w:pPr>
                              <w:pStyle w:val="TableContents"/>
                              <w:bidi w:val="0"/>
                              <w:spacing w:before="60" w:after="283"/>
                              <w:ind w:left="0" w:right="0" w:hanging="0"/>
                              <w:jc w:val="left"/>
                              <w:rPr/>
                            </w:pPr>
                            <w:hyperlink w:anchor="tECT">
                              <w:r>
                                <w:rPr>
                                  <w:rStyle w:val="InternetLink"/>
                                  <w:rFonts w:ascii="Arial;Helvetica;sans-serif" w:hAnsi="Arial;Helvetica;sans-serif"/>
                                  <w:b/>
                                  <w:color w:val="484484"/>
                                  <w:sz w:val="18"/>
                                </w:rPr>
                                <w:t>58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60" w:after="283"/>
                              <w:ind w:left="0" w:right="0" w:hanging="0"/>
                              <w:jc w:val="left"/>
                              <w:rPr/>
                            </w:pPr>
                            <w:hyperlink w:anchor="tECT">
                              <w:r>
                                <w:rPr>
                                  <w:rStyle w:val="InternetLink"/>
                                  <w:rFonts w:ascii="Arial;Helvetica;sans-serif" w:hAnsi="Arial;Helvetica;sans-serif"/>
                                  <w:b/>
                                  <w:color w:val="484484"/>
                                  <w:sz w:val="18"/>
                                </w:rPr>
                                <w:t>Executive Compensation Tables</w:t>
                              </w:r>
                            </w:hyperlink>
                          </w:p>
                        </w:tc>
                      </w:tr>
                      <w:tr>
                        <w:trPr/>
                        <w:tc>
                          <w:tcPr>
                            <w:tcW w:w="275" w:type="dxa"/>
                            <w:tcBorders/>
                            <w:vAlign w:val="center"/>
                          </w:tcPr>
                          <w:p>
                            <w:pPr>
                              <w:pStyle w:val="TableContents"/>
                              <w:bidi w:val="0"/>
                              <w:spacing w:before="60" w:after="283"/>
                              <w:ind w:left="0" w:right="0" w:hanging="0"/>
                              <w:jc w:val="left"/>
                              <w:rPr/>
                            </w:pPr>
                            <w:hyperlink w:anchor="tEPI">
                              <w:r>
                                <w:rPr>
                                  <w:rStyle w:val="InternetLink"/>
                                  <w:rFonts w:ascii="Arial;Helvetica;sans-serif" w:hAnsi="Arial;Helvetica;sans-serif"/>
                                  <w:b/>
                                  <w:color w:val="484484"/>
                                  <w:sz w:val="18"/>
                                </w:rPr>
                                <w:t>63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60" w:after="283"/>
                              <w:ind w:left="0" w:right="0" w:hanging="0"/>
                              <w:jc w:val="left"/>
                              <w:rPr/>
                            </w:pPr>
                            <w:hyperlink w:anchor="tEPI">
                              <w:r>
                                <w:rPr>
                                  <w:rStyle w:val="InternetLink"/>
                                  <w:rFonts w:ascii="Arial;Helvetica;sans-serif" w:hAnsi="Arial;Helvetica;sans-serif"/>
                                  <w:b/>
                                  <w:color w:val="484484"/>
                                  <w:sz w:val="18"/>
                                </w:rPr>
                                <w:t>Estimated Payments In Connection with a Termination of Employment or Change in Control</w:t>
                              </w:r>
                            </w:hyperlink>
                          </w:p>
                        </w:tc>
                      </w:tr>
                      <w:tr>
                        <w:trPr/>
                        <w:tc>
                          <w:tcPr>
                            <w:tcW w:w="275" w:type="dxa"/>
                            <w:tcBorders/>
                            <w:vAlign w:val="center"/>
                          </w:tcPr>
                          <w:p>
                            <w:pPr>
                              <w:pStyle w:val="TableContents"/>
                              <w:bidi w:val="0"/>
                              <w:spacing w:before="60" w:after="283"/>
                              <w:ind w:left="0" w:right="0" w:hanging="0"/>
                              <w:jc w:val="left"/>
                              <w:rPr/>
                            </w:pPr>
                            <w:hyperlink w:anchor="tCPR">
                              <w:r>
                                <w:rPr>
                                  <w:rStyle w:val="InternetLink"/>
                                  <w:rFonts w:ascii="Arial;Helvetica;sans-serif" w:hAnsi="Arial;Helvetica;sans-serif"/>
                                  <w:b/>
                                  <w:color w:val="484484"/>
                                  <w:sz w:val="18"/>
                                </w:rPr>
                                <w:t>66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60" w:after="283"/>
                              <w:ind w:left="0" w:right="0" w:hanging="0"/>
                              <w:jc w:val="left"/>
                              <w:rPr/>
                            </w:pPr>
                            <w:hyperlink w:anchor="tCPR">
                              <w:r>
                                <w:rPr>
                                  <w:rStyle w:val="InternetLink"/>
                                  <w:rFonts w:ascii="Arial;Helvetica;sans-serif" w:hAnsi="Arial;Helvetica;sans-serif"/>
                                  <w:b/>
                                  <w:color w:val="484484"/>
                                  <w:sz w:val="18"/>
                                </w:rPr>
                                <w:t>CEO Pay Ratio</w:t>
                              </w:r>
                            </w:hyperlink>
                          </w:p>
                        </w:tc>
                      </w:tr>
                      <w:tr>
                        <w:trPr/>
                        <w:tc>
                          <w:tcPr>
                            <w:tcW w:w="275" w:type="dxa"/>
                            <w:tcBorders/>
                            <w:vAlign w:val="center"/>
                          </w:tcPr>
                          <w:p>
                            <w:pPr>
                              <w:pStyle w:val="TableContents"/>
                              <w:bidi w:val="0"/>
                              <w:spacing w:before="60" w:after="283"/>
                              <w:ind w:left="0" w:right="0" w:hanging="0"/>
                              <w:jc w:val="left"/>
                              <w:rPr/>
                            </w:pPr>
                            <w:hyperlink w:anchor="tPVP">
                              <w:r>
                                <w:rPr>
                                  <w:rStyle w:val="InternetLink"/>
                                  <w:rFonts w:ascii="Arial;Helvetica;sans-serif" w:hAnsi="Arial;Helvetica;sans-serif"/>
                                  <w:b/>
                                  <w:color w:val="484484"/>
                                  <w:sz w:val="18"/>
                                </w:rPr>
                                <w:t>67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60" w:after="283"/>
                              <w:ind w:left="0" w:right="0" w:hanging="0"/>
                              <w:jc w:val="left"/>
                              <w:rPr/>
                            </w:pPr>
                            <w:hyperlink w:anchor="tPVP">
                              <w:r>
                                <w:rPr>
                                  <w:rStyle w:val="InternetLink"/>
                                  <w:rFonts w:ascii="Arial;Helvetica;sans-serif" w:hAnsi="Arial;Helvetica;sans-serif"/>
                                  <w:b/>
                                  <w:color w:val="484484"/>
                                  <w:sz w:val="18"/>
                                </w:rPr>
                                <w:t>Pay Versus Performance</w:t>
                              </w:r>
                            </w:hyperlink>
                          </w:p>
                        </w:tc>
                      </w:tr>
                    </w:tbl>
                    <w:p>
                      <w:pPr>
                        <w:pStyle w:val="TextBody"/>
                        <w:bidi w:val="0"/>
                        <w:spacing w:before="0" w:after="283"/>
                        <w:ind w:left="1060" w:right="0" w:hanging="0"/>
                        <w:jc w:val="left"/>
                        <w:rPr/>
                      </w:pPr>
                      <w:r>
                        <w:rPr/>
                      </w:r>
                    </w:p>
                  </w:txbxContent>
                </v:textbox>
                <w10:wrap type="square" side="right"/>
              </v:rect>
            </w:pict>
          </mc:Fallback>
        </mc:AlternateContent>
      </w:r>
    </w:p>
    <w:tbl>
      <w:tblPr>
        <w:tblW w:w="4980" w:type="dxa"/>
        <w:jc w:val="left"/>
        <w:tblInd w:w="106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195"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65" descr=""/>
                          <pic:cNvPicPr>
                            <a:picLocks noChangeAspect="1" noChangeArrowheads="1"/>
                          </pic:cNvPicPr>
                        </pic:nvPicPr>
                        <pic:blipFill>
                          <a:blip r:embed="rId182"/>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Statement | 43</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196"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66" descr=""/>
                    <pic:cNvPicPr>
                      <a:picLocks noChangeAspect="1" noChangeArrowheads="1"/>
                    </pic:cNvPicPr>
                  </pic:nvPicPr>
                  <pic:blipFill>
                    <a:blip r:embed="rId183"/>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10" w:name="ny20055082x771_def14a_110-cda_pg2"/>
        <w:bookmarkEnd w:id="11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left"/>
        <w:rPr>
          <w:caps/>
          <w:color w:val="1F1C6B"/>
          <w:u w:val="single"/>
        </w:rPr>
      </w:pPr>
      <w:r>
        <w:rPr>
          <w:caps/>
          <w:color w:val="1F1C6B"/>
          <w:u w:val="single"/>
        </w:rPr>
        <w:t> </w:t>
      </w:r>
      <w:r>
        <w:rPr>
          <w:rFonts w:ascii="Arial;Helvetica;sans-serif" w:hAnsi="Arial;Helvetica;sans-serif"/>
          <w:caps/>
          <w:color w:val="1F1C6B"/>
          <w:sz w:val="18"/>
          <w:u w:val="single"/>
        </w:rPr>
        <w:t>Compensation Discussion and Analysis </w:t>
      </w:r>
    </w:p>
    <w:p>
      <w:pPr>
        <w:pStyle w:val="TextBody"/>
        <w:bidi w:val="0"/>
        <w:spacing w:before="200" w:after="283"/>
        <w:ind w:left="1060" w:right="0" w:hanging="0"/>
        <w:jc w:val="left"/>
        <w:rPr>
          <w:rFonts w:ascii="Arial;Helvetica;sans-serif" w:hAnsi="Arial;Helvetica;sans-serif"/>
          <w:color w:val="1F1C6B"/>
          <w:sz w:val="30"/>
        </w:rPr>
      </w:pPr>
      <w:bookmarkStart w:id="111" w:name="tES"/>
      <w:bookmarkEnd w:id="111"/>
      <w:r>
        <w:rPr>
          <w:rFonts w:ascii="Arial;Helvetica;sans-serif" w:hAnsi="Arial;Helvetica;sans-serif"/>
          <w:color w:val="1F1C6B"/>
          <w:sz w:val="30"/>
        </w:rPr>
        <w:t xml:space="preserve">Executive Summary </w:t>
      </w:r>
    </w:p>
    <w:p>
      <w:pPr>
        <w:pStyle w:val="TextBody"/>
        <w:bidi w:val="0"/>
        <w:spacing w:before="190" w:after="283"/>
        <w:ind w:left="1060" w:right="0" w:hanging="0"/>
        <w:jc w:val="left"/>
        <w:rPr>
          <w:rFonts w:ascii="Arial;Helvetica;sans-serif" w:hAnsi="Arial;Helvetica;sans-serif"/>
          <w:b/>
          <w:color w:val="1F1C6B"/>
          <w:sz w:val="18"/>
        </w:rPr>
      </w:pPr>
      <w:r>
        <w:rPr>
          <w:rFonts w:ascii="Arial;Helvetica;sans-serif" w:hAnsi="Arial;Helvetica;sans-serif"/>
          <w:b/>
          <w:color w:val="1F1C6B"/>
          <w:sz w:val="18"/>
        </w:rPr>
        <w:t xml:space="preserve">Shareholder Responsiveness and Continued Evolution of Our Compensation Program </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We were disappointed by our Say-on-Pay vote in 2024. Based on our robust shareholder engagement in connection with, and following, the 2024 Say-on-Pay vote, we believe that our Say-on-Pay results in 2024 were driven primarily by concerns relating to the transitional consulting arrangement that we entered into with our former Executive Chairman. Shareholders did not express concerns with any other aspect of our compensation program in our meetings. Since October 2024, we met with 20 of our 50 largest shareholders representing approximately 50% of the outstanding shares and reached out to approximately 30 of our 50 largest shareholders representing approximately 55% of outstanding shares (in each case based on June 30, 2025 shareholder data). Based on both the Board’s belief that the transitional matters covered by the consulting arrangement have been successfully completed and/or transitioned and this shareholder feedback, the Board determined that the consulting arrangement would not be renewed and then subsequently ended the consulting arrangement as of June 30, 2025. As a result, Mr. Coury is no longer serving as a consultant to the Company, and we believe that we have completed the transition to a simplified leadership and compensation structure.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In addition, we took several further actions that we believe address the 2024 Say-on-Pay vote and align our program with shareholder outcomes. The table below details the additional actions we took. </w:t>
      </w:r>
    </w:p>
    <w:tbl>
      <w:tblPr>
        <w:tblW w:w="9145" w:type="dxa"/>
        <w:jc w:val="left"/>
        <w:tblInd w:w="1060" w:type="dxa"/>
        <w:tblLayout w:type="fixed"/>
        <w:tblCellMar>
          <w:top w:w="0" w:type="dxa"/>
          <w:left w:w="0" w:type="dxa"/>
          <w:bottom w:w="0" w:type="dxa"/>
          <w:right w:w="0" w:type="dxa"/>
        </w:tblCellMar>
      </w:tblPr>
      <w:tblGrid>
        <w:gridCol w:w="185"/>
        <w:gridCol w:w="1819"/>
        <w:gridCol w:w="170"/>
        <w:gridCol w:w="170"/>
        <w:gridCol w:w="6585"/>
        <w:gridCol w:w="216"/>
      </w:tblGrid>
      <w:tr>
        <w:trPr/>
        <w:tc>
          <w:tcPr>
            <w:tcW w:w="185" w:type="dxa"/>
            <w:tcBorders/>
            <w:vAlign w:val="center"/>
          </w:tcPr>
          <w:p>
            <w:pPr>
              <w:pStyle w:val="TableContents"/>
              <w:bidi w:val="0"/>
              <w:spacing w:before="0" w:after="0"/>
              <w:jc w:val="left"/>
              <w:rPr/>
            </w:pPr>
            <w:r>
              <w:rPr/>
              <w:t> </w:t>
            </w:r>
          </w:p>
        </w:tc>
        <w:tc>
          <w:tcPr>
            <w:tcW w:w="181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85"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19" w:type="dxa"/>
            <w:tcBorders/>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Reduced the 2024 Annual Incentive Payout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85" w:type="dxa"/>
            <w:tcBorders/>
            <w:vAlign w:val="center"/>
          </w:tcPr>
          <w:p>
            <w:pPr>
              <w:pStyle w:val="TableContents"/>
              <w:bidi w:val="0"/>
              <w:spacing w:before="0" w:after="283"/>
              <w:ind w:left="0" w:right="0" w:hanging="0"/>
              <w:jc w:val="left"/>
              <w:rPr>
                <w:color w:val="636466"/>
              </w:rPr>
            </w:pPr>
            <w:r>
              <w:rPr>
                <w:color w:val="636466"/>
              </w:rPr>
              <w:t>• </w:t>
            </w:r>
          </w:p>
          <w:p>
            <w:pPr>
              <w:pStyle w:val="TableContents"/>
              <w:bidi w:val="0"/>
              <w:spacing w:before="0" w:after="283"/>
              <w:jc w:val="left"/>
              <w:rPr>
                <w:rFonts w:ascii="Arial;Helvetica;sans-serif" w:hAnsi="Arial;Helvetica;sans-serif"/>
                <w:color w:val="636466"/>
                <w:sz w:val="16"/>
              </w:rPr>
            </w:pPr>
            <w:r>
              <w:rPr>
                <w:rFonts w:ascii="Arial;Helvetica;sans-serif" w:hAnsi="Arial;Helvetica;sans-serif"/>
                <w:color w:val="636466"/>
                <w:sz w:val="16"/>
              </w:rPr>
              <w:t xml:space="preserve">The Compensation Committee exercised negative discretion to reduce the 2024 annual incentive payout. This negative discretion was exercised due to the unique timing of the import alert related to the Indore, India facility, and the resulting impact on the Company's financials and share price. 2024 performance outcomes for Adjusted EBITDA, Free Cash Flow and Global Regulatory Submissions would have resulted in a 163.92% bonus funding under the provisions of the short-term incentive plan. </w:t>
            </w:r>
            <w:r>
              <w:rPr>
                <w:rFonts w:ascii="Arial;Helvetica;sans-serif" w:hAnsi="Arial;Helvetica;sans-serif"/>
                <w:b/>
                <w:color w:val="636466"/>
                <w:sz w:val="16"/>
              </w:rPr>
              <w:t>The Compensation Committee reduced funding to 140%.</w:t>
            </w:r>
          </w:p>
        </w:tc>
        <w:tc>
          <w:tcPr>
            <w:tcW w:w="216"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819" w:type="dxa"/>
            <w:tcBorders/>
            <w:shd w:fill="E7E0EF" w:val="clear"/>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Increased Difficulty of 2025 Adjusted EBITDA Maximum Objective</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585" w:type="dxa"/>
            <w:tcBorders/>
            <w:shd w:fill="E7E0EF" w:val="clear"/>
            <w:vAlign w:val="center"/>
          </w:tcPr>
          <w:p>
            <w:pPr>
              <w:pStyle w:val="TableContents"/>
              <w:bidi w:val="0"/>
              <w:spacing w:before="0" w:after="283"/>
              <w:ind w:left="0" w:right="0" w:hanging="0"/>
              <w:jc w:val="left"/>
              <w:rPr>
                <w:color w:val="636466"/>
              </w:rPr>
            </w:pPr>
            <w:r>
              <w:rPr>
                <w:color w:val="636466"/>
              </w:rPr>
              <w:t>• </w:t>
            </w:r>
          </w:p>
          <w:p>
            <w:pPr>
              <w:pStyle w:val="TableContents"/>
              <w:bidi w:val="0"/>
              <w:spacing w:before="0" w:after="283"/>
              <w:jc w:val="left"/>
              <w:rPr>
                <w:rFonts w:ascii="Arial;Helvetica;sans-serif" w:hAnsi="Arial;Helvetica;sans-serif"/>
                <w:color w:val="636466"/>
                <w:sz w:val="16"/>
              </w:rPr>
            </w:pPr>
            <w:r>
              <w:rPr>
                <w:rFonts w:ascii="Arial;Helvetica;sans-serif" w:hAnsi="Arial;Helvetica;sans-serif"/>
                <w:color w:val="636466"/>
                <w:sz w:val="16"/>
              </w:rPr>
              <w:t xml:space="preserve">Historically, maximum Adjusted EBITDA performance under the annual incentive plan has been set at 105% of target. For 2025, </w:t>
            </w:r>
            <w:r>
              <w:rPr>
                <w:rFonts w:ascii="Arial;Helvetica;sans-serif" w:hAnsi="Arial;Helvetica;sans-serif"/>
                <w:b/>
                <w:color w:val="636466"/>
                <w:sz w:val="16"/>
              </w:rPr>
              <w:t xml:space="preserve">maximum Adjusted EBITDA performance was set at 110% of target requiring a greater level of Adjusted EBITDA performance </w:t>
            </w:r>
            <w:r>
              <w:rPr>
                <w:rFonts w:ascii="Arial;Helvetica;sans-serif" w:hAnsi="Arial;Helvetica;sans-serif"/>
                <w:color w:val="636466"/>
                <w:sz w:val="16"/>
              </w:rPr>
              <w:t>to achieve above target payouts in 2025.</w:t>
            </w:r>
          </w:p>
        </w:tc>
        <w:tc>
          <w:tcPr>
            <w:tcW w:w="216"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19" w:type="dxa"/>
            <w:tcBorders/>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Reduced Weighting of Global Regulatory Submissions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85" w:type="dxa"/>
            <w:tcBorders/>
            <w:vAlign w:val="center"/>
          </w:tcPr>
          <w:p>
            <w:pPr>
              <w:pStyle w:val="TableContents"/>
              <w:bidi w:val="0"/>
              <w:spacing w:before="0" w:after="283"/>
              <w:ind w:left="0" w:right="0" w:hanging="0"/>
              <w:jc w:val="left"/>
              <w:rPr>
                <w:color w:val="636466"/>
              </w:rPr>
            </w:pPr>
            <w:r>
              <w:rPr>
                <w:color w:val="636466"/>
              </w:rPr>
              <w:t>• </w:t>
            </w:r>
          </w:p>
          <w:p>
            <w:pPr>
              <w:pStyle w:val="TableContents"/>
              <w:bidi w:val="0"/>
              <w:spacing w:before="0" w:after="283"/>
              <w:jc w:val="left"/>
              <w:rPr>
                <w:rFonts w:ascii="Arial;Helvetica;sans-serif" w:hAnsi="Arial;Helvetica;sans-serif"/>
                <w:color w:val="636466"/>
                <w:sz w:val="16"/>
              </w:rPr>
            </w:pPr>
            <w:r>
              <w:rPr>
                <w:rFonts w:ascii="Arial;Helvetica;sans-serif" w:hAnsi="Arial;Helvetica;sans-serif"/>
                <w:color w:val="636466"/>
                <w:sz w:val="16"/>
              </w:rPr>
              <w:t xml:space="preserve">The portion of the annual incentive related to Global Regulatory Submissions objective was </w:t>
            </w:r>
            <w:r>
              <w:rPr>
                <w:rFonts w:ascii="Arial;Helvetica;sans-serif" w:hAnsi="Arial;Helvetica;sans-serif"/>
                <w:b/>
                <w:color w:val="636466"/>
                <w:sz w:val="16"/>
              </w:rPr>
              <w:t>reduced from 20% to 10%</w:t>
            </w:r>
            <w:r>
              <w:rPr>
                <w:rFonts w:ascii="Arial;Helvetica;sans-serif" w:hAnsi="Arial;Helvetica;sans-serif"/>
                <w:color w:val="636466"/>
                <w:sz w:val="16"/>
              </w:rPr>
              <w:t xml:space="preserve"> in 2025.</w:t>
            </w:r>
          </w:p>
        </w:tc>
        <w:tc>
          <w:tcPr>
            <w:tcW w:w="216"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819" w:type="dxa"/>
            <w:tcBorders/>
            <w:shd w:fill="E7E0EF" w:val="clear"/>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Added Personal Objective to Annual Incentive Compensation Program</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585" w:type="dxa"/>
            <w:tcBorders/>
            <w:shd w:fill="E7E0EF" w:val="clear"/>
            <w:vAlign w:val="center"/>
          </w:tcPr>
          <w:p>
            <w:pPr>
              <w:pStyle w:val="TableContents"/>
              <w:bidi w:val="0"/>
              <w:spacing w:before="0" w:after="283"/>
              <w:ind w:left="0" w:right="0" w:hanging="0"/>
              <w:jc w:val="left"/>
              <w:rPr>
                <w:color w:val="636466"/>
              </w:rPr>
            </w:pPr>
            <w:r>
              <w:rPr>
                <w:color w:val="636466"/>
              </w:rPr>
              <w:t>• </w:t>
            </w:r>
          </w:p>
          <w:p>
            <w:pPr>
              <w:pStyle w:val="TableContents"/>
              <w:bidi w:val="0"/>
              <w:spacing w:before="0" w:after="283"/>
              <w:jc w:val="left"/>
              <w:rPr>
                <w:rFonts w:ascii="Arial;Helvetica;sans-serif" w:hAnsi="Arial;Helvetica;sans-serif"/>
                <w:color w:val="636466"/>
                <w:sz w:val="16"/>
              </w:rPr>
            </w:pPr>
            <w:r>
              <w:rPr>
                <w:rFonts w:ascii="Arial;Helvetica;sans-serif" w:hAnsi="Arial;Helvetica;sans-serif"/>
                <w:color w:val="636466"/>
                <w:sz w:val="16"/>
              </w:rPr>
              <w:t xml:space="preserve">A personal objective, weighted at 10%, was added to the annual incentive in 2025 to allow the Compensation Committee </w:t>
            </w:r>
            <w:r>
              <w:rPr>
                <w:rFonts w:ascii="Arial;Helvetica;sans-serif" w:hAnsi="Arial;Helvetica;sans-serif"/>
                <w:b/>
                <w:color w:val="636466"/>
                <w:sz w:val="16"/>
              </w:rPr>
              <w:t>greater discretion in evaluating management actions and execution of Company strategy.</w:t>
            </w:r>
          </w:p>
        </w:tc>
        <w:tc>
          <w:tcPr>
            <w:tcW w:w="216"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19" w:type="dxa"/>
            <w:tcBorders/>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Revised Compensation Peer Group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85" w:type="dxa"/>
            <w:tcBorders/>
            <w:vAlign w:val="center"/>
          </w:tcPr>
          <w:p>
            <w:pPr>
              <w:pStyle w:val="TableContents"/>
              <w:bidi w:val="0"/>
              <w:spacing w:before="0" w:after="283"/>
              <w:ind w:left="0" w:right="0" w:hanging="0"/>
              <w:jc w:val="left"/>
              <w:rPr>
                <w:color w:val="636466"/>
              </w:rPr>
            </w:pPr>
            <w:r>
              <w:rPr>
                <w:color w:val="636466"/>
              </w:rPr>
              <w:t>• </w:t>
            </w:r>
          </w:p>
          <w:p>
            <w:pPr>
              <w:pStyle w:val="TableContents"/>
              <w:bidi w:val="0"/>
              <w:spacing w:before="0" w:after="283"/>
              <w:jc w:val="left"/>
              <w:rPr>
                <w:rFonts w:ascii="Arial;Helvetica;sans-serif" w:hAnsi="Arial;Helvetica;sans-serif"/>
                <w:color w:val="636466"/>
                <w:sz w:val="16"/>
              </w:rPr>
            </w:pPr>
            <w:r>
              <w:rPr>
                <w:rFonts w:ascii="Arial;Helvetica;sans-serif" w:hAnsi="Arial;Helvetica;sans-serif"/>
                <w:b/>
                <w:color w:val="636466"/>
                <w:sz w:val="16"/>
              </w:rPr>
              <w:t xml:space="preserve">Eli Lilly was eliminated from the peer group </w:t>
            </w:r>
            <w:r>
              <w:rPr>
                <w:rFonts w:ascii="Arial;Helvetica;sans-serif" w:hAnsi="Arial;Helvetica;sans-serif"/>
                <w:color w:val="636466"/>
                <w:sz w:val="16"/>
              </w:rPr>
              <w:t>due to its market capitalization. With the removal of Eli Lilly, Viatris falls at the 44</w:t>
            </w:r>
            <w:r>
              <w:rPr>
                <w:rFonts w:ascii="Arial;Helvetica;sans-serif" w:hAnsi="Arial;Helvetica;sans-serif"/>
                <w:color w:val="636466"/>
                <w:position w:val="5"/>
                <w:sz w:val="13"/>
                <w:sz w:val="16"/>
              </w:rPr>
              <w:t>th</w:t>
            </w:r>
            <w:r>
              <w:rPr>
                <w:rFonts w:ascii="Arial;Helvetica;sans-serif" w:hAnsi="Arial;Helvetica;sans-serif"/>
                <w:color w:val="636466"/>
                <w:sz w:val="16"/>
              </w:rPr>
              <w:t xml:space="preserve"> percentile on revenue of the remaining peers.</w:t>
            </w:r>
          </w:p>
        </w:tc>
        <w:tc>
          <w:tcPr>
            <w:tcW w:w="216"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819" w:type="dxa"/>
            <w:tcBorders/>
            <w:shd w:fill="E7E0EF" w:val="clear"/>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Amended Share Ownership Requirements Policy</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585" w:type="dxa"/>
            <w:tcBorders/>
            <w:shd w:fill="E7E0EF" w:val="clear"/>
            <w:vAlign w:val="center"/>
          </w:tcPr>
          <w:p>
            <w:pPr>
              <w:pStyle w:val="TableContents"/>
              <w:bidi w:val="0"/>
              <w:spacing w:before="0" w:after="283"/>
              <w:ind w:left="0" w:right="0" w:hanging="0"/>
              <w:jc w:val="left"/>
              <w:rPr>
                <w:color w:val="636466"/>
              </w:rPr>
            </w:pPr>
            <w:r>
              <w:rPr>
                <w:color w:val="636466"/>
              </w:rPr>
              <w:t>• </w:t>
            </w:r>
          </w:p>
          <w:p>
            <w:pPr>
              <w:pStyle w:val="TableContents"/>
              <w:bidi w:val="0"/>
              <w:spacing w:before="0" w:after="283"/>
              <w:jc w:val="left"/>
              <w:rPr>
                <w:rFonts w:ascii="Arial;Helvetica;sans-serif" w:hAnsi="Arial;Helvetica;sans-serif"/>
                <w:color w:val="636466"/>
                <w:sz w:val="16"/>
              </w:rPr>
            </w:pPr>
            <w:r>
              <w:rPr>
                <w:rFonts w:ascii="Arial;Helvetica;sans-serif" w:hAnsi="Arial;Helvetica;sans-serif"/>
                <w:color w:val="636466"/>
                <w:sz w:val="16"/>
              </w:rPr>
              <w:t xml:space="preserve">The Compensation Committee amended its policy to </w:t>
            </w:r>
            <w:r>
              <w:rPr>
                <w:rFonts w:ascii="Arial;Helvetica;sans-serif" w:hAnsi="Arial;Helvetica;sans-serif"/>
                <w:b/>
                <w:color w:val="636466"/>
                <w:sz w:val="16"/>
              </w:rPr>
              <w:t>exclude unearned PRSUs (including associated DEUs) from ownership calculations, thereby making our ownership requirements more robust.</w:t>
            </w:r>
          </w:p>
        </w:tc>
        <w:tc>
          <w:tcPr>
            <w:tcW w:w="216"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819"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585" w:type="dxa"/>
            <w:tcBorders/>
            <w:shd w:fill="E7E0EF" w:val="clear"/>
            <w:vAlign w:val="center"/>
          </w:tcPr>
          <w:p>
            <w:pPr>
              <w:pStyle w:val="TableContents"/>
              <w:bidi w:val="0"/>
              <w:spacing w:before="0" w:after="0"/>
              <w:jc w:val="left"/>
              <w:rPr/>
            </w:pPr>
            <w:r>
              <w:rPr/>
              <w:t> </w:t>
            </w:r>
          </w:p>
        </w:tc>
        <w:tc>
          <w:tcPr>
            <w:tcW w:w="216" w:type="dxa"/>
            <w:tcBorders/>
            <w:shd w:fill="E7E0EF" w:val="clear"/>
            <w:vAlign w:val="center"/>
          </w:tcPr>
          <w:p>
            <w:pPr>
              <w:pStyle w:val="TableContents"/>
              <w:bidi w:val="0"/>
              <w:spacing w:before="0" w:after="0"/>
              <w:jc w:val="left"/>
              <w:rPr/>
            </w:pPr>
            <w:r>
              <w:rPr/>
              <w:t> </w:t>
            </w:r>
          </w:p>
        </w:tc>
      </w:tr>
    </w:tbl>
    <w:p>
      <w:pPr>
        <w:pStyle w:val="TextBody"/>
        <w:bidi w:val="0"/>
        <w:spacing w:before="370" w:after="283"/>
        <w:ind w:left="1060" w:right="0" w:hanging="0"/>
        <w:jc w:val="left"/>
        <w:rPr>
          <w:rFonts w:ascii="Arial;Helvetica;sans-serif" w:hAnsi="Arial;Helvetica;sans-serif"/>
          <w:b/>
          <w:color w:val="1F1C6B"/>
          <w:sz w:val="18"/>
        </w:rPr>
      </w:pPr>
      <w:r>
        <w:rPr>
          <w:rFonts w:ascii="Arial;Helvetica;sans-serif" w:hAnsi="Arial;Helvetica;sans-serif"/>
          <w:b/>
          <w:color w:val="1F1C6B"/>
          <w:sz w:val="18"/>
        </w:rPr>
        <w:t xml:space="preserve">Our Compensation Structure is Simple and Approximately Two-Thirds Performance Based </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Our Compensation Committee has implemented a simple and performance-focused compensation program which is primarily focused on base salary, a performance-based short-term incentive award, and long-term incentive awards consisting of PRSUs and RSUs. For fiscal year 2024, 61% of NEO total target compensation was performance-based and 68% of NEO total target compensation was delivered as long-term equity. </w:t>
      </w:r>
    </w:p>
    <w:tbl>
      <w:tblPr>
        <w:tblW w:w="4980" w:type="dxa"/>
        <w:jc w:val="left"/>
        <w:tblInd w:w="106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44 | 2025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197"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67" descr=""/>
                          <pic:cNvPicPr>
                            <a:picLocks noChangeAspect="1" noChangeArrowheads="1"/>
                          </pic:cNvPicPr>
                        </pic:nvPicPr>
                        <pic:blipFill>
                          <a:blip r:embed="rId184"/>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198"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68" descr=""/>
                    <pic:cNvPicPr>
                      <a:picLocks noChangeAspect="1" noChangeArrowheads="1"/>
                    </pic:cNvPicPr>
                  </pic:nvPicPr>
                  <pic:blipFill>
                    <a:blip r:embed="rId185"/>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12" w:name="ny20055082x771_def14a_110-cda_pg3"/>
        <w:bookmarkEnd w:id="11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right"/>
        <w:rPr>
          <w:caps/>
          <w:color w:val="1F1C6B"/>
          <w:u w:val="single"/>
        </w:rPr>
      </w:pPr>
      <w:r>
        <w:rPr>
          <w:caps/>
          <w:color w:val="1F1C6B"/>
          <w:u w:val="single"/>
        </w:rPr>
        <w:t> </w:t>
      </w:r>
      <w:r>
        <w:rPr>
          <w:rFonts w:ascii="Arial;Helvetica;sans-serif" w:hAnsi="Arial;Helvetica;sans-serif"/>
          <w:caps/>
          <w:color w:val="1F1C6B"/>
          <w:sz w:val="18"/>
          <w:u w:val="single"/>
        </w:rPr>
        <w:t>Compensation Discussion and Analysis </w:t>
      </w:r>
    </w:p>
    <w:p>
      <w:pPr>
        <w:pStyle w:val="TextBody"/>
        <w:bidi w:val="0"/>
        <w:spacing w:before="12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In addition, our PRSUs are subject to a total shareholder return (“TSR”) performance modifier assessed over a three-year time frame relative to the S&amp;P 500 Pharmaceutical Index, further aligning compensation with performance. </w:t>
      </w:r>
    </w:p>
    <w:p>
      <w:pPr>
        <w:pStyle w:val="TextBody"/>
        <w:bidi w:val="0"/>
        <w:spacing w:before="420" w:after="283"/>
        <w:ind w:left="1060" w:right="0" w:hanging="0"/>
        <w:jc w:val="left"/>
        <w:rPr>
          <w:color w:val="636466"/>
        </w:rPr>
      </w:pPr>
      <w:r>
        <w:rPr>
          <w:color w:val="636466"/>
        </w:rPr>
        <w:drawing>
          <wp:inline distT="0" distB="0" distL="0" distR="0">
            <wp:extent cx="6600825" cy="1752600"/>
            <wp:effectExtent l="0" t="0" r="0" b="0"/>
            <wp:docPr id="199"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69" descr=""/>
                    <pic:cNvPicPr>
                      <a:picLocks noChangeAspect="1" noChangeArrowheads="1"/>
                    </pic:cNvPicPr>
                  </pic:nvPicPr>
                  <pic:blipFill>
                    <a:blip r:embed="rId186"/>
                    <a:stretch>
                      <a:fillRect/>
                    </a:stretch>
                  </pic:blipFill>
                  <pic:spPr bwMode="auto">
                    <a:xfrm>
                      <a:off x="0" y="0"/>
                      <a:ext cx="6600825" cy="1752600"/>
                    </a:xfrm>
                    <a:prstGeom prst="rect">
                      <a:avLst/>
                    </a:prstGeom>
                  </pic:spPr>
                </pic:pic>
              </a:graphicData>
            </a:graphic>
          </wp:inline>
        </w:drawing>
      </w:r>
    </w:p>
    <w:p>
      <w:pPr>
        <w:pStyle w:val="TextBody"/>
        <w:bidi w:val="0"/>
        <w:spacing w:before="0" w:after="283"/>
        <w:ind w:left="1060" w:right="0" w:hanging="0"/>
        <w:jc w:val="left"/>
        <w:rPr>
          <w:color w:val="636466"/>
        </w:rPr>
      </w:pPr>
      <w:r>
        <w:rPr>
          <w:color w:val="636466"/>
        </w:rPr>
        <w:t> </w:t>
      </w:r>
    </w:p>
    <w:p>
      <w:pPr>
        <w:pStyle w:val="TextBody"/>
        <w:bidi w:val="0"/>
        <w:spacing w:before="360" w:after="283"/>
        <w:ind w:left="1060" w:right="0" w:hanging="0"/>
        <w:jc w:val="left"/>
        <w:rPr>
          <w:rFonts w:ascii="Arial;Helvetica;sans-serif" w:hAnsi="Arial;Helvetica;sans-serif"/>
          <w:b/>
          <w:color w:val="1F1C6B"/>
          <w:sz w:val="18"/>
        </w:rPr>
      </w:pPr>
      <w:r>
        <w:rPr>
          <w:rFonts w:ascii="Arial;Helvetica;sans-serif" w:hAnsi="Arial;Helvetica;sans-serif"/>
          <w:b/>
          <w:color w:val="1F1C6B"/>
          <w:sz w:val="18"/>
        </w:rPr>
        <w:t>Despite Above-Target Results for 2024 Short-Term Incentive Compensation Objectives, Our Compensation Committee Reduced 2024 Short-Term Incentive Program Payouts</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We achieved above-target results for 2024 under the objectives established in early 2024 under our short-term incentive program. Despite these results, our Board and Compensation Committee exercised negative discretion to reduce payouts to our executive team considering the warning letter and import alert relating to our facility in Indore, India, which was received in late 2024. In addition, in establishing short-term incentive program targets for 2025, the Board set challenging stretch financial performance targets to encourage financial outperformance in 2025. The Board believes that these actions were appropriate to further align management compensation with share price performance and to encourage management to work expeditiously to resolve the issues relating to this facility.</w:t>
      </w:r>
    </w:p>
    <w:p>
      <w:pPr>
        <w:pStyle w:val="TextBody"/>
        <w:bidi w:val="0"/>
        <w:spacing w:before="420" w:after="283"/>
        <w:ind w:left="1060" w:right="0" w:hanging="0"/>
        <w:jc w:val="left"/>
        <w:rPr>
          <w:rFonts w:ascii="Arial;Helvetica;sans-serif" w:hAnsi="Arial;Helvetica;sans-serif"/>
          <w:color w:val="1F1C6B"/>
          <w:sz w:val="30"/>
        </w:rPr>
      </w:pPr>
      <w:bookmarkStart w:id="113" w:name="tSHA"/>
      <w:bookmarkEnd w:id="113"/>
      <w:r>
        <w:rPr>
          <w:rFonts w:ascii="Arial;Helvetica;sans-serif" w:hAnsi="Arial;Helvetica;sans-serif"/>
          <w:color w:val="1F1C6B"/>
          <w:sz w:val="30"/>
        </w:rPr>
        <w:t>Selected Highlights and Recent Developments</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2024 was an important year for Viatris and an important inflection point for the Company. The Company achieved several notable accomplishments related to its stated strategic pillars of growth acceleration and shareholder return. </w:t>
      </w:r>
    </w:p>
    <w:p>
      <w:pPr>
        <w:pStyle w:val="TextBody"/>
        <w:bidi w:val="0"/>
        <w:spacing w:before="420" w:after="283"/>
        <w:ind w:left="1060" w:right="0" w:hanging="0"/>
        <w:jc w:val="left"/>
        <w:rPr>
          <w:rFonts w:ascii="Arial;Helvetica;sans-serif" w:hAnsi="Arial;Helvetica;sans-serif"/>
          <w:color w:val="72288A"/>
          <w:sz w:val="24"/>
        </w:rPr>
      </w:pPr>
      <w:r>
        <w:rPr>
          <w:rFonts w:ascii="Arial;Helvetica;sans-serif" w:hAnsi="Arial;Helvetica;sans-serif"/>
          <w:color w:val="72288A"/>
          <w:sz w:val="24"/>
        </w:rPr>
        <w:t>Business Strategy</w:t>
      </w:r>
    </w:p>
    <w:p>
      <w:pPr>
        <w:pStyle w:val="TextBody"/>
        <w:bidi w:val="0"/>
        <w:spacing w:before="20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The Company laid out three strategic pillars to accelerate growth and shareholder return: </w:t>
      </w:r>
    </w:p>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b/>
                <w:color w:val="636466"/>
                <w:sz w:val="18"/>
              </w:rPr>
              <w:t>Diversified and Growing Base Business</w:t>
            </w:r>
            <w:r>
              <w:rPr>
                <w:rFonts w:ascii="Arial;Helvetica;sans-serif" w:hAnsi="Arial;Helvetica;sans-serif"/>
                <w:color w:val="636466"/>
                <w:sz w:val="18"/>
              </w:rPr>
              <w:t>: The Company believes its continued success in its base business comes from its large and diversified portfolio of generics and off-patent brands that extends across markets and therapeutic areas. Here the Company has a clear legacy of deep product knowledge and extensive commercialization and development expertise. We believe it is important that Viatris maintains a strong focus on growing its base business over the long-term.</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b/>
                <w:color w:val="636466"/>
                <w:sz w:val="18"/>
              </w:rPr>
              <w:t>Financial Strength and Significant Cash Flow</w:t>
            </w:r>
            <w:r>
              <w:rPr>
                <w:rFonts w:ascii="Arial;Helvetica;sans-serif" w:hAnsi="Arial;Helvetica;sans-serif"/>
                <w:color w:val="636466"/>
                <w:sz w:val="18"/>
              </w:rPr>
              <w:t>: The Company believes its strong balance sheet and sector-leading cash flow generation differentiate it from sector peers. The Company expects to continue to deliver on its long-term financial strategy to return capital to shareholders through dividends and share repurchases, while making investments in its business.</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b/>
                <w:color w:val="636466"/>
                <w:sz w:val="18"/>
              </w:rPr>
              <w:t>Expanding Innovative Portfolio</w:t>
            </w:r>
            <w:r>
              <w:rPr>
                <w:rFonts w:ascii="Arial;Helvetica;sans-serif" w:hAnsi="Arial;Helvetica;sans-serif"/>
                <w:color w:val="636466"/>
                <w:sz w:val="18"/>
              </w:rPr>
              <w:t>: This represents the Company’s continuous efforts to identify, vet, and secure innovative, best-in-class, patent-protected assets in areas of unmet medical need in which it can be successful. By expanding its innovative portfolio, the Company believes it has the potential to drive accelerated and durable revenue growth over the long-term.</w:t>
            </w:r>
          </w:p>
        </w:tc>
      </w:tr>
    </w:tbl>
    <w:tbl>
      <w:tblPr>
        <w:tblW w:w="4980" w:type="dxa"/>
        <w:jc w:val="left"/>
        <w:tblInd w:w="106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200"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70" descr=""/>
                          <pic:cNvPicPr>
                            <a:picLocks noChangeAspect="1" noChangeArrowheads="1"/>
                          </pic:cNvPicPr>
                        </pic:nvPicPr>
                        <pic:blipFill>
                          <a:blip r:embed="rId187"/>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Statement | 45</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201"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71" descr=""/>
                    <pic:cNvPicPr>
                      <a:picLocks noChangeAspect="1" noChangeArrowheads="1"/>
                    </pic:cNvPicPr>
                  </pic:nvPicPr>
                  <pic:blipFill>
                    <a:blip r:embed="rId188"/>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14" w:name="ny20055082x771_def14a_110-cda_pg4"/>
        <w:bookmarkEnd w:id="11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left"/>
        <w:rPr>
          <w:caps/>
          <w:color w:val="1F1C6B"/>
          <w:u w:val="single"/>
        </w:rPr>
      </w:pPr>
      <w:r>
        <w:rPr>
          <w:caps/>
          <w:color w:val="1F1C6B"/>
          <w:u w:val="single"/>
        </w:rPr>
        <w:t> </w:t>
      </w:r>
      <w:r>
        <w:rPr>
          <w:rFonts w:ascii="Arial;Helvetica;sans-serif" w:hAnsi="Arial;Helvetica;sans-serif"/>
          <w:caps/>
          <w:color w:val="1F1C6B"/>
          <w:sz w:val="18"/>
          <w:u w:val="single"/>
        </w:rPr>
        <w:t>Compensation Discussion and Analysis </w:t>
      </w:r>
    </w:p>
    <w:p>
      <w:pPr>
        <w:pStyle w:val="TextBody"/>
        <w:bidi w:val="0"/>
        <w:spacing w:before="160" w:after="283"/>
        <w:ind w:left="1060" w:right="0" w:hanging="0"/>
        <w:jc w:val="left"/>
        <w:rPr>
          <w:rFonts w:ascii="Arial;Helvetica;sans-serif" w:hAnsi="Arial;Helvetica;sans-serif"/>
          <w:color w:val="72288A"/>
          <w:sz w:val="24"/>
        </w:rPr>
      </w:pPr>
      <w:r>
        <w:rPr>
          <w:rFonts w:ascii="Arial;Helvetica;sans-serif" w:hAnsi="Arial;Helvetica;sans-serif"/>
          <w:color w:val="72288A"/>
          <w:sz w:val="24"/>
        </w:rPr>
        <w:t>Financial and Operational Performance</w:t>
      </w:r>
    </w:p>
    <w:p>
      <w:pPr>
        <w:pStyle w:val="TextBody"/>
        <w:bidi w:val="0"/>
        <w:spacing w:before="21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In 2024, Viatris: </w:t>
      </w:r>
    </w:p>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Reported total revenues of $14.7 billion; U.S. GAAP net loss of $(634) million; adjusted EBITDA of $4.7 billion; U.S. GAAP diluted EPS loss of $(0.53) per share; adjusted EPS of $2.65 per share; U.S. GAAP net cash provided by operating activities of $2.3 billion; and free cash flow of $2.0 billion (which included ~$650 million of transaction-related costs). </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Paid down approximately $3.7 billion of debt and achieved its long-term gross leverage target</w:t>
            </w:r>
            <w:r>
              <w:rPr>
                <w:rFonts w:ascii="Arial;Helvetica;sans-serif" w:hAnsi="Arial;Helvetica;sans-serif"/>
                <w:color w:val="636466"/>
                <w:position w:val="6"/>
                <w:sz w:val="14"/>
                <w:sz w:val="18"/>
              </w:rPr>
              <w:t>1</w:t>
            </w:r>
            <w:r>
              <w:rPr>
                <w:rFonts w:ascii="Arial;Helvetica;sans-serif" w:hAnsi="Arial;Helvetica;sans-serif"/>
                <w:color w:val="636466"/>
                <w:sz w:val="18"/>
              </w:rPr>
              <w:t>, ending the year at 2.9x</w:t>
            </w:r>
            <w:r>
              <w:rPr>
                <w:rFonts w:ascii="Arial;Helvetica;sans-serif" w:hAnsi="Arial;Helvetica;sans-serif"/>
                <w:color w:val="636466"/>
                <w:position w:val="6"/>
                <w:sz w:val="14"/>
                <w:sz w:val="18"/>
              </w:rPr>
              <w:t>2</w:t>
            </w:r>
            <w:r>
              <w:rPr>
                <w:rFonts w:ascii="Arial;Helvetica;sans-serif" w:hAnsi="Arial;Helvetica;sans-serif"/>
                <w:color w:val="636466"/>
                <w:sz w:val="18"/>
              </w:rPr>
              <w:t xml:space="preserve">. </w:t>
            </w:r>
          </w:p>
        </w:tc>
      </w:tr>
    </w:tbl>
    <w:tbl>
      <w:tblPr>
        <w:tblW w:w="4375" w:type="dxa"/>
        <w:jc w:val="left"/>
        <w:tblInd w:w="1060" w:type="dxa"/>
        <w:tblLayout w:type="fixed"/>
        <w:tblCellMar>
          <w:top w:w="0" w:type="dxa"/>
          <w:left w:w="0" w:type="dxa"/>
          <w:bottom w:w="0" w:type="dxa"/>
          <w:right w:w="0" w:type="dxa"/>
        </w:tblCellMar>
      </w:tblPr>
      <w:tblGrid>
        <w:gridCol w:w="140"/>
        <w:gridCol w:w="4235"/>
      </w:tblGrid>
      <w:tr>
        <w:trPr/>
        <w:tc>
          <w:tcPr>
            <w:tcW w:w="140" w:type="dxa"/>
            <w:tcBorders/>
            <w:vAlign w:val="center"/>
          </w:tcPr>
          <w:p>
            <w:pPr>
              <w:pStyle w:val="TableContents"/>
              <w:bidi w:val="0"/>
              <w:spacing w:before="0" w:after="0"/>
              <w:jc w:val="left"/>
              <w:rPr>
                <w:color w:val="636466"/>
              </w:rPr>
            </w:pPr>
            <w:r>
              <w:rPr>
                <w:color w:val="636466"/>
              </w:rPr>
              <w:t>•</w:t>
            </w:r>
          </w:p>
        </w:tc>
        <w:tc>
          <w:tcPr>
            <w:tcW w:w="423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Generated new product revenues</w:t>
            </w:r>
            <w:r>
              <w:rPr>
                <w:rFonts w:ascii="Arial;Helvetica;sans-serif" w:hAnsi="Arial;Helvetica;sans-serif"/>
                <w:color w:val="636466"/>
                <w:position w:val="6"/>
                <w:sz w:val="14"/>
                <w:sz w:val="18"/>
              </w:rPr>
              <w:t>3</w:t>
            </w:r>
            <w:r>
              <w:rPr>
                <w:rFonts w:ascii="Arial;Helvetica;sans-serif" w:hAnsi="Arial;Helvetica;sans-serif"/>
                <w:color w:val="636466"/>
                <w:sz w:val="18"/>
              </w:rPr>
              <w:t xml:space="preserve"> of $582 million. </w:t>
            </w:r>
          </w:p>
        </w:tc>
      </w:tr>
    </w:tbl>
    <w:tbl>
      <w:tblPr>
        <w:tblW w:w="7675" w:type="dxa"/>
        <w:jc w:val="left"/>
        <w:tblInd w:w="1060" w:type="dxa"/>
        <w:tblLayout w:type="fixed"/>
        <w:tblCellMar>
          <w:top w:w="0" w:type="dxa"/>
          <w:left w:w="0" w:type="dxa"/>
          <w:bottom w:w="0" w:type="dxa"/>
          <w:right w:w="0" w:type="dxa"/>
        </w:tblCellMar>
      </w:tblPr>
      <w:tblGrid>
        <w:gridCol w:w="140"/>
        <w:gridCol w:w="7535"/>
      </w:tblGrid>
      <w:tr>
        <w:trPr/>
        <w:tc>
          <w:tcPr>
            <w:tcW w:w="140" w:type="dxa"/>
            <w:tcBorders/>
            <w:vAlign w:val="center"/>
          </w:tcPr>
          <w:p>
            <w:pPr>
              <w:pStyle w:val="TableContents"/>
              <w:bidi w:val="0"/>
              <w:spacing w:before="0" w:after="0"/>
              <w:jc w:val="left"/>
              <w:rPr>
                <w:color w:val="636466"/>
              </w:rPr>
            </w:pPr>
            <w:r>
              <w:rPr>
                <w:color w:val="636466"/>
              </w:rPr>
              <w:t>•</w:t>
            </w:r>
          </w:p>
        </w:tc>
        <w:tc>
          <w:tcPr>
            <w:tcW w:w="753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Returned $825 million in capital to shareholders through dividends and share repurchases. </w:t>
            </w:r>
          </w:p>
        </w:tc>
      </w:tr>
    </w:tbl>
    <w:tbl>
      <w:tblPr>
        <w:tblW w:w="6085" w:type="dxa"/>
        <w:jc w:val="left"/>
        <w:tblInd w:w="1060" w:type="dxa"/>
        <w:tblLayout w:type="fixed"/>
        <w:tblCellMar>
          <w:top w:w="0" w:type="dxa"/>
          <w:left w:w="0" w:type="dxa"/>
          <w:bottom w:w="0" w:type="dxa"/>
          <w:right w:w="0" w:type="dxa"/>
        </w:tblCellMar>
      </w:tblPr>
      <w:tblGrid>
        <w:gridCol w:w="140"/>
        <w:gridCol w:w="5945"/>
      </w:tblGrid>
      <w:tr>
        <w:trPr/>
        <w:tc>
          <w:tcPr>
            <w:tcW w:w="140" w:type="dxa"/>
            <w:tcBorders/>
            <w:vAlign w:val="center"/>
          </w:tcPr>
          <w:p>
            <w:pPr>
              <w:pStyle w:val="TableContents"/>
              <w:bidi w:val="0"/>
              <w:spacing w:before="0" w:after="0"/>
              <w:jc w:val="left"/>
              <w:rPr>
                <w:color w:val="636466"/>
              </w:rPr>
            </w:pPr>
            <w:r>
              <w:rPr>
                <w:color w:val="636466"/>
              </w:rPr>
              <w:t>•</w:t>
            </w:r>
          </w:p>
        </w:tc>
        <w:tc>
          <w:tcPr>
            <w:tcW w:w="594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Supplied high-quality medicines to ~1 billion patients</w:t>
            </w:r>
            <w:r>
              <w:rPr>
                <w:rFonts w:ascii="Arial;Helvetica;sans-serif" w:hAnsi="Arial;Helvetica;sans-serif"/>
                <w:color w:val="636466"/>
                <w:position w:val="6"/>
                <w:sz w:val="14"/>
                <w:sz w:val="18"/>
              </w:rPr>
              <w:t>4</w:t>
            </w:r>
            <w:r>
              <w:rPr>
                <w:rFonts w:ascii="Arial;Helvetica;sans-serif" w:hAnsi="Arial;Helvetica;sans-serif"/>
                <w:color w:val="636466"/>
                <w:sz w:val="18"/>
              </w:rPr>
              <w:t xml:space="preserve"> around the world.</w:t>
            </w:r>
          </w:p>
        </w:tc>
      </w:tr>
    </w:tbl>
    <w:tbl>
      <w:tblPr>
        <w:tblW w:w="4840" w:type="dxa"/>
        <w:jc w:val="left"/>
        <w:tblInd w:w="1060" w:type="dxa"/>
        <w:tblLayout w:type="fixed"/>
        <w:tblCellMar>
          <w:top w:w="0" w:type="dxa"/>
          <w:left w:w="0" w:type="dxa"/>
          <w:bottom w:w="0" w:type="dxa"/>
          <w:right w:w="0" w:type="dxa"/>
        </w:tblCellMar>
      </w:tblPr>
      <w:tblGrid>
        <w:gridCol w:w="140"/>
        <w:gridCol w:w="4700"/>
      </w:tblGrid>
      <w:tr>
        <w:trPr/>
        <w:tc>
          <w:tcPr>
            <w:tcW w:w="140" w:type="dxa"/>
            <w:tcBorders/>
            <w:vAlign w:val="center"/>
          </w:tcPr>
          <w:p>
            <w:pPr>
              <w:pStyle w:val="TableContents"/>
              <w:bidi w:val="0"/>
              <w:spacing w:before="0" w:after="0"/>
              <w:jc w:val="left"/>
              <w:rPr>
                <w:color w:val="636466"/>
              </w:rPr>
            </w:pPr>
            <w:r>
              <w:rPr>
                <w:color w:val="636466"/>
              </w:rPr>
              <w:t>•</w:t>
            </w:r>
          </w:p>
        </w:tc>
        <w:tc>
          <w:tcPr>
            <w:tcW w:w="4700"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Completed its remaining planned divestitures, including: </w:t>
            </w:r>
          </w:p>
        </w:tc>
      </w:tr>
    </w:tbl>
    <w:tbl>
      <w:tblPr>
        <w:tblW w:w="9145" w:type="dxa"/>
        <w:jc w:val="left"/>
        <w:tblInd w:w="1060" w:type="dxa"/>
        <w:tblLayout w:type="fixed"/>
        <w:tblCellMar>
          <w:top w:w="0" w:type="dxa"/>
          <w:left w:w="0" w:type="dxa"/>
          <w:bottom w:w="0" w:type="dxa"/>
          <w:right w:w="0" w:type="dxa"/>
        </w:tblCellMar>
      </w:tblPr>
      <w:tblGrid>
        <w:gridCol w:w="185"/>
        <w:gridCol w:w="8745"/>
        <w:gridCol w:w="215"/>
      </w:tblGrid>
      <w:tr>
        <w:trPr/>
        <w:tc>
          <w:tcPr>
            <w:tcW w:w="185" w:type="dxa"/>
            <w:tcBorders/>
            <w:vAlign w:val="center"/>
          </w:tcPr>
          <w:p>
            <w:pPr>
              <w:pStyle w:val="TableContents"/>
              <w:bidi w:val="0"/>
              <w:spacing w:before="0" w:after="0"/>
              <w:jc w:val="left"/>
              <w:rPr/>
            </w:pPr>
            <w:r>
              <w:rPr/>
              <w:t> </w:t>
            </w:r>
          </w:p>
        </w:tc>
        <w:tc>
          <w:tcPr>
            <w:tcW w:w="874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745" w:type="dxa"/>
            <w:tcBorders/>
            <w:vAlign w:val="center"/>
          </w:tcPr>
          <w:p>
            <w:pPr>
              <w:pStyle w:val="TableContents"/>
              <w:bidi w:val="0"/>
              <w:spacing w:before="0" w:after="283"/>
              <w:ind w:left="60" w:right="0" w:hanging="0"/>
              <w:jc w:val="left"/>
              <w:rPr>
                <w:color w:val="636466"/>
              </w:rPr>
            </w:pPr>
            <w:r>
              <w:rPr>
                <w:color w:val="636466"/>
              </w:rPr>
              <w:t>• </w:t>
            </w:r>
          </w:p>
          <w:p>
            <w:pPr>
              <w:pStyle w:val="TableContents"/>
              <w:bidi w:val="0"/>
              <w:spacing w:before="0" w:after="283"/>
              <w:jc w:val="left"/>
              <w:rPr>
                <w:rFonts w:ascii="Arial;Helvetica;sans-serif" w:hAnsi="Arial;Helvetica;sans-serif"/>
                <w:color w:val="636466"/>
                <w:sz w:val="16"/>
              </w:rPr>
            </w:pPr>
            <w:r>
              <w:rPr>
                <w:rFonts w:ascii="Arial;Helvetica;sans-serif" w:hAnsi="Arial;Helvetica;sans-serif"/>
                <w:color w:val="636466"/>
                <w:sz w:val="16"/>
              </w:rPr>
              <w:t xml:space="preserve">In March 2024, the Company completed the divestiture of its women's healthcare business, primarily related to its oral and injectable contraceptives, to Insud Pharma, S.L., a leading Spanish multinational pharmaceutical company. The transaction included two manufacturing facilities in India: one in Ahmedabad and one in Sarigam.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745" w:type="dxa"/>
            <w:tcBorders/>
            <w:vAlign w:val="center"/>
          </w:tcPr>
          <w:p>
            <w:pPr>
              <w:pStyle w:val="TableContents"/>
              <w:bidi w:val="0"/>
              <w:spacing w:before="0" w:after="283"/>
              <w:ind w:left="60" w:right="0" w:hanging="0"/>
              <w:jc w:val="left"/>
              <w:rPr>
                <w:color w:val="636466"/>
              </w:rPr>
            </w:pPr>
            <w:r>
              <w:rPr>
                <w:color w:val="636466"/>
              </w:rPr>
              <w:t>• </w:t>
            </w:r>
          </w:p>
          <w:p>
            <w:pPr>
              <w:pStyle w:val="TableContents"/>
              <w:bidi w:val="0"/>
              <w:spacing w:before="0" w:after="283"/>
              <w:jc w:val="left"/>
              <w:rPr>
                <w:rFonts w:ascii="Arial;Helvetica;sans-serif" w:hAnsi="Arial;Helvetica;sans-serif"/>
                <w:color w:val="636466"/>
                <w:sz w:val="16"/>
              </w:rPr>
            </w:pPr>
            <w:r>
              <w:rPr>
                <w:rFonts w:ascii="Arial;Helvetica;sans-serif" w:hAnsi="Arial;Helvetica;sans-serif"/>
                <w:color w:val="636466"/>
                <w:sz w:val="16"/>
              </w:rPr>
              <w:t xml:space="preserve">In June 2024, the Company completed the divestiture of its API business in India to Matrix Pharma Private Limited, a privately held pharmaceutical company based in India. The transaction included three manufacturing sites and an R&amp;D lab in Hyderabad India, three manufacturing sites in Vizag, India, and third-party API sales. Viatris retained some selective R&amp;D capabilities in API.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745" w:type="dxa"/>
            <w:tcBorders/>
            <w:vAlign w:val="center"/>
          </w:tcPr>
          <w:p>
            <w:pPr>
              <w:pStyle w:val="TableContents"/>
              <w:bidi w:val="0"/>
              <w:spacing w:before="0" w:after="283"/>
              <w:ind w:left="60" w:right="0" w:hanging="0"/>
              <w:jc w:val="left"/>
              <w:rPr>
                <w:color w:val="636466"/>
              </w:rPr>
            </w:pPr>
            <w:r>
              <w:rPr>
                <w:color w:val="636466"/>
              </w:rPr>
              <w:t>• </w:t>
            </w:r>
          </w:p>
          <w:p>
            <w:pPr>
              <w:pStyle w:val="TableContents"/>
              <w:bidi w:val="0"/>
              <w:spacing w:before="0" w:after="283"/>
              <w:jc w:val="left"/>
              <w:rPr>
                <w:rFonts w:ascii="Arial;Helvetica;sans-serif" w:hAnsi="Arial;Helvetica;sans-serif"/>
                <w:color w:val="636466"/>
                <w:sz w:val="16"/>
              </w:rPr>
            </w:pPr>
            <w:r>
              <w:rPr>
                <w:rFonts w:ascii="Arial;Helvetica;sans-serif" w:hAnsi="Arial;Helvetica;sans-serif"/>
                <w:color w:val="636466"/>
                <w:sz w:val="16"/>
              </w:rPr>
              <w:t>In July 2024, the Company completed the divestiture of its OTC Business to Cooper Consumer Health, a leading European OTC drug manufacturer and distributor. The transaction included two manufacturing sites located in Merignac, France, and Confienza, Italy, and an R&amp;D site in Monza, Italy. The Company retained the rights for Viagra®, Dymista® (which, in certain limited markets, are sold as OTC products), and select OTC products in certain markets.</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74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370" w:after="283"/>
        <w:ind w:left="1060" w:right="0" w:hanging="0"/>
        <w:jc w:val="left"/>
        <w:rPr>
          <w:rFonts w:ascii="Arial;Helvetica;sans-serif" w:hAnsi="Arial;Helvetica;sans-serif"/>
          <w:color w:val="72288A"/>
          <w:sz w:val="24"/>
        </w:rPr>
      </w:pPr>
      <w:bookmarkStart w:id="115" w:name="tSRA2"/>
      <w:bookmarkEnd w:id="115"/>
      <w:r>
        <w:rPr>
          <w:rFonts w:ascii="Arial;Helvetica;sans-serif" w:hAnsi="Arial;Helvetica;sans-serif"/>
          <w:color w:val="72288A"/>
          <w:sz w:val="24"/>
        </w:rPr>
        <w:t>Science and Regulatory Achievements</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Viatris’ R&amp;D and clinical platform, which includes regulatory activities, seeks to deliver new product opportunities across all of the Company’s categories and markets and to evaluate opportunities to expand the scope of our existing product portfolio with a focus on development activities. The Company’s product pipeline includes a variety of dosage, including oral solid dosage, transdermals, injectables, inhalation, and other delivery systems. While committed to generics and specialty products, over the last several years, a greater portion of the Company’s investments has been focused on complex or difficult-to-formulate products, such as modified release or complex injectables such as glucagon, rather than on commodity products, such as conventional oral solid dosage forms.</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As previously mentioned, one of the Company’s three strategic pillars in 2024 to accelerate growth and shareholder return was our focus on expanding our innovative portfolio to identify, vet and secure best-in-class, patented-protected assets in areas of unmet medical need in which it can be successful. In 2024, the Company made several additions to its innovative portfolio, including the following: </w:t>
      </w:r>
    </w:p>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In March 2024, the Company acquired exclusive global development and commercialization rights to two Phase 3 assets from Idorsia Ltd., selatogrel and cenerimod, as well as the potential to add additional innovative assets in the future.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1</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The Company has not quantified future amounts to develop this target, which does not reflect company guidance, but has stated its goal to manage notional gross debt and adjusted EBITDA over time in order to generally maintain or reach the target.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2</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See Appendix B — “Reconciliations of Non-GAAP Financial Measures (Unaudited)” for more information. U.S. GAAP net (loss) for 2024 was $(634.2) million and U.S. GAAP total debt was $14,039.5 million.</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3</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Refers to revenue from new products launched in 2024 and the carryover impact of new products, including business development, launched within the last 12 months.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4</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The number of patients served is an estimate calculated using internal sales data (global volume of doses sold in 2024 in all markets as aligned with IQVIA standard units), divided by estimated per patient usage, which is based on treatment dose, treatment duration, and treatment adherence as estimated by Viatris Medical Affairs based on approved label indication and instructions for use, current international guideline recommendations, and common usage in clinical practice. Patients using multiple Viatris medicines may be counted as multiple patients. Certain adjustments were applied to account for acceptable alternatives to the patient usage factors noted above and rounded to the nearest hundred million. Estimates may be subject to reassessment.</w:t>
            </w:r>
          </w:p>
        </w:tc>
      </w:tr>
    </w:tbl>
    <w:tbl>
      <w:tblPr>
        <w:tblW w:w="4980" w:type="dxa"/>
        <w:jc w:val="left"/>
        <w:tblInd w:w="106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46 | 2025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202"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72" descr=""/>
                          <pic:cNvPicPr>
                            <a:picLocks noChangeAspect="1" noChangeArrowheads="1"/>
                          </pic:cNvPicPr>
                        </pic:nvPicPr>
                        <pic:blipFill>
                          <a:blip r:embed="rId189"/>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203"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73" descr=""/>
                    <pic:cNvPicPr>
                      <a:picLocks noChangeAspect="1" noChangeArrowheads="1"/>
                    </pic:cNvPicPr>
                  </pic:nvPicPr>
                  <pic:blipFill>
                    <a:blip r:embed="rId190"/>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16" w:name="ny20055082x771_def14a_110-cda_pg5"/>
        <w:bookmarkEnd w:id="11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right"/>
        <w:rPr>
          <w:caps/>
          <w:color w:val="1F1C6B"/>
          <w:u w:val="single"/>
        </w:rPr>
      </w:pPr>
      <w:r>
        <w:rPr>
          <w:caps/>
          <w:color w:val="1F1C6B"/>
          <w:u w:val="single"/>
        </w:rPr>
        <w:t> </w:t>
      </w:r>
      <w:r>
        <w:rPr>
          <w:rFonts w:ascii="Arial;Helvetica;sans-serif" w:hAnsi="Arial;Helvetica;sans-serif"/>
          <w:caps/>
          <w:color w:val="1F1C6B"/>
          <w:sz w:val="18"/>
          <w:u w:val="single"/>
        </w:rPr>
        <w:t>Compensation Discussion and Analysis </w:t>
      </w:r>
    </w:p>
    <w:tbl>
      <w:tblPr>
        <w:tblW w:w="9145" w:type="dxa"/>
        <w:jc w:val="left"/>
        <w:tblInd w:w="1060" w:type="dxa"/>
        <w:tblLayout w:type="fixed"/>
        <w:tblCellMar>
          <w:top w:w="0" w:type="dxa"/>
          <w:left w:w="0" w:type="dxa"/>
          <w:bottom w:w="0" w:type="dxa"/>
          <w:right w:w="0" w:type="dxa"/>
        </w:tblCellMar>
      </w:tblPr>
      <w:tblGrid>
        <w:gridCol w:w="170"/>
        <w:gridCol w:w="8975"/>
      </w:tblGrid>
      <w:tr>
        <w:trPr/>
        <w:tc>
          <w:tcPr>
            <w:tcW w:w="170" w:type="dxa"/>
            <w:tcBorders/>
            <w:vAlign w:val="center"/>
          </w:tcPr>
          <w:p>
            <w:pPr>
              <w:pStyle w:val="TableContents"/>
              <w:bidi w:val="0"/>
              <w:spacing w:before="0" w:after="0"/>
              <w:jc w:val="left"/>
              <w:rPr>
                <w:color w:val="636466"/>
              </w:rPr>
            </w:pPr>
            <w:r>
              <w:rPr>
                <w:color w:val="636466"/>
              </w:rPr>
              <w:t> </w:t>
            </w:r>
          </w:p>
        </w:tc>
        <w:tc>
          <w:tcPr>
            <w:tcW w:w="897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Selatogrel is a potential life-saving self-administered medicine for patients with a history of acute myocardial infarction, or heart attack, and builds on Viatris' existing global cardiovascular franchise and specialty infrastructure, as well as its knowledge, leadership, and distribution capabilities for self-administered medication for acute life-threatening conditions.</w:t>
            </w:r>
          </w:p>
        </w:tc>
      </w:tr>
    </w:tbl>
    <w:tbl>
      <w:tblPr>
        <w:tblW w:w="9145" w:type="dxa"/>
        <w:jc w:val="left"/>
        <w:tblInd w:w="1060" w:type="dxa"/>
        <w:tblLayout w:type="fixed"/>
        <w:tblCellMar>
          <w:top w:w="0" w:type="dxa"/>
          <w:left w:w="0" w:type="dxa"/>
          <w:bottom w:w="0" w:type="dxa"/>
          <w:right w:w="0" w:type="dxa"/>
        </w:tblCellMar>
      </w:tblPr>
      <w:tblGrid>
        <w:gridCol w:w="170"/>
        <w:gridCol w:w="8975"/>
      </w:tblGrid>
      <w:tr>
        <w:trPr/>
        <w:tc>
          <w:tcPr>
            <w:tcW w:w="170" w:type="dxa"/>
            <w:tcBorders/>
            <w:vAlign w:val="center"/>
          </w:tcPr>
          <w:p>
            <w:pPr>
              <w:pStyle w:val="TableContents"/>
              <w:bidi w:val="0"/>
              <w:spacing w:before="0" w:after="0"/>
              <w:jc w:val="left"/>
              <w:rPr>
                <w:color w:val="636466"/>
              </w:rPr>
            </w:pPr>
            <w:r>
              <w:rPr>
                <w:color w:val="636466"/>
              </w:rPr>
              <w:t> </w:t>
            </w:r>
          </w:p>
        </w:tc>
        <w:tc>
          <w:tcPr>
            <w:tcW w:w="897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Cenerimod is a novel immunology asset that has the potential to be a first-in-class oral therapy for the treatment of systemic lupus erythematosus, the most common form of lupus. Through lifecycle management, this asset also has the potential for broad application across multiple autoimmune diseases in a specialist-driven category with attractive market dynamics for oral therapies and could be a cornerstone asset in Viatris' immunology portfolio. </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In October 2024, the Company announced an exclusive licensing agreement with Lexicon Pharmaceuticals for sotagliflozin in all markets outside of the U.S. and Europe. Sotagliflozin was approved by the U.S. Food and Drug Administration in May 2023 to reduce the risk of cardiovascular death, hospitalization for heart failure, and urgent heart failure visit in adults with heart failure or type 2 diabetes mellitus, chronic kidney disease, and other cardiovascular risk factors.</w:t>
            </w:r>
          </w:p>
        </w:tc>
      </w:tr>
    </w:tbl>
    <w:p>
      <w:pPr>
        <w:pStyle w:val="TextBody"/>
        <w:bidi w:val="0"/>
        <w:spacing w:before="430" w:after="283"/>
        <w:ind w:left="1060" w:right="0" w:hanging="0"/>
        <w:jc w:val="left"/>
        <w:rPr>
          <w:rFonts w:ascii="Arial;Helvetica;sans-serif" w:hAnsi="Arial;Helvetica;sans-serif"/>
          <w:color w:val="72288A"/>
          <w:sz w:val="24"/>
        </w:rPr>
      </w:pPr>
      <w:r>
        <w:rPr>
          <w:rFonts w:ascii="Arial;Helvetica;sans-serif" w:hAnsi="Arial;Helvetica;sans-serif"/>
          <w:color w:val="72288A"/>
          <w:sz w:val="24"/>
        </w:rPr>
        <w:t>Executive Transitions in 2024</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Sanjeev Narula, our former Chief Financial Officer, departed from the Company effective March 5, 2024. Mr. Narula received severance benefits based on a termination without cause equal to two times his base salary and target bonus. Mr. Narula also received a pro rata bonus for 2024 and a pro rata portion of his PRSUs granted in 2022 reflecting his period of executive service. Mr. Narula is also eligible to receive a pro rata portion of his PRSUs granted in 2023 based on actual performance at the end of the applicable performance period in 2025. Other, unvested equity awards that Mr. Narula held as of his separation were forfeited.</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The Company appointed Ms. Mistras to serve as CFO beginning March 1, 2024 and Dr. Le Goff to serve as Chief Commercial Officer beginning April 15, 2024.</w:t>
      </w:r>
    </w:p>
    <w:p>
      <w:pPr>
        <w:pStyle w:val="TextBody"/>
        <w:bidi w:val="0"/>
        <w:spacing w:before="430" w:after="283"/>
        <w:ind w:left="1060" w:right="0" w:hanging="0"/>
        <w:jc w:val="left"/>
        <w:rPr>
          <w:rFonts w:ascii="Arial;Helvetica;sans-serif" w:hAnsi="Arial;Helvetica;sans-serif"/>
          <w:color w:val="1F1C6B"/>
          <w:sz w:val="30"/>
        </w:rPr>
      </w:pPr>
      <w:bookmarkStart w:id="117" w:name="tECP"/>
      <w:bookmarkEnd w:id="117"/>
      <w:r>
        <w:rPr>
          <w:rFonts w:ascii="Arial;Helvetica;sans-serif" w:hAnsi="Arial;Helvetica;sans-serif"/>
          <w:color w:val="1F1C6B"/>
          <w:sz w:val="30"/>
        </w:rPr>
        <w:t>Executive Compensation Philosophy</w:t>
      </w:r>
    </w:p>
    <w:tbl>
      <w:tblPr>
        <w:tblW w:w="9145" w:type="dxa"/>
        <w:jc w:val="left"/>
        <w:tblInd w:w="1060" w:type="dxa"/>
        <w:tblLayout w:type="fixed"/>
        <w:tblCellMar>
          <w:top w:w="0" w:type="dxa"/>
          <w:left w:w="0" w:type="dxa"/>
          <w:bottom w:w="0" w:type="dxa"/>
          <w:right w:w="0" w:type="dxa"/>
        </w:tblCellMar>
      </w:tblPr>
      <w:tblGrid>
        <w:gridCol w:w="185"/>
        <w:gridCol w:w="8745"/>
        <w:gridCol w:w="215"/>
      </w:tblGrid>
      <w:tr>
        <w:trPr/>
        <w:tc>
          <w:tcPr>
            <w:tcW w:w="185" w:type="dxa"/>
            <w:tcBorders/>
            <w:shd w:fill="E7E0EF" w:val="clear"/>
            <w:vAlign w:val="center"/>
          </w:tcPr>
          <w:p>
            <w:pPr>
              <w:pStyle w:val="TableContents"/>
              <w:bidi w:val="0"/>
              <w:spacing w:before="0" w:after="0"/>
              <w:jc w:val="left"/>
              <w:rPr/>
            </w:pPr>
            <w:r>
              <w:rPr/>
              <w:t> </w:t>
            </w:r>
          </w:p>
        </w:tc>
        <w:tc>
          <w:tcPr>
            <w:tcW w:w="874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8745" w:type="dxa"/>
            <w:tcBorders/>
            <w:shd w:fill="E7E0EF" w:val="clear"/>
            <w:vAlign w:val="center"/>
          </w:tcPr>
          <w:p>
            <w:pPr>
              <w:pStyle w:val="TableContents"/>
              <w:bidi w:val="0"/>
              <w:spacing w:before="0" w:after="283"/>
              <w:ind w:left="60" w:right="0" w:hanging="0"/>
              <w:jc w:val="left"/>
              <w:rPr>
                <w:rFonts w:ascii="Arial;Helvetica;sans-serif" w:hAnsi="Arial;Helvetica;sans-serif"/>
                <w:color w:val="636466"/>
                <w:sz w:val="18"/>
              </w:rPr>
            </w:pPr>
            <w:r>
              <w:rPr>
                <w:rFonts w:ascii="Arial;Helvetica;sans-serif" w:hAnsi="Arial;Helvetica;sans-serif"/>
                <w:color w:val="636466"/>
                <w:sz w:val="18"/>
              </w:rPr>
              <w:t>The Compensation Committee and Board’s compensation philosophy for 2024 reflects the Company’s performance-based, shareholder-value-focused business model and is intended to help ensure that Viatris continues to attract and retain high-performing executives given the highly competitive market for executive talent. The compensation program has the following key objectives, among others:</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8745" w:type="dxa"/>
            <w:tcBorders/>
            <w:shd w:fill="E7E0EF" w:val="clear"/>
            <w:vAlign w:val="center"/>
          </w:tcPr>
          <w:p>
            <w:pPr>
              <w:pStyle w:val="TableContents"/>
              <w:bidi w:val="0"/>
              <w:spacing w:before="0" w:after="283"/>
              <w:ind w:left="60" w:right="0" w:hanging="0"/>
              <w:jc w:val="left"/>
              <w:rPr>
                <w:color w:val="636466"/>
              </w:rPr>
            </w:pPr>
            <w:r>
              <w:rPr>
                <w:color w:val="636466"/>
              </w:rPr>
              <w:t>• </w:t>
            </w:r>
          </w:p>
          <w:p>
            <w:pPr>
              <w:pStyle w:val="TableContents"/>
              <w:bidi w:val="0"/>
              <w:spacing w:before="0" w:after="283"/>
              <w:jc w:val="left"/>
              <w:rPr>
                <w:rFonts w:ascii="Arial;Helvetica;sans-serif" w:hAnsi="Arial;Helvetica;sans-serif"/>
                <w:color w:val="636466"/>
                <w:sz w:val="18"/>
              </w:rPr>
            </w:pPr>
            <w:r>
              <w:rPr>
                <w:rFonts w:ascii="Arial;Helvetica;sans-serif" w:hAnsi="Arial;Helvetica;sans-serif"/>
                <w:b/>
                <w:color w:val="72288A"/>
                <w:sz w:val="18"/>
              </w:rPr>
              <w:t>Attract, Motivate and Retain Highly Skilled Executives.</w:t>
            </w:r>
            <w:r>
              <w:rPr>
                <w:rFonts w:ascii="Arial;Helvetica;sans-serif" w:hAnsi="Arial;Helvetica;sans-serif"/>
                <w:color w:val="636466"/>
                <w:sz w:val="18"/>
              </w:rPr>
              <w:t xml:space="preserve"> To attract and retain the leaders needed to execute our ambitious goals, we provide market competitive compensation with an emphasis on performance-based, long-term incentives. We designed our compensation program to help ensure that the Company, shareholders, and other stakeholders continue to benefit from the talents of our leadership team and global workforce, while also recruiting new talent on an on-going basis in a highly competitive market for talent.</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8745" w:type="dxa"/>
            <w:tcBorders/>
            <w:shd w:fill="E7E0EF" w:val="clear"/>
            <w:vAlign w:val="center"/>
          </w:tcPr>
          <w:p>
            <w:pPr>
              <w:pStyle w:val="TableContents"/>
              <w:bidi w:val="0"/>
              <w:spacing w:before="0" w:after="283"/>
              <w:ind w:left="60" w:right="0" w:hanging="0"/>
              <w:jc w:val="left"/>
              <w:rPr>
                <w:color w:val="636466"/>
              </w:rPr>
            </w:pPr>
            <w:r>
              <w:rPr>
                <w:color w:val="636466"/>
              </w:rPr>
              <w:t>• </w:t>
            </w:r>
          </w:p>
          <w:p>
            <w:pPr>
              <w:pStyle w:val="TableContents"/>
              <w:bidi w:val="0"/>
              <w:spacing w:before="0" w:after="283"/>
              <w:jc w:val="left"/>
              <w:rPr>
                <w:rFonts w:ascii="Arial;Helvetica;sans-serif" w:hAnsi="Arial;Helvetica;sans-serif"/>
                <w:color w:val="636466"/>
                <w:sz w:val="18"/>
              </w:rPr>
            </w:pPr>
            <w:r>
              <w:rPr>
                <w:rFonts w:ascii="Arial;Helvetica;sans-serif" w:hAnsi="Arial;Helvetica;sans-serif"/>
                <w:b/>
                <w:color w:val="72288A"/>
                <w:sz w:val="18"/>
              </w:rPr>
              <w:t>Align with Shareholder Interests.</w:t>
            </w:r>
            <w:r>
              <w:rPr>
                <w:rFonts w:ascii="Arial;Helvetica;sans-serif" w:hAnsi="Arial;Helvetica;sans-serif"/>
                <w:color w:val="636466"/>
                <w:sz w:val="18"/>
              </w:rPr>
              <w:t xml:space="preserve"> We aligned executive compensation with shareholder interests by linking pay to the Company’s stated strategic priorities, long-term performance, and share price appreciation, including through the use of a relative TSR modifier for PRSUs in our long-term incentive plan and robust share ownership requirements. We believe this linkage helps drive long-term performance and encourages decision making to foster share price appreciation.</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8745" w:type="dxa"/>
            <w:tcBorders/>
            <w:shd w:fill="E7E0EF" w:val="clear"/>
            <w:vAlign w:val="center"/>
          </w:tcPr>
          <w:p>
            <w:pPr>
              <w:pStyle w:val="TableContents"/>
              <w:bidi w:val="0"/>
              <w:spacing w:before="0" w:after="283"/>
              <w:ind w:left="60" w:right="0" w:hanging="0"/>
              <w:jc w:val="left"/>
              <w:rPr>
                <w:color w:val="636466"/>
              </w:rPr>
            </w:pPr>
            <w:r>
              <w:rPr>
                <w:color w:val="636466"/>
              </w:rPr>
              <w:t>• </w:t>
            </w:r>
          </w:p>
          <w:p>
            <w:pPr>
              <w:pStyle w:val="TableContents"/>
              <w:bidi w:val="0"/>
              <w:spacing w:before="0" w:after="283"/>
              <w:jc w:val="left"/>
              <w:rPr/>
            </w:pPr>
            <w:r>
              <w:rPr>
                <w:rFonts w:ascii="Arial;Helvetica;sans-serif" w:hAnsi="Arial;Helvetica;sans-serif"/>
                <w:b/>
                <w:color w:val="72288A"/>
                <w:sz w:val="18"/>
              </w:rPr>
              <w:t>Drive Company Performance.</w:t>
            </w:r>
            <w:r>
              <w:rPr>
                <w:rFonts w:ascii="Arial;Helvetica;sans-serif" w:hAnsi="Arial;Helvetica;sans-serif"/>
                <w:color w:val="636466"/>
                <w:sz w:val="18"/>
              </w:rPr>
              <w:t xml:space="preserve"> As described in more detail on pages </w:t>
            </w:r>
            <w:hyperlink w:anchor="tES">
              <w:r>
                <w:rPr>
                  <w:rStyle w:val="InternetLink"/>
                  <w:rFonts w:ascii="Arial;Helvetica;sans-serif" w:hAnsi="Arial;Helvetica;sans-serif"/>
                  <w:color w:val="000080"/>
                  <w:sz w:val="18"/>
                </w:rPr>
                <w:t>44</w:t>
              </w:r>
            </w:hyperlink>
            <w:r>
              <w:rPr>
                <w:rFonts w:ascii="Arial;Helvetica;sans-serif" w:hAnsi="Arial;Helvetica;sans-serif"/>
                <w:color w:val="636466"/>
                <w:sz w:val="18"/>
              </w:rPr>
              <w:t xml:space="preserve"> to </w:t>
            </w:r>
            <w:hyperlink w:anchor="tSHA">
              <w:r>
                <w:rPr>
                  <w:rStyle w:val="InternetLink"/>
                  <w:rFonts w:ascii="Arial;Helvetica;sans-serif" w:hAnsi="Arial;Helvetica;sans-serif"/>
                  <w:color w:val="000080"/>
                  <w:sz w:val="18"/>
                </w:rPr>
                <w:t>45</w:t>
              </w:r>
            </w:hyperlink>
            <w:r>
              <w:rPr>
                <w:rFonts w:ascii="Arial;Helvetica;sans-serif" w:hAnsi="Arial;Helvetica;sans-serif"/>
                <w:color w:val="636466"/>
                <w:sz w:val="18"/>
              </w:rPr>
              <w:t xml:space="preserve"> and </w:t>
            </w:r>
            <w:hyperlink w:anchor="tPBC">
              <w:r>
                <w:rPr>
                  <w:rStyle w:val="InternetLink"/>
                  <w:rFonts w:ascii="Arial;Helvetica;sans-serif" w:hAnsi="Arial;Helvetica;sans-serif"/>
                  <w:color w:val="000080"/>
                  <w:sz w:val="18"/>
                </w:rPr>
                <w:t>48</w:t>
              </w:r>
            </w:hyperlink>
            <w:r>
              <w:rPr>
                <w:rFonts w:ascii="Arial;Helvetica;sans-serif" w:hAnsi="Arial;Helvetica;sans-serif"/>
                <w:color w:val="636466"/>
                <w:sz w:val="18"/>
              </w:rPr>
              <w:t xml:space="preserve"> to </w:t>
            </w:r>
            <w:hyperlink w:anchor="tCGA">
              <w:r>
                <w:rPr>
                  <w:rStyle w:val="InternetLink"/>
                  <w:rFonts w:ascii="Arial;Helvetica;sans-serif" w:hAnsi="Arial;Helvetica;sans-serif"/>
                  <w:color w:val="000080"/>
                  <w:sz w:val="18"/>
                </w:rPr>
                <w:t>52</w:t>
              </w:r>
            </w:hyperlink>
            <w:r>
              <w:rPr>
                <w:rFonts w:ascii="Arial;Helvetica;sans-serif" w:hAnsi="Arial;Helvetica;sans-serif"/>
                <w:color w:val="636466"/>
                <w:sz w:val="18"/>
              </w:rPr>
              <w:t>, our 2024 compensation program was designed with metrics carefully linked to our business strategies and financial goals. If the Company does not meet its short- and long-term objectives, executive pay is meaningfully impacted.</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874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tbl>
      <w:tblPr>
        <w:tblW w:w="4980" w:type="dxa"/>
        <w:jc w:val="left"/>
        <w:tblInd w:w="106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204"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74" descr=""/>
                          <pic:cNvPicPr>
                            <a:picLocks noChangeAspect="1" noChangeArrowheads="1"/>
                          </pic:cNvPicPr>
                        </pic:nvPicPr>
                        <pic:blipFill>
                          <a:blip r:embed="rId191"/>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Statement | 47</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205"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75" descr=""/>
                    <pic:cNvPicPr>
                      <a:picLocks noChangeAspect="1" noChangeArrowheads="1"/>
                    </pic:cNvPicPr>
                  </pic:nvPicPr>
                  <pic:blipFill>
                    <a:blip r:embed="rId192"/>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18" w:name="ny20055082x771_def14a_110-cda_pg6"/>
        <w:bookmarkEnd w:id="11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left"/>
        <w:rPr>
          <w:caps/>
          <w:color w:val="1F1C6B"/>
          <w:u w:val="single"/>
        </w:rPr>
      </w:pPr>
      <w:r>
        <w:rPr>
          <w:caps/>
          <w:color w:val="1F1C6B"/>
          <w:u w:val="single"/>
        </w:rPr>
        <w:t> </w:t>
      </w:r>
      <w:r>
        <w:rPr>
          <w:rFonts w:ascii="Arial;Helvetica;sans-serif" w:hAnsi="Arial;Helvetica;sans-serif"/>
          <w:caps/>
          <w:color w:val="1F1C6B"/>
          <w:sz w:val="18"/>
          <w:u w:val="single"/>
        </w:rPr>
        <w:t>Compensation Discussion and Analysis </w:t>
      </w:r>
    </w:p>
    <w:p>
      <w:pPr>
        <w:pStyle w:val="TextBody"/>
        <w:bidi w:val="0"/>
        <w:spacing w:before="200" w:after="283"/>
        <w:ind w:left="1060" w:right="0" w:hanging="0"/>
        <w:jc w:val="left"/>
        <w:rPr>
          <w:rFonts w:ascii="Arial;Helvetica;sans-serif" w:hAnsi="Arial;Helvetica;sans-serif"/>
          <w:color w:val="1F1C6B"/>
          <w:sz w:val="30"/>
        </w:rPr>
      </w:pPr>
      <w:bookmarkStart w:id="119" w:name="tPBC"/>
      <w:bookmarkEnd w:id="119"/>
      <w:r>
        <w:rPr>
          <w:rFonts w:ascii="Arial;Helvetica;sans-serif" w:hAnsi="Arial;Helvetica;sans-serif"/>
          <w:color w:val="1F1C6B"/>
          <w:sz w:val="30"/>
        </w:rPr>
        <w:t>2024 Performance-Based Compensation Program</w:t>
      </w:r>
    </w:p>
    <w:p>
      <w:pPr>
        <w:pStyle w:val="TextBody"/>
        <w:bidi w:val="0"/>
        <w:spacing w:before="250" w:after="283"/>
        <w:ind w:left="1060" w:right="0" w:hanging="0"/>
        <w:jc w:val="left"/>
        <w:rPr>
          <w:rFonts w:ascii="Arial;Helvetica;sans-serif" w:hAnsi="Arial;Helvetica;sans-serif"/>
          <w:color w:val="72288A"/>
          <w:sz w:val="24"/>
        </w:rPr>
      </w:pPr>
      <w:bookmarkStart w:id="120" w:name="tTTC"/>
      <w:bookmarkEnd w:id="120"/>
      <w:r>
        <w:rPr>
          <w:rFonts w:ascii="Arial;Helvetica;sans-serif" w:hAnsi="Arial;Helvetica;sans-serif"/>
          <w:color w:val="72288A"/>
          <w:sz w:val="24"/>
        </w:rPr>
        <w:t>2024 Total Target Compensation</w:t>
      </w:r>
    </w:p>
    <w:p>
      <w:pPr>
        <w:pStyle w:val="TextBody"/>
        <w:bidi w:val="0"/>
        <w:spacing w:before="21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The chart below shows the target total direct compensation opportunity for each of our active NEOs in 2024.</w:t>
      </w:r>
    </w:p>
    <w:tbl>
      <w:tblPr>
        <w:tblW w:w="7155" w:type="dxa"/>
        <w:jc w:val="left"/>
        <w:tblInd w:w="1060" w:type="dxa"/>
        <w:tblLayout w:type="fixed"/>
        <w:tblCellMar>
          <w:top w:w="0" w:type="dxa"/>
          <w:left w:w="0" w:type="dxa"/>
          <w:bottom w:w="0" w:type="dxa"/>
          <w:right w:w="0" w:type="dxa"/>
        </w:tblCellMar>
      </w:tblPr>
      <w:tblGrid>
        <w:gridCol w:w="185"/>
        <w:gridCol w:w="1400"/>
        <w:gridCol w:w="170"/>
        <w:gridCol w:w="170"/>
        <w:gridCol w:w="860"/>
        <w:gridCol w:w="170"/>
        <w:gridCol w:w="170"/>
        <w:gridCol w:w="860"/>
        <w:gridCol w:w="170"/>
        <w:gridCol w:w="170"/>
        <w:gridCol w:w="980"/>
        <w:gridCol w:w="170"/>
        <w:gridCol w:w="170"/>
        <w:gridCol w:w="1295"/>
        <w:gridCol w:w="215"/>
      </w:tblGrid>
      <w:tr>
        <w:trPr/>
        <w:tc>
          <w:tcPr>
            <w:tcW w:w="185" w:type="dxa"/>
            <w:tcBorders/>
            <w:shd w:fill="1F1C6B" w:val="clear"/>
            <w:vAlign w:val="center"/>
          </w:tcPr>
          <w:p>
            <w:pPr>
              <w:pStyle w:val="TableContents"/>
              <w:bidi w:val="0"/>
              <w:spacing w:before="0" w:after="0"/>
              <w:jc w:val="left"/>
              <w:rPr/>
            </w:pPr>
            <w:r>
              <w:rPr/>
              <w:t> </w:t>
            </w:r>
          </w:p>
        </w:tc>
        <w:tc>
          <w:tcPr>
            <w:tcW w:w="140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6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6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8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295"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1400"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NEO</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6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Base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Salary</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6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Target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Annual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Incentive</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8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Target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Long-Term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Incentive</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29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2024 Total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Target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Compensation</w:t>
            </w:r>
            <w:r>
              <w:rPr>
                <w:rFonts w:ascii="Arial;Helvetica;sans-serif" w:hAnsi="Arial;Helvetica;sans-serif"/>
                <w:b/>
                <w:color w:val="FFFFFF"/>
                <w:position w:val="5"/>
                <w:sz w:val="13"/>
                <w:sz w:val="16"/>
              </w:rPr>
              <w:t>1</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Scott A. Smith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$1,400,000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$2,100,000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6" w:right="0" w:hanging="0"/>
              <w:jc w:val="left"/>
              <w:rPr>
                <w:rFonts w:ascii="Arial;Helvetica;sans-serif" w:hAnsi="Arial;Helvetica;sans-serif"/>
                <w:color w:val="636466"/>
                <w:sz w:val="16"/>
              </w:rPr>
            </w:pPr>
            <w:r>
              <w:rPr>
                <w:rFonts w:ascii="Arial;Helvetica;sans-serif" w:hAnsi="Arial;Helvetica;sans-serif"/>
                <w:color w:val="636466"/>
                <w:sz w:val="16"/>
              </w:rPr>
              <w:t>$9,800,000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150" w:right="0" w:hanging="0"/>
              <w:jc w:val="left"/>
              <w:rPr>
                <w:rFonts w:ascii="Arial;Helvetica;sans-serif" w:hAnsi="Arial;Helvetica;sans-serif"/>
                <w:color w:val="636466"/>
                <w:sz w:val="16"/>
              </w:rPr>
            </w:pPr>
            <w:r>
              <w:rPr>
                <w:rFonts w:ascii="Arial;Helvetica;sans-serif" w:hAnsi="Arial;Helvetica;sans-serif"/>
                <w:color w:val="636466"/>
                <w:sz w:val="16"/>
              </w:rPr>
              <w:t>$13,300,000</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400" w:type="dxa"/>
            <w:tcBorders/>
            <w:shd w:fill="E7E0EF" w:val="clear"/>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Doretta Mistras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$825,000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$825,000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80" w:type="dxa"/>
            <w:tcBorders/>
            <w:shd w:fill="E7E0EF" w:val="clear"/>
            <w:vAlign w:val="center"/>
          </w:tcPr>
          <w:p>
            <w:pPr>
              <w:pStyle w:val="TableContents"/>
              <w:bidi w:val="0"/>
              <w:spacing w:before="0" w:after="283"/>
              <w:ind w:left="16" w:right="0" w:hanging="0"/>
              <w:jc w:val="left"/>
              <w:rPr>
                <w:rFonts w:ascii="Arial;Helvetica;sans-serif" w:hAnsi="Arial;Helvetica;sans-serif"/>
                <w:color w:val="636466"/>
                <w:sz w:val="16"/>
              </w:rPr>
            </w:pPr>
            <w:r>
              <w:rPr>
                <w:rFonts w:ascii="Arial;Helvetica;sans-serif" w:hAnsi="Arial;Helvetica;sans-serif"/>
                <w:color w:val="636466"/>
                <w:sz w:val="16"/>
              </w:rPr>
              <w:t>$3,300,000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295" w:type="dxa"/>
            <w:tcBorders/>
            <w:shd w:fill="E7E0EF" w:val="clear"/>
            <w:vAlign w:val="center"/>
          </w:tcPr>
          <w:p>
            <w:pPr>
              <w:pStyle w:val="TableContents"/>
              <w:bidi w:val="0"/>
              <w:spacing w:before="0" w:after="283"/>
              <w:ind w:left="150" w:right="0" w:hanging="0"/>
              <w:jc w:val="left"/>
              <w:rPr>
                <w:rFonts w:ascii="Arial;Helvetica;sans-serif" w:hAnsi="Arial;Helvetica;sans-serif"/>
                <w:color w:val="636466"/>
                <w:sz w:val="16"/>
              </w:rPr>
            </w:pPr>
            <w:r>
              <w:rPr>
                <w:rFonts w:ascii="Arial;Helvetica;sans-serif" w:hAnsi="Arial;Helvetica;sans-serif"/>
                <w:color w:val="636466"/>
                <w:sz w:val="16"/>
              </w:rPr>
              <w:t>$4,950,000</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Corinne Le Goff</w:t>
            </w:r>
            <w:r>
              <w:rPr>
                <w:rFonts w:ascii="Arial;Helvetica;sans-serif" w:hAnsi="Arial;Helvetica;sans-serif"/>
                <w:b/>
                <w:color w:val="636466"/>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$875,000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$875,000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6" w:right="0" w:hanging="0"/>
              <w:jc w:val="left"/>
              <w:rPr>
                <w:rFonts w:ascii="Arial;Helvetica;sans-serif" w:hAnsi="Arial;Helvetica;sans-serif"/>
                <w:color w:val="636466"/>
                <w:sz w:val="16"/>
              </w:rPr>
            </w:pPr>
            <w:r>
              <w:rPr>
                <w:rFonts w:ascii="Arial;Helvetica;sans-serif" w:hAnsi="Arial;Helvetica;sans-serif"/>
                <w:color w:val="636466"/>
                <w:sz w:val="16"/>
              </w:rPr>
              <w:t>$3,500,000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150" w:right="0" w:hanging="0"/>
              <w:jc w:val="left"/>
              <w:rPr>
                <w:rFonts w:ascii="Arial;Helvetica;sans-serif" w:hAnsi="Arial;Helvetica;sans-serif"/>
                <w:color w:val="636466"/>
                <w:sz w:val="16"/>
              </w:rPr>
            </w:pPr>
            <w:r>
              <w:rPr>
                <w:rFonts w:ascii="Arial;Helvetica;sans-serif" w:hAnsi="Arial;Helvetica;sans-serif"/>
                <w:color w:val="636466"/>
                <w:sz w:val="16"/>
              </w:rPr>
              <w:t>$5,250,000</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400" w:type="dxa"/>
            <w:tcBorders/>
            <w:shd w:fill="E7E0EF" w:val="clear"/>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Brian Roman</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$825,000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$825,000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80" w:type="dxa"/>
            <w:tcBorders/>
            <w:shd w:fill="E7E0EF" w:val="clear"/>
            <w:vAlign w:val="center"/>
          </w:tcPr>
          <w:p>
            <w:pPr>
              <w:pStyle w:val="TableContents"/>
              <w:bidi w:val="0"/>
              <w:spacing w:before="0" w:after="283"/>
              <w:ind w:left="16" w:right="0" w:hanging="0"/>
              <w:jc w:val="left"/>
              <w:rPr>
                <w:rFonts w:ascii="Arial;Helvetica;sans-serif" w:hAnsi="Arial;Helvetica;sans-serif"/>
                <w:color w:val="636466"/>
                <w:sz w:val="16"/>
              </w:rPr>
            </w:pPr>
            <w:r>
              <w:rPr>
                <w:rFonts w:ascii="Arial;Helvetica;sans-serif" w:hAnsi="Arial;Helvetica;sans-serif"/>
                <w:color w:val="636466"/>
                <w:sz w:val="16"/>
              </w:rPr>
              <w:t>$2,475,000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295" w:type="dxa"/>
            <w:tcBorders/>
            <w:shd w:fill="E7E0EF" w:val="clear"/>
            <w:vAlign w:val="center"/>
          </w:tcPr>
          <w:p>
            <w:pPr>
              <w:pStyle w:val="TableContents"/>
              <w:bidi w:val="0"/>
              <w:spacing w:before="0" w:after="283"/>
              <w:ind w:left="150" w:right="0" w:hanging="0"/>
              <w:jc w:val="left"/>
              <w:rPr>
                <w:rFonts w:ascii="Arial;Helvetica;sans-serif" w:hAnsi="Arial;Helvetica;sans-serif"/>
                <w:color w:val="636466"/>
                <w:sz w:val="16"/>
              </w:rPr>
            </w:pPr>
            <w:r>
              <w:rPr>
                <w:rFonts w:ascii="Arial;Helvetica;sans-serif" w:hAnsi="Arial;Helvetica;sans-serif"/>
                <w:color w:val="636466"/>
                <w:sz w:val="16"/>
              </w:rPr>
              <w:t>$4,125,000</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Paul Campbell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$725,000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$725,000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6" w:right="0" w:hanging="0"/>
              <w:jc w:val="left"/>
              <w:rPr>
                <w:rFonts w:ascii="Arial;Helvetica;sans-serif" w:hAnsi="Arial;Helvetica;sans-serif"/>
                <w:color w:val="636466"/>
                <w:sz w:val="16"/>
              </w:rPr>
            </w:pPr>
            <w:r>
              <w:rPr>
                <w:rFonts w:ascii="Arial;Helvetica;sans-serif" w:hAnsi="Arial;Helvetica;sans-serif"/>
                <w:color w:val="636466"/>
                <w:sz w:val="16"/>
              </w:rPr>
              <w:t>$1,812,500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150" w:right="0" w:hanging="0"/>
              <w:jc w:val="left"/>
              <w:rPr>
                <w:rFonts w:ascii="Arial;Helvetica;sans-serif" w:hAnsi="Arial;Helvetica;sans-serif"/>
                <w:color w:val="636466"/>
                <w:sz w:val="16"/>
              </w:rPr>
            </w:pPr>
            <w:r>
              <w:rPr>
                <w:rFonts w:ascii="Arial;Helvetica;sans-serif" w:hAnsi="Arial;Helvetica;sans-serif"/>
                <w:color w:val="636466"/>
                <w:sz w:val="16"/>
              </w:rPr>
              <w:t>$3,262,500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7600" w:type="dxa"/>
        <w:jc w:val="left"/>
        <w:tblInd w:w="1060" w:type="dxa"/>
        <w:tblLayout w:type="fixed"/>
        <w:tblCellMar>
          <w:top w:w="0" w:type="dxa"/>
          <w:left w:w="0" w:type="dxa"/>
          <w:bottom w:w="0" w:type="dxa"/>
          <w:right w:w="0" w:type="dxa"/>
        </w:tblCellMar>
      </w:tblPr>
      <w:tblGrid>
        <w:gridCol w:w="125"/>
        <w:gridCol w:w="7475"/>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1</w:t>
            </w:r>
          </w:p>
        </w:tc>
        <w:tc>
          <w:tcPr>
            <w:tcW w:w="747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2024 Total Target Compensation equals the sum of base salary, target annual incentive, and target long-term incentive.</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2</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Dr. Le Goff became Chief Commercial Officer of the Company effective April 15, 2024. The target annual incentive amount listed above for Dr. Le Goff was prorated to reflect the number of days she served as an active employee during 2024 in calculating the payout of the 2024 cash incentive.</w:t>
            </w:r>
          </w:p>
        </w:tc>
      </w:tr>
    </w:tbl>
    <w:p>
      <w:pPr>
        <w:pStyle w:val="TextBody"/>
        <w:bidi w:val="0"/>
        <w:spacing w:before="390" w:after="283"/>
        <w:ind w:left="1060" w:right="0" w:hanging="0"/>
        <w:jc w:val="left"/>
        <w:rPr>
          <w:rFonts w:ascii="Arial;Helvetica;sans-serif" w:hAnsi="Arial;Helvetica;sans-serif"/>
          <w:color w:val="72288A"/>
          <w:sz w:val="24"/>
        </w:rPr>
      </w:pPr>
      <w:bookmarkStart w:id="121" w:name="tCFS"/>
      <w:bookmarkEnd w:id="121"/>
      <w:r>
        <w:rPr>
          <w:rFonts w:ascii="Arial;Helvetica;sans-serif" w:hAnsi="Arial;Helvetica;sans-serif"/>
          <w:color w:val="72288A"/>
          <w:sz w:val="24"/>
        </w:rPr>
        <w:t>Considerations for Setting 2024 Incentive Performance Goals</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In setting annual and long-term incentive performance goals, the Compensation Committee considered a variety of information, including potential divestitures, industry forecasts, internal projections, demographic data, advice from outside advisors, and the Company’s annual operating plan and strategies. The Compensation Committee also considered the variability and cyclicality of the business, noting that targets may increase or decrease from year-to-year due to factors impacting the business, such as market conditions, the regulatory environment, timing of product approvals, and both immediate and long-term strategic priorities of the business. Although the targets may vary from year-to-year, the Compensation Committee is committed to maintaining high levels of rigor while motivating the executive team and aligning with long-term sustainable business development and shareholder value creation. Consistent with our philosophy of driving long-term Company performance, the Compensation Committee, with the advice of its independent compensation consultant, annually considers potential alternative performance metrics that link to our strategy and align with shareholder interests in long-term value creation. </w:t>
      </w:r>
    </w:p>
    <w:p>
      <w:pPr>
        <w:pStyle w:val="TextBody"/>
        <w:bidi w:val="0"/>
        <w:spacing w:before="430" w:after="283"/>
        <w:ind w:left="1060" w:right="0" w:hanging="0"/>
        <w:jc w:val="left"/>
        <w:rPr>
          <w:rFonts w:ascii="Arial;Helvetica;sans-serif" w:hAnsi="Arial;Helvetica;sans-serif"/>
          <w:color w:val="72288A"/>
          <w:sz w:val="24"/>
        </w:rPr>
      </w:pPr>
      <w:bookmarkStart w:id="122" w:name="tPG"/>
      <w:bookmarkEnd w:id="122"/>
      <w:r>
        <w:rPr>
          <w:rFonts w:ascii="Arial;Helvetica;sans-serif" w:hAnsi="Arial;Helvetica;sans-serif"/>
          <w:color w:val="72288A"/>
          <w:sz w:val="24"/>
        </w:rPr>
        <w:t>2024 Peer Group</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The peer group is used as one of several reference points for determining executive compensation and includes Viatris’ business competitors and companies that Viatris competes with for executive talent. Although the competitive market for our executives is one factor the Compensation Committee considers when making compensation decisions, the Compensation Committee does not target the compensation of NEOs within a specific percentile of any set of peer companies and considers peer group and industry data along with many other factors when determining compensation.</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Below is the peer group selected by the Compensation Committee for 2024, with the advice of the Compensation Committee’s independent compensation consultant.</w:t>
      </w:r>
    </w:p>
    <w:p>
      <w:pPr>
        <w:pStyle w:val="Normal"/>
        <w:bidi w:val="0"/>
        <w:spacing w:before="0" w:after="0"/>
        <w:jc w:val="left"/>
        <w:rPr>
          <w:sz w:val="4"/>
          <w:szCs w:val="4"/>
        </w:rPr>
      </w:pPr>
      <w:r>
        <w:rPr>
          <w:sz w:val="4"/>
          <w:szCs w:val="4"/>
        </w:rPr>
      </w:r>
      <w:bookmarkStart w:id="123" w:name="tPG2"/>
      <w:bookmarkStart w:id="124" w:name="tPG2"/>
      <w:bookmarkEnd w:id="124"/>
    </w:p>
    <w:tbl>
      <w:tblPr>
        <w:tblW w:w="8175" w:type="dxa"/>
        <w:jc w:val="left"/>
        <w:tblInd w:w="1060" w:type="dxa"/>
        <w:tblLayout w:type="fixed"/>
        <w:tblCellMar>
          <w:top w:w="0" w:type="dxa"/>
          <w:left w:w="0" w:type="dxa"/>
          <w:bottom w:w="0" w:type="dxa"/>
          <w:right w:w="0" w:type="dxa"/>
        </w:tblCellMar>
      </w:tblPr>
      <w:tblGrid>
        <w:gridCol w:w="185"/>
        <w:gridCol w:w="2300"/>
        <w:gridCol w:w="170"/>
        <w:gridCol w:w="170"/>
        <w:gridCol w:w="2315"/>
        <w:gridCol w:w="170"/>
        <w:gridCol w:w="170"/>
        <w:gridCol w:w="2480"/>
        <w:gridCol w:w="215"/>
      </w:tblGrid>
      <w:tr>
        <w:trPr/>
        <w:tc>
          <w:tcPr>
            <w:tcW w:w="185"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8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Abbott Laboratories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Bristol-Myers Squibb Company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8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Pfizer Inc.</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300"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Amgen Inc.</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31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Eli Lilly and Company</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48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Regeneron Pharmaceuticals, Inc.</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Bausch Health Companies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Gilead Sciences,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8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Sanofi S.A.</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300"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Baxter International Inc.</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31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Novartis AG</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48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Teva Pharmaceutical Limited</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Biogen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Organon &amp; Co.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8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Zoetis Inc.</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8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32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As noted above, during 2025, the Compensation Committee determined to remove Eli Lilly and Company from our peer group due to its market capitalization and to add Sandoz Pharmaceuticals as a new member of the peer group. </w:t>
      </w:r>
    </w:p>
    <w:tbl>
      <w:tblPr>
        <w:tblW w:w="4980" w:type="dxa"/>
        <w:jc w:val="left"/>
        <w:tblInd w:w="106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48 | 2025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206"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76" descr=""/>
                          <pic:cNvPicPr>
                            <a:picLocks noChangeAspect="1" noChangeArrowheads="1"/>
                          </pic:cNvPicPr>
                        </pic:nvPicPr>
                        <pic:blipFill>
                          <a:blip r:embed="rId193"/>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207"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77" descr=""/>
                    <pic:cNvPicPr>
                      <a:picLocks noChangeAspect="1" noChangeArrowheads="1"/>
                    </pic:cNvPicPr>
                  </pic:nvPicPr>
                  <pic:blipFill>
                    <a:blip r:embed="rId194"/>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25" w:name="ny20055082x771_def14a_110-cda_pg7"/>
        <w:bookmarkEnd w:id="12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right"/>
        <w:rPr>
          <w:caps/>
          <w:color w:val="1F1C6B"/>
          <w:u w:val="single"/>
        </w:rPr>
      </w:pPr>
      <w:r>
        <w:rPr>
          <w:caps/>
          <w:color w:val="1F1C6B"/>
          <w:u w:val="single"/>
        </w:rPr>
        <w:t> </w:t>
      </w:r>
      <w:r>
        <w:rPr>
          <w:rFonts w:ascii="Arial;Helvetica;sans-serif" w:hAnsi="Arial;Helvetica;sans-serif"/>
          <w:caps/>
          <w:color w:val="1F1C6B"/>
          <w:sz w:val="18"/>
          <w:u w:val="single"/>
        </w:rPr>
        <w:t>Compensation Discussion and Analysis </w:t>
      </w:r>
    </w:p>
    <w:p>
      <w:pPr>
        <w:pStyle w:val="TextBody"/>
        <w:bidi w:val="0"/>
        <w:spacing w:before="200" w:after="283"/>
        <w:ind w:left="1060" w:right="0" w:hanging="0"/>
        <w:jc w:val="left"/>
        <w:rPr>
          <w:rFonts w:ascii="Arial;Helvetica;sans-serif" w:hAnsi="Arial;Helvetica;sans-serif"/>
          <w:color w:val="1F1C6B"/>
          <w:sz w:val="30"/>
        </w:rPr>
      </w:pPr>
      <w:bookmarkStart w:id="126" w:name="tEOC"/>
      <w:bookmarkEnd w:id="126"/>
      <w:r>
        <w:rPr>
          <w:rFonts w:ascii="Arial;Helvetica;sans-serif" w:hAnsi="Arial;Helvetica;sans-serif"/>
          <w:color w:val="1F1C6B"/>
          <w:sz w:val="30"/>
        </w:rPr>
        <w:t>Elements of 2024 Compensation</w:t>
      </w:r>
    </w:p>
    <w:p>
      <w:pPr>
        <w:pStyle w:val="TextBody"/>
        <w:bidi w:val="0"/>
        <w:spacing w:before="250" w:after="283"/>
        <w:ind w:left="1060" w:right="0" w:hanging="0"/>
        <w:jc w:val="left"/>
        <w:rPr>
          <w:rFonts w:ascii="Arial;Helvetica;sans-serif" w:hAnsi="Arial;Helvetica;sans-serif"/>
          <w:color w:val="72288A"/>
          <w:sz w:val="24"/>
        </w:rPr>
      </w:pPr>
      <w:bookmarkStart w:id="127" w:name="tBS"/>
      <w:bookmarkEnd w:id="127"/>
      <w:r>
        <w:rPr>
          <w:rFonts w:ascii="Arial;Helvetica;sans-serif" w:hAnsi="Arial;Helvetica;sans-serif"/>
          <w:color w:val="72288A"/>
          <w:sz w:val="24"/>
        </w:rPr>
        <w:t>Base Salaries</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The Compensation Committee considers a variety of factors in deciding base salary, including, among others: individual performance, responsibilities, and expected future performance; Company performance; management structure; marketplace practices (including external benchmarks prepared by an independent compensation consultant); internal pay equity considerations; competitive recruitment for outstanding talent; and the executive’s experience, tenure, and leadership. The Compensation Committee also considers, among other factors, what the marketplace would require in terms of the costs to hire a similarly qualified and experienced individual externally.</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As reflected in the table below, in 2024, there were adjustments made to base salaries to reflect changes in market data and expanded responsibilities.</w:t>
      </w:r>
    </w:p>
    <w:tbl>
      <w:tblPr>
        <w:tblW w:w="4260" w:type="dxa"/>
        <w:jc w:val="left"/>
        <w:tblInd w:w="1060" w:type="dxa"/>
        <w:tblLayout w:type="fixed"/>
        <w:tblCellMar>
          <w:top w:w="0" w:type="dxa"/>
          <w:left w:w="0" w:type="dxa"/>
          <w:bottom w:w="0" w:type="dxa"/>
          <w:right w:w="0" w:type="dxa"/>
        </w:tblCellMar>
      </w:tblPr>
      <w:tblGrid>
        <w:gridCol w:w="185"/>
        <w:gridCol w:w="1400"/>
        <w:gridCol w:w="170"/>
        <w:gridCol w:w="170"/>
        <w:gridCol w:w="890"/>
        <w:gridCol w:w="170"/>
        <w:gridCol w:w="170"/>
        <w:gridCol w:w="890"/>
        <w:gridCol w:w="215"/>
      </w:tblGrid>
      <w:tr>
        <w:trPr/>
        <w:tc>
          <w:tcPr>
            <w:tcW w:w="185" w:type="dxa"/>
            <w:tcBorders/>
            <w:shd w:fill="1F1C6B" w:val="clear"/>
            <w:vAlign w:val="center"/>
          </w:tcPr>
          <w:p>
            <w:pPr>
              <w:pStyle w:val="TableContents"/>
              <w:bidi w:val="0"/>
              <w:spacing w:before="0" w:after="0"/>
              <w:jc w:val="left"/>
              <w:rPr/>
            </w:pPr>
            <w:r>
              <w:rPr/>
              <w:t> </w:t>
            </w:r>
          </w:p>
        </w:tc>
        <w:tc>
          <w:tcPr>
            <w:tcW w:w="140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9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90"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1400"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NEO</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9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2023 Base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Salary</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9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2024 Base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Salary</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Scott A. Smith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$1,400,000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$1,400,000</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400" w:type="dxa"/>
            <w:tcBorders/>
            <w:shd w:fill="E7E0EF" w:val="clear"/>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Doretta Mistras</w:t>
            </w:r>
            <w:r>
              <w:rPr>
                <w:rFonts w:ascii="Arial;Helvetica;sans-serif" w:hAnsi="Arial;Helvetica;sans-serif"/>
                <w:b/>
                <w:color w:val="636466"/>
                <w:position w:val="5"/>
                <w:sz w:val="13"/>
                <w:sz w:val="16"/>
              </w:rPr>
              <w:t>1</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9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N/A</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9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$825,000</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Corinne Le Goff</w:t>
            </w:r>
            <w:r>
              <w:rPr>
                <w:rFonts w:ascii="Arial;Helvetica;sans-serif" w:hAnsi="Arial;Helvetica;sans-serif"/>
                <w:b/>
                <w:color w:val="636466"/>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$875,000</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400" w:type="dxa"/>
            <w:tcBorders/>
            <w:shd w:fill="E7E0EF" w:val="clear"/>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Brian Roman</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9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$800,000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9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$825,000</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Paul Campbell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$675,000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$725,000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1</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Ms. Mistras joined the Company as CFO-elect effective January 1, 2024 and became CFO of the Company effective March 1, 2024. Dr. Le Goff joined the Company effective April 15, 2024. The base salary amount listed above for Dr. Le Goff was prorated to reflect the number of days she served as an active employee during 2024.</w:t>
            </w:r>
          </w:p>
        </w:tc>
      </w:tr>
    </w:tbl>
    <w:p>
      <w:pPr>
        <w:pStyle w:val="TextBody"/>
        <w:bidi w:val="0"/>
        <w:spacing w:before="390" w:after="283"/>
        <w:ind w:left="1060" w:right="0" w:hanging="0"/>
        <w:jc w:val="left"/>
        <w:rPr>
          <w:rFonts w:ascii="Arial;Helvetica;sans-serif" w:hAnsi="Arial;Helvetica;sans-serif"/>
          <w:color w:val="72288A"/>
          <w:sz w:val="24"/>
        </w:rPr>
      </w:pPr>
      <w:bookmarkStart w:id="128" w:name="tAIC"/>
      <w:bookmarkEnd w:id="128"/>
      <w:r>
        <w:rPr>
          <w:rFonts w:ascii="Arial;Helvetica;sans-serif" w:hAnsi="Arial;Helvetica;sans-serif"/>
          <w:color w:val="72288A"/>
          <w:sz w:val="24"/>
        </w:rPr>
        <w:t xml:space="preserve">2024 Annual Incentive Compensation Program </w:t>
      </w:r>
    </w:p>
    <w:p>
      <w:pPr>
        <w:pStyle w:val="TextBody"/>
        <w:bidi w:val="0"/>
        <w:spacing w:before="170" w:after="283"/>
        <w:ind w:left="1060" w:right="0" w:hanging="0"/>
        <w:jc w:val="left"/>
        <w:rPr>
          <w:rFonts w:ascii="Arial;Helvetica;sans-serif" w:hAnsi="Arial;Helvetica;sans-serif"/>
          <w:b/>
          <w:color w:val="1F1C6B"/>
          <w:sz w:val="18"/>
        </w:rPr>
      </w:pPr>
      <w:bookmarkStart w:id="129" w:name="tAICA"/>
      <w:bookmarkEnd w:id="129"/>
      <w:r>
        <w:rPr>
          <w:rFonts w:ascii="Arial;Helvetica;sans-serif" w:hAnsi="Arial;Helvetica;sans-serif"/>
          <w:b/>
          <w:color w:val="1F1C6B"/>
          <w:sz w:val="18"/>
        </w:rPr>
        <w:t>Annual Incentive Compensation Awards for 2024</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Viatris’ annual incentive compensation consists of performance-based annual cash awards that are subject to achievement of metrics that were identified by the Board and Compensation Committee as critical to the successful execution of Viatris’ business strategy and aligned with the creation of shareholder value. The metrics link the actions and leadership of our executive team to Company performance and shareholder returns, both in the short- and long-term. The Compensation Committee approved annual incentive award grants and corresponding performance targets in the first quarter of 2024.</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The Compensation Committee identified the following metrics as important measures of Company performance relating to its stated strategy:</w:t>
      </w:r>
    </w:p>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b/>
                <w:color w:val="72288A"/>
                <w:sz w:val="18"/>
              </w:rPr>
              <w:t>Adjusted EBITDA (40% Weighting):</w:t>
            </w:r>
            <w:r>
              <w:rPr>
                <w:rFonts w:ascii="Arial;Helvetica;sans-serif" w:hAnsi="Arial;Helvetica;sans-serif"/>
                <w:color w:val="636466"/>
                <w:sz w:val="18"/>
              </w:rPr>
              <w:t xml:space="preserve"> Measures the Company’s profitability and motivates the organization to focus on commercial execution and driving new product revenue, maintaining efficiency of our operations, capturing synergies, and disciplined expense management.</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b/>
                <w:color w:val="72288A"/>
                <w:sz w:val="18"/>
              </w:rPr>
              <w:t>Free Cash Flow (40% Weighting):</w:t>
            </w:r>
            <w:r>
              <w:rPr>
                <w:rFonts w:ascii="Arial;Helvetica;sans-serif" w:hAnsi="Arial;Helvetica;sans-serif"/>
                <w:color w:val="636466"/>
                <w:sz w:val="18"/>
              </w:rPr>
              <w:t xml:space="preserve"> Creates organizational emphasis and focus on cash through improved cash flow conversion, optimized working capital, and overall cash generation which can increase the return to shareholders.</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b/>
                <w:color w:val="72288A"/>
                <w:sz w:val="18"/>
              </w:rPr>
              <w:t>Global Regulatory Submissions (20% Weighting):</w:t>
            </w:r>
            <w:r>
              <w:rPr>
                <w:rFonts w:ascii="Arial;Helvetica;sans-serif" w:hAnsi="Arial;Helvetica;sans-serif"/>
                <w:color w:val="636466"/>
                <w:sz w:val="18"/>
              </w:rPr>
              <w:t xml:space="preserve"> Emphasizes the importance of developing a robust pipeline of molecules that Viatris could manufacture and sell over subsequent years. A robust product pipeline can help Viatris move its products up the value chain and also supports sustainability while serving Viatris’ mission of providing access to high quality, affordable medications.</w:t>
            </w:r>
          </w:p>
        </w:tc>
      </w:tr>
    </w:tbl>
    <w:tbl>
      <w:tblPr>
        <w:tblW w:w="4980" w:type="dxa"/>
        <w:jc w:val="left"/>
        <w:tblInd w:w="106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208"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78" descr=""/>
                          <pic:cNvPicPr>
                            <a:picLocks noChangeAspect="1" noChangeArrowheads="1"/>
                          </pic:cNvPicPr>
                        </pic:nvPicPr>
                        <pic:blipFill>
                          <a:blip r:embed="rId195"/>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Statement | 49</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209"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79" descr=""/>
                    <pic:cNvPicPr>
                      <a:picLocks noChangeAspect="1" noChangeArrowheads="1"/>
                    </pic:cNvPicPr>
                  </pic:nvPicPr>
                  <pic:blipFill>
                    <a:blip r:embed="rId196"/>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30" w:name="ny20055082x771_def14a_110-cda_pg8"/>
        <w:bookmarkEnd w:id="13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left"/>
        <w:rPr>
          <w:caps/>
          <w:color w:val="1F1C6B"/>
          <w:u w:val="single"/>
        </w:rPr>
      </w:pPr>
      <w:r>
        <w:rPr>
          <w:caps/>
          <w:color w:val="1F1C6B"/>
          <w:u w:val="single"/>
        </w:rPr>
        <w:t> </w:t>
      </w:r>
      <w:r>
        <w:rPr>
          <w:rFonts w:ascii="Arial;Helvetica;sans-serif" w:hAnsi="Arial;Helvetica;sans-serif"/>
          <w:caps/>
          <w:color w:val="1F1C6B"/>
          <w:sz w:val="18"/>
          <w:u w:val="single"/>
        </w:rPr>
        <w:t>Compensation Discussion and Analysis </w:t>
      </w:r>
    </w:p>
    <w:p>
      <w:pPr>
        <w:pStyle w:val="TextBody"/>
        <w:bidi w:val="0"/>
        <w:spacing w:before="12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Individual annual incentive payout targets were established for each active NEO, expressed as a percentage of base salary, as noted in the table below. Actual payouts could range from 0% to 200% of each NEO’s annual incentive target based on achievement of performance goals.</w:t>
      </w:r>
    </w:p>
    <w:tbl>
      <w:tblPr>
        <w:tblW w:w="5520" w:type="dxa"/>
        <w:jc w:val="left"/>
        <w:tblInd w:w="1060" w:type="dxa"/>
        <w:tblLayout w:type="fixed"/>
        <w:tblCellMar>
          <w:top w:w="0" w:type="dxa"/>
          <w:left w:w="0" w:type="dxa"/>
          <w:bottom w:w="0" w:type="dxa"/>
          <w:right w:w="0" w:type="dxa"/>
        </w:tblCellMar>
      </w:tblPr>
      <w:tblGrid>
        <w:gridCol w:w="185"/>
        <w:gridCol w:w="1400"/>
        <w:gridCol w:w="170"/>
        <w:gridCol w:w="170"/>
        <w:gridCol w:w="1715"/>
        <w:gridCol w:w="170"/>
        <w:gridCol w:w="170"/>
        <w:gridCol w:w="1325"/>
        <w:gridCol w:w="215"/>
      </w:tblGrid>
      <w:tr>
        <w:trPr/>
        <w:tc>
          <w:tcPr>
            <w:tcW w:w="185" w:type="dxa"/>
            <w:tcBorders/>
            <w:shd w:fill="1F1C6B" w:val="clear"/>
            <w:vAlign w:val="center"/>
          </w:tcPr>
          <w:p>
            <w:pPr>
              <w:pStyle w:val="TableContents"/>
              <w:bidi w:val="0"/>
              <w:spacing w:before="0" w:after="0"/>
              <w:jc w:val="left"/>
              <w:rPr/>
            </w:pPr>
            <w:r>
              <w:rPr/>
              <w:t> </w:t>
            </w:r>
          </w:p>
        </w:tc>
        <w:tc>
          <w:tcPr>
            <w:tcW w:w="140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1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325"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1400"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NEO</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1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Target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(as % of Base Salary)</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32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Annual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Incentive Target</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Scott A Smith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ind w:left="647" w:right="0" w:hanging="0"/>
              <w:jc w:val="left"/>
              <w:rPr>
                <w:rFonts w:ascii="Arial;Helvetica;sans-serif" w:hAnsi="Arial;Helvetica;sans-serif"/>
                <w:color w:val="636466"/>
                <w:sz w:val="16"/>
              </w:rPr>
            </w:pPr>
            <w:r>
              <w:rPr>
                <w:rFonts w:ascii="Arial;Helvetica;sans-serif" w:hAnsi="Arial;Helvetica;sans-serif"/>
                <w:color w:val="636466"/>
                <w:sz w:val="16"/>
              </w:rPr>
              <w:t>150%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224" w:right="0" w:hanging="0"/>
              <w:jc w:val="left"/>
              <w:rPr>
                <w:rFonts w:ascii="Arial;Helvetica;sans-serif" w:hAnsi="Arial;Helvetica;sans-serif"/>
                <w:color w:val="636466"/>
                <w:sz w:val="16"/>
              </w:rPr>
            </w:pPr>
            <w:r>
              <w:rPr>
                <w:rFonts w:ascii="Arial;Helvetica;sans-serif" w:hAnsi="Arial;Helvetica;sans-serif"/>
                <w:color w:val="636466"/>
                <w:sz w:val="16"/>
              </w:rPr>
              <w:t>$2,100,000</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400" w:type="dxa"/>
            <w:tcBorders/>
            <w:shd w:fill="E7E0EF" w:val="clear"/>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Doretta Mistras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15" w:type="dxa"/>
            <w:tcBorders/>
            <w:shd w:fill="E7E0EF" w:val="clear"/>
            <w:vAlign w:val="center"/>
          </w:tcPr>
          <w:p>
            <w:pPr>
              <w:pStyle w:val="TableContents"/>
              <w:bidi w:val="0"/>
              <w:spacing w:before="0" w:after="283"/>
              <w:ind w:left="647" w:right="0" w:hanging="0"/>
              <w:jc w:val="left"/>
              <w:rPr>
                <w:rFonts w:ascii="Arial;Helvetica;sans-serif" w:hAnsi="Arial;Helvetica;sans-serif"/>
                <w:color w:val="636466"/>
                <w:sz w:val="16"/>
              </w:rPr>
            </w:pPr>
            <w:r>
              <w:rPr>
                <w:rFonts w:ascii="Arial;Helvetica;sans-serif" w:hAnsi="Arial;Helvetica;sans-serif"/>
                <w:color w:val="636466"/>
                <w:sz w:val="16"/>
              </w:rPr>
              <w:t>100%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325" w:type="dxa"/>
            <w:tcBorders/>
            <w:shd w:fill="E7E0EF" w:val="clear"/>
            <w:vAlign w:val="center"/>
          </w:tcPr>
          <w:p>
            <w:pPr>
              <w:pStyle w:val="TableContents"/>
              <w:bidi w:val="0"/>
              <w:spacing w:before="0" w:after="283"/>
              <w:ind w:left="224" w:right="0" w:hanging="0"/>
              <w:jc w:val="left"/>
              <w:rPr>
                <w:rFonts w:ascii="Arial;Helvetica;sans-serif" w:hAnsi="Arial;Helvetica;sans-serif"/>
                <w:color w:val="636466"/>
                <w:sz w:val="16"/>
              </w:rPr>
            </w:pPr>
            <w:r>
              <w:rPr>
                <w:rFonts w:ascii="Arial;Helvetica;sans-serif" w:hAnsi="Arial;Helvetica;sans-serif"/>
                <w:color w:val="636466"/>
                <w:sz w:val="16"/>
              </w:rPr>
              <w:t>$825,000</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Corinne Le Goff</w:t>
            </w:r>
            <w:r>
              <w:rPr>
                <w:rFonts w:ascii="Arial;Helvetica;sans-serif" w:hAnsi="Arial;Helvetica;sans-serif"/>
                <w:b/>
                <w:color w:val="636466"/>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ind w:left="647" w:right="0" w:hanging="0"/>
              <w:jc w:val="left"/>
              <w:rPr>
                <w:rFonts w:ascii="Arial;Helvetica;sans-serif" w:hAnsi="Arial;Helvetica;sans-serif"/>
                <w:color w:val="636466"/>
                <w:sz w:val="16"/>
              </w:rPr>
            </w:pPr>
            <w:r>
              <w:rPr>
                <w:rFonts w:ascii="Arial;Helvetica;sans-serif" w:hAnsi="Arial;Helvetica;sans-serif"/>
                <w:color w:val="636466"/>
                <w:sz w:val="16"/>
              </w:rPr>
              <w:t>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224" w:right="0" w:hanging="0"/>
              <w:jc w:val="left"/>
              <w:rPr>
                <w:rFonts w:ascii="Arial;Helvetica;sans-serif" w:hAnsi="Arial;Helvetica;sans-serif"/>
                <w:color w:val="636466"/>
                <w:sz w:val="16"/>
              </w:rPr>
            </w:pPr>
            <w:r>
              <w:rPr>
                <w:rFonts w:ascii="Arial;Helvetica;sans-serif" w:hAnsi="Arial;Helvetica;sans-serif"/>
                <w:color w:val="636466"/>
                <w:sz w:val="16"/>
              </w:rPr>
              <w:t>$875,000</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400" w:type="dxa"/>
            <w:tcBorders/>
            <w:shd w:fill="E7E0EF" w:val="clear"/>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Brian Roman</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15" w:type="dxa"/>
            <w:tcBorders/>
            <w:shd w:fill="E7E0EF" w:val="clear"/>
            <w:vAlign w:val="center"/>
          </w:tcPr>
          <w:p>
            <w:pPr>
              <w:pStyle w:val="TableContents"/>
              <w:bidi w:val="0"/>
              <w:spacing w:before="0" w:after="283"/>
              <w:ind w:left="647" w:right="0" w:hanging="0"/>
              <w:jc w:val="left"/>
              <w:rPr>
                <w:rFonts w:ascii="Arial;Helvetica;sans-serif" w:hAnsi="Arial;Helvetica;sans-serif"/>
                <w:color w:val="636466"/>
                <w:sz w:val="16"/>
              </w:rPr>
            </w:pPr>
            <w:r>
              <w:rPr>
                <w:rFonts w:ascii="Arial;Helvetica;sans-serif" w:hAnsi="Arial;Helvetica;sans-serif"/>
                <w:color w:val="636466"/>
                <w:sz w:val="16"/>
              </w:rPr>
              <w:t>100%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325" w:type="dxa"/>
            <w:tcBorders/>
            <w:shd w:fill="E7E0EF" w:val="clear"/>
            <w:vAlign w:val="center"/>
          </w:tcPr>
          <w:p>
            <w:pPr>
              <w:pStyle w:val="TableContents"/>
              <w:bidi w:val="0"/>
              <w:spacing w:before="0" w:after="283"/>
              <w:ind w:left="224" w:right="0" w:hanging="0"/>
              <w:jc w:val="left"/>
              <w:rPr>
                <w:rFonts w:ascii="Arial;Helvetica;sans-serif" w:hAnsi="Arial;Helvetica;sans-serif"/>
                <w:color w:val="636466"/>
                <w:sz w:val="16"/>
              </w:rPr>
            </w:pPr>
            <w:r>
              <w:rPr>
                <w:rFonts w:ascii="Arial;Helvetica;sans-serif" w:hAnsi="Arial;Helvetica;sans-serif"/>
                <w:color w:val="636466"/>
                <w:sz w:val="16"/>
              </w:rPr>
              <w:t>$825,000</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Paul Campbell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ind w:left="647" w:right="0" w:hanging="0"/>
              <w:jc w:val="left"/>
              <w:rPr>
                <w:rFonts w:ascii="Arial;Helvetica;sans-serif" w:hAnsi="Arial;Helvetica;sans-serif"/>
                <w:color w:val="636466"/>
                <w:sz w:val="16"/>
              </w:rPr>
            </w:pPr>
            <w:r>
              <w:rPr>
                <w:rFonts w:ascii="Arial;Helvetica;sans-serif" w:hAnsi="Arial;Helvetica;sans-serif"/>
                <w:color w:val="636466"/>
                <w:sz w:val="16"/>
              </w:rPr>
              <w:t>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224" w:right="0" w:hanging="0"/>
              <w:jc w:val="left"/>
              <w:rPr>
                <w:rFonts w:ascii="Arial;Helvetica;sans-serif" w:hAnsi="Arial;Helvetica;sans-serif"/>
                <w:color w:val="636466"/>
                <w:sz w:val="16"/>
              </w:rPr>
            </w:pPr>
            <w:r>
              <w:rPr>
                <w:rFonts w:ascii="Arial;Helvetica;sans-serif" w:hAnsi="Arial;Helvetica;sans-serif"/>
                <w:color w:val="636466"/>
                <w:sz w:val="16"/>
              </w:rPr>
              <w:t>$725,000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1</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The annual incentive target amount listed above for Dr. Le Goff was prorated to reflect the number of days she served as an active employee during 2024 in calculating the payout of the 2024 cash incentive.</w:t>
            </w:r>
          </w:p>
        </w:tc>
      </w:tr>
    </w:tbl>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For 2025, the Compensation Committee enhanced our annual incentive program by adding a 10% personal performance component to incentivize individual achievements and leadership and establishing significantly stretched financial goals for 2025. </w:t>
      </w:r>
    </w:p>
    <w:p>
      <w:pPr>
        <w:pStyle w:val="TextBody"/>
        <w:bidi w:val="0"/>
        <w:spacing w:before="430" w:after="283"/>
        <w:ind w:left="1060" w:right="0" w:hanging="0"/>
        <w:jc w:val="left"/>
        <w:rPr>
          <w:rFonts w:ascii="Arial;Helvetica;sans-serif" w:hAnsi="Arial;Helvetica;sans-serif"/>
          <w:b/>
          <w:color w:val="1F1C6B"/>
          <w:sz w:val="18"/>
        </w:rPr>
      </w:pPr>
      <w:bookmarkStart w:id="131" w:name="tAIC2"/>
      <w:bookmarkEnd w:id="131"/>
      <w:r>
        <w:rPr>
          <w:rFonts w:ascii="Arial;Helvetica;sans-serif" w:hAnsi="Arial;Helvetica;sans-serif"/>
          <w:b/>
          <w:color w:val="1F1C6B"/>
          <w:sz w:val="18"/>
        </w:rPr>
        <w:t>Annual Incentive Compensation Payouts for 2024</w:t>
      </w:r>
    </w:p>
    <w:p>
      <w:pPr>
        <w:pStyle w:val="TextBody"/>
        <w:bidi w:val="0"/>
        <w:spacing w:before="23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In 2024, Viatris achieved the following performance against the Compensation Committee-approved performance goals:</w:t>
      </w:r>
    </w:p>
    <w:tbl>
      <w:tblPr>
        <w:tblW w:w="9145" w:type="dxa"/>
        <w:jc w:val="left"/>
        <w:tblInd w:w="1060" w:type="dxa"/>
        <w:tblLayout w:type="fixed"/>
        <w:tblCellMar>
          <w:top w:w="0" w:type="dxa"/>
          <w:left w:w="0" w:type="dxa"/>
          <w:bottom w:w="0" w:type="dxa"/>
          <w:right w:w="0" w:type="dxa"/>
        </w:tblCellMar>
      </w:tblPr>
      <w:tblGrid>
        <w:gridCol w:w="185"/>
        <w:gridCol w:w="1950"/>
        <w:gridCol w:w="170"/>
        <w:gridCol w:w="170"/>
        <w:gridCol w:w="860"/>
        <w:gridCol w:w="170"/>
        <w:gridCol w:w="170"/>
        <w:gridCol w:w="1025"/>
        <w:gridCol w:w="170"/>
        <w:gridCol w:w="170"/>
        <w:gridCol w:w="1025"/>
        <w:gridCol w:w="170"/>
        <w:gridCol w:w="170"/>
        <w:gridCol w:w="1025"/>
        <w:gridCol w:w="170"/>
        <w:gridCol w:w="170"/>
        <w:gridCol w:w="1160"/>
        <w:gridCol w:w="215"/>
      </w:tblGrid>
      <w:tr>
        <w:trPr/>
        <w:tc>
          <w:tcPr>
            <w:tcW w:w="185" w:type="dxa"/>
            <w:tcBorders/>
            <w:shd w:fill="1F1C6B" w:val="clear"/>
            <w:vAlign w:val="center"/>
          </w:tcPr>
          <w:p>
            <w:pPr>
              <w:pStyle w:val="TableContents"/>
              <w:bidi w:val="0"/>
              <w:spacing w:before="0" w:after="0"/>
              <w:jc w:val="left"/>
              <w:rPr/>
            </w:pPr>
            <w:r>
              <w:rPr/>
              <w:t> </w:t>
            </w:r>
          </w:p>
        </w:tc>
        <w:tc>
          <w:tcPr>
            <w:tcW w:w="195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6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2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2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2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60"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1950"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Metric</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6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Weighting</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2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Threshold</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2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Target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2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Maximum</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6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Results</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5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Adjusted EBITDA</w:t>
            </w:r>
            <w:r>
              <w:rPr>
                <w:rFonts w:ascii="Arial;Helvetica;sans-serif" w:hAnsi="Arial;Helvetica;sans-serif"/>
                <w:color w:val="636466"/>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$4,700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$4,950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$5,200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$4,974.5 million</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950"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Free Cash Flow</w:t>
            </w:r>
            <w:r>
              <w:rPr>
                <w:rFonts w:ascii="Arial;Helvetica;sans-serif" w:hAnsi="Arial;Helvetica;sans-serif"/>
                <w:color w:val="636466"/>
                <w:position w:val="5"/>
                <w:sz w:val="13"/>
                <w:sz w:val="16"/>
              </w:rPr>
              <w:t>2</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40%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25" w:type="dxa"/>
            <w:tcBorders/>
            <w:shd w:fill="E7E0EF" w:val="clear"/>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$2,200 million</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25" w:type="dxa"/>
            <w:tcBorders/>
            <w:shd w:fill="E7E0EF" w:val="clear"/>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$2,500 million</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25" w:type="dxa"/>
            <w:tcBorders/>
            <w:shd w:fill="E7E0EF" w:val="clear"/>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$2,800 million</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60" w:type="dxa"/>
            <w:tcBorders/>
            <w:shd w:fill="E7E0EF" w:val="clear"/>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$2,923.8 million</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5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Global Regulatory Submissions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120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140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140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1</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Adjusted EBITDA is derived from Viatris’ financial statements in the same manner as Viatris’ publicly reported adjusted EBITDA for 2024, except that the calculation for the 2024 annual incentive program utilized 2024 budgeted foreign exchange rates and further adjusts for all impacts of the Company’s divestitures following their consummation, and acquired in-process research and development (“IPR&amp;D”) costs. Viatris’ adjusted EBITDA as reported for the twelve months ended December 31, 2024 is reconciled to the most directly comparable U.S. GAAP measure in Appendix B.</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2</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Free cash flow is derived from Viatris’ audited financial statements in the same manner as Viatris’ publicly reported free cash flow for 2024, except that the calculation for the 2024 annual incentive program utilized 2024 budgeted foreign exchange rates and further adjusts for transaction costs and taxes primarily related to the Company’s divestitures, all impacts of the Company’s divestitures following their consummation, proceeds from the sale of certain property, plant and equipment, and material unplanned litigation gains and losses equal or greater than $25 million in the aggregate. Viatris’ free cash flow as reported for the twelve months ended December 31, 2024 is reconciled to the most directly comparable U.S. GAAP measure in Appendix B</w:t>
            </w:r>
            <w:r>
              <w:rPr>
                <w:rFonts w:ascii="Arial;Helvetica;sans-serif" w:hAnsi="Arial;Helvetica;sans-serif"/>
                <w:i/>
                <w:color w:val="636466"/>
                <w:sz w:val="14"/>
              </w:rPr>
              <w:t>.</w:t>
            </w:r>
          </w:p>
        </w:tc>
      </w:tr>
    </w:tbl>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The performance metrics set forth above resulted in an achieved performance payout reflecting 163.92% of target. Despite these above-target results, our Board and Compensation Committee exercised negative discretion to reduce payouts in light of the warning letter and import alert relating to our facility in Indore, India, which was received in late 2024. In addition, in establishing short-term incentive program targets for 2025, the Board set challenging stretch financial performance targets to encourage financial outperformance in 2025. The Board believes that these actions were appropriate to further align management compensation with share price performance and to incentivize management to work expeditiously to resolve the issues relating to this facility.</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The following table shows the 2024 actual incentive payout for each active NEO reflecting reduced payout of 140% of target instead of 163.92% of target.</w:t>
      </w:r>
    </w:p>
    <w:tbl>
      <w:tblPr>
        <w:tblW w:w="3465" w:type="dxa"/>
        <w:jc w:val="left"/>
        <w:tblInd w:w="1060" w:type="dxa"/>
        <w:tblLayout w:type="fixed"/>
        <w:tblCellMar>
          <w:top w:w="0" w:type="dxa"/>
          <w:left w:w="0" w:type="dxa"/>
          <w:bottom w:w="0" w:type="dxa"/>
          <w:right w:w="0" w:type="dxa"/>
        </w:tblCellMar>
      </w:tblPr>
      <w:tblGrid>
        <w:gridCol w:w="185"/>
        <w:gridCol w:w="1400"/>
        <w:gridCol w:w="170"/>
        <w:gridCol w:w="170"/>
        <w:gridCol w:w="1325"/>
        <w:gridCol w:w="215"/>
      </w:tblGrid>
      <w:tr>
        <w:trPr/>
        <w:tc>
          <w:tcPr>
            <w:tcW w:w="185" w:type="dxa"/>
            <w:tcBorders/>
            <w:shd w:fill="1F1C6B" w:val="clear"/>
            <w:vAlign w:val="center"/>
          </w:tcPr>
          <w:p>
            <w:pPr>
              <w:pStyle w:val="TableContents"/>
              <w:bidi w:val="0"/>
              <w:spacing w:before="0" w:after="0"/>
              <w:jc w:val="left"/>
              <w:rPr/>
            </w:pPr>
            <w:r>
              <w:rPr/>
              <w:t> </w:t>
            </w:r>
          </w:p>
        </w:tc>
        <w:tc>
          <w:tcPr>
            <w:tcW w:w="140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325"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1400"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NEO</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32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Actual Annual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Incentive Award</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Scott A. Smith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225" w:right="0" w:hanging="0"/>
              <w:jc w:val="left"/>
              <w:rPr>
                <w:rFonts w:ascii="Arial;Helvetica;sans-serif" w:hAnsi="Arial;Helvetica;sans-serif"/>
                <w:color w:val="636466"/>
                <w:sz w:val="16"/>
              </w:rPr>
            </w:pPr>
            <w:r>
              <w:rPr>
                <w:rFonts w:ascii="Arial;Helvetica;sans-serif" w:hAnsi="Arial;Helvetica;sans-serif"/>
                <w:color w:val="636466"/>
                <w:sz w:val="16"/>
              </w:rPr>
              <w:t>$2,940,000</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400" w:type="dxa"/>
            <w:tcBorders/>
            <w:shd w:fill="E7E0EF" w:val="clear"/>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Doretta Mistras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325" w:type="dxa"/>
            <w:tcBorders/>
            <w:shd w:fill="E7E0EF" w:val="clear"/>
            <w:vAlign w:val="center"/>
          </w:tcPr>
          <w:p>
            <w:pPr>
              <w:pStyle w:val="TableContents"/>
              <w:bidi w:val="0"/>
              <w:spacing w:before="0" w:after="283"/>
              <w:ind w:left="225" w:right="0" w:hanging="0"/>
              <w:jc w:val="left"/>
              <w:rPr>
                <w:rFonts w:ascii="Arial;Helvetica;sans-serif" w:hAnsi="Arial;Helvetica;sans-serif"/>
                <w:color w:val="636466"/>
                <w:sz w:val="16"/>
              </w:rPr>
            </w:pPr>
            <w:r>
              <w:rPr>
                <w:rFonts w:ascii="Arial;Helvetica;sans-serif" w:hAnsi="Arial;Helvetica;sans-serif"/>
                <w:color w:val="636466"/>
                <w:sz w:val="16"/>
              </w:rPr>
              <w:t>$1,155,000</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Corinne Le Goff</w:t>
            </w:r>
            <w:r>
              <w:rPr>
                <w:rFonts w:ascii="Arial;Helvetica;sans-serif" w:hAnsi="Arial;Helvetica;sans-serif"/>
                <w:b/>
                <w:color w:val="636466"/>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225" w:right="0" w:hanging="0"/>
              <w:jc w:val="left"/>
              <w:rPr>
                <w:rFonts w:ascii="Arial;Helvetica;sans-serif" w:hAnsi="Arial;Helvetica;sans-serif"/>
                <w:color w:val="636466"/>
                <w:sz w:val="16"/>
              </w:rPr>
            </w:pPr>
            <w:r>
              <w:rPr>
                <w:rFonts w:ascii="Arial;Helvetica;sans-serif" w:hAnsi="Arial;Helvetica;sans-serif"/>
                <w:color w:val="636466"/>
                <w:sz w:val="16"/>
              </w:rPr>
              <w:t>$873,566</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400" w:type="dxa"/>
            <w:tcBorders/>
            <w:shd w:fill="E7E0EF" w:val="clear"/>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Brian Roman</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325" w:type="dxa"/>
            <w:tcBorders/>
            <w:shd w:fill="E7E0EF" w:val="clear"/>
            <w:vAlign w:val="center"/>
          </w:tcPr>
          <w:p>
            <w:pPr>
              <w:pStyle w:val="TableContents"/>
              <w:bidi w:val="0"/>
              <w:spacing w:before="0" w:after="283"/>
              <w:ind w:left="225" w:right="0" w:hanging="0"/>
              <w:jc w:val="left"/>
              <w:rPr>
                <w:rFonts w:ascii="Arial;Helvetica;sans-serif" w:hAnsi="Arial;Helvetica;sans-serif"/>
                <w:color w:val="636466"/>
                <w:sz w:val="16"/>
              </w:rPr>
            </w:pPr>
            <w:r>
              <w:rPr>
                <w:rFonts w:ascii="Arial;Helvetica;sans-serif" w:hAnsi="Arial;Helvetica;sans-serif"/>
                <w:color w:val="636466"/>
                <w:sz w:val="16"/>
              </w:rPr>
              <w:t>$1,155,000</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Paul Campbell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225" w:right="0" w:hanging="0"/>
              <w:jc w:val="left"/>
              <w:rPr>
                <w:rFonts w:ascii="Arial;Helvetica;sans-serif" w:hAnsi="Arial;Helvetica;sans-serif"/>
                <w:color w:val="636466"/>
                <w:sz w:val="16"/>
              </w:rPr>
            </w:pPr>
            <w:r>
              <w:rPr>
                <w:rFonts w:ascii="Arial;Helvetica;sans-serif" w:hAnsi="Arial;Helvetica;sans-serif"/>
                <w:color w:val="636466"/>
                <w:sz w:val="16"/>
              </w:rPr>
              <w:t>$1,015,000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8350" w:type="dxa"/>
        <w:jc w:val="left"/>
        <w:tblInd w:w="1060" w:type="dxa"/>
        <w:tblLayout w:type="fixed"/>
        <w:tblCellMar>
          <w:top w:w="0" w:type="dxa"/>
          <w:left w:w="0" w:type="dxa"/>
          <w:bottom w:w="0" w:type="dxa"/>
          <w:right w:w="0" w:type="dxa"/>
        </w:tblCellMar>
      </w:tblPr>
      <w:tblGrid>
        <w:gridCol w:w="125"/>
        <w:gridCol w:w="8225"/>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1</w:t>
            </w:r>
          </w:p>
        </w:tc>
        <w:tc>
          <w:tcPr>
            <w:tcW w:w="82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For Dr. Le Goff, payout represents a prorated amount to reflect the number of days she served as an active employee during 2024.</w:t>
            </w:r>
          </w:p>
        </w:tc>
      </w:tr>
    </w:tbl>
    <w:tbl>
      <w:tblPr>
        <w:tblW w:w="4980" w:type="dxa"/>
        <w:jc w:val="left"/>
        <w:tblInd w:w="106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50 | 2025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210"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80" descr=""/>
                          <pic:cNvPicPr>
                            <a:picLocks noChangeAspect="1" noChangeArrowheads="1"/>
                          </pic:cNvPicPr>
                        </pic:nvPicPr>
                        <pic:blipFill>
                          <a:blip r:embed="rId197"/>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211"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81" descr=""/>
                    <pic:cNvPicPr>
                      <a:picLocks noChangeAspect="1" noChangeArrowheads="1"/>
                    </pic:cNvPicPr>
                  </pic:nvPicPr>
                  <pic:blipFill>
                    <a:blip r:embed="rId198"/>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32" w:name="ny20055082x771_def14a_110-cda_pg9"/>
        <w:bookmarkEnd w:id="13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right"/>
        <w:rPr>
          <w:caps/>
          <w:color w:val="1F1C6B"/>
          <w:u w:val="single"/>
        </w:rPr>
      </w:pPr>
      <w:r>
        <w:rPr>
          <w:caps/>
          <w:color w:val="1F1C6B"/>
          <w:u w:val="single"/>
        </w:rPr>
        <w:t> </w:t>
      </w:r>
      <w:r>
        <w:rPr>
          <w:rFonts w:ascii="Arial;Helvetica;sans-serif" w:hAnsi="Arial;Helvetica;sans-serif"/>
          <w:caps/>
          <w:color w:val="1F1C6B"/>
          <w:sz w:val="18"/>
          <w:u w:val="single"/>
        </w:rPr>
        <w:t>Compensation Discussion and Analysis </w:t>
      </w:r>
    </w:p>
    <w:p>
      <w:pPr>
        <w:pStyle w:val="TextBody"/>
        <w:bidi w:val="0"/>
        <w:spacing w:before="160" w:after="283"/>
        <w:ind w:left="1060" w:right="0" w:hanging="0"/>
        <w:jc w:val="left"/>
        <w:rPr>
          <w:rFonts w:ascii="Arial;Helvetica;sans-serif" w:hAnsi="Arial;Helvetica;sans-serif"/>
          <w:color w:val="72288A"/>
          <w:sz w:val="24"/>
        </w:rPr>
      </w:pPr>
      <w:bookmarkStart w:id="133" w:name="tLTI"/>
      <w:bookmarkEnd w:id="133"/>
      <w:r>
        <w:rPr>
          <w:rFonts w:ascii="Arial;Helvetica;sans-serif" w:hAnsi="Arial;Helvetica;sans-serif"/>
          <w:color w:val="72288A"/>
          <w:sz w:val="24"/>
        </w:rPr>
        <w:t>2024 Long-Term Incentive Compensation Programs</w:t>
      </w:r>
    </w:p>
    <w:p>
      <w:pPr>
        <w:pStyle w:val="TextBody"/>
        <w:bidi w:val="0"/>
        <w:spacing w:before="170" w:after="283"/>
        <w:ind w:left="1060" w:right="0" w:hanging="0"/>
        <w:jc w:val="left"/>
        <w:rPr>
          <w:rFonts w:ascii="Arial;Helvetica;sans-serif" w:hAnsi="Arial;Helvetica;sans-serif"/>
          <w:b/>
          <w:color w:val="1F1C6B"/>
          <w:sz w:val="18"/>
        </w:rPr>
      </w:pPr>
      <w:r>
        <w:rPr>
          <w:rFonts w:ascii="Arial;Helvetica;sans-serif" w:hAnsi="Arial;Helvetica;sans-serif"/>
          <w:b/>
          <w:color w:val="1F1C6B"/>
          <w:sz w:val="18"/>
        </w:rPr>
        <w:t>Long-Term Incentive Compensation Grants for 2024</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The Compensation Committee believes that the value of long-term incentives should be directly related to the performance of Viatris’ common stock over several years, as well as other measures associated with the growth, success, and long-term sustainability of Viatris. The Compensation Committee approved annual long-term incentive (“LTI”) award grants in the first quarter of 2024.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In 2022, we increased the percentage of performance-based awards (which are subject to a TSR modifier) from 60% to 65%, with 65% of each NEO’s award in the form of PRSUs and 35% in the form of RSUs and we continued this practice in 2024. This increase in the allocation to PRSUs reflects a further reinforcement of our pay-for-performance philosophy and our robust shareholder engagement. RSUs vest ratably over a three-year period following the grant date, and PRSUs vest as described below. This mix of LTI awards provides NEOs with a combination of incentives and aligns them with the interests of shareholders.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Each NEO’s 2024 LTI award had a targeted value at grant equal to a percentage of the NEO’s base salary. In setting each NEO’s LTI targeted value, the Compensation Committee considered a variety of factors, including, among others, peer group compensation and expectations regarding individual roles and responsibilities. </w:t>
      </w:r>
    </w:p>
    <w:p>
      <w:pPr>
        <w:pStyle w:val="TextBody"/>
        <w:bidi w:val="0"/>
        <w:spacing w:before="30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For 2024, the Compensation Committee approved the following annual LTI award values for our active NEOs: </w:t>
      </w:r>
    </w:p>
    <w:tbl>
      <w:tblPr>
        <w:tblW w:w="5325" w:type="dxa"/>
        <w:jc w:val="left"/>
        <w:tblInd w:w="1060" w:type="dxa"/>
        <w:tblLayout w:type="fixed"/>
        <w:tblCellMar>
          <w:top w:w="0" w:type="dxa"/>
          <w:left w:w="0" w:type="dxa"/>
          <w:bottom w:w="0" w:type="dxa"/>
          <w:right w:w="0" w:type="dxa"/>
        </w:tblCellMar>
      </w:tblPr>
      <w:tblGrid>
        <w:gridCol w:w="185"/>
        <w:gridCol w:w="1325"/>
        <w:gridCol w:w="170"/>
        <w:gridCol w:w="170"/>
        <w:gridCol w:w="860"/>
        <w:gridCol w:w="170"/>
        <w:gridCol w:w="170"/>
        <w:gridCol w:w="860"/>
        <w:gridCol w:w="170"/>
        <w:gridCol w:w="170"/>
        <w:gridCol w:w="860"/>
        <w:gridCol w:w="215"/>
      </w:tblGrid>
      <w:tr>
        <w:trPr/>
        <w:tc>
          <w:tcPr>
            <w:tcW w:w="185" w:type="dxa"/>
            <w:tcBorders/>
            <w:shd w:fill="1F1C6B" w:val="clear"/>
            <w:vAlign w:val="center"/>
          </w:tcPr>
          <w:p>
            <w:pPr>
              <w:pStyle w:val="TableContents"/>
              <w:bidi w:val="0"/>
              <w:spacing w:before="0" w:after="0"/>
              <w:jc w:val="left"/>
              <w:rPr/>
            </w:pPr>
            <w:r>
              <w:rPr/>
              <w:t> </w:t>
            </w:r>
          </w:p>
        </w:tc>
        <w:tc>
          <w:tcPr>
            <w:tcW w:w="132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6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6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60"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1325"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NEO</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6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PRSUs</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6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RSUs</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6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Total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LTI Award</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Scott A. Smith</w:t>
            </w:r>
            <w:r>
              <w:rPr>
                <w:rFonts w:ascii="Arial;Helvetica;sans-serif" w:hAnsi="Arial;Helvetica;sans-serif"/>
                <w:b/>
                <w:color w:val="636466"/>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$6,370,000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$3,430,000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$9,800,000</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325" w:type="dxa"/>
            <w:tcBorders/>
            <w:shd w:fill="E7E0EF" w:val="clear"/>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Doretta Mistras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$2,145,000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$1,155,000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$3,300,000</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Corinne Le Goff</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$2,275,000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$1,225,000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$3,500,000</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325" w:type="dxa"/>
            <w:tcBorders/>
            <w:shd w:fill="E7E0EF" w:val="clear"/>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Brian Roman</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$1,608,750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$866,250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$2,475,000</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Paul Campbell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$1,178,125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$634,375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$1,812,500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1</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In 2024, Mr. Smith's annual LTI award as a percentage of annual base salary was reduced from 800% to 700% pursuant to the terms of his offer letter.</w:t>
            </w:r>
          </w:p>
        </w:tc>
      </w:tr>
    </w:tbl>
    <w:p>
      <w:pPr>
        <w:pStyle w:val="TextBody"/>
        <w:bidi w:val="0"/>
        <w:spacing w:before="380" w:after="283"/>
        <w:ind w:left="1060" w:right="0" w:hanging="0"/>
        <w:jc w:val="left"/>
        <w:rPr>
          <w:rFonts w:ascii="Arial;Helvetica;sans-serif" w:hAnsi="Arial;Helvetica;sans-serif"/>
          <w:b/>
          <w:color w:val="1F1C6B"/>
          <w:sz w:val="18"/>
        </w:rPr>
      </w:pPr>
      <w:r>
        <w:rPr>
          <w:rFonts w:ascii="Arial;Helvetica;sans-serif" w:hAnsi="Arial;Helvetica;sans-serif"/>
          <w:b/>
          <w:color w:val="1F1C6B"/>
          <w:sz w:val="18"/>
        </w:rPr>
        <w:t>2024 Three-Year PRSU Performance Metrics</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The 2024 grant of PRSUs is subject to free cash flow performance and TSR performance relative to the S&amp;P 500 Pharmaceutical Index, which is used as a modifier to determine the final payout percentage, as described below. The free cash flow metric incentivizes effective use of Viatris’ capital to drive cash flow generation, encouraging behavior that is closely aligned with our efforts to drive a durable and sustainable business. In addition, the relative TSR modifier impacts executive pay based on Viatris’ performance as compared to industry competitors.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As shown in the table below, payouts under the 2024 PRSUs will be determined in two steps. First, in the first quarter of 2027, the outcome of the free cash flow metric will be assessed, resulting in an initial payout percentage of 50% for threshold performance (with 0% payout for below threshold performance) up to 150% for maximum performance, with linear interpolation for achievement between threshold and maximum. Second, the relative TSR metric will be applied as a modifier to the initial payout percentage with the effect of decreasing it by 30%, leaving it unaffected, or increasing it by 30%. </w:t>
      </w:r>
    </w:p>
    <w:tbl>
      <w:tblPr>
        <w:tblW w:w="9075" w:type="dxa"/>
        <w:jc w:val="left"/>
        <w:tblInd w:w="1060" w:type="dxa"/>
        <w:tblLayout w:type="fixed"/>
        <w:tblCellMar>
          <w:top w:w="0" w:type="dxa"/>
          <w:left w:w="0" w:type="dxa"/>
          <w:bottom w:w="0" w:type="dxa"/>
          <w:right w:w="0" w:type="dxa"/>
        </w:tblCellMar>
      </w:tblPr>
      <w:tblGrid>
        <w:gridCol w:w="185"/>
        <w:gridCol w:w="2705"/>
        <w:gridCol w:w="170"/>
        <w:gridCol w:w="170"/>
        <w:gridCol w:w="860"/>
        <w:gridCol w:w="170"/>
        <w:gridCol w:w="170"/>
        <w:gridCol w:w="1175"/>
        <w:gridCol w:w="170"/>
        <w:gridCol w:w="170"/>
        <w:gridCol w:w="1400"/>
        <w:gridCol w:w="170"/>
        <w:gridCol w:w="170"/>
        <w:gridCol w:w="1175"/>
        <w:gridCol w:w="215"/>
      </w:tblGrid>
      <w:tr>
        <w:trPr/>
        <w:tc>
          <w:tcPr>
            <w:tcW w:w="185" w:type="dxa"/>
            <w:tcBorders/>
            <w:shd w:fill="1F1C6B" w:val="clear"/>
            <w:vAlign w:val="center"/>
          </w:tcPr>
          <w:p>
            <w:pPr>
              <w:pStyle w:val="TableContents"/>
              <w:bidi w:val="0"/>
              <w:spacing w:before="0" w:after="0"/>
              <w:jc w:val="left"/>
              <w:rPr/>
            </w:pPr>
            <w:r>
              <w:rPr/>
              <w:t> </w:t>
            </w:r>
          </w:p>
        </w:tc>
        <w:tc>
          <w:tcPr>
            <w:tcW w:w="270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6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7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40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75"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2705"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Metric</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6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Weighting</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7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Threshold</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40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Target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7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Maximum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705"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Free Cash Flow</w:t>
            </w:r>
            <w:r>
              <w:rPr>
                <w:rFonts w:ascii="Arial;Helvetica;sans-serif" w:hAnsi="Arial;Helvetica;sans-serif"/>
                <w:color w:val="636466"/>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$6,200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$7,200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$8,200 million</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705"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Relative TSR of Peer Group</w:t>
            </w:r>
            <w:r>
              <w:rPr>
                <w:rFonts w:ascii="Arial;Helvetica;sans-serif" w:hAnsi="Arial;Helvetica;sans-serif"/>
                <w:color w:val="636466"/>
                <w:position w:val="5"/>
                <w:sz w:val="13"/>
                <w:sz w:val="16"/>
              </w:rPr>
              <w:t>2</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Multiplier</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75" w:type="dxa"/>
            <w:tcBorders/>
            <w:shd w:fill="E7E0EF" w:val="clear"/>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 xml:space="preserve">At or Below </w:t>
            </w:r>
          </w:p>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 xml:space="preserve">25th Percentile </w:t>
            </w:r>
          </w:p>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of Peer Group</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400" w:type="dxa"/>
            <w:tcBorders/>
            <w:shd w:fill="E7E0EF" w:val="clear"/>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 xml:space="preserve">Between 25th and </w:t>
            </w:r>
          </w:p>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 xml:space="preserve">75th Percentiles </w:t>
            </w:r>
          </w:p>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of Peer Group</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75" w:type="dxa"/>
            <w:tcBorders/>
            <w:shd w:fill="E7E0EF" w:val="clear"/>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 xml:space="preserve">At or Above </w:t>
            </w:r>
          </w:p>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 xml:space="preserve">75th Percentile </w:t>
            </w:r>
          </w:p>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 xml:space="preserve">of Peer Group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705"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Payout Opportunity (as % of Target)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jc w:val="center"/>
              <w:rPr>
                <w:color w:val="636466"/>
              </w:rPr>
            </w:pP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195%</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7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1</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Free cash flow is derived from Viatris’ audited financial statements in the same manner as the calculation for Viatris’ 2024 annual incentive program, except that the calculation for the 2024 PRSUs further adjusts for any of the following, as applicable: material changes in tax laws, unbudgeted restructuring costs and unbudgeted R&amp;D expense. Free cash flow for the 2024 PRSUs will be the sum of such free cash flow measure for each of the years ended December 31, 2024, 2025 and 2026 and will utilize budgeted foreign exchange rates for the relevant year. Viatris’ free cash flow as reported for the twelve months ended December 31, 2024 is reconciled to the most directly comparable U.S. GAAP measure in Appendix B. </w:t>
            </w:r>
          </w:p>
        </w:tc>
      </w:tr>
    </w:tbl>
    <w:tbl>
      <w:tblPr>
        <w:tblW w:w="4980" w:type="dxa"/>
        <w:jc w:val="left"/>
        <w:tblInd w:w="106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212"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82" descr=""/>
                          <pic:cNvPicPr>
                            <a:picLocks noChangeAspect="1" noChangeArrowheads="1"/>
                          </pic:cNvPicPr>
                        </pic:nvPicPr>
                        <pic:blipFill>
                          <a:blip r:embed="rId199"/>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Statement | 51</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213"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83" descr=""/>
                    <pic:cNvPicPr>
                      <a:picLocks noChangeAspect="1" noChangeArrowheads="1"/>
                    </pic:cNvPicPr>
                  </pic:nvPicPr>
                  <pic:blipFill>
                    <a:blip r:embed="rId200"/>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34" w:name="ny20055082x771_def14a_110-cda_pg10"/>
        <w:bookmarkEnd w:id="13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left"/>
        <w:rPr>
          <w:caps/>
          <w:color w:val="1F1C6B"/>
          <w:u w:val="single"/>
        </w:rPr>
      </w:pPr>
      <w:r>
        <w:rPr>
          <w:caps/>
          <w:color w:val="1F1C6B"/>
          <w:u w:val="single"/>
        </w:rPr>
        <w:t> </w:t>
      </w:r>
      <w:r>
        <w:rPr>
          <w:rFonts w:ascii="Arial;Helvetica;sans-serif" w:hAnsi="Arial;Helvetica;sans-serif"/>
          <w:caps/>
          <w:color w:val="1F1C6B"/>
          <w:sz w:val="18"/>
          <w:u w:val="single"/>
        </w:rPr>
        <w:t>Compensation Discussion and Analysis </w:t>
      </w:r>
    </w:p>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2</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Relative TSR is calculated by comparing the difference between Viatris’ 30-day trailing average closing ordinary share price at the day before the beginning of the performance period and day before the end of the performance period plus any dividends paid during the performance period against the same metric for each company in the S&amp;P 500 Pharmaceutical Index.</w:t>
            </w:r>
          </w:p>
        </w:tc>
      </w:tr>
    </w:tbl>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Payouts with respect to PRSUs granted in 2024 will be determined in early 2027 following the conclusion of the three-year performance cycle.</w:t>
      </w:r>
    </w:p>
    <w:p>
      <w:pPr>
        <w:pStyle w:val="TextBody"/>
        <w:bidi w:val="0"/>
        <w:spacing w:before="430" w:after="283"/>
        <w:ind w:left="1060" w:right="0" w:hanging="0"/>
        <w:jc w:val="left"/>
        <w:rPr>
          <w:rFonts w:ascii="Arial;Helvetica;sans-serif" w:hAnsi="Arial;Helvetica;sans-serif"/>
          <w:b/>
          <w:color w:val="1F1C6B"/>
          <w:sz w:val="18"/>
        </w:rPr>
      </w:pPr>
      <w:r>
        <w:rPr>
          <w:rFonts w:ascii="Arial;Helvetica;sans-serif" w:hAnsi="Arial;Helvetica;sans-serif"/>
          <w:b/>
          <w:color w:val="1F1C6B"/>
          <w:sz w:val="18"/>
        </w:rPr>
        <w:t>2022-2024 Three-Year PRSU Performance Metric Results</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During the three-year period of 2022 to 2024, Viatris achieved the following performance against the Compensation Committee-approved performance goals:</w:t>
      </w:r>
    </w:p>
    <w:tbl>
      <w:tblPr>
        <w:tblW w:w="9145" w:type="dxa"/>
        <w:jc w:val="left"/>
        <w:tblInd w:w="1060" w:type="dxa"/>
        <w:tblLayout w:type="fixed"/>
        <w:tblCellMar>
          <w:top w:w="0" w:type="dxa"/>
          <w:left w:w="0" w:type="dxa"/>
          <w:bottom w:w="0" w:type="dxa"/>
          <w:right w:w="0" w:type="dxa"/>
        </w:tblCellMar>
      </w:tblPr>
      <w:tblGrid>
        <w:gridCol w:w="185"/>
        <w:gridCol w:w="1621"/>
        <w:gridCol w:w="170"/>
        <w:gridCol w:w="170"/>
        <w:gridCol w:w="860"/>
        <w:gridCol w:w="170"/>
        <w:gridCol w:w="170"/>
        <w:gridCol w:w="1121"/>
        <w:gridCol w:w="170"/>
        <w:gridCol w:w="170"/>
        <w:gridCol w:w="1266"/>
        <w:gridCol w:w="170"/>
        <w:gridCol w:w="170"/>
        <w:gridCol w:w="1121"/>
        <w:gridCol w:w="170"/>
        <w:gridCol w:w="170"/>
        <w:gridCol w:w="1054"/>
        <w:gridCol w:w="217"/>
      </w:tblGrid>
      <w:tr>
        <w:trPr/>
        <w:tc>
          <w:tcPr>
            <w:tcW w:w="185" w:type="dxa"/>
            <w:tcBorders/>
            <w:shd w:fill="1F1C6B" w:val="clear"/>
            <w:vAlign w:val="center"/>
          </w:tcPr>
          <w:p>
            <w:pPr>
              <w:pStyle w:val="TableContents"/>
              <w:bidi w:val="0"/>
              <w:spacing w:before="0" w:after="0"/>
              <w:jc w:val="left"/>
              <w:rPr/>
            </w:pPr>
            <w:r>
              <w:rPr/>
              <w:t> </w:t>
            </w:r>
          </w:p>
        </w:tc>
        <w:tc>
          <w:tcPr>
            <w:tcW w:w="1621"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6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21"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266"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21"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54" w:type="dxa"/>
            <w:tcBorders/>
            <w:shd w:fill="1F1C6B" w:val="clear"/>
            <w:vAlign w:val="center"/>
          </w:tcPr>
          <w:p>
            <w:pPr>
              <w:pStyle w:val="TableContents"/>
              <w:bidi w:val="0"/>
              <w:spacing w:before="0" w:after="0"/>
              <w:jc w:val="left"/>
              <w:rPr/>
            </w:pPr>
            <w:r>
              <w:rPr/>
              <w:t> </w:t>
            </w:r>
          </w:p>
        </w:tc>
        <w:tc>
          <w:tcPr>
            <w:tcW w:w="217"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1621"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Metric</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6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Weighting</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21"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Threshold</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266"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Target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21"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Maximum</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54"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Results </w:t>
            </w:r>
          </w:p>
        </w:tc>
        <w:tc>
          <w:tcPr>
            <w:tcW w:w="217"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21"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Free Cash Flow</w:t>
            </w:r>
            <w:r>
              <w:rPr>
                <w:rFonts w:ascii="Arial;Helvetica;sans-serif" w:hAnsi="Arial;Helvetica;sans-serif"/>
                <w:color w:val="636466"/>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1" w:type="dxa"/>
            <w:tcBorders/>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$6,900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6" w:type="dxa"/>
            <w:tcBorders/>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$7,900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1" w:type="dxa"/>
            <w:tcBorders/>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$8,900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 xml:space="preserve">$9,495 million </w:t>
            </w:r>
          </w:p>
        </w:tc>
        <w:tc>
          <w:tcPr>
            <w:tcW w:w="217"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621"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Relative TSR of Peer Group</w:t>
            </w:r>
            <w:r>
              <w:rPr>
                <w:rFonts w:ascii="Arial;Helvetica;sans-serif" w:hAnsi="Arial;Helvetica;sans-serif"/>
                <w:color w:val="636466"/>
                <w:position w:val="5"/>
                <w:sz w:val="13"/>
                <w:sz w:val="16"/>
              </w:rPr>
              <w:t>2</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Multiplier</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21" w:type="dxa"/>
            <w:tcBorders/>
            <w:shd w:fill="E7E0EF" w:val="clear"/>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 xml:space="preserve">At or Below </w:t>
            </w:r>
          </w:p>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 xml:space="preserve">25th Percentile </w:t>
            </w:r>
          </w:p>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of Peer Group</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266" w:type="dxa"/>
            <w:tcBorders/>
            <w:shd w:fill="E7E0EF" w:val="clear"/>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 xml:space="preserve">Between 25th and </w:t>
            </w:r>
          </w:p>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 xml:space="preserve">75th Percentiles </w:t>
            </w:r>
          </w:p>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of Peer Group</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21" w:type="dxa"/>
            <w:tcBorders/>
            <w:shd w:fill="E7E0EF" w:val="clear"/>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 xml:space="preserve">At or Above </w:t>
            </w:r>
          </w:p>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 xml:space="preserve">75th Percentile </w:t>
            </w:r>
          </w:p>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of Peer Group</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54" w:type="dxa"/>
            <w:tcBorders/>
            <w:shd w:fill="E7E0EF" w:val="clear"/>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67th</w:t>
            </w:r>
          </w:p>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 xml:space="preserve">Percentile </w:t>
            </w:r>
          </w:p>
        </w:tc>
        <w:tc>
          <w:tcPr>
            <w:tcW w:w="217"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821" w:type="dxa"/>
            <w:gridSpan w:val="4"/>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Payout Opportunity (as % of Target)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1" w:type="dxa"/>
            <w:tcBorders/>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6" w:type="dxa"/>
            <w:tcBorders/>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1" w:type="dxa"/>
            <w:tcBorders/>
            <w:vAlign w:val="center"/>
          </w:tcPr>
          <w:p>
            <w:pPr>
              <w:pStyle w:val="TableContents"/>
              <w:bidi w:val="0"/>
              <w:spacing w:before="0" w:after="283"/>
              <w:jc w:val="center"/>
              <w:rPr>
                <w:rFonts w:ascii="Arial;Helvetica;sans-serif" w:hAnsi="Arial;Helvetica;sans-serif"/>
                <w:color w:val="636466"/>
                <w:sz w:val="16"/>
              </w:rPr>
            </w:pPr>
            <w:r>
              <w:rPr>
                <w:rFonts w:ascii="Arial;Helvetica;sans-serif" w:hAnsi="Arial;Helvetica;sans-serif"/>
                <w:color w:val="636466"/>
                <w:sz w:val="16"/>
              </w:rPr>
              <w:t>195%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jc w:val="center"/>
              <w:rPr>
                <w:color w:val="636466"/>
              </w:rPr>
            </w:pPr>
            <w:r>
              <w:rPr>
                <w:color w:val="636466"/>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821"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1</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Free cash flow is derived from Viatris’ audited financial statements in the same manner as Viatris’ publicly reported free cash flow, except that the calculation for the 2022-2024 three-year PRSUs utilized budgeted foreign exchange rates for the relevant year and further adjusts for the following, as applicable: transaction costs and taxes related to the acquisitions of Oyster Point Pharma, Inc. (“Oyster Point”) and Famy Life Sciences Private Limited (“Famy Life Sciences”) as well as any incremental transaction costs and taxes related to other select assets sales or reshaping initiatives and other impacts of divestitures, Biocon Biologics Transaction-related taxes and transaction costs and results of the divested biosimilars business from the closing of the transaction on November 29, 2022 through December 31, 2022, material unplanned litigation gains or losses equal to or greater than $25 million in the aggregate, proceeds from the sale of certain property, plant and equipment, unbudgeted R&amp;D costs, unbudgeted restructuring costs, and the impact of free cash flow from divestitures that closed in 2022 to 2024. Free cash flow for the 2022-2024 three-year PRSUs is the sum of such free cash flow measure for each of the years ended December 31, 2022, 2023, and 2024. Viatris’ free cash flow as reported for each of the three years ended December 31, 2022, 2023 and 2024 is reconciled to the most directly comparable U.S. GAAP measure in Appendix B.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2</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Relative TSR is calculated by comparing the difference between Viatris’ 30-day trailing average closing ordinary share price at the day before the beginning of the performance period and day before the end of the performance period plus any dividends paid during the performance period against the same metric for each company in the S&amp;P 500 Pharmaceutical Index.</w:t>
            </w:r>
          </w:p>
        </w:tc>
      </w:tr>
    </w:tbl>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The following table shows the 2022-2024 PRSU share award payout for each active NEO reflecting Company performance at 150% of target.</w:t>
      </w:r>
    </w:p>
    <w:tbl>
      <w:tblPr>
        <w:tblW w:w="3225" w:type="dxa"/>
        <w:jc w:val="left"/>
        <w:tblInd w:w="1060" w:type="dxa"/>
        <w:tblLayout w:type="fixed"/>
        <w:tblCellMar>
          <w:top w:w="0" w:type="dxa"/>
          <w:left w:w="0" w:type="dxa"/>
          <w:bottom w:w="0" w:type="dxa"/>
          <w:right w:w="0" w:type="dxa"/>
        </w:tblCellMar>
      </w:tblPr>
      <w:tblGrid>
        <w:gridCol w:w="185"/>
        <w:gridCol w:w="1325"/>
        <w:gridCol w:w="170"/>
        <w:gridCol w:w="170"/>
        <w:gridCol w:w="1160"/>
        <w:gridCol w:w="215"/>
      </w:tblGrid>
      <w:tr>
        <w:trPr/>
        <w:tc>
          <w:tcPr>
            <w:tcW w:w="185" w:type="dxa"/>
            <w:tcBorders/>
            <w:shd w:fill="1F1C6B" w:val="clear"/>
            <w:vAlign w:val="center"/>
          </w:tcPr>
          <w:p>
            <w:pPr>
              <w:pStyle w:val="TableContents"/>
              <w:bidi w:val="0"/>
              <w:spacing w:before="0" w:after="0"/>
              <w:jc w:val="left"/>
              <w:rPr/>
            </w:pPr>
            <w:r>
              <w:rPr/>
              <w:t> </w:t>
            </w:r>
          </w:p>
        </w:tc>
        <w:tc>
          <w:tcPr>
            <w:tcW w:w="132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60"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1325"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NEO</w:t>
            </w:r>
            <w:r>
              <w:rPr>
                <w:rFonts w:ascii="Arial;Helvetica;sans-serif" w:hAnsi="Arial;Helvetica;sans-serif"/>
                <w:b/>
                <w:color w:val="FFFFFF"/>
                <w:position w:val="5"/>
                <w:sz w:val="13"/>
                <w:sz w:val="16"/>
              </w:rPr>
              <w:t>1</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60" w:type="dxa"/>
            <w:tcBorders/>
            <w:shd w:fill="1F1C6B"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Actual Award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of Shares)</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Scott A. Smith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22" w:right="0" w:hanging="0"/>
              <w:jc w:val="left"/>
              <w:rPr>
                <w:rFonts w:ascii="Arial;Helvetica;sans-serif" w:hAnsi="Arial;Helvetica;sans-serif"/>
                <w:color w:val="636466"/>
                <w:sz w:val="16"/>
              </w:rPr>
            </w:pPr>
            <w:r>
              <w:rPr>
                <w:rFonts w:ascii="Arial;Helvetica;sans-serif" w:hAnsi="Arial;Helvetica;sans-serif"/>
                <w:color w:val="636466"/>
                <w:sz w:val="16"/>
              </w:rPr>
              <w:t>N/A</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325" w:type="dxa"/>
            <w:tcBorders/>
            <w:shd w:fill="E7E0EF" w:val="clear"/>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Doretta Mistras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60" w:type="dxa"/>
            <w:tcBorders/>
            <w:shd w:fill="E7E0EF" w:val="clear"/>
            <w:vAlign w:val="center"/>
          </w:tcPr>
          <w:p>
            <w:pPr>
              <w:pStyle w:val="TableContents"/>
              <w:bidi w:val="0"/>
              <w:spacing w:before="0" w:after="283"/>
              <w:ind w:left="222" w:right="0" w:hanging="0"/>
              <w:jc w:val="left"/>
              <w:rPr>
                <w:rFonts w:ascii="Arial;Helvetica;sans-serif" w:hAnsi="Arial;Helvetica;sans-serif"/>
                <w:color w:val="636466"/>
                <w:sz w:val="16"/>
              </w:rPr>
            </w:pPr>
            <w:r>
              <w:rPr>
                <w:rFonts w:ascii="Arial;Helvetica;sans-serif" w:hAnsi="Arial;Helvetica;sans-serif"/>
                <w:color w:val="636466"/>
                <w:sz w:val="16"/>
              </w:rPr>
              <w:t>N/A</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Corinne Le Goff</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22" w:right="0" w:hanging="0"/>
              <w:jc w:val="left"/>
              <w:rPr>
                <w:rFonts w:ascii="Arial;Helvetica;sans-serif" w:hAnsi="Arial;Helvetica;sans-serif"/>
                <w:color w:val="636466"/>
                <w:sz w:val="16"/>
              </w:rPr>
            </w:pPr>
            <w:r>
              <w:rPr>
                <w:rFonts w:ascii="Arial;Helvetica;sans-serif" w:hAnsi="Arial;Helvetica;sans-serif"/>
                <w:color w:val="636466"/>
                <w:sz w:val="16"/>
              </w:rPr>
              <w:t>N/A</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325" w:type="dxa"/>
            <w:tcBorders/>
            <w:shd w:fill="E7E0EF" w:val="clear"/>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Brian Roman</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60" w:type="dxa"/>
            <w:tcBorders/>
            <w:shd w:fill="E7E0EF" w:val="clear"/>
            <w:vAlign w:val="center"/>
          </w:tcPr>
          <w:p>
            <w:pPr>
              <w:pStyle w:val="TableContents"/>
              <w:bidi w:val="0"/>
              <w:spacing w:before="0" w:after="283"/>
              <w:ind w:left="222" w:right="0" w:hanging="0"/>
              <w:jc w:val="left"/>
              <w:rPr>
                <w:rFonts w:ascii="Arial;Helvetica;sans-serif" w:hAnsi="Arial;Helvetica;sans-serif"/>
                <w:color w:val="636466"/>
                <w:sz w:val="16"/>
              </w:rPr>
            </w:pPr>
            <w:r>
              <w:rPr>
                <w:rFonts w:ascii="Arial;Helvetica;sans-serif" w:hAnsi="Arial;Helvetica;sans-serif"/>
                <w:color w:val="636466"/>
                <w:sz w:val="16"/>
              </w:rPr>
              <w:t>162,468</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Paul Campbell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22" w:right="0" w:hanging="0"/>
              <w:jc w:val="left"/>
              <w:rPr>
                <w:rFonts w:ascii="Arial;Helvetica;sans-serif" w:hAnsi="Arial;Helvetica;sans-serif"/>
                <w:color w:val="636466"/>
                <w:sz w:val="16"/>
              </w:rPr>
            </w:pPr>
            <w:r>
              <w:rPr>
                <w:rFonts w:ascii="Arial;Helvetica;sans-serif" w:hAnsi="Arial;Helvetica;sans-serif"/>
                <w:color w:val="636466"/>
                <w:sz w:val="16"/>
              </w:rPr>
              <w:t>169,238</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8695" w:type="dxa"/>
        <w:jc w:val="left"/>
        <w:tblInd w:w="1060" w:type="dxa"/>
        <w:tblLayout w:type="fixed"/>
        <w:tblCellMar>
          <w:top w:w="0" w:type="dxa"/>
          <w:left w:w="0" w:type="dxa"/>
          <w:bottom w:w="0" w:type="dxa"/>
          <w:right w:w="0" w:type="dxa"/>
        </w:tblCellMar>
      </w:tblPr>
      <w:tblGrid>
        <w:gridCol w:w="125"/>
        <w:gridCol w:w="857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1</w:t>
            </w:r>
          </w:p>
        </w:tc>
        <w:tc>
          <w:tcPr>
            <w:tcW w:w="857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Mr. Smith, Ms. Mistras, and Dr. Le Goff did not receive the 2022 PRSU grant as they were not active employees in 2022 at time of grant.</w:t>
            </w:r>
          </w:p>
        </w:tc>
      </w:tr>
    </w:tbl>
    <w:p>
      <w:pPr>
        <w:pStyle w:val="TextBody"/>
        <w:bidi w:val="0"/>
        <w:spacing w:before="380" w:after="283"/>
        <w:ind w:left="1060" w:right="0" w:hanging="0"/>
        <w:jc w:val="left"/>
        <w:rPr>
          <w:rFonts w:ascii="Arial;Helvetica;sans-serif" w:hAnsi="Arial;Helvetica;sans-serif"/>
          <w:color w:val="1F1C6B"/>
          <w:sz w:val="30"/>
        </w:rPr>
      </w:pPr>
      <w:bookmarkStart w:id="135" w:name="tCGA"/>
      <w:bookmarkEnd w:id="135"/>
      <w:r>
        <w:rPr>
          <w:rFonts w:ascii="Arial;Helvetica;sans-serif" w:hAnsi="Arial;Helvetica;sans-serif"/>
          <w:color w:val="1F1C6B"/>
          <w:sz w:val="30"/>
        </w:rPr>
        <w:t>Compensation Governance and Policies</w:t>
      </w:r>
    </w:p>
    <w:p>
      <w:pPr>
        <w:pStyle w:val="TextBody"/>
        <w:bidi w:val="0"/>
        <w:spacing w:before="240" w:after="283"/>
        <w:ind w:left="1060" w:right="0" w:hanging="0"/>
        <w:jc w:val="left"/>
        <w:rPr>
          <w:rFonts w:ascii="Arial;Helvetica;sans-serif" w:hAnsi="Arial;Helvetica;sans-serif"/>
          <w:color w:val="72288A"/>
          <w:sz w:val="24"/>
        </w:rPr>
      </w:pPr>
      <w:bookmarkStart w:id="136" w:name="tVCD"/>
      <w:bookmarkEnd w:id="136"/>
      <w:r>
        <w:rPr>
          <w:rFonts w:ascii="Arial;Helvetica;sans-serif" w:hAnsi="Arial;Helvetica;sans-serif"/>
          <w:color w:val="72288A"/>
          <w:sz w:val="24"/>
        </w:rPr>
        <w:t>Governance and Other Considerations Impacting Viatris Compensation Decisions</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The Compensation Committee and Board proactively consider external governance-related developments and trends relating to executive compensation. In setting or approving executive compensation, the Compensation Committee and Board may consider, in addition to any corporate goals and objectives applicable to an individual executive, some or all of the following: recognition of individual performance and contributions; pay for performance; alignment with long-term shareholder interests; advancement of Company strategic goals; maintenance of an appropriate level of fixed and at-risk compensation; remaining competitive with companies within the Company’s peer group; competition for executive talent; internal pay equity; leadership and mentoring skills and contributions; talent management; contributions to establishment or execution of corporate strategy; retention; compliance with applicable law and the Code of Business Conduct and Ethics and Company policy; and/or any other factors determined by the Board or the Compensation Committee to be in the interests of the Company. </w:t>
      </w:r>
    </w:p>
    <w:tbl>
      <w:tblPr>
        <w:tblW w:w="4980" w:type="dxa"/>
        <w:jc w:val="left"/>
        <w:tblInd w:w="106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52 | 2025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214"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84" descr=""/>
                          <pic:cNvPicPr>
                            <a:picLocks noChangeAspect="1" noChangeArrowheads="1"/>
                          </pic:cNvPicPr>
                        </pic:nvPicPr>
                        <pic:blipFill>
                          <a:blip r:embed="rId201"/>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215"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85" descr=""/>
                    <pic:cNvPicPr>
                      <a:picLocks noChangeAspect="1" noChangeArrowheads="1"/>
                    </pic:cNvPicPr>
                  </pic:nvPicPr>
                  <pic:blipFill>
                    <a:blip r:embed="rId202"/>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37" w:name="ny20055082x771_def14a_110-cda_pg11"/>
        <w:bookmarkEnd w:id="13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right"/>
        <w:rPr>
          <w:caps/>
          <w:color w:val="1F1C6B"/>
          <w:u w:val="single"/>
        </w:rPr>
      </w:pPr>
      <w:r>
        <w:rPr>
          <w:caps/>
          <w:color w:val="1F1C6B"/>
          <w:u w:val="single"/>
        </w:rPr>
        <w:t> </w:t>
      </w:r>
      <w:r>
        <w:rPr>
          <w:rFonts w:ascii="Arial;Helvetica;sans-serif" w:hAnsi="Arial;Helvetica;sans-serif"/>
          <w:caps/>
          <w:color w:val="1F1C6B"/>
          <w:sz w:val="18"/>
          <w:u w:val="single"/>
        </w:rPr>
        <w:t>Compensation Discussion and Analysis </w:t>
      </w:r>
    </w:p>
    <w:p>
      <w:pPr>
        <w:pStyle w:val="TextBody"/>
        <w:bidi w:val="0"/>
        <w:spacing w:before="120" w:after="283"/>
        <w:ind w:left="1060" w:right="0" w:hanging="0"/>
        <w:jc w:val="left"/>
        <w:rPr/>
      </w:pPr>
      <w:r>
        <w:rPr>
          <w:rFonts w:ascii="Arial;Helvetica;sans-serif" w:hAnsi="Arial;Helvetica;sans-serif"/>
          <w:color w:val="636466"/>
          <w:sz w:val="18"/>
        </w:rPr>
        <w:t xml:space="preserve">The Compensation Committee and Board believe that each company must independently assess which market practices and trends are appropriate for the company at any particular time in the company’s history and remain fully committed to maintaining a strong compensation governance philosophy that is aligned with shareholder interests and best practices. See also page </w:t>
      </w:r>
      <w:hyperlink w:anchor="tECP">
        <w:r>
          <w:rPr>
            <w:rStyle w:val="InternetLink"/>
            <w:rFonts w:ascii="Arial;Helvetica;sans-serif" w:hAnsi="Arial;Helvetica;sans-serif"/>
            <w:color w:val="000080"/>
            <w:sz w:val="18"/>
          </w:rPr>
          <w:t>47</w:t>
        </w:r>
      </w:hyperlink>
      <w:r>
        <w:rPr>
          <w:rFonts w:ascii="Arial;Helvetica;sans-serif" w:hAnsi="Arial;Helvetica;sans-serif"/>
          <w:color w:val="636466"/>
          <w:sz w:val="18"/>
        </w:rPr>
        <w:t>.</w:t>
      </w:r>
    </w:p>
    <w:p>
      <w:pPr>
        <w:pStyle w:val="TextBody"/>
        <w:bidi w:val="0"/>
        <w:spacing w:before="430" w:after="283"/>
        <w:ind w:left="1060" w:right="0" w:hanging="0"/>
        <w:jc w:val="left"/>
        <w:rPr>
          <w:rFonts w:ascii="Arial;Helvetica;sans-serif" w:hAnsi="Arial;Helvetica;sans-serif"/>
          <w:color w:val="72288A"/>
          <w:sz w:val="24"/>
        </w:rPr>
      </w:pPr>
      <w:bookmarkStart w:id="138" w:name="tCTR"/>
      <w:bookmarkEnd w:id="138"/>
      <w:r>
        <w:rPr>
          <w:rFonts w:ascii="Arial;Helvetica;sans-serif" w:hAnsi="Arial;Helvetica;sans-serif"/>
          <w:color w:val="72288A"/>
          <w:sz w:val="24"/>
        </w:rPr>
        <w:t>Commitment to Responsible, Shareholder-Aligned Compensation Governance Practices</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The following table summarizes certain specific compensation-related governance practices adopted by the Compensation Committee and Board with respect to 2024 compensation. We note that implementation of many of these practices was responsive to comments from shareholders or otherwise endorsed by shareholders during our robust shareholder engagement program or prior Say-on-Pay votes.</w:t>
      </w:r>
    </w:p>
    <w:tbl>
      <w:tblPr>
        <w:tblW w:w="9145" w:type="dxa"/>
        <w:jc w:val="left"/>
        <w:tblInd w:w="1060" w:type="dxa"/>
        <w:tblLayout w:type="fixed"/>
        <w:tblCellMar>
          <w:top w:w="0" w:type="dxa"/>
          <w:left w:w="0" w:type="dxa"/>
          <w:bottom w:w="0" w:type="dxa"/>
          <w:right w:w="0" w:type="dxa"/>
        </w:tblCellMar>
      </w:tblPr>
      <w:tblGrid>
        <w:gridCol w:w="185"/>
        <w:gridCol w:w="235"/>
        <w:gridCol w:w="170"/>
        <w:gridCol w:w="170"/>
        <w:gridCol w:w="8169"/>
        <w:gridCol w:w="216"/>
      </w:tblGrid>
      <w:tr>
        <w:trPr/>
        <w:tc>
          <w:tcPr>
            <w:tcW w:w="185" w:type="dxa"/>
            <w:tcBorders/>
            <w:shd w:fill="1F1C6B" w:val="clear"/>
            <w:vAlign w:val="center"/>
          </w:tcPr>
          <w:p>
            <w:pPr>
              <w:pStyle w:val="TableContents"/>
              <w:bidi w:val="0"/>
              <w:spacing w:before="0" w:after="0"/>
              <w:jc w:val="left"/>
              <w:rPr/>
            </w:pPr>
            <w:r>
              <w:rPr/>
              <w:t> </w:t>
            </w:r>
          </w:p>
        </w:tc>
        <w:tc>
          <w:tcPr>
            <w:tcW w:w="8744" w:type="dxa"/>
            <w:gridSpan w:val="4"/>
            <w:tcBorders/>
            <w:shd w:fill="1F1C6B" w:val="clear"/>
            <w:vAlign w:val="center"/>
          </w:tcPr>
          <w:p>
            <w:pPr>
              <w:pStyle w:val="TableContents"/>
              <w:bidi w:val="0"/>
              <w:spacing w:before="0" w:after="0"/>
              <w:jc w:val="left"/>
              <w:rPr/>
            </w:pPr>
            <w:r>
              <w:rPr/>
              <w:t> </w:t>
            </w:r>
          </w:p>
        </w:tc>
        <w:tc>
          <w:tcPr>
            <w:tcW w:w="216"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8744" w:type="dxa"/>
            <w:gridSpan w:val="4"/>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What We Do</w:t>
            </w:r>
          </w:p>
        </w:tc>
        <w:tc>
          <w:tcPr>
            <w:tcW w:w="216"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5" w:type="dxa"/>
            <w:tcBorders/>
            <w:vAlign w:val="center"/>
          </w:tcPr>
          <w:p>
            <w:pPr>
              <w:pStyle w:val="TableContents"/>
              <w:bidi w:val="0"/>
              <w:spacing w:before="0" w:after="283"/>
              <w:ind w:left="30" w:right="0" w:hanging="0"/>
              <w:jc w:val="left"/>
              <w:rPr>
                <w:color w:val="636466"/>
              </w:rPr>
            </w:pPr>
            <w:r>
              <w:rPr>
                <w:color w:val="636466"/>
              </w:rPr>
              <w:drawing>
                <wp:inline distT="0" distB="0" distL="0" distR="0">
                  <wp:extent cx="85725" cy="76200"/>
                  <wp:effectExtent l="0" t="0" r="0" b="0"/>
                  <wp:docPr id="216"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86" descr=""/>
                          <pic:cNvPicPr>
                            <a:picLocks noChangeAspect="1" noChangeArrowheads="1"/>
                          </pic:cNvPicPr>
                        </pic:nvPicPr>
                        <pic:blipFill>
                          <a:blip r:embed="rId203"/>
                          <a:stretch>
                            <a:fillRect/>
                          </a:stretch>
                        </pic:blipFill>
                        <pic:spPr bwMode="auto">
                          <a:xfrm>
                            <a:off x="0" y="0"/>
                            <a:ext cx="85725" cy="76200"/>
                          </a:xfrm>
                          <a:prstGeom prst="rect">
                            <a:avLst/>
                          </a:prstGeom>
                        </pic:spPr>
                      </pic:pic>
                    </a:graphicData>
                  </a:graphic>
                </wp:inline>
              </w:drawing>
            </w: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69"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Maintain a significant portion of compensation aligned with shareholder interests and tied to share price or financial and operational business performance.</w:t>
            </w:r>
          </w:p>
        </w:tc>
        <w:tc>
          <w:tcPr>
            <w:tcW w:w="216"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35" w:type="dxa"/>
            <w:tcBorders/>
            <w:shd w:fill="E7E0EF" w:val="clear"/>
            <w:vAlign w:val="center"/>
          </w:tcPr>
          <w:p>
            <w:pPr>
              <w:pStyle w:val="TableContents"/>
              <w:bidi w:val="0"/>
              <w:spacing w:before="0" w:after="283"/>
              <w:ind w:left="30" w:right="0" w:hanging="0"/>
              <w:jc w:val="left"/>
              <w:rPr>
                <w:color w:val="636466"/>
              </w:rPr>
            </w:pPr>
            <w:r>
              <w:rPr>
                <w:color w:val="636466"/>
              </w:rPr>
              <w:drawing>
                <wp:inline distT="0" distB="0" distL="0" distR="0">
                  <wp:extent cx="85725" cy="76200"/>
                  <wp:effectExtent l="0" t="0" r="0" b="0"/>
                  <wp:docPr id="217"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87" descr=""/>
                          <pic:cNvPicPr>
                            <a:picLocks noChangeAspect="1" noChangeArrowheads="1"/>
                          </pic:cNvPicPr>
                        </pic:nvPicPr>
                        <pic:blipFill>
                          <a:blip r:embed="rId204"/>
                          <a:stretch>
                            <a:fillRect/>
                          </a:stretch>
                        </pic:blipFill>
                        <pic:spPr bwMode="auto">
                          <a:xfrm>
                            <a:off x="0" y="0"/>
                            <a:ext cx="85725" cy="76200"/>
                          </a:xfrm>
                          <a:prstGeom prst="rect">
                            <a:avLst/>
                          </a:prstGeom>
                        </pic:spPr>
                      </pic:pic>
                    </a:graphicData>
                  </a:graphic>
                </wp:inline>
              </w:drawing>
            </w: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169"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Employ metrics for annual and long-term incentives that support both short- and long-term strategies and align with shareholder interests, including a non-financial metric in the annual program tied to important product development initiatives.</w:t>
            </w:r>
          </w:p>
        </w:tc>
        <w:tc>
          <w:tcPr>
            <w:tcW w:w="216"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5" w:type="dxa"/>
            <w:tcBorders/>
            <w:vAlign w:val="center"/>
          </w:tcPr>
          <w:p>
            <w:pPr>
              <w:pStyle w:val="TableContents"/>
              <w:bidi w:val="0"/>
              <w:spacing w:before="0" w:after="283"/>
              <w:ind w:left="30" w:right="0" w:hanging="0"/>
              <w:jc w:val="left"/>
              <w:rPr>
                <w:color w:val="636466"/>
              </w:rPr>
            </w:pPr>
            <w:r>
              <w:rPr>
                <w:color w:val="636466"/>
              </w:rPr>
              <w:drawing>
                <wp:inline distT="0" distB="0" distL="0" distR="0">
                  <wp:extent cx="85725" cy="76200"/>
                  <wp:effectExtent l="0" t="0" r="0" b="0"/>
                  <wp:docPr id="218"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88" descr=""/>
                          <pic:cNvPicPr>
                            <a:picLocks noChangeAspect="1" noChangeArrowheads="1"/>
                          </pic:cNvPicPr>
                        </pic:nvPicPr>
                        <pic:blipFill>
                          <a:blip r:embed="rId205"/>
                          <a:stretch>
                            <a:fillRect/>
                          </a:stretch>
                        </pic:blipFill>
                        <pic:spPr bwMode="auto">
                          <a:xfrm>
                            <a:off x="0" y="0"/>
                            <a:ext cx="85725" cy="76200"/>
                          </a:xfrm>
                          <a:prstGeom prst="rect">
                            <a:avLst/>
                          </a:prstGeom>
                        </pic:spPr>
                      </pic:pic>
                    </a:graphicData>
                  </a:graphic>
                </wp:inline>
              </w:drawing>
            </w: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69"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Base long-term incentives heavily on performance-based metrics and short-term incentives entirely on performance-based metrics.</w:t>
            </w:r>
          </w:p>
        </w:tc>
        <w:tc>
          <w:tcPr>
            <w:tcW w:w="216"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35" w:type="dxa"/>
            <w:tcBorders/>
            <w:shd w:fill="E7E0EF" w:val="clear"/>
            <w:vAlign w:val="center"/>
          </w:tcPr>
          <w:p>
            <w:pPr>
              <w:pStyle w:val="TableContents"/>
              <w:bidi w:val="0"/>
              <w:spacing w:before="0" w:after="283"/>
              <w:ind w:left="30" w:right="0" w:hanging="0"/>
              <w:jc w:val="left"/>
              <w:rPr>
                <w:color w:val="636466"/>
              </w:rPr>
            </w:pPr>
            <w:r>
              <w:rPr>
                <w:color w:val="636466"/>
              </w:rPr>
              <w:drawing>
                <wp:inline distT="0" distB="0" distL="0" distR="0">
                  <wp:extent cx="85725" cy="76200"/>
                  <wp:effectExtent l="0" t="0" r="0" b="0"/>
                  <wp:docPr id="219"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89" descr=""/>
                          <pic:cNvPicPr>
                            <a:picLocks noChangeAspect="1" noChangeArrowheads="1"/>
                          </pic:cNvPicPr>
                        </pic:nvPicPr>
                        <pic:blipFill>
                          <a:blip r:embed="rId206"/>
                          <a:stretch>
                            <a:fillRect/>
                          </a:stretch>
                        </pic:blipFill>
                        <pic:spPr bwMode="auto">
                          <a:xfrm>
                            <a:off x="0" y="0"/>
                            <a:ext cx="85725" cy="76200"/>
                          </a:xfrm>
                          <a:prstGeom prst="rect">
                            <a:avLst/>
                          </a:prstGeom>
                        </pic:spPr>
                      </pic:pic>
                    </a:graphicData>
                  </a:graphic>
                </wp:inline>
              </w:drawing>
            </w: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169"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Set rigorous and measurable performance goals and periodically review and discuss our executives’ performance.</w:t>
            </w:r>
          </w:p>
        </w:tc>
        <w:tc>
          <w:tcPr>
            <w:tcW w:w="216"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5" w:type="dxa"/>
            <w:tcBorders/>
            <w:vAlign w:val="center"/>
          </w:tcPr>
          <w:p>
            <w:pPr>
              <w:pStyle w:val="TableContents"/>
              <w:bidi w:val="0"/>
              <w:spacing w:before="0" w:after="283"/>
              <w:ind w:left="30" w:right="0" w:hanging="0"/>
              <w:jc w:val="left"/>
              <w:rPr>
                <w:color w:val="636466"/>
              </w:rPr>
            </w:pPr>
            <w:r>
              <w:rPr>
                <w:color w:val="636466"/>
              </w:rPr>
              <w:drawing>
                <wp:inline distT="0" distB="0" distL="0" distR="0">
                  <wp:extent cx="85725" cy="76200"/>
                  <wp:effectExtent l="0" t="0" r="0" b="0"/>
                  <wp:docPr id="220"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90" descr=""/>
                          <pic:cNvPicPr>
                            <a:picLocks noChangeAspect="1" noChangeArrowheads="1"/>
                          </pic:cNvPicPr>
                        </pic:nvPicPr>
                        <pic:blipFill>
                          <a:blip r:embed="rId207"/>
                          <a:stretch>
                            <a:fillRect/>
                          </a:stretch>
                        </pic:blipFill>
                        <pic:spPr bwMode="auto">
                          <a:xfrm>
                            <a:off x="0" y="0"/>
                            <a:ext cx="85725" cy="76200"/>
                          </a:xfrm>
                          <a:prstGeom prst="rect">
                            <a:avLst/>
                          </a:prstGeom>
                        </pic:spPr>
                      </pic:pic>
                    </a:graphicData>
                  </a:graphic>
                </wp:inline>
              </w:drawing>
            </w: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69"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Use double-trigger vesting for annual long-term incentive awards upon a change in control.</w:t>
            </w:r>
          </w:p>
        </w:tc>
        <w:tc>
          <w:tcPr>
            <w:tcW w:w="216"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35" w:type="dxa"/>
            <w:tcBorders/>
            <w:shd w:fill="E7E0EF" w:val="clear"/>
            <w:vAlign w:val="center"/>
          </w:tcPr>
          <w:p>
            <w:pPr>
              <w:pStyle w:val="TableContents"/>
              <w:bidi w:val="0"/>
              <w:spacing w:before="0" w:after="283"/>
              <w:ind w:left="30" w:right="0" w:hanging="0"/>
              <w:jc w:val="left"/>
              <w:rPr>
                <w:color w:val="636466"/>
              </w:rPr>
            </w:pPr>
            <w:r>
              <w:rPr>
                <w:color w:val="636466"/>
              </w:rPr>
              <w:drawing>
                <wp:inline distT="0" distB="0" distL="0" distR="0">
                  <wp:extent cx="85725" cy="76200"/>
                  <wp:effectExtent l="0" t="0" r="0" b="0"/>
                  <wp:docPr id="221"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91" descr=""/>
                          <pic:cNvPicPr>
                            <a:picLocks noChangeAspect="1" noChangeArrowheads="1"/>
                          </pic:cNvPicPr>
                        </pic:nvPicPr>
                        <pic:blipFill>
                          <a:blip r:embed="rId208"/>
                          <a:stretch>
                            <a:fillRect/>
                          </a:stretch>
                        </pic:blipFill>
                        <pic:spPr bwMode="auto">
                          <a:xfrm>
                            <a:off x="0" y="0"/>
                            <a:ext cx="85725" cy="76200"/>
                          </a:xfrm>
                          <a:prstGeom prst="rect">
                            <a:avLst/>
                          </a:prstGeom>
                        </pic:spPr>
                      </pic:pic>
                    </a:graphicData>
                  </a:graphic>
                </wp:inline>
              </w:drawing>
            </w: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169"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Retain independent compensation consultants that report directly to the Compensation Committee.</w:t>
            </w:r>
          </w:p>
        </w:tc>
        <w:tc>
          <w:tcPr>
            <w:tcW w:w="216"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5" w:type="dxa"/>
            <w:tcBorders/>
            <w:vAlign w:val="center"/>
          </w:tcPr>
          <w:p>
            <w:pPr>
              <w:pStyle w:val="TableContents"/>
              <w:bidi w:val="0"/>
              <w:spacing w:before="0" w:after="283"/>
              <w:ind w:left="30" w:right="0" w:hanging="0"/>
              <w:jc w:val="left"/>
              <w:rPr>
                <w:color w:val="636466"/>
              </w:rPr>
            </w:pPr>
            <w:r>
              <w:rPr>
                <w:color w:val="636466"/>
              </w:rPr>
              <w:drawing>
                <wp:inline distT="0" distB="0" distL="0" distR="0">
                  <wp:extent cx="85725" cy="76200"/>
                  <wp:effectExtent l="0" t="0" r="0" b="0"/>
                  <wp:docPr id="222"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92" descr=""/>
                          <pic:cNvPicPr>
                            <a:picLocks noChangeAspect="1" noChangeArrowheads="1"/>
                          </pic:cNvPicPr>
                        </pic:nvPicPr>
                        <pic:blipFill>
                          <a:blip r:embed="rId209"/>
                          <a:stretch>
                            <a:fillRect/>
                          </a:stretch>
                        </pic:blipFill>
                        <pic:spPr bwMode="auto">
                          <a:xfrm>
                            <a:off x="0" y="0"/>
                            <a:ext cx="85725" cy="76200"/>
                          </a:xfrm>
                          <a:prstGeom prst="rect">
                            <a:avLst/>
                          </a:prstGeom>
                        </pic:spPr>
                      </pic:pic>
                    </a:graphicData>
                  </a:graphic>
                </wp:inline>
              </w:drawing>
            </w: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69"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Maintain strong share ownership guidelines.</w:t>
            </w:r>
          </w:p>
        </w:tc>
        <w:tc>
          <w:tcPr>
            <w:tcW w:w="216"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35" w:type="dxa"/>
            <w:tcBorders/>
            <w:shd w:fill="E7E0EF" w:val="clear"/>
            <w:vAlign w:val="center"/>
          </w:tcPr>
          <w:p>
            <w:pPr>
              <w:pStyle w:val="TableContents"/>
              <w:bidi w:val="0"/>
              <w:spacing w:before="0" w:after="283"/>
              <w:ind w:left="30" w:right="0" w:hanging="0"/>
              <w:jc w:val="left"/>
              <w:rPr>
                <w:color w:val="636466"/>
              </w:rPr>
            </w:pPr>
            <w:r>
              <w:rPr>
                <w:color w:val="636466"/>
              </w:rPr>
              <w:drawing>
                <wp:inline distT="0" distB="0" distL="0" distR="0">
                  <wp:extent cx="85725" cy="76200"/>
                  <wp:effectExtent l="0" t="0" r="0" b="0"/>
                  <wp:docPr id="223"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93" descr=""/>
                          <pic:cNvPicPr>
                            <a:picLocks noChangeAspect="1" noChangeArrowheads="1"/>
                          </pic:cNvPicPr>
                        </pic:nvPicPr>
                        <pic:blipFill>
                          <a:blip r:embed="rId210"/>
                          <a:stretch>
                            <a:fillRect/>
                          </a:stretch>
                        </pic:blipFill>
                        <pic:spPr bwMode="auto">
                          <a:xfrm>
                            <a:off x="0" y="0"/>
                            <a:ext cx="85725" cy="76200"/>
                          </a:xfrm>
                          <a:prstGeom prst="rect">
                            <a:avLst/>
                          </a:prstGeom>
                        </pic:spPr>
                      </pic:pic>
                    </a:graphicData>
                  </a:graphic>
                </wp:inline>
              </w:drawing>
            </w: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169"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Maintain a robust clawback policy.</w:t>
            </w:r>
          </w:p>
        </w:tc>
        <w:tc>
          <w:tcPr>
            <w:tcW w:w="216"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5" w:type="dxa"/>
            <w:tcBorders/>
            <w:vAlign w:val="center"/>
          </w:tcPr>
          <w:p>
            <w:pPr>
              <w:pStyle w:val="TableContents"/>
              <w:bidi w:val="0"/>
              <w:spacing w:before="0" w:after="283"/>
              <w:ind w:left="30" w:right="0" w:hanging="0"/>
              <w:jc w:val="left"/>
              <w:rPr>
                <w:color w:val="636466"/>
              </w:rPr>
            </w:pPr>
            <w:r>
              <w:rPr>
                <w:color w:val="636466"/>
              </w:rPr>
              <w:drawing>
                <wp:inline distT="0" distB="0" distL="0" distR="0">
                  <wp:extent cx="85725" cy="76200"/>
                  <wp:effectExtent l="0" t="0" r="0" b="0"/>
                  <wp:docPr id="224"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94" descr=""/>
                          <pic:cNvPicPr>
                            <a:picLocks noChangeAspect="1" noChangeArrowheads="1"/>
                          </pic:cNvPicPr>
                        </pic:nvPicPr>
                        <pic:blipFill>
                          <a:blip r:embed="rId211"/>
                          <a:stretch>
                            <a:fillRect/>
                          </a:stretch>
                        </pic:blipFill>
                        <pic:spPr bwMode="auto">
                          <a:xfrm>
                            <a:off x="0" y="0"/>
                            <a:ext cx="85725" cy="76200"/>
                          </a:xfrm>
                          <a:prstGeom prst="rect">
                            <a:avLst/>
                          </a:prstGeom>
                        </pic:spPr>
                      </pic:pic>
                    </a:graphicData>
                  </a:graphic>
                </wp:inline>
              </w:drawing>
            </w: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69"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Engage with shareholders on compensation and governance matters.</w:t>
            </w:r>
          </w:p>
        </w:tc>
        <w:tc>
          <w:tcPr>
            <w:tcW w:w="216"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35" w:type="dxa"/>
            <w:tcBorders/>
            <w:shd w:fill="E7E0EF" w:val="clear"/>
            <w:vAlign w:val="center"/>
          </w:tcPr>
          <w:p>
            <w:pPr>
              <w:pStyle w:val="TableContents"/>
              <w:bidi w:val="0"/>
              <w:spacing w:before="0" w:after="283"/>
              <w:ind w:left="30" w:right="0" w:hanging="0"/>
              <w:jc w:val="left"/>
              <w:rPr>
                <w:color w:val="636466"/>
              </w:rPr>
            </w:pPr>
            <w:r>
              <w:rPr>
                <w:color w:val="636466"/>
              </w:rPr>
              <w:drawing>
                <wp:inline distT="0" distB="0" distL="0" distR="0">
                  <wp:extent cx="85725" cy="76200"/>
                  <wp:effectExtent l="0" t="0" r="0" b="0"/>
                  <wp:docPr id="225"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95" descr=""/>
                          <pic:cNvPicPr>
                            <a:picLocks noChangeAspect="1" noChangeArrowheads="1"/>
                          </pic:cNvPicPr>
                        </pic:nvPicPr>
                        <pic:blipFill>
                          <a:blip r:embed="rId212"/>
                          <a:stretch>
                            <a:fillRect/>
                          </a:stretch>
                        </pic:blipFill>
                        <pic:spPr bwMode="auto">
                          <a:xfrm>
                            <a:off x="0" y="0"/>
                            <a:ext cx="85725" cy="76200"/>
                          </a:xfrm>
                          <a:prstGeom prst="rect">
                            <a:avLst/>
                          </a:prstGeom>
                        </pic:spPr>
                      </pic:pic>
                    </a:graphicData>
                  </a:graphic>
                </wp:inline>
              </w:drawing>
            </w: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169"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Consider peer groups and market data in determining compensation.</w:t>
            </w:r>
          </w:p>
        </w:tc>
        <w:tc>
          <w:tcPr>
            <w:tcW w:w="216"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5" w:type="dxa"/>
            <w:tcBorders/>
            <w:vAlign w:val="center"/>
          </w:tcPr>
          <w:p>
            <w:pPr>
              <w:pStyle w:val="TableContents"/>
              <w:bidi w:val="0"/>
              <w:spacing w:before="0" w:after="283"/>
              <w:ind w:left="30" w:right="0" w:hanging="0"/>
              <w:jc w:val="left"/>
              <w:rPr>
                <w:color w:val="636466"/>
              </w:rPr>
            </w:pPr>
            <w:r>
              <w:rPr>
                <w:color w:val="636466"/>
              </w:rPr>
              <w:drawing>
                <wp:inline distT="0" distB="0" distL="0" distR="0">
                  <wp:extent cx="85725" cy="76200"/>
                  <wp:effectExtent l="0" t="0" r="0" b="0"/>
                  <wp:docPr id="226"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96" descr=""/>
                          <pic:cNvPicPr>
                            <a:picLocks noChangeAspect="1" noChangeArrowheads="1"/>
                          </pic:cNvPicPr>
                        </pic:nvPicPr>
                        <pic:blipFill>
                          <a:blip r:embed="rId213"/>
                          <a:stretch>
                            <a:fillRect/>
                          </a:stretch>
                        </pic:blipFill>
                        <pic:spPr bwMode="auto">
                          <a:xfrm>
                            <a:off x="0" y="0"/>
                            <a:ext cx="85725" cy="76200"/>
                          </a:xfrm>
                          <a:prstGeom prst="rect">
                            <a:avLst/>
                          </a:prstGeom>
                        </pic:spPr>
                      </pic:pic>
                    </a:graphicData>
                  </a:graphic>
                </wp:inline>
              </w:drawing>
            </w: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69"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Annual Say-on-Pay vote.</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69"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9145" w:type="dxa"/>
        <w:jc w:val="left"/>
        <w:tblInd w:w="1060" w:type="dxa"/>
        <w:tblLayout w:type="fixed"/>
        <w:tblCellMar>
          <w:top w:w="0" w:type="dxa"/>
          <w:left w:w="0" w:type="dxa"/>
          <w:bottom w:w="0" w:type="dxa"/>
          <w:right w:w="0" w:type="dxa"/>
        </w:tblCellMar>
      </w:tblPr>
      <w:tblGrid>
        <w:gridCol w:w="185"/>
        <w:gridCol w:w="255"/>
        <w:gridCol w:w="170"/>
        <w:gridCol w:w="170"/>
        <w:gridCol w:w="8149"/>
        <w:gridCol w:w="216"/>
      </w:tblGrid>
      <w:tr>
        <w:trPr/>
        <w:tc>
          <w:tcPr>
            <w:tcW w:w="185" w:type="dxa"/>
            <w:tcBorders/>
            <w:shd w:fill="1F1C6B" w:val="clear"/>
            <w:vAlign w:val="center"/>
          </w:tcPr>
          <w:p>
            <w:pPr>
              <w:pStyle w:val="TableContents"/>
              <w:bidi w:val="0"/>
              <w:spacing w:before="0" w:after="0"/>
              <w:jc w:val="left"/>
              <w:rPr/>
            </w:pPr>
            <w:r>
              <w:rPr/>
              <w:t> </w:t>
            </w:r>
          </w:p>
        </w:tc>
        <w:tc>
          <w:tcPr>
            <w:tcW w:w="8744" w:type="dxa"/>
            <w:gridSpan w:val="4"/>
            <w:tcBorders/>
            <w:shd w:fill="1F1C6B" w:val="clear"/>
            <w:vAlign w:val="center"/>
          </w:tcPr>
          <w:p>
            <w:pPr>
              <w:pStyle w:val="TableContents"/>
              <w:bidi w:val="0"/>
              <w:spacing w:before="0" w:after="0"/>
              <w:jc w:val="left"/>
              <w:rPr/>
            </w:pPr>
            <w:r>
              <w:rPr/>
              <w:t> </w:t>
            </w:r>
          </w:p>
        </w:tc>
        <w:tc>
          <w:tcPr>
            <w:tcW w:w="216"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8744" w:type="dxa"/>
            <w:gridSpan w:val="4"/>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What We Don’t Do</w:t>
            </w:r>
          </w:p>
        </w:tc>
        <w:tc>
          <w:tcPr>
            <w:tcW w:w="216"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5" w:type="dxa"/>
            <w:tcBorders/>
            <w:vAlign w:val="center"/>
          </w:tcPr>
          <w:p>
            <w:pPr>
              <w:pStyle w:val="TableContents"/>
              <w:bidi w:val="0"/>
              <w:spacing w:before="0" w:after="283"/>
              <w:ind w:left="30" w:right="0" w:hanging="0"/>
              <w:jc w:val="left"/>
              <w:rPr>
                <w:color w:val="636466"/>
              </w:rPr>
            </w:pPr>
            <w:r>
              <w:rPr>
                <w:color w:val="636466"/>
              </w:rPr>
              <w:drawing>
                <wp:inline distT="0" distB="0" distL="0" distR="0">
                  <wp:extent cx="76200" cy="76200"/>
                  <wp:effectExtent l="0" t="0" r="0" b="0"/>
                  <wp:docPr id="227"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97" descr=""/>
                          <pic:cNvPicPr>
                            <a:picLocks noChangeAspect="1" noChangeArrowheads="1"/>
                          </pic:cNvPicPr>
                        </pic:nvPicPr>
                        <pic:blipFill>
                          <a:blip r:embed="rId214"/>
                          <a:stretch>
                            <a:fillRect/>
                          </a:stretch>
                        </pic:blipFill>
                        <pic:spPr bwMode="auto">
                          <a:xfrm>
                            <a:off x="0" y="0"/>
                            <a:ext cx="76200" cy="76200"/>
                          </a:xfrm>
                          <a:prstGeom prst="rect">
                            <a:avLst/>
                          </a:prstGeom>
                        </pic:spPr>
                      </pic:pic>
                    </a:graphicData>
                  </a:graphic>
                </wp:inline>
              </w:drawing>
            </w: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49"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New fixed-term NEO employment agreements.</w:t>
            </w:r>
          </w:p>
        </w:tc>
        <w:tc>
          <w:tcPr>
            <w:tcW w:w="216"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55" w:type="dxa"/>
            <w:tcBorders/>
            <w:shd w:fill="E7E0EF" w:val="clear"/>
            <w:vAlign w:val="center"/>
          </w:tcPr>
          <w:p>
            <w:pPr>
              <w:pStyle w:val="TableContents"/>
              <w:bidi w:val="0"/>
              <w:spacing w:before="0" w:after="283"/>
              <w:ind w:left="30" w:right="0" w:hanging="0"/>
              <w:jc w:val="left"/>
              <w:rPr>
                <w:color w:val="636466"/>
              </w:rPr>
            </w:pPr>
            <w:r>
              <w:rPr>
                <w:color w:val="636466"/>
              </w:rPr>
              <w:drawing>
                <wp:inline distT="0" distB="0" distL="0" distR="0">
                  <wp:extent cx="76200" cy="76200"/>
                  <wp:effectExtent l="0" t="0" r="0" b="0"/>
                  <wp:docPr id="228"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98" descr=""/>
                          <pic:cNvPicPr>
                            <a:picLocks noChangeAspect="1" noChangeArrowheads="1"/>
                          </pic:cNvPicPr>
                        </pic:nvPicPr>
                        <pic:blipFill>
                          <a:blip r:embed="rId215"/>
                          <a:stretch>
                            <a:fillRect/>
                          </a:stretch>
                        </pic:blipFill>
                        <pic:spPr bwMode="auto">
                          <a:xfrm>
                            <a:off x="0" y="0"/>
                            <a:ext cx="76200" cy="76200"/>
                          </a:xfrm>
                          <a:prstGeom prst="rect">
                            <a:avLst/>
                          </a:prstGeom>
                        </pic:spPr>
                      </pic:pic>
                    </a:graphicData>
                  </a:graphic>
                </wp:inline>
              </w:drawing>
            </w: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149"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Excise tax gross-ups.</w:t>
            </w:r>
          </w:p>
        </w:tc>
        <w:tc>
          <w:tcPr>
            <w:tcW w:w="216"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5" w:type="dxa"/>
            <w:tcBorders/>
            <w:vAlign w:val="center"/>
          </w:tcPr>
          <w:p>
            <w:pPr>
              <w:pStyle w:val="TableContents"/>
              <w:bidi w:val="0"/>
              <w:spacing w:before="0" w:after="283"/>
              <w:ind w:left="30" w:right="0" w:hanging="0"/>
              <w:jc w:val="left"/>
              <w:rPr>
                <w:color w:val="636466"/>
              </w:rPr>
            </w:pPr>
            <w:r>
              <w:rPr>
                <w:color w:val="636466"/>
              </w:rPr>
              <w:drawing>
                <wp:inline distT="0" distB="0" distL="0" distR="0">
                  <wp:extent cx="76200" cy="76200"/>
                  <wp:effectExtent l="0" t="0" r="0" b="0"/>
                  <wp:docPr id="229"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99" descr=""/>
                          <pic:cNvPicPr>
                            <a:picLocks noChangeAspect="1" noChangeArrowheads="1"/>
                          </pic:cNvPicPr>
                        </pic:nvPicPr>
                        <pic:blipFill>
                          <a:blip r:embed="rId216"/>
                          <a:stretch>
                            <a:fillRect/>
                          </a:stretch>
                        </pic:blipFill>
                        <pic:spPr bwMode="auto">
                          <a:xfrm>
                            <a:off x="0" y="0"/>
                            <a:ext cx="76200" cy="76200"/>
                          </a:xfrm>
                          <a:prstGeom prst="rect">
                            <a:avLst/>
                          </a:prstGeom>
                        </pic:spPr>
                      </pic:pic>
                    </a:graphicData>
                  </a:graphic>
                </wp:inline>
              </w:drawing>
            </w: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49"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Supplemental retirement agreements.</w:t>
            </w:r>
          </w:p>
        </w:tc>
        <w:tc>
          <w:tcPr>
            <w:tcW w:w="216"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55" w:type="dxa"/>
            <w:tcBorders/>
            <w:shd w:fill="E7E0EF" w:val="clear"/>
            <w:vAlign w:val="center"/>
          </w:tcPr>
          <w:p>
            <w:pPr>
              <w:pStyle w:val="TableContents"/>
              <w:bidi w:val="0"/>
              <w:spacing w:before="0" w:after="283"/>
              <w:ind w:left="30" w:right="0" w:hanging="0"/>
              <w:jc w:val="left"/>
              <w:rPr>
                <w:color w:val="636466"/>
              </w:rPr>
            </w:pPr>
            <w:r>
              <w:rPr>
                <w:color w:val="636466"/>
              </w:rPr>
              <w:drawing>
                <wp:inline distT="0" distB="0" distL="0" distR="0">
                  <wp:extent cx="76200" cy="76200"/>
                  <wp:effectExtent l="0" t="0" r="0" b="0"/>
                  <wp:docPr id="230"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00" descr=""/>
                          <pic:cNvPicPr>
                            <a:picLocks noChangeAspect="1" noChangeArrowheads="1"/>
                          </pic:cNvPicPr>
                        </pic:nvPicPr>
                        <pic:blipFill>
                          <a:blip r:embed="rId217"/>
                          <a:stretch>
                            <a:fillRect/>
                          </a:stretch>
                        </pic:blipFill>
                        <pic:spPr bwMode="auto">
                          <a:xfrm>
                            <a:off x="0" y="0"/>
                            <a:ext cx="76200" cy="76200"/>
                          </a:xfrm>
                          <a:prstGeom prst="rect">
                            <a:avLst/>
                          </a:prstGeom>
                        </pic:spPr>
                      </pic:pic>
                    </a:graphicData>
                  </a:graphic>
                </wp:inline>
              </w:drawing>
            </w: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149"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Exercise positive discretion in determining annual incentive compensation or LTI payouts.</w:t>
            </w:r>
          </w:p>
        </w:tc>
        <w:tc>
          <w:tcPr>
            <w:tcW w:w="216"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5" w:type="dxa"/>
            <w:tcBorders/>
            <w:vAlign w:val="center"/>
          </w:tcPr>
          <w:p>
            <w:pPr>
              <w:pStyle w:val="TableContents"/>
              <w:bidi w:val="0"/>
              <w:spacing w:before="0" w:after="283"/>
              <w:ind w:left="30" w:right="0" w:hanging="0"/>
              <w:jc w:val="left"/>
              <w:rPr>
                <w:color w:val="636466"/>
              </w:rPr>
            </w:pPr>
            <w:r>
              <w:rPr>
                <w:color w:val="636466"/>
              </w:rPr>
              <w:drawing>
                <wp:inline distT="0" distB="0" distL="0" distR="0">
                  <wp:extent cx="76200" cy="76200"/>
                  <wp:effectExtent l="0" t="0" r="0" b="0"/>
                  <wp:docPr id="231"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01" descr=""/>
                          <pic:cNvPicPr>
                            <a:picLocks noChangeAspect="1" noChangeArrowheads="1"/>
                          </pic:cNvPicPr>
                        </pic:nvPicPr>
                        <pic:blipFill>
                          <a:blip r:embed="rId218"/>
                          <a:stretch>
                            <a:fillRect/>
                          </a:stretch>
                        </pic:blipFill>
                        <pic:spPr bwMode="auto">
                          <a:xfrm>
                            <a:off x="0" y="0"/>
                            <a:ext cx="76200" cy="76200"/>
                          </a:xfrm>
                          <a:prstGeom prst="rect">
                            <a:avLst/>
                          </a:prstGeom>
                        </pic:spPr>
                      </pic:pic>
                    </a:graphicData>
                  </a:graphic>
                </wp:inline>
              </w:drawing>
            </w: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49"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Re-pricing of stock options without shareholder approval.</w:t>
            </w:r>
          </w:p>
        </w:tc>
        <w:tc>
          <w:tcPr>
            <w:tcW w:w="216"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55" w:type="dxa"/>
            <w:tcBorders/>
            <w:shd w:fill="E7E0EF" w:val="clear"/>
            <w:vAlign w:val="center"/>
          </w:tcPr>
          <w:p>
            <w:pPr>
              <w:pStyle w:val="TableContents"/>
              <w:bidi w:val="0"/>
              <w:spacing w:before="0" w:after="283"/>
              <w:ind w:left="30" w:right="0" w:hanging="0"/>
              <w:jc w:val="left"/>
              <w:rPr>
                <w:color w:val="636466"/>
              </w:rPr>
            </w:pPr>
            <w:r>
              <w:rPr>
                <w:color w:val="636466"/>
              </w:rPr>
              <w:drawing>
                <wp:inline distT="0" distB="0" distL="0" distR="0">
                  <wp:extent cx="76200" cy="76200"/>
                  <wp:effectExtent l="0" t="0" r="0" b="0"/>
                  <wp:docPr id="232"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02" descr=""/>
                          <pic:cNvPicPr>
                            <a:picLocks noChangeAspect="1" noChangeArrowheads="1"/>
                          </pic:cNvPicPr>
                        </pic:nvPicPr>
                        <pic:blipFill>
                          <a:blip r:embed="rId219"/>
                          <a:stretch>
                            <a:fillRect/>
                          </a:stretch>
                        </pic:blipFill>
                        <pic:spPr bwMode="auto">
                          <a:xfrm>
                            <a:off x="0" y="0"/>
                            <a:ext cx="76200" cy="76200"/>
                          </a:xfrm>
                          <a:prstGeom prst="rect">
                            <a:avLst/>
                          </a:prstGeom>
                        </pic:spPr>
                      </pic:pic>
                    </a:graphicData>
                  </a:graphic>
                </wp:inline>
              </w:drawing>
            </w: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149"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Hedging or pledging of shares.</w:t>
            </w:r>
          </w:p>
        </w:tc>
        <w:tc>
          <w:tcPr>
            <w:tcW w:w="216"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5" w:type="dxa"/>
            <w:tcBorders/>
            <w:vAlign w:val="center"/>
          </w:tcPr>
          <w:p>
            <w:pPr>
              <w:pStyle w:val="TableContents"/>
              <w:bidi w:val="0"/>
              <w:spacing w:before="0" w:after="283"/>
              <w:ind w:left="30" w:right="0" w:hanging="0"/>
              <w:jc w:val="left"/>
              <w:rPr>
                <w:color w:val="636466"/>
              </w:rPr>
            </w:pPr>
            <w:r>
              <w:rPr>
                <w:color w:val="636466"/>
              </w:rPr>
              <w:drawing>
                <wp:inline distT="0" distB="0" distL="0" distR="0">
                  <wp:extent cx="76200" cy="76200"/>
                  <wp:effectExtent l="0" t="0" r="0" b="0"/>
                  <wp:docPr id="233"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03" descr=""/>
                          <pic:cNvPicPr>
                            <a:picLocks noChangeAspect="1" noChangeArrowheads="1"/>
                          </pic:cNvPicPr>
                        </pic:nvPicPr>
                        <pic:blipFill>
                          <a:blip r:embed="rId220"/>
                          <a:stretch>
                            <a:fillRect/>
                          </a:stretch>
                        </pic:blipFill>
                        <pic:spPr bwMode="auto">
                          <a:xfrm>
                            <a:off x="0" y="0"/>
                            <a:ext cx="76200" cy="76200"/>
                          </a:xfrm>
                          <a:prstGeom prst="rect">
                            <a:avLst/>
                          </a:prstGeom>
                        </pic:spPr>
                      </pic:pic>
                    </a:graphicData>
                  </a:graphic>
                </wp:inline>
              </w:drawing>
            </w: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49"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New cash-based retention awards for NEOs without performance vesting conditions except in extraordinary situations or in connection with new hires.</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49"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360" w:after="283"/>
        <w:ind w:left="1060" w:right="0" w:hanging="0"/>
        <w:jc w:val="left"/>
        <w:rPr>
          <w:rFonts w:ascii="Arial;Helvetica;sans-serif" w:hAnsi="Arial;Helvetica;sans-serif"/>
          <w:color w:val="72288A"/>
          <w:sz w:val="24"/>
        </w:rPr>
      </w:pPr>
      <w:bookmarkStart w:id="139" w:name="tLP"/>
      <w:bookmarkEnd w:id="139"/>
      <w:r>
        <w:rPr>
          <w:rFonts w:ascii="Arial;Helvetica;sans-serif" w:hAnsi="Arial;Helvetica;sans-serif"/>
          <w:color w:val="72288A"/>
          <w:sz w:val="24"/>
        </w:rPr>
        <w:t>Limited Perquisites</w:t>
      </w:r>
    </w:p>
    <w:p>
      <w:pPr>
        <w:pStyle w:val="TextBody"/>
        <w:bidi w:val="0"/>
        <w:spacing w:before="20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We provide certain limited perquisites to our NEOs, including the following:</w:t>
      </w:r>
    </w:p>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Each NEO receives a car allowance and payment of certain ancillary expenses. The NEOs are responsible for paying any taxes incurred relating to this perquisite.</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Our NEOs take an extraordinarily active approach to overseeing and managing Viatris’ global operations, which necessitates and will continue to necessitate a significant amount of U.S. domestic and international travel time due to our diverse business  </w:t>
            </w:r>
          </w:p>
        </w:tc>
      </w:tr>
    </w:tbl>
    <w:tbl>
      <w:tblPr>
        <w:tblW w:w="4980" w:type="dxa"/>
        <w:jc w:val="left"/>
        <w:tblInd w:w="106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234"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04" descr=""/>
                          <pic:cNvPicPr>
                            <a:picLocks noChangeAspect="1" noChangeArrowheads="1"/>
                          </pic:cNvPicPr>
                        </pic:nvPicPr>
                        <pic:blipFill>
                          <a:blip r:embed="rId221"/>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Statement | 53</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235"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05" descr=""/>
                    <pic:cNvPicPr>
                      <a:picLocks noChangeAspect="1" noChangeArrowheads="1"/>
                    </pic:cNvPicPr>
                  </pic:nvPicPr>
                  <pic:blipFill>
                    <a:blip r:embed="rId222"/>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40" w:name="ny20055082x771_def14a_110-cda_pg12"/>
        <w:bookmarkEnd w:id="14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left"/>
        <w:rPr>
          <w:caps/>
          <w:color w:val="1F1C6B"/>
          <w:u w:val="single"/>
        </w:rPr>
      </w:pPr>
      <w:r>
        <w:rPr>
          <w:caps/>
          <w:color w:val="1F1C6B"/>
          <w:u w:val="single"/>
        </w:rPr>
        <w:t> </w:t>
      </w:r>
      <w:r>
        <w:rPr>
          <w:rFonts w:ascii="Arial;Helvetica;sans-serif" w:hAnsi="Arial;Helvetica;sans-serif"/>
          <w:caps/>
          <w:color w:val="1F1C6B"/>
          <w:sz w:val="18"/>
          <w:u w:val="single"/>
        </w:rPr>
        <w:t>Compensation Discussion and Analysis </w:t>
      </w:r>
    </w:p>
    <w:p>
      <w:pPr>
        <w:pStyle w:val="TextBody"/>
        <w:bidi w:val="0"/>
        <w:spacing w:before="120" w:after="283"/>
        <w:ind w:left="1260" w:right="0" w:hanging="0"/>
        <w:jc w:val="left"/>
        <w:rPr>
          <w:rFonts w:ascii="Arial;Helvetica;sans-serif" w:hAnsi="Arial;Helvetica;sans-serif"/>
          <w:color w:val="636466"/>
          <w:sz w:val="18"/>
        </w:rPr>
      </w:pPr>
      <w:r>
        <w:rPr>
          <w:rFonts w:ascii="Arial;Helvetica;sans-serif" w:hAnsi="Arial;Helvetica;sans-serif"/>
          <w:color w:val="636466"/>
          <w:sz w:val="18"/>
        </w:rPr>
        <w:t xml:space="preserve">centers, manufacturing and other facilities, and many client and vendor locations around the world. Viatris provides management with access to corporate aircraft to assist in the management of Viatris’ global platform by providing a more efficient and secure traveling environment, including where sensitive business issues may be discussed or reviewed, as well as maximum flexibility to our executives in the conduct of business. For reasons of business efficiency and continued security-related concerns (including personal security, especially given the global nature of Viatris’ business, as well as privacy of business information and communications), we also may from time to time require certain executives to use corporate aircraft for business and personal purposes. </w:t>
      </w:r>
    </w:p>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Because of continued security-related concerns, we may from time-to-time provide certain NEOs with personal security.</w:t>
            </w:r>
          </w:p>
        </w:tc>
      </w:tr>
    </w:tbl>
    <w:p>
      <w:pPr>
        <w:pStyle w:val="TextBody"/>
        <w:bidi w:val="0"/>
        <w:spacing w:before="430" w:after="283"/>
        <w:ind w:left="1060" w:right="0" w:hanging="0"/>
        <w:jc w:val="left"/>
        <w:rPr>
          <w:rFonts w:ascii="Arial;Helvetica;sans-serif" w:hAnsi="Arial;Helvetica;sans-serif"/>
          <w:color w:val="72288A"/>
          <w:sz w:val="24"/>
        </w:rPr>
      </w:pPr>
      <w:bookmarkStart w:id="141" w:name="tRP"/>
      <w:bookmarkEnd w:id="141"/>
      <w:r>
        <w:rPr>
          <w:rFonts w:ascii="Arial;Helvetica;sans-serif" w:hAnsi="Arial;Helvetica;sans-serif"/>
          <w:color w:val="72288A"/>
          <w:sz w:val="24"/>
        </w:rPr>
        <w:t>401(k) Restoration Plan</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The Restoration Plan permits employees (including NEOs) who earn compensation in excess of the limits imposed by Section 401(a)(17) of the Internal Revenue Code of 1986, as amended (the “Code”) to (i) defer a portion of base salary and bonus compensation, (ii) be credited with a Company matching contribution in respect of deferrals under the Restoration Plan, and (iii) be credited with Company non-elective contributions (to the extent made by Viatris), in each case, to the extent that participants otherwise would be able to defer or be credited with such amounts, as applicable, under Viatris’ 401(k) plan if not for the limits on contributions and deferrals imposed by the Code. Company matching contributions immediately vest and Company non-elective contributions are subject to an initial three-year vesting period. Upon a change in control (as defined in the Restoration Plan), a participant will become 100% vested in any unvested portion of his or her non-elective contributions. Distributions of such participant’s vested account balance will be made in a lump sum within 60 days following a participant’s separation from service (or such later date as may be required by Section 409A of the Code). </w:t>
      </w:r>
    </w:p>
    <w:p>
      <w:pPr>
        <w:pStyle w:val="TextBody"/>
        <w:bidi w:val="0"/>
        <w:spacing w:before="430" w:after="283"/>
        <w:ind w:left="1060" w:right="0" w:hanging="0"/>
        <w:jc w:val="left"/>
        <w:rPr>
          <w:rFonts w:ascii="Arial;Helvetica;sans-serif" w:hAnsi="Arial;Helvetica;sans-serif"/>
          <w:color w:val="72288A"/>
          <w:sz w:val="24"/>
        </w:rPr>
      </w:pPr>
      <w:bookmarkStart w:id="142" w:name="tSOR"/>
      <w:bookmarkEnd w:id="142"/>
      <w:r>
        <w:rPr>
          <w:rFonts w:ascii="Arial;Helvetica;sans-serif" w:hAnsi="Arial;Helvetica;sans-serif"/>
          <w:color w:val="72288A"/>
          <w:sz w:val="24"/>
        </w:rPr>
        <w:t xml:space="preserve">2024 Share Ownership Requirements </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Viatris maintains robust share ownership requirements for our NEOs. The requirement is expressed as a multiple of base salary and shown in the table below.</w:t>
      </w:r>
    </w:p>
    <w:tbl>
      <w:tblPr>
        <w:tblW w:w="3585" w:type="dxa"/>
        <w:jc w:val="left"/>
        <w:tblInd w:w="1060" w:type="dxa"/>
        <w:tblLayout w:type="fixed"/>
        <w:tblCellMar>
          <w:top w:w="0" w:type="dxa"/>
          <w:left w:w="0" w:type="dxa"/>
          <w:bottom w:w="0" w:type="dxa"/>
          <w:right w:w="0" w:type="dxa"/>
        </w:tblCellMar>
      </w:tblPr>
      <w:tblGrid>
        <w:gridCol w:w="185"/>
        <w:gridCol w:w="1775"/>
        <w:gridCol w:w="170"/>
        <w:gridCol w:w="170"/>
        <w:gridCol w:w="1070"/>
        <w:gridCol w:w="215"/>
      </w:tblGrid>
      <w:tr>
        <w:trPr/>
        <w:tc>
          <w:tcPr>
            <w:tcW w:w="185" w:type="dxa"/>
            <w:tcBorders/>
            <w:shd w:fill="1F1C6B" w:val="clear"/>
            <w:vAlign w:val="center"/>
          </w:tcPr>
          <w:p>
            <w:pPr>
              <w:pStyle w:val="TableContents"/>
              <w:bidi w:val="0"/>
              <w:spacing w:before="0" w:after="0"/>
              <w:jc w:val="left"/>
              <w:rPr/>
            </w:pPr>
            <w:r>
              <w:rPr/>
              <w:t> </w:t>
            </w:r>
          </w:p>
        </w:tc>
        <w:tc>
          <w:tcPr>
            <w:tcW w:w="177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70"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1775"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Position</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7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Ownership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Requirement</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 xml:space="preserve">Chief Executive Officer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455" w:right="0" w:hanging="0"/>
              <w:jc w:val="left"/>
              <w:rPr>
                <w:rFonts w:ascii="Arial;Helvetica;sans-serif" w:hAnsi="Arial;Helvetica;sans-serif"/>
                <w:color w:val="636466"/>
                <w:sz w:val="16"/>
              </w:rPr>
            </w:pPr>
            <w:r>
              <w:rPr>
                <w:rFonts w:ascii="Arial;Helvetica;sans-serif" w:hAnsi="Arial;Helvetica;sans-serif"/>
                <w:color w:val="636466"/>
                <w:sz w:val="16"/>
              </w:rPr>
              <w:t>6x</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775"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 xml:space="preserve">Chief Financial Officer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70" w:type="dxa"/>
            <w:tcBorders/>
            <w:shd w:fill="E7E0EF" w:val="clear"/>
            <w:vAlign w:val="center"/>
          </w:tcPr>
          <w:p>
            <w:pPr>
              <w:pStyle w:val="TableContents"/>
              <w:bidi w:val="0"/>
              <w:spacing w:before="0" w:after="283"/>
              <w:ind w:left="455" w:right="0" w:hanging="0"/>
              <w:jc w:val="left"/>
              <w:rPr>
                <w:rFonts w:ascii="Arial;Helvetica;sans-serif" w:hAnsi="Arial;Helvetica;sans-serif"/>
                <w:color w:val="636466"/>
                <w:sz w:val="16"/>
              </w:rPr>
            </w:pPr>
            <w:r>
              <w:rPr>
                <w:rFonts w:ascii="Arial;Helvetica;sans-serif" w:hAnsi="Arial;Helvetica;sans-serif"/>
                <w:color w:val="636466"/>
                <w:sz w:val="16"/>
              </w:rPr>
              <w:t>3x</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 xml:space="preserve">Other NEOs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455" w:right="0" w:hanging="0"/>
              <w:jc w:val="left"/>
              <w:rPr>
                <w:rFonts w:ascii="Arial;Helvetica;sans-serif" w:hAnsi="Arial;Helvetica;sans-serif"/>
                <w:color w:val="636466"/>
                <w:sz w:val="16"/>
              </w:rPr>
            </w:pPr>
            <w:r>
              <w:rPr>
                <w:rFonts w:ascii="Arial;Helvetica;sans-serif" w:hAnsi="Arial;Helvetica;sans-serif"/>
                <w:color w:val="636466"/>
                <w:sz w:val="16"/>
              </w:rPr>
              <w:t>3x</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32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In addition to the NEOs, the Viatris share ownership policy covers the most senior employees at Viatris to promote an ownership culture and further align the interests of those leaders with those of shareholders. Each covered employee has five years from the date they became subject to the policy to achieve the minimum ownership requirement. Common stock actually owned by the covered employee (including shares of common stock held by the covered employee in the Restoration Plan), as well as restricted shares and unvested RSUs (including corresponding “DEUs”) count toward compliance with these requirements. The Company believes that this approach is appropriate given the robust requirements set and the fact that the realized value of vested awards has been less than grant date values in the past. All NEOs meet these share ownership requirements or are expected to meet them by the applicable date. </w:t>
      </w:r>
    </w:p>
    <w:p>
      <w:pPr>
        <w:pStyle w:val="TextBody"/>
        <w:bidi w:val="0"/>
        <w:spacing w:before="32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As noted above, during 2025, our Compensation Committee strengthened our required executive share ownership guidelines by no longer counting unvested PRSUs and corresponding dividend equivalent units toward ownership thresholds.</w:t>
      </w:r>
    </w:p>
    <w:p>
      <w:pPr>
        <w:pStyle w:val="TextBody"/>
        <w:bidi w:val="0"/>
        <w:spacing w:before="430" w:after="283"/>
        <w:ind w:left="1060" w:right="0" w:hanging="0"/>
        <w:jc w:val="left"/>
        <w:rPr>
          <w:rFonts w:ascii="Arial;Helvetica;sans-serif" w:hAnsi="Arial;Helvetica;sans-serif"/>
          <w:color w:val="72288A"/>
          <w:sz w:val="24"/>
        </w:rPr>
      </w:pPr>
      <w:bookmarkStart w:id="143" w:name="tCP"/>
      <w:bookmarkEnd w:id="143"/>
      <w:r>
        <w:rPr>
          <w:rFonts w:ascii="Arial;Helvetica;sans-serif" w:hAnsi="Arial;Helvetica;sans-serif"/>
          <w:color w:val="72288A"/>
          <w:sz w:val="24"/>
        </w:rPr>
        <w:t>Clawback Policy</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The Board has approved a clawback policy relating to incentive compensation programs. The policy provides that Viatris may take action to recoup annual incentive compensation and equity-based incentive compensation gains resulting from specified misconduct.</w:t>
      </w:r>
    </w:p>
    <w:tbl>
      <w:tblPr>
        <w:tblW w:w="4980" w:type="dxa"/>
        <w:jc w:val="left"/>
        <w:tblInd w:w="106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54 | 2025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236"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06" descr=""/>
                          <pic:cNvPicPr>
                            <a:picLocks noChangeAspect="1" noChangeArrowheads="1"/>
                          </pic:cNvPicPr>
                        </pic:nvPicPr>
                        <pic:blipFill>
                          <a:blip r:embed="rId223"/>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237"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07" descr=""/>
                    <pic:cNvPicPr>
                      <a:picLocks noChangeAspect="1" noChangeArrowheads="1"/>
                    </pic:cNvPicPr>
                  </pic:nvPicPr>
                  <pic:blipFill>
                    <a:blip r:embed="rId224"/>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44" w:name="ny20055082x771_def14a_110-cda_pg13"/>
        <w:bookmarkEnd w:id="14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right"/>
        <w:rPr>
          <w:caps/>
          <w:color w:val="1F1C6B"/>
          <w:u w:val="single"/>
        </w:rPr>
      </w:pPr>
      <w:r>
        <w:rPr>
          <w:caps/>
          <w:color w:val="1F1C6B"/>
          <w:u w:val="single"/>
        </w:rPr>
        <w:t> </w:t>
      </w:r>
      <w:r>
        <w:rPr>
          <w:rFonts w:ascii="Arial;Helvetica;sans-serif" w:hAnsi="Arial;Helvetica;sans-serif"/>
          <w:caps/>
          <w:color w:val="1F1C6B"/>
          <w:sz w:val="18"/>
          <w:u w:val="single"/>
        </w:rPr>
        <w:t>Compensation Discussion and Analysis </w:t>
      </w:r>
    </w:p>
    <w:p>
      <w:pPr>
        <w:pStyle w:val="TextBody"/>
        <w:bidi w:val="0"/>
        <w:spacing w:before="12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The policy also provides that Viatris may take action to recoup some or all bonus and equity incentive compensation in the event of executive misconduct involving material violations of law or Viatris policy as well as failure to manage or monitor another individual who committed such misconduct, and that the Board or a designated Board committee will disclose the circumstances of any recoupment relating to such misconduct if required by law or regulation or if it determines that disclosure is in the best interests of Viatris and its shareholders.</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In addition, Viatris has a number of other policies in effect that govern our executive team’s behavior and that set out clear ethical expectations. Those policies, including our Code of Business Conduct and Ethics, empower Viatris to take a full range of disciplinary responses for any violations, and the Board and the Compensation Committee are not otherwise constrained from seeking to clawback from or deny compensation to any member of the executive team in response to any breach of duties or ethics. The Board considers additional updates to the clawback policy from time to time.</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In the fourth quarter of 2023, we also adopted a clawback policy as required by the final Dodd-Frank rules and exchange listing standards. Our policy requires recoupment of excess compensation paid to our executive officers if amounts are based on material noncompliance with any financial reporting requirement that causes an accounting restatement, without regard to any fault or misconduct.</w:t>
      </w:r>
    </w:p>
    <w:p>
      <w:pPr>
        <w:pStyle w:val="TextBody"/>
        <w:bidi w:val="0"/>
        <w:spacing w:before="430" w:after="283"/>
        <w:ind w:left="1060" w:right="0" w:hanging="0"/>
        <w:jc w:val="left"/>
        <w:rPr>
          <w:rFonts w:ascii="Arial;Helvetica;sans-serif" w:hAnsi="Arial;Helvetica;sans-serif"/>
          <w:color w:val="72288A"/>
          <w:sz w:val="24"/>
        </w:rPr>
      </w:pPr>
      <w:bookmarkStart w:id="145" w:name="tAHA"/>
      <w:bookmarkEnd w:id="145"/>
      <w:r>
        <w:rPr>
          <w:rFonts w:ascii="Arial;Helvetica;sans-serif" w:hAnsi="Arial;Helvetica;sans-serif"/>
          <w:color w:val="72288A"/>
          <w:sz w:val="24"/>
        </w:rPr>
        <w:t>Anti-Hedging and Anti-Pledging Policy</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Viatris has a securities trading policy that prohibits Directors and “officers” (as defined in Rule 16a-1(f) of the Exchange Act) (“Section 16 Officers”) and their respective designees from trading in hedging instruments or otherwise engaging in any transaction that limits or eliminates, or is designed to limit or eliminate, economic risks associated with the ownership of our securities. Hedging instruments are defined as any prepaid variable forward contracts, equity swaps, collars, exchange funds, insurance contracts, short sales, options, puts, calls, or other instruments that hedge or offset, or are designed to hedge or offset, movements in the market value of our securities. For purposes of this policy, our securities include shares and options to purchase shares, and any other type of securities that we may issue, including but not limited to, preferred shares, notes, debentures, and warrants issued by Viatris or any parent, subsidiary, or subsidiary of any parent of Viatris, as well as any derivative financial instruments pertaining to such securities, whether or not issued by the Company, such as options and forward contracts.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The policy also prohibits Directors and Section 16 Officers and their respective designees from entering into any transaction that involves the holding of our securities in a margin account (other than the “cashless exercise” of stock options) or the pledging of our securities as collateral for loans. The Compensation Committee may approve exceptions to the prohibition on the use of margin accounts or pledging or securities if, among other factors, the Director or Section 16 Officer demonstrates, in advance, that he or she has the continuing financial capacity to repay any underlying loan or potential margin call without resorting to our securities held in such margin account or our pledged securities and is not in possession of any material information about the Company that has not been made widely available to the investing public.</w:t>
      </w:r>
    </w:p>
    <w:p>
      <w:pPr>
        <w:pStyle w:val="TextBody"/>
        <w:bidi w:val="0"/>
        <w:spacing w:before="430" w:after="283"/>
        <w:ind w:left="1060" w:right="0" w:hanging="0"/>
        <w:jc w:val="left"/>
        <w:rPr>
          <w:rFonts w:ascii="Arial;Helvetica;sans-serif" w:hAnsi="Arial;Helvetica;sans-serif"/>
          <w:color w:val="72288A"/>
          <w:sz w:val="24"/>
        </w:rPr>
      </w:pPr>
      <w:bookmarkStart w:id="146" w:name="tCOR"/>
      <w:bookmarkEnd w:id="146"/>
      <w:r>
        <w:rPr>
          <w:rFonts w:ascii="Arial;Helvetica;sans-serif" w:hAnsi="Arial;Helvetica;sans-serif"/>
          <w:color w:val="72288A"/>
          <w:sz w:val="24"/>
        </w:rPr>
        <w:t>Consideration of Risk in Company Compensation Policies</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The Compensation Committee has considered risk management in determining compensation policies and believes that our programs are designed appropriately to encourage outstanding, consistent, sustainable business performance over extended periods of time. Management and the Compensation Committee have considered and discussed the risks inherent in our business and the design of our compensation plans, policies, and programs that are intended to drive the achievement of our long-term business objectives while avoiding excessive short-term risk-taking. In addition, we utilize a mix of objective performance measures, so that undue emphasis is not placed on one particular measure, and we employ different types of compensation to provide value over the short-, medium-, and long-term. These performance measures are reevaluated annually in light of the evolving risk environment facing our business. When making compensation decisions, we also consider qualitative factors to avoid the consequences that an overly formulaic approach may have on excessive risk-taking by management. At least annually, the Compensation Committee also receives and discusses a report from Meridian Compensation Partners, LLC (“Meridian”), its independent compensation consultant, on risk management in connection with the Company’s compensation program. </w:t>
      </w:r>
    </w:p>
    <w:tbl>
      <w:tblPr>
        <w:tblW w:w="4980" w:type="dxa"/>
        <w:jc w:val="left"/>
        <w:tblInd w:w="106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238"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08" descr=""/>
                          <pic:cNvPicPr>
                            <a:picLocks noChangeAspect="1" noChangeArrowheads="1"/>
                          </pic:cNvPicPr>
                        </pic:nvPicPr>
                        <pic:blipFill>
                          <a:blip r:embed="rId225"/>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Statement | 55</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239"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09" descr=""/>
                    <pic:cNvPicPr>
                      <a:picLocks noChangeAspect="1" noChangeArrowheads="1"/>
                    </pic:cNvPicPr>
                  </pic:nvPicPr>
                  <pic:blipFill>
                    <a:blip r:embed="rId226"/>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47" w:name="ny20055082x771_def14a_110-cda_pg14"/>
        <w:bookmarkEnd w:id="14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left"/>
        <w:rPr>
          <w:caps/>
          <w:color w:val="1F1C6B"/>
          <w:u w:val="single"/>
        </w:rPr>
      </w:pPr>
      <w:r>
        <w:rPr>
          <w:caps/>
          <w:color w:val="1F1C6B"/>
          <w:u w:val="single"/>
        </w:rPr>
        <w:t> </w:t>
      </w:r>
      <w:r>
        <w:rPr>
          <w:rFonts w:ascii="Arial;Helvetica;sans-serif" w:hAnsi="Arial;Helvetica;sans-serif"/>
          <w:caps/>
          <w:color w:val="1F1C6B"/>
          <w:sz w:val="18"/>
          <w:u w:val="single"/>
        </w:rPr>
        <w:t>Compensation Discussion and Analysis </w:t>
      </w:r>
    </w:p>
    <w:p>
      <w:pPr>
        <w:pStyle w:val="TextBody"/>
        <w:bidi w:val="0"/>
        <w:spacing w:before="12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The Compensation Committee believes that our compensation policies and practices do not encourage excessive risk and are not reasonably likely to have a material adverse effect on the Company.</w:t>
      </w:r>
    </w:p>
    <w:p>
      <w:pPr>
        <w:pStyle w:val="TextBody"/>
        <w:bidi w:val="0"/>
        <w:spacing w:before="430" w:after="283"/>
        <w:ind w:left="1060" w:right="0" w:hanging="0"/>
        <w:jc w:val="left"/>
        <w:rPr>
          <w:rFonts w:ascii="Arial;Helvetica;sans-serif" w:hAnsi="Arial;Helvetica;sans-serif"/>
          <w:color w:val="72288A"/>
          <w:sz w:val="24"/>
        </w:rPr>
      </w:pPr>
      <w:bookmarkStart w:id="148" w:name="tROT"/>
      <w:bookmarkEnd w:id="148"/>
      <w:r>
        <w:rPr>
          <w:rFonts w:ascii="Arial;Helvetica;sans-serif" w:hAnsi="Arial;Helvetica;sans-serif"/>
          <w:color w:val="72288A"/>
          <w:sz w:val="24"/>
        </w:rPr>
        <w:t>Role of the Compensation Committee</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The Compensation Committee is comprised solely of independent Directors and oversees the design and implementation of our executive compensation programs. The Compensation Committee reviews and evaluates the performance of our NEOs and determines their compensation and objectives, or, in the case of our CEO, recommends compensation and objectives to the independent, non-executive members of the Board. The Compensation Committee monitors compensation trends and developments periodically and undertakes a comprehensive assessment of our compensation programs at least annually. In fulfilling these responsibilities, the Compensation Committee utilizes the support of independent compensation consulting firms, independent outside counsel, and an internal executive compensation team.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The Compensation Committee has retained Meridian to provide advice and information regarding the design and implementation of Viatris’ executive compensation programs. Meridian also provided information to the Compensation Committee regarding regulatory and other technical developments that may be relevant to our executive compensation programs. In addition, Meridian provided the Compensation Committee with competitive market information, analyses and trends on executive base salary, annual incentives, long-term incentives, benefits and perquisites.</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The Compensation Committee also receives advice from outside counsel including, but not limited to, Cravath, Swaine &amp; Moore LLP.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The Compensation Committee performs an annual review of the independence of its outside advisors, consistent with NASDAQ requirements and the Compensation Committee charter.</w:t>
      </w:r>
    </w:p>
    <w:p>
      <w:pPr>
        <w:pStyle w:val="TextBody"/>
        <w:bidi w:val="0"/>
        <w:spacing w:before="430" w:after="283"/>
        <w:ind w:left="1060" w:right="0" w:hanging="0"/>
        <w:jc w:val="left"/>
        <w:rPr>
          <w:rFonts w:ascii="Arial;Helvetica;sans-serif" w:hAnsi="Arial;Helvetica;sans-serif"/>
          <w:color w:val="72288A"/>
          <w:sz w:val="24"/>
        </w:rPr>
      </w:pPr>
      <w:bookmarkStart w:id="149" w:name="tTDC"/>
      <w:bookmarkEnd w:id="149"/>
      <w:r>
        <w:rPr>
          <w:rFonts w:ascii="Arial;Helvetica;sans-serif" w:hAnsi="Arial;Helvetica;sans-serif"/>
          <w:color w:val="72288A"/>
          <w:sz w:val="24"/>
        </w:rPr>
        <w:t>Tax Deduction Cap on Executive Compensation</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Section 162(m) of the Code restricts the deductibility for U.S. federal income tax purposes of the compensation paid to the CEO, CFO, each of the other NEOs who was an executive officer at the end of the applicable fiscal year, and certain other executives to the extent that such compensation for such executive exceeds $1 million. As a result, except to the extent provided in limited transition relief, compensation over $1 million paid to any NEO is no longer deductible under Section 162(m) of the Code. The Board and the Compensation Committee reserve the right to provide compensation to our executives that is not deductible, including, but not limited to, when necessary to comply with contractual commitments, or to maintain the flexibility needed to attract talent, promote retention, or recognize and reward desired performance.</w:t>
      </w:r>
    </w:p>
    <w:p>
      <w:pPr>
        <w:pStyle w:val="TextBody"/>
        <w:bidi w:val="0"/>
        <w:spacing w:before="430" w:after="283"/>
        <w:ind w:left="1060" w:right="0" w:hanging="0"/>
        <w:jc w:val="left"/>
        <w:rPr>
          <w:rFonts w:ascii="Arial;Helvetica;sans-serif" w:hAnsi="Arial;Helvetica;sans-serif"/>
          <w:color w:val="72288A"/>
          <w:sz w:val="24"/>
        </w:rPr>
      </w:pPr>
      <w:bookmarkStart w:id="150" w:name="tITPP"/>
      <w:bookmarkEnd w:id="150"/>
      <w:r>
        <w:rPr>
          <w:rFonts w:ascii="Arial;Helvetica;sans-serif" w:hAnsi="Arial;Helvetica;sans-serif"/>
          <w:color w:val="72288A"/>
          <w:sz w:val="24"/>
        </w:rPr>
        <w:t>Insider Trading Policies and Procedures</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We have adopted a Global Insider Trading Policy and Insider Trading Policy Additional Procedures governing the purchase, sale, and/or other dispositions of our securities by our directors, officers, and employees, as well as by Viatris itself, that we believe are reasonably designed to promote compliance with insider trading laws, rules and regulations, and listing standards applicable to us.</w:t>
      </w:r>
    </w:p>
    <w:p>
      <w:pPr>
        <w:pStyle w:val="TextBody"/>
        <w:bidi w:val="0"/>
        <w:spacing w:before="430" w:after="283"/>
        <w:ind w:left="1060" w:right="0" w:hanging="0"/>
        <w:jc w:val="left"/>
        <w:rPr>
          <w:rFonts w:ascii="Arial;Helvetica;sans-serif" w:hAnsi="Arial;Helvetica;sans-serif"/>
          <w:color w:val="72288A"/>
          <w:sz w:val="24"/>
        </w:rPr>
      </w:pPr>
      <w:bookmarkStart w:id="151" w:name="tEAGP"/>
      <w:bookmarkEnd w:id="151"/>
      <w:r>
        <w:rPr>
          <w:rFonts w:ascii="Arial;Helvetica;sans-serif" w:hAnsi="Arial;Helvetica;sans-serif"/>
          <w:color w:val="72288A"/>
          <w:sz w:val="24"/>
        </w:rPr>
        <w:t>Equity Award Grant Practices</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Our longstanding historical practice is to grant awards in the first quarter of each year, following the release of prior year’s financial results. We do not take material nonpublic information into account when determining the timing or terms of awards, and do not currently grant stock options or stock appreciation rights.</w:t>
      </w:r>
    </w:p>
    <w:tbl>
      <w:tblPr>
        <w:tblW w:w="4980" w:type="dxa"/>
        <w:jc w:val="left"/>
        <w:tblInd w:w="106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56 | 2025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240"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10" descr=""/>
                          <pic:cNvPicPr>
                            <a:picLocks noChangeAspect="1" noChangeArrowheads="1"/>
                          </pic:cNvPicPr>
                        </pic:nvPicPr>
                        <pic:blipFill>
                          <a:blip r:embed="rId227"/>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241"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11" descr=""/>
                    <pic:cNvPicPr>
                      <a:picLocks noChangeAspect="1" noChangeArrowheads="1"/>
                    </pic:cNvPicPr>
                  </pic:nvPicPr>
                  <pic:blipFill>
                    <a:blip r:embed="rId228"/>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52" w:name="ny20055082x771_def14a_110-cda_pg15"/>
        <w:bookmarkEnd w:id="15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right"/>
        <w:rPr>
          <w:caps/>
          <w:color w:val="1F1C6B"/>
          <w:u w:val="single"/>
        </w:rPr>
      </w:pPr>
      <w:r>
        <w:rPr>
          <w:caps/>
          <w:color w:val="1F1C6B"/>
          <w:u w:val="single"/>
        </w:rPr>
        <w:t> </w:t>
      </w:r>
      <w:r>
        <w:rPr>
          <w:rFonts w:ascii="Arial;Helvetica;sans-serif" w:hAnsi="Arial;Helvetica;sans-serif"/>
          <w:caps/>
          <w:color w:val="1F1C6B"/>
          <w:sz w:val="18"/>
          <w:u w:val="single"/>
        </w:rPr>
        <w:t>Compensation Discussion and Analysis </w:t>
      </w:r>
    </w:p>
    <w:p>
      <w:pPr>
        <w:pStyle w:val="TextBody"/>
        <w:bidi w:val="0"/>
        <w:spacing w:before="160" w:after="283"/>
        <w:ind w:left="1060" w:right="0" w:hanging="0"/>
        <w:jc w:val="left"/>
        <w:rPr>
          <w:rFonts w:ascii="Arial;Helvetica;sans-serif" w:hAnsi="Arial;Helvetica;sans-serif"/>
          <w:color w:val="72288A"/>
          <w:sz w:val="24"/>
        </w:rPr>
      </w:pPr>
      <w:bookmarkStart w:id="153" w:name="tCCR"/>
      <w:bookmarkEnd w:id="153"/>
      <w:r>
        <w:rPr>
          <w:rFonts w:ascii="Arial;Helvetica;sans-serif" w:hAnsi="Arial;Helvetica;sans-serif"/>
          <w:color w:val="72288A"/>
          <w:sz w:val="24"/>
        </w:rPr>
        <w:t>Compensation Committee Report</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We have reviewed and discussed the CD&amp;A with management. Based on such review and discussions, we recommended to the Board that the CD&amp;A be included in this Proxy Statement.</w:t>
      </w:r>
    </w:p>
    <w:p>
      <w:pPr>
        <w:pStyle w:val="TextBody"/>
        <w:bidi w:val="0"/>
        <w:spacing w:before="300" w:after="283"/>
        <w:ind w:left="5860" w:right="0" w:hanging="0"/>
        <w:jc w:val="left"/>
        <w:rPr>
          <w:rFonts w:ascii="Arial;Helvetica;sans-serif" w:hAnsi="Arial;Helvetica;sans-serif"/>
          <w:color w:val="636466"/>
          <w:sz w:val="18"/>
        </w:rPr>
      </w:pPr>
      <w:r>
        <w:rPr>
          <w:rFonts w:ascii="Arial;Helvetica;sans-serif" w:hAnsi="Arial;Helvetica;sans-serif"/>
          <w:color w:val="636466"/>
          <w:sz w:val="18"/>
        </w:rPr>
        <w:t>Respectfully submitted,</w:t>
      </w:r>
    </w:p>
    <w:p>
      <w:pPr>
        <w:pStyle w:val="TextBody"/>
        <w:bidi w:val="0"/>
        <w:spacing w:before="300" w:after="283"/>
        <w:ind w:left="5860" w:right="0" w:hanging="0"/>
        <w:jc w:val="left"/>
        <w:rPr>
          <w:rFonts w:ascii="Arial;Helvetica;sans-serif" w:hAnsi="Arial;Helvetica;sans-serif"/>
          <w:color w:val="636466"/>
          <w:sz w:val="18"/>
        </w:rPr>
      </w:pPr>
      <w:r>
        <w:rPr>
          <w:rFonts w:ascii="Arial;Helvetica;sans-serif" w:hAnsi="Arial;Helvetica;sans-serif"/>
          <w:color w:val="636466"/>
          <w:sz w:val="18"/>
        </w:rPr>
        <w:t xml:space="preserve">Harry Korman, Chair </w:t>
      </w:r>
    </w:p>
    <w:p>
      <w:pPr>
        <w:pStyle w:val="TextBody"/>
        <w:bidi w:val="0"/>
        <w:spacing w:before="0" w:after="283"/>
        <w:ind w:left="5860" w:right="0" w:hanging="0"/>
        <w:jc w:val="left"/>
        <w:rPr>
          <w:rFonts w:ascii="Arial;Helvetica;sans-serif" w:hAnsi="Arial;Helvetica;sans-serif"/>
          <w:color w:val="636466"/>
          <w:sz w:val="18"/>
        </w:rPr>
      </w:pPr>
      <w:r>
        <w:rPr>
          <w:rFonts w:ascii="Arial;Helvetica;sans-serif" w:hAnsi="Arial;Helvetica;sans-serif"/>
          <w:color w:val="636466"/>
          <w:sz w:val="18"/>
        </w:rPr>
        <w:t xml:space="preserve">JoEllen Lyons Dillon </w:t>
      </w:r>
    </w:p>
    <w:p>
      <w:pPr>
        <w:pStyle w:val="TextBody"/>
        <w:bidi w:val="0"/>
        <w:spacing w:before="0" w:after="283"/>
        <w:ind w:left="5860" w:right="0" w:hanging="0"/>
        <w:jc w:val="left"/>
        <w:rPr>
          <w:rFonts w:ascii="Arial;Helvetica;sans-serif" w:hAnsi="Arial;Helvetica;sans-serif"/>
          <w:color w:val="636466"/>
          <w:sz w:val="18"/>
        </w:rPr>
      </w:pPr>
      <w:r>
        <w:rPr>
          <w:rFonts w:ascii="Arial;Helvetica;sans-serif" w:hAnsi="Arial;Helvetica;sans-serif"/>
          <w:color w:val="636466"/>
          <w:sz w:val="18"/>
        </w:rPr>
        <w:t xml:space="preserve">James M. Kilts </w:t>
      </w:r>
    </w:p>
    <w:p>
      <w:pPr>
        <w:pStyle w:val="TextBody"/>
        <w:bidi w:val="0"/>
        <w:spacing w:before="420" w:after="283"/>
        <w:ind w:left="1060" w:right="0" w:hanging="0"/>
        <w:jc w:val="left"/>
        <w:rPr>
          <w:rFonts w:ascii="Arial;Helvetica;sans-serif" w:hAnsi="Arial;Helvetica;sans-serif"/>
          <w:color w:val="72288A"/>
          <w:sz w:val="24"/>
        </w:rPr>
      </w:pPr>
      <w:bookmarkStart w:id="154" w:name="tCCIA"/>
      <w:bookmarkEnd w:id="154"/>
      <w:r>
        <w:rPr>
          <w:rFonts w:ascii="Arial;Helvetica;sans-serif" w:hAnsi="Arial;Helvetica;sans-serif"/>
          <w:color w:val="72288A"/>
          <w:sz w:val="24"/>
        </w:rPr>
        <w:t>Compensation Committee Interlocks and Insider Participation</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None of the members of the Compensation Committee during 2024 was an officer or employee of Viatris, was formerly an officer of Viatris, or had any relationship requiring disclosure by Viatris under Item 404 of Regulation S-K. During 2024, no executive officer of Viatris served on the compensation committee or board of another entity, one of whose executive officers served on the Compensation Committee or the Board of Viatris.</w:t>
      </w:r>
    </w:p>
    <w:tbl>
      <w:tblPr>
        <w:tblW w:w="4980" w:type="dxa"/>
        <w:jc w:val="left"/>
        <w:tblInd w:w="106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242"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12" descr=""/>
                          <pic:cNvPicPr>
                            <a:picLocks noChangeAspect="1" noChangeArrowheads="1"/>
                          </pic:cNvPicPr>
                        </pic:nvPicPr>
                        <pic:blipFill>
                          <a:blip r:embed="rId229"/>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Statement | 57</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243"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13" descr=""/>
                    <pic:cNvPicPr>
                      <a:picLocks noChangeAspect="1" noChangeArrowheads="1"/>
                    </pic:cNvPicPr>
                  </pic:nvPicPr>
                  <pic:blipFill>
                    <a:blip r:embed="rId230"/>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55" w:name="ny20055082x771_def14a_111-comp_pg1"/>
        <w:bookmarkEnd w:id="155"/>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1060" w:right="0" w:hanging="0"/>
        <w:jc w:val="left"/>
        <w:rPr>
          <w:color w:val="000000"/>
        </w:rPr>
      </w:pPr>
      <w:r>
        <w:rPr>
          <w:color w:val="000000"/>
        </w:rPr>
        <w:drawing>
          <wp:inline distT="0" distB="0" distL="0" distR="0">
            <wp:extent cx="685800" cy="190500"/>
            <wp:effectExtent l="0" t="0" r="0" b="0"/>
            <wp:docPr id="244"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14" descr=""/>
                    <pic:cNvPicPr>
                      <a:picLocks noChangeAspect="1" noChangeArrowheads="1"/>
                    </pic:cNvPicPr>
                  </pic:nvPicPr>
                  <pic:blipFill>
                    <a:blip r:embed="rId231"/>
                    <a:stretch>
                      <a:fillRect/>
                    </a:stretch>
                  </pic:blipFill>
                  <pic:spPr bwMode="auto">
                    <a:xfrm>
                      <a:off x="0" y="0"/>
                      <a:ext cx="685800" cy="190500"/>
                    </a:xfrm>
                    <a:prstGeom prst="rect">
                      <a:avLst/>
                    </a:prstGeom>
                  </pic:spPr>
                </pic:pic>
              </a:graphicData>
            </a:graphic>
          </wp:inline>
        </w:drawing>
      </w:r>
    </w:p>
    <w:p>
      <w:pPr>
        <w:pStyle w:val="TextBody"/>
        <w:bidi w:val="0"/>
        <w:spacing w:before="295" w:after="283"/>
        <w:ind w:left="1060" w:right="0" w:hanging="0"/>
        <w:jc w:val="left"/>
        <w:rPr>
          <w:rFonts w:ascii="Arial;Helvetica;sans-serif" w:hAnsi="Arial;Helvetica;sans-serif"/>
          <w:color w:val="1F1C6B"/>
          <w:sz w:val="44"/>
        </w:rPr>
      </w:pPr>
      <w:bookmarkStart w:id="156" w:name="tECT"/>
      <w:bookmarkEnd w:id="156"/>
      <w:r>
        <w:rPr>
          <w:rFonts w:ascii="Arial;Helvetica;sans-serif" w:hAnsi="Arial;Helvetica;sans-serif"/>
          <w:color w:val="1F1C6B"/>
          <w:sz w:val="44"/>
        </w:rPr>
        <w:t>Executive Compensation Tables</w:t>
      </w:r>
    </w:p>
    <w:p>
      <w:pPr>
        <w:pStyle w:val="TextBody"/>
        <w:bidi w:val="0"/>
        <w:spacing w:before="240" w:after="283"/>
        <w:ind w:left="1060" w:right="0" w:hanging="0"/>
        <w:jc w:val="left"/>
        <w:rPr>
          <w:rFonts w:ascii="Arial;Helvetica;sans-serif" w:hAnsi="Arial;Helvetica;sans-serif"/>
          <w:color w:val="1F1C6B"/>
          <w:sz w:val="30"/>
        </w:rPr>
      </w:pPr>
      <w:bookmarkStart w:id="157" w:name="tSCT"/>
      <w:bookmarkEnd w:id="157"/>
      <w:r>
        <w:rPr>
          <w:rFonts w:ascii="Arial;Helvetica;sans-serif" w:hAnsi="Arial;Helvetica;sans-serif"/>
          <w:color w:val="1F1C6B"/>
          <w:sz w:val="30"/>
        </w:rPr>
        <w:t>2024 Summary Compensation Table</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The following summary compensation table sets forth the cash and non-cash compensation paid or granted to or earned by the NEOs for 2024, 2023, and 2022.</w:t>
      </w:r>
    </w:p>
    <w:tbl>
      <w:tblPr>
        <w:tblW w:w="10890" w:type="dxa"/>
        <w:jc w:val="left"/>
        <w:tblInd w:w="1060" w:type="dxa"/>
        <w:tblLayout w:type="fixed"/>
        <w:tblCellMar>
          <w:top w:w="0" w:type="dxa"/>
          <w:left w:w="0" w:type="dxa"/>
          <w:bottom w:w="0" w:type="dxa"/>
          <w:right w:w="0" w:type="dxa"/>
        </w:tblCellMar>
      </w:tblPr>
      <w:tblGrid>
        <w:gridCol w:w="185"/>
        <w:gridCol w:w="800"/>
        <w:gridCol w:w="170"/>
        <w:gridCol w:w="170"/>
        <w:gridCol w:w="440"/>
        <w:gridCol w:w="170"/>
        <w:gridCol w:w="170"/>
        <w:gridCol w:w="665"/>
        <w:gridCol w:w="170"/>
        <w:gridCol w:w="170"/>
        <w:gridCol w:w="665"/>
        <w:gridCol w:w="170"/>
        <w:gridCol w:w="170"/>
        <w:gridCol w:w="740"/>
        <w:gridCol w:w="170"/>
        <w:gridCol w:w="170"/>
        <w:gridCol w:w="530"/>
        <w:gridCol w:w="170"/>
        <w:gridCol w:w="170"/>
        <w:gridCol w:w="950"/>
        <w:gridCol w:w="170"/>
        <w:gridCol w:w="170"/>
        <w:gridCol w:w="950"/>
        <w:gridCol w:w="170"/>
        <w:gridCol w:w="170"/>
        <w:gridCol w:w="950"/>
        <w:gridCol w:w="170"/>
        <w:gridCol w:w="170"/>
        <w:gridCol w:w="740"/>
        <w:gridCol w:w="215"/>
      </w:tblGrid>
      <w:tr>
        <w:trPr/>
        <w:tc>
          <w:tcPr>
            <w:tcW w:w="185" w:type="dxa"/>
            <w:tcBorders/>
            <w:shd w:fill="1F1C6B" w:val="clear"/>
            <w:vAlign w:val="center"/>
          </w:tcPr>
          <w:p>
            <w:pPr>
              <w:pStyle w:val="TableContents"/>
              <w:bidi w:val="0"/>
              <w:spacing w:before="0" w:after="0"/>
              <w:jc w:val="left"/>
              <w:rPr/>
            </w:pPr>
            <w:r>
              <w:rPr/>
              <w:t> </w:t>
            </w:r>
          </w:p>
        </w:tc>
        <w:tc>
          <w:tcPr>
            <w:tcW w:w="80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44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6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6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4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53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5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5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5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40"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800"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4"/>
              </w:rPr>
            </w:pPr>
            <w:r>
              <w:rPr>
                <w:rFonts w:ascii="Arial;Helvetica;sans-serif" w:hAnsi="Arial;Helvetica;sans-serif"/>
                <w:b/>
                <w:color w:val="FFFFFF"/>
                <w:sz w:val="14"/>
              </w:rPr>
              <w:t>Name and</w:t>
            </w:r>
          </w:p>
          <w:p>
            <w:pPr>
              <w:pStyle w:val="TableContents"/>
              <w:bidi w:val="0"/>
              <w:spacing w:before="0" w:after="283"/>
              <w:ind w:left="30" w:right="0" w:hanging="0"/>
              <w:jc w:val="left"/>
              <w:rPr>
                <w:rFonts w:ascii="Arial;Helvetica;sans-serif" w:hAnsi="Arial;Helvetica;sans-serif"/>
                <w:b/>
                <w:color w:val="FFFFFF"/>
                <w:sz w:val="14"/>
              </w:rPr>
            </w:pPr>
            <w:r>
              <w:rPr>
                <w:rFonts w:ascii="Arial;Helvetica;sans-serif" w:hAnsi="Arial;Helvetica;sans-serif"/>
                <w:b/>
                <w:color w:val="FFFFFF"/>
                <w:sz w:val="14"/>
              </w:rPr>
              <w:t>Principal</w:t>
            </w:r>
          </w:p>
          <w:p>
            <w:pPr>
              <w:pStyle w:val="TableContents"/>
              <w:bidi w:val="0"/>
              <w:spacing w:before="0" w:after="283"/>
              <w:ind w:left="30" w:right="0" w:hanging="0"/>
              <w:jc w:val="left"/>
              <w:rPr>
                <w:rFonts w:ascii="Arial;Helvetica;sans-serif" w:hAnsi="Arial;Helvetica;sans-serif"/>
                <w:b/>
                <w:color w:val="FFFFFF"/>
                <w:sz w:val="14"/>
              </w:rPr>
            </w:pPr>
            <w:r>
              <w:rPr>
                <w:rFonts w:ascii="Arial;Helvetica;sans-serif" w:hAnsi="Arial;Helvetica;sans-serif"/>
                <w:b/>
                <w:color w:val="FFFFFF"/>
                <w:sz w:val="14"/>
              </w:rPr>
              <w:t>Position</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44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Fiscal</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Year</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65"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Salary</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r>
              <w:rPr>
                <w:rFonts w:ascii="Arial;Helvetica;sans-serif" w:hAnsi="Arial;Helvetica;sans-serif"/>
                <w:b/>
                <w:color w:val="FFFFFF"/>
                <w:position w:val="5"/>
                <w:sz w:val="11"/>
                <w:sz w:val="14"/>
              </w:rPr>
              <w:t>1</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65"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Bonus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r>
              <w:rPr>
                <w:rFonts w:ascii="Arial;Helvetica;sans-serif" w:hAnsi="Arial;Helvetica;sans-serif"/>
                <w:b/>
                <w:color w:val="FFFFFF"/>
                <w:position w:val="5"/>
                <w:sz w:val="11"/>
                <w:sz w:val="14"/>
              </w:rPr>
              <w:t>2</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4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Stock</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Awards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r>
              <w:rPr>
                <w:rFonts w:ascii="Arial;Helvetica;sans-serif" w:hAnsi="Arial;Helvetica;sans-serif"/>
                <w:b/>
                <w:color w:val="FFFFFF"/>
                <w:position w:val="5"/>
                <w:sz w:val="11"/>
                <w:sz w:val="14"/>
              </w:rPr>
              <w:t>3</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53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Option</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Awards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5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Non-Equity</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Incentive Plan</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Compensation</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r>
              <w:rPr>
                <w:rFonts w:ascii="Arial;Helvetica;sans-serif" w:hAnsi="Arial;Helvetica;sans-serif"/>
                <w:b/>
                <w:color w:val="FFFFFF"/>
                <w:position w:val="5"/>
                <w:sz w:val="11"/>
                <w:sz w:val="14"/>
              </w:rPr>
              <w:t>4</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5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Change in</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Pension Value</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and Non-qualified</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Deferred</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Compensation</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Earnings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5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All Other</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Compensation</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r>
              <w:rPr>
                <w:rFonts w:ascii="Arial;Helvetica;sans-serif" w:hAnsi="Arial;Helvetica;sans-serif"/>
                <w:b/>
                <w:color w:val="FFFFFF"/>
                <w:position w:val="5"/>
                <w:sz w:val="11"/>
                <w:sz w:val="14"/>
              </w:rPr>
              <w:t>5</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4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Total</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w:t>
            </w:r>
          </w:p>
        </w:tc>
        <w:tc>
          <w:tcPr>
            <w:tcW w:w="215" w:type="dxa"/>
            <w:tcBorders/>
            <w:shd w:fill="1F1C6B" w:val="clear"/>
            <w:vAlign w:val="center"/>
          </w:tcPr>
          <w:p>
            <w:pPr>
              <w:pStyle w:val="TableContents"/>
              <w:bidi w:val="0"/>
              <w:spacing w:before="0" w:after="0"/>
              <w:jc w:val="left"/>
              <w:rPr/>
            </w:pPr>
            <w:r>
              <w:rPr/>
              <w:t> </w:t>
            </w:r>
          </w:p>
        </w:tc>
      </w:tr>
      <w:tr>
        <w:trPr/>
        <w:tc>
          <w:tcPr>
            <w:tcW w:w="185"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800" w:type="dxa"/>
            <w:vMerge w:val="restart"/>
            <w:tcBorders>
              <w:bottom w:val="single" w:sz="8" w:space="0" w:color="1F1C6B"/>
            </w:tcBorders>
            <w:tcMar>
              <w:bottom w:w="58" w:type="dxa"/>
            </w:tcMar>
            <w:vAlign w:val="center"/>
          </w:tcPr>
          <w:p>
            <w:pPr>
              <w:pStyle w:val="TableContents"/>
              <w:bidi w:val="0"/>
              <w:spacing w:before="0" w:after="283"/>
              <w:ind w:left="30" w:right="0" w:hanging="0"/>
              <w:jc w:val="left"/>
              <w:rPr>
                <w:rFonts w:ascii="Arial;Helvetica;sans-serif" w:hAnsi="Arial;Helvetica;sans-serif"/>
                <w:b/>
                <w:color w:val="484484"/>
                <w:sz w:val="16"/>
              </w:rPr>
            </w:pPr>
            <w:r>
              <w:rPr>
                <w:rFonts w:ascii="Arial;Helvetica;sans-serif" w:hAnsi="Arial;Helvetica;sans-serif"/>
                <w:b/>
                <w:color w:val="484484"/>
                <w:sz w:val="16"/>
              </w:rPr>
              <w:t>Scott A. Smith</w:t>
            </w:r>
          </w:p>
          <w:p>
            <w:pPr>
              <w:pStyle w:val="TableContents"/>
              <w:bidi w:val="0"/>
              <w:spacing w:before="0" w:after="283"/>
              <w:ind w:left="30" w:right="0" w:hanging="0"/>
              <w:jc w:val="left"/>
              <w:rPr>
                <w:rFonts w:ascii="Arial;Helvetica;sans-serif" w:hAnsi="Arial;Helvetica;sans-serif"/>
                <w:b w:val="false"/>
                <w:color w:val="636466"/>
                <w:sz w:val="14"/>
              </w:rPr>
            </w:pPr>
            <w:r>
              <w:rPr>
                <w:rFonts w:ascii="Arial;Helvetica;sans-serif" w:hAnsi="Arial;Helvetica;sans-serif"/>
                <w:b w:val="false"/>
                <w:color w:val="636466"/>
                <w:sz w:val="14"/>
              </w:rPr>
              <w:t>Chief Executive Officer</w:t>
            </w:r>
          </w:p>
        </w:tc>
        <w:tc>
          <w:tcPr>
            <w:tcW w:w="170"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26" w:right="0" w:hanging="0"/>
              <w:jc w:val="left"/>
              <w:rPr>
                <w:rFonts w:ascii="Arial;Helvetica;sans-serif" w:hAnsi="Arial;Helvetica;sans-serif"/>
                <w:color w:val="636466"/>
                <w:sz w:val="14"/>
              </w:rPr>
            </w:pPr>
            <w:r>
              <w:rPr>
                <w:rFonts w:ascii="Arial;Helvetica;sans-serif" w:hAnsi="Arial;Helvetica;sans-serif"/>
                <w:color w:val="636466"/>
                <w:sz w:val="14"/>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1,400,000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9,800,021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82"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82" w:right="0" w:hanging="0"/>
              <w:jc w:val="left"/>
              <w:rPr>
                <w:rFonts w:ascii="Arial;Helvetica;sans-serif" w:hAnsi="Arial;Helvetica;sans-serif"/>
                <w:color w:val="636466"/>
                <w:sz w:val="14"/>
              </w:rPr>
            </w:pPr>
            <w:r>
              <w:rPr>
                <w:rFonts w:ascii="Arial;Helvetica;sans-serif" w:hAnsi="Arial;Helvetica;sans-serif"/>
                <w:color w:val="636466"/>
                <w:sz w:val="14"/>
              </w:rPr>
              <w:t xml:space="preserve">2,940,000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537"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82" w:right="0" w:hanging="0"/>
              <w:jc w:val="left"/>
              <w:rPr>
                <w:rFonts w:ascii="Arial;Helvetica;sans-serif" w:hAnsi="Arial;Helvetica;sans-serif"/>
                <w:color w:val="636466"/>
                <w:sz w:val="14"/>
              </w:rPr>
            </w:pPr>
            <w:r>
              <w:rPr>
                <w:rFonts w:ascii="Arial;Helvetica;sans-serif" w:hAnsi="Arial;Helvetica;sans-serif"/>
                <w:color w:val="636466"/>
                <w:sz w:val="14"/>
              </w:rPr>
              <w:t xml:space="preserve">619,358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14,759,379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800" w:type="dxa"/>
            <w:vMerge w:val="continue"/>
            <w:tcBorders>
              <w:bottom w:val="single" w:sz="8" w:space="0" w:color="1F1C6B"/>
            </w:tcBorders>
            <w:tcMar>
              <w:bottom w:w="58"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440" w:type="dxa"/>
            <w:tcBorders>
              <w:bottom w:val="single" w:sz="8" w:space="0" w:color="1F1C6B"/>
            </w:tcBorders>
            <w:shd w:fill="E7E0EF" w:val="clear"/>
            <w:tcMar>
              <w:bottom w:w="58" w:type="dxa"/>
            </w:tcMar>
            <w:vAlign w:val="center"/>
          </w:tcPr>
          <w:p>
            <w:pPr>
              <w:pStyle w:val="TableContents"/>
              <w:bidi w:val="0"/>
              <w:spacing w:before="0" w:after="283"/>
              <w:ind w:left="26" w:right="0" w:hanging="0"/>
              <w:jc w:val="left"/>
              <w:rPr>
                <w:rFonts w:ascii="Arial;Helvetica;sans-serif" w:hAnsi="Arial;Helvetica;sans-serif"/>
                <w:color w:val="636466"/>
                <w:sz w:val="14"/>
              </w:rPr>
            </w:pPr>
            <w:r>
              <w:rPr>
                <w:rFonts w:ascii="Arial;Helvetica;sans-serif" w:hAnsi="Arial;Helvetica;sans-serif"/>
                <w:color w:val="636466"/>
                <w:sz w:val="14"/>
              </w:rPr>
              <w:t>2023</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665" w:type="dxa"/>
            <w:tcBorders>
              <w:bottom w:val="single" w:sz="8" w:space="0" w:color="1F1C6B"/>
            </w:tcBorders>
            <w:shd w:fill="E7E0EF" w:val="clear"/>
            <w:tcMar>
              <w:bottom w:w="58" w:type="dxa"/>
            </w:tcM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1,023,077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665" w:type="dxa"/>
            <w:tcBorders>
              <w:bottom w:val="single" w:sz="8" w:space="0" w:color="1F1C6B"/>
            </w:tcBorders>
            <w:shd w:fill="E7E0EF" w:val="clear"/>
            <w:tcMar>
              <w:bottom w:w="58" w:type="dxa"/>
            </w:tcM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740" w:type="dxa"/>
            <w:tcBorders>
              <w:bottom w:val="single" w:sz="8" w:space="0" w:color="1F1C6B"/>
            </w:tcBorders>
            <w:shd w:fill="E7E0EF" w:val="clear"/>
            <w:tcMar>
              <w:bottom w:w="58" w:type="dxa"/>
            </w:tcM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11,200,008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530" w:type="dxa"/>
            <w:tcBorders>
              <w:bottom w:val="single" w:sz="8" w:space="0" w:color="1F1C6B"/>
            </w:tcBorders>
            <w:shd w:fill="E7E0EF" w:val="clear"/>
            <w:tcMar>
              <w:bottom w:w="58" w:type="dxa"/>
            </w:tcMar>
            <w:vAlign w:val="center"/>
          </w:tcPr>
          <w:p>
            <w:pPr>
              <w:pStyle w:val="TableContents"/>
              <w:bidi w:val="0"/>
              <w:spacing w:before="0" w:after="283"/>
              <w:ind w:left="182"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950" w:type="dxa"/>
            <w:tcBorders>
              <w:bottom w:val="single" w:sz="8" w:space="0" w:color="1F1C6B"/>
            </w:tcBorders>
            <w:shd w:fill="E7E0EF" w:val="clear"/>
            <w:tcMar>
              <w:bottom w:w="58" w:type="dxa"/>
            </w:tcMar>
            <w:vAlign w:val="center"/>
          </w:tcPr>
          <w:p>
            <w:pPr>
              <w:pStyle w:val="TableContents"/>
              <w:bidi w:val="0"/>
              <w:spacing w:before="0" w:after="283"/>
              <w:ind w:left="182" w:right="0" w:hanging="0"/>
              <w:jc w:val="left"/>
              <w:rPr>
                <w:rFonts w:ascii="Arial;Helvetica;sans-serif" w:hAnsi="Arial;Helvetica;sans-serif"/>
                <w:color w:val="636466"/>
                <w:sz w:val="14"/>
              </w:rPr>
            </w:pPr>
            <w:r>
              <w:rPr>
                <w:rFonts w:ascii="Arial;Helvetica;sans-serif" w:hAnsi="Arial;Helvetica;sans-serif"/>
                <w:color w:val="636466"/>
                <w:sz w:val="14"/>
              </w:rPr>
              <w:t xml:space="preserve">2,884,494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950" w:type="dxa"/>
            <w:tcBorders>
              <w:bottom w:val="single" w:sz="8" w:space="0" w:color="1F1C6B"/>
            </w:tcBorders>
            <w:shd w:fill="E7E0EF" w:val="clear"/>
            <w:tcMar>
              <w:bottom w:w="58" w:type="dxa"/>
            </w:tcMar>
            <w:vAlign w:val="center"/>
          </w:tcPr>
          <w:p>
            <w:pPr>
              <w:pStyle w:val="TableContents"/>
              <w:bidi w:val="0"/>
              <w:spacing w:before="0" w:after="283"/>
              <w:ind w:left="537"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950" w:type="dxa"/>
            <w:tcBorders>
              <w:bottom w:val="single" w:sz="8" w:space="0" w:color="1F1C6B"/>
            </w:tcBorders>
            <w:shd w:fill="E7E0EF" w:val="clear"/>
            <w:tcMar>
              <w:bottom w:w="58" w:type="dxa"/>
            </w:tcMar>
            <w:vAlign w:val="center"/>
          </w:tcPr>
          <w:p>
            <w:pPr>
              <w:pStyle w:val="TableContents"/>
              <w:bidi w:val="0"/>
              <w:spacing w:before="0" w:after="283"/>
              <w:ind w:left="182" w:right="0" w:hanging="0"/>
              <w:jc w:val="left"/>
              <w:rPr>
                <w:rFonts w:ascii="Arial;Helvetica;sans-serif" w:hAnsi="Arial;Helvetica;sans-serif"/>
                <w:color w:val="636466"/>
                <w:sz w:val="14"/>
              </w:rPr>
            </w:pPr>
            <w:r>
              <w:rPr>
                <w:rFonts w:ascii="Arial;Helvetica;sans-serif" w:hAnsi="Arial;Helvetica;sans-serif"/>
                <w:color w:val="636466"/>
                <w:sz w:val="14"/>
              </w:rPr>
              <w:t xml:space="preserve">822,830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740" w:type="dxa"/>
            <w:tcBorders>
              <w:bottom w:val="single" w:sz="8" w:space="0" w:color="1F1C6B"/>
            </w:tcBorders>
            <w:shd w:fill="E7E0EF" w:val="clear"/>
            <w:tcMar>
              <w:bottom w:w="58" w:type="dxa"/>
            </w:tcM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15,930,409 </w:t>
            </w:r>
          </w:p>
        </w:tc>
        <w:tc>
          <w:tcPr>
            <w:tcW w:w="215"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1F1C6B"/>
            </w:tcBorders>
            <w:tcMar>
              <w:bottom w:w="28" w:type="dxa"/>
            </w:tcMar>
            <w:vAlign w:val="center"/>
          </w:tcPr>
          <w:p>
            <w:pPr>
              <w:pStyle w:val="TableContents"/>
              <w:bidi w:val="0"/>
              <w:spacing w:before="0" w:after="0"/>
              <w:jc w:val="left"/>
              <w:rPr/>
            </w:pPr>
            <w:r>
              <w:rPr/>
              <w:t> </w:t>
            </w:r>
          </w:p>
        </w:tc>
        <w:tc>
          <w:tcPr>
            <w:tcW w:w="800" w:type="dxa"/>
            <w:tcBorders>
              <w:bottom w:val="single" w:sz="8" w:space="0" w:color="1F1C6B"/>
            </w:tcBorders>
            <w:tcMar>
              <w:bottom w:w="58" w:type="dxa"/>
            </w:tcMar>
            <w:vAlign w:val="center"/>
          </w:tcPr>
          <w:p>
            <w:pPr>
              <w:pStyle w:val="TableContents"/>
              <w:bidi w:val="0"/>
              <w:spacing w:before="0" w:after="283"/>
              <w:ind w:left="30" w:right="0" w:hanging="0"/>
              <w:jc w:val="left"/>
              <w:rPr>
                <w:rFonts w:ascii="Arial;Helvetica;sans-serif" w:hAnsi="Arial;Helvetica;sans-serif"/>
                <w:b/>
                <w:color w:val="484484"/>
                <w:sz w:val="16"/>
              </w:rPr>
            </w:pPr>
            <w:r>
              <w:rPr>
                <w:rFonts w:ascii="Arial;Helvetica;sans-serif" w:hAnsi="Arial;Helvetica;sans-serif"/>
                <w:b/>
                <w:color w:val="484484"/>
                <w:sz w:val="16"/>
              </w:rPr>
              <w:t>Doretta Mistras</w:t>
            </w:r>
          </w:p>
          <w:p>
            <w:pPr>
              <w:pStyle w:val="TableContents"/>
              <w:bidi w:val="0"/>
              <w:spacing w:before="0" w:after="283"/>
              <w:ind w:left="30" w:right="0" w:hanging="0"/>
              <w:jc w:val="left"/>
              <w:rPr>
                <w:rFonts w:ascii="Arial;Helvetica;sans-serif" w:hAnsi="Arial;Helvetica;sans-serif"/>
                <w:b w:val="false"/>
                <w:color w:val="636466"/>
                <w:sz w:val="14"/>
              </w:rPr>
            </w:pPr>
            <w:r>
              <w:rPr>
                <w:rFonts w:ascii="Arial;Helvetica;sans-serif" w:hAnsi="Arial;Helvetica;sans-serif"/>
                <w:b w:val="false"/>
                <w:color w:val="636466"/>
                <w:sz w:val="14"/>
              </w:rPr>
              <w:t>Chief Financial Officer</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440" w:type="dxa"/>
            <w:tcBorders>
              <w:bottom w:val="single" w:sz="8" w:space="0" w:color="1F1C6B"/>
            </w:tcBorders>
            <w:tcMar>
              <w:bottom w:w="58" w:type="dxa"/>
            </w:tcMar>
            <w:vAlign w:val="center"/>
          </w:tcPr>
          <w:p>
            <w:pPr>
              <w:pStyle w:val="TableContents"/>
              <w:bidi w:val="0"/>
              <w:spacing w:before="0" w:after="283"/>
              <w:ind w:left="26" w:right="0" w:hanging="0"/>
              <w:jc w:val="left"/>
              <w:rPr>
                <w:rFonts w:ascii="Arial;Helvetica;sans-serif" w:hAnsi="Arial;Helvetica;sans-serif"/>
                <w:color w:val="636466"/>
                <w:sz w:val="14"/>
              </w:rPr>
            </w:pPr>
            <w:r>
              <w:rPr>
                <w:rFonts w:ascii="Arial;Helvetica;sans-serif" w:hAnsi="Arial;Helvetica;sans-serif"/>
                <w:color w:val="636466"/>
                <w:sz w:val="14"/>
              </w:rPr>
              <w:t>2024</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65"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809,135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65"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500,000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40"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3,800,019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530" w:type="dxa"/>
            <w:tcBorders>
              <w:bottom w:val="single" w:sz="8" w:space="0" w:color="1F1C6B"/>
            </w:tcBorders>
            <w:tcMar>
              <w:bottom w:w="58" w:type="dxa"/>
            </w:tcMar>
            <w:vAlign w:val="center"/>
          </w:tcPr>
          <w:p>
            <w:pPr>
              <w:pStyle w:val="TableContents"/>
              <w:bidi w:val="0"/>
              <w:spacing w:before="0" w:after="283"/>
              <w:ind w:left="182"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950" w:type="dxa"/>
            <w:tcBorders>
              <w:bottom w:val="single" w:sz="8" w:space="0" w:color="1F1C6B"/>
            </w:tcBorders>
            <w:tcMar>
              <w:bottom w:w="58" w:type="dxa"/>
            </w:tcMar>
            <w:vAlign w:val="center"/>
          </w:tcPr>
          <w:p>
            <w:pPr>
              <w:pStyle w:val="TableContents"/>
              <w:bidi w:val="0"/>
              <w:spacing w:before="0" w:after="283"/>
              <w:ind w:left="182" w:right="0" w:hanging="0"/>
              <w:jc w:val="left"/>
              <w:rPr>
                <w:rFonts w:ascii="Arial;Helvetica;sans-serif" w:hAnsi="Arial;Helvetica;sans-serif"/>
                <w:color w:val="636466"/>
                <w:sz w:val="14"/>
              </w:rPr>
            </w:pPr>
            <w:r>
              <w:rPr>
                <w:rFonts w:ascii="Arial;Helvetica;sans-serif" w:hAnsi="Arial;Helvetica;sans-serif"/>
                <w:color w:val="636466"/>
                <w:sz w:val="14"/>
              </w:rPr>
              <w:t xml:space="preserve">1,155,000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950" w:type="dxa"/>
            <w:tcBorders>
              <w:bottom w:val="single" w:sz="8" w:space="0" w:color="1F1C6B"/>
            </w:tcBorders>
            <w:tcMar>
              <w:bottom w:w="58" w:type="dxa"/>
            </w:tcMar>
            <w:vAlign w:val="center"/>
          </w:tcPr>
          <w:p>
            <w:pPr>
              <w:pStyle w:val="TableContents"/>
              <w:bidi w:val="0"/>
              <w:spacing w:before="0" w:after="283"/>
              <w:ind w:left="537"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950" w:type="dxa"/>
            <w:tcBorders>
              <w:bottom w:val="single" w:sz="8" w:space="0" w:color="1F1C6B"/>
            </w:tcBorders>
            <w:tcMar>
              <w:bottom w:w="58" w:type="dxa"/>
            </w:tcMar>
            <w:vAlign w:val="center"/>
          </w:tcPr>
          <w:p>
            <w:pPr>
              <w:pStyle w:val="TableContents"/>
              <w:bidi w:val="0"/>
              <w:spacing w:before="0" w:after="283"/>
              <w:ind w:left="182" w:right="0" w:hanging="0"/>
              <w:jc w:val="left"/>
              <w:rPr>
                <w:rFonts w:ascii="Arial;Helvetica;sans-serif" w:hAnsi="Arial;Helvetica;sans-serif"/>
                <w:color w:val="636466"/>
                <w:sz w:val="14"/>
              </w:rPr>
            </w:pPr>
            <w:r>
              <w:rPr>
                <w:rFonts w:ascii="Arial;Helvetica;sans-serif" w:hAnsi="Arial;Helvetica;sans-serif"/>
                <w:color w:val="636466"/>
                <w:sz w:val="14"/>
              </w:rPr>
              <w:t xml:space="preserve">109,538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40"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6,373,692 </w:t>
            </w:r>
          </w:p>
        </w:tc>
        <w:tc>
          <w:tcPr>
            <w:tcW w:w="215" w:type="dxa"/>
            <w:tcBorders>
              <w:bottom w:val="single" w:sz="8" w:space="0" w:color="1F1C6B"/>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F1C6B"/>
            </w:tcBorders>
            <w:tcMar>
              <w:bottom w:w="28" w:type="dxa"/>
            </w:tcMar>
            <w:vAlign w:val="center"/>
          </w:tcPr>
          <w:p>
            <w:pPr>
              <w:pStyle w:val="TableContents"/>
              <w:bidi w:val="0"/>
              <w:spacing w:before="0" w:after="0"/>
              <w:jc w:val="left"/>
              <w:rPr/>
            </w:pPr>
            <w:r>
              <w:rPr/>
              <w:t> </w:t>
            </w:r>
          </w:p>
        </w:tc>
        <w:tc>
          <w:tcPr>
            <w:tcW w:w="800" w:type="dxa"/>
            <w:tcBorders>
              <w:bottom w:val="single" w:sz="8" w:space="0" w:color="1F1C6B"/>
            </w:tcBorders>
            <w:tcMar>
              <w:bottom w:w="58" w:type="dxa"/>
            </w:tcMar>
            <w:vAlign w:val="center"/>
          </w:tcPr>
          <w:p>
            <w:pPr>
              <w:pStyle w:val="TableContents"/>
              <w:bidi w:val="0"/>
              <w:spacing w:before="0" w:after="283"/>
              <w:ind w:left="30" w:right="0" w:hanging="0"/>
              <w:jc w:val="left"/>
              <w:rPr>
                <w:rFonts w:ascii="Arial;Helvetica;sans-serif" w:hAnsi="Arial;Helvetica;sans-serif"/>
                <w:b/>
                <w:color w:val="484484"/>
                <w:sz w:val="16"/>
              </w:rPr>
            </w:pPr>
            <w:r>
              <w:rPr>
                <w:rFonts w:ascii="Arial;Helvetica;sans-serif" w:hAnsi="Arial;Helvetica;sans-serif"/>
                <w:b/>
                <w:color w:val="484484"/>
                <w:sz w:val="16"/>
              </w:rPr>
              <w:t>Corinne Le Goff</w:t>
            </w:r>
          </w:p>
          <w:p>
            <w:pPr>
              <w:pStyle w:val="TableContents"/>
              <w:bidi w:val="0"/>
              <w:spacing w:before="0" w:after="283"/>
              <w:ind w:left="30" w:right="0" w:hanging="0"/>
              <w:jc w:val="left"/>
              <w:rPr>
                <w:rFonts w:ascii="Arial;Helvetica;sans-serif" w:hAnsi="Arial;Helvetica;sans-serif"/>
                <w:b w:val="false"/>
                <w:color w:val="636466"/>
                <w:sz w:val="14"/>
              </w:rPr>
            </w:pPr>
            <w:r>
              <w:rPr>
                <w:rFonts w:ascii="Arial;Helvetica;sans-serif" w:hAnsi="Arial;Helvetica;sans-serif"/>
                <w:b w:val="false"/>
                <w:color w:val="636466"/>
                <w:sz w:val="14"/>
              </w:rPr>
              <w:t>Chief Commercial Officer</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440" w:type="dxa"/>
            <w:tcBorders>
              <w:bottom w:val="single" w:sz="8" w:space="0" w:color="1F1C6B"/>
            </w:tcBorders>
            <w:shd w:fill="E7E0EF" w:val="clear"/>
            <w:tcMar>
              <w:bottom w:w="58" w:type="dxa"/>
            </w:tcMar>
            <w:vAlign w:val="center"/>
          </w:tcPr>
          <w:p>
            <w:pPr>
              <w:pStyle w:val="TableContents"/>
              <w:bidi w:val="0"/>
              <w:spacing w:before="0" w:after="283"/>
              <w:ind w:left="26" w:right="0" w:hanging="0"/>
              <w:jc w:val="left"/>
              <w:rPr>
                <w:rFonts w:ascii="Arial;Helvetica;sans-serif" w:hAnsi="Arial;Helvetica;sans-serif"/>
                <w:color w:val="636466"/>
                <w:sz w:val="14"/>
              </w:rPr>
            </w:pPr>
            <w:r>
              <w:rPr>
                <w:rFonts w:ascii="Arial;Helvetica;sans-serif" w:hAnsi="Arial;Helvetica;sans-serif"/>
                <w:color w:val="636466"/>
                <w:sz w:val="14"/>
              </w:rPr>
              <w:t>2024</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665" w:type="dxa"/>
            <w:tcBorders>
              <w:bottom w:val="single" w:sz="8" w:space="0" w:color="1F1C6B"/>
            </w:tcBorders>
            <w:shd w:fill="E7E0EF" w:val="clear"/>
            <w:tcMar>
              <w:bottom w:w="58" w:type="dxa"/>
            </w:tcM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605,769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665" w:type="dxa"/>
            <w:tcBorders>
              <w:bottom w:val="single" w:sz="8" w:space="0" w:color="1F1C6B"/>
            </w:tcBorders>
            <w:shd w:fill="E7E0EF" w:val="clear"/>
            <w:tcMar>
              <w:bottom w:w="58" w:type="dxa"/>
            </w:tcM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740" w:type="dxa"/>
            <w:tcBorders>
              <w:bottom w:val="single" w:sz="8" w:space="0" w:color="1F1C6B"/>
            </w:tcBorders>
            <w:shd w:fill="E7E0EF" w:val="clear"/>
            <w:tcMar>
              <w:bottom w:w="58" w:type="dxa"/>
            </w:tcM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4,375,019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530" w:type="dxa"/>
            <w:tcBorders>
              <w:bottom w:val="single" w:sz="8" w:space="0" w:color="1F1C6B"/>
            </w:tcBorders>
            <w:shd w:fill="E7E0EF" w:val="clear"/>
            <w:tcMar>
              <w:bottom w:w="58" w:type="dxa"/>
            </w:tcMar>
            <w:vAlign w:val="center"/>
          </w:tcPr>
          <w:p>
            <w:pPr>
              <w:pStyle w:val="TableContents"/>
              <w:bidi w:val="0"/>
              <w:spacing w:before="0" w:after="283"/>
              <w:ind w:left="182"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950" w:type="dxa"/>
            <w:tcBorders>
              <w:bottom w:val="single" w:sz="8" w:space="0" w:color="1F1C6B"/>
            </w:tcBorders>
            <w:shd w:fill="E7E0EF" w:val="clear"/>
            <w:tcMar>
              <w:bottom w:w="58" w:type="dxa"/>
            </w:tcMar>
            <w:vAlign w:val="center"/>
          </w:tcPr>
          <w:p>
            <w:pPr>
              <w:pStyle w:val="TableContents"/>
              <w:bidi w:val="0"/>
              <w:spacing w:before="0" w:after="283"/>
              <w:ind w:left="182" w:right="0" w:hanging="0"/>
              <w:jc w:val="left"/>
              <w:rPr>
                <w:rFonts w:ascii="Arial;Helvetica;sans-serif" w:hAnsi="Arial;Helvetica;sans-serif"/>
                <w:color w:val="636466"/>
                <w:sz w:val="14"/>
              </w:rPr>
            </w:pPr>
            <w:r>
              <w:rPr>
                <w:rFonts w:ascii="Arial;Helvetica;sans-serif" w:hAnsi="Arial;Helvetica;sans-serif"/>
                <w:color w:val="636466"/>
                <w:sz w:val="14"/>
              </w:rPr>
              <w:t xml:space="preserve">873,566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950" w:type="dxa"/>
            <w:tcBorders>
              <w:bottom w:val="single" w:sz="8" w:space="0" w:color="1F1C6B"/>
            </w:tcBorders>
            <w:shd w:fill="E7E0EF" w:val="clear"/>
            <w:tcMar>
              <w:bottom w:w="58" w:type="dxa"/>
            </w:tcMar>
            <w:vAlign w:val="center"/>
          </w:tcPr>
          <w:p>
            <w:pPr>
              <w:pStyle w:val="TableContents"/>
              <w:bidi w:val="0"/>
              <w:spacing w:before="0" w:after="283"/>
              <w:ind w:left="537"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950" w:type="dxa"/>
            <w:tcBorders>
              <w:bottom w:val="single" w:sz="8" w:space="0" w:color="1F1C6B"/>
            </w:tcBorders>
            <w:shd w:fill="E7E0EF" w:val="clear"/>
            <w:tcMar>
              <w:bottom w:w="58" w:type="dxa"/>
            </w:tcMar>
            <w:vAlign w:val="center"/>
          </w:tcPr>
          <w:p>
            <w:pPr>
              <w:pStyle w:val="TableContents"/>
              <w:bidi w:val="0"/>
              <w:spacing w:before="0" w:after="283"/>
              <w:ind w:left="182" w:right="0" w:hanging="0"/>
              <w:jc w:val="left"/>
              <w:rPr>
                <w:rFonts w:ascii="Arial;Helvetica;sans-serif" w:hAnsi="Arial;Helvetica;sans-serif"/>
                <w:color w:val="636466"/>
                <w:sz w:val="14"/>
              </w:rPr>
            </w:pPr>
            <w:r>
              <w:rPr>
                <w:rFonts w:ascii="Arial;Helvetica;sans-serif" w:hAnsi="Arial;Helvetica;sans-serif"/>
                <w:color w:val="636466"/>
                <w:sz w:val="14"/>
              </w:rPr>
              <w:t xml:space="preserve">61,040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740" w:type="dxa"/>
            <w:tcBorders>
              <w:bottom w:val="single" w:sz="8" w:space="0" w:color="1F1C6B"/>
            </w:tcBorders>
            <w:shd w:fill="E7E0EF" w:val="clear"/>
            <w:tcMar>
              <w:bottom w:w="58" w:type="dxa"/>
            </w:tcM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5,915,394 </w:t>
            </w:r>
          </w:p>
        </w:tc>
        <w:tc>
          <w:tcPr>
            <w:tcW w:w="215"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1F1C6B"/>
            </w:tcBorders>
            <w:tcMar>
              <w:bottom w:w="28" w:type="dxa"/>
            </w:tcMar>
            <w:vAlign w:val="center"/>
          </w:tcPr>
          <w:p>
            <w:pPr>
              <w:pStyle w:val="TableContents"/>
              <w:bidi w:val="0"/>
              <w:spacing w:before="0" w:after="0"/>
              <w:jc w:val="left"/>
              <w:rPr/>
            </w:pPr>
            <w:r>
              <w:rPr/>
              <w:t> </w:t>
            </w:r>
          </w:p>
        </w:tc>
        <w:tc>
          <w:tcPr>
            <w:tcW w:w="800" w:type="dxa"/>
            <w:tcBorders>
              <w:bottom w:val="single" w:sz="8" w:space="0" w:color="1F1C6B"/>
            </w:tcBorders>
            <w:tcMar>
              <w:bottom w:w="58" w:type="dxa"/>
            </w:tcMar>
            <w:vAlign w:val="center"/>
          </w:tcPr>
          <w:p>
            <w:pPr>
              <w:pStyle w:val="TableContents"/>
              <w:bidi w:val="0"/>
              <w:spacing w:before="0" w:after="283"/>
              <w:ind w:left="30" w:right="0" w:hanging="0"/>
              <w:jc w:val="left"/>
              <w:rPr>
                <w:rFonts w:ascii="Arial;Helvetica;sans-serif" w:hAnsi="Arial;Helvetica;sans-serif"/>
                <w:b/>
                <w:color w:val="484484"/>
                <w:sz w:val="16"/>
              </w:rPr>
            </w:pPr>
            <w:r>
              <w:rPr>
                <w:rFonts w:ascii="Arial;Helvetica;sans-serif" w:hAnsi="Arial;Helvetica;sans-serif"/>
                <w:b/>
                <w:color w:val="484484"/>
                <w:sz w:val="16"/>
              </w:rPr>
              <w:t>Paul Campbell</w:t>
            </w:r>
          </w:p>
          <w:p>
            <w:pPr>
              <w:pStyle w:val="TableContents"/>
              <w:bidi w:val="0"/>
              <w:spacing w:before="0" w:after="283"/>
              <w:ind w:left="30" w:right="0" w:hanging="0"/>
              <w:jc w:val="left"/>
              <w:rPr>
                <w:rFonts w:ascii="Arial;Helvetica;sans-serif" w:hAnsi="Arial;Helvetica;sans-serif"/>
                <w:b w:val="false"/>
                <w:color w:val="636466"/>
                <w:sz w:val="14"/>
              </w:rPr>
            </w:pPr>
            <w:r>
              <w:rPr>
                <w:rFonts w:ascii="Arial;Helvetica;sans-serif" w:hAnsi="Arial;Helvetica;sans-serif"/>
                <w:b w:val="false"/>
                <w:color w:val="636466"/>
                <w:sz w:val="14"/>
              </w:rPr>
              <w:t>Chief Accounting Officer</w:t>
            </w:r>
          </w:p>
          <w:p>
            <w:pPr>
              <w:pStyle w:val="TableContents"/>
              <w:bidi w:val="0"/>
              <w:spacing w:before="0" w:after="283"/>
              <w:ind w:left="30" w:right="0" w:hanging="0"/>
              <w:jc w:val="left"/>
              <w:rPr>
                <w:rFonts w:ascii="Arial;Helvetica;sans-serif" w:hAnsi="Arial;Helvetica;sans-serif"/>
                <w:b w:val="false"/>
                <w:color w:val="636466"/>
                <w:sz w:val="14"/>
              </w:rPr>
            </w:pPr>
            <w:r>
              <w:rPr>
                <w:rFonts w:ascii="Arial;Helvetica;sans-serif" w:hAnsi="Arial;Helvetica;sans-serif"/>
                <w:b w:val="false"/>
                <w:color w:val="636466"/>
                <w:sz w:val="14"/>
              </w:rPr>
              <w:t>and Corporate Controller</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440" w:type="dxa"/>
            <w:tcBorders>
              <w:bottom w:val="single" w:sz="8" w:space="0" w:color="1F1C6B"/>
            </w:tcBorders>
            <w:tcMar>
              <w:bottom w:w="58" w:type="dxa"/>
            </w:tcMar>
            <w:vAlign w:val="center"/>
          </w:tcPr>
          <w:p>
            <w:pPr>
              <w:pStyle w:val="TableContents"/>
              <w:bidi w:val="0"/>
              <w:spacing w:before="0" w:after="283"/>
              <w:ind w:left="26" w:right="0" w:hanging="0"/>
              <w:jc w:val="left"/>
              <w:rPr>
                <w:rFonts w:ascii="Arial;Helvetica;sans-serif" w:hAnsi="Arial;Helvetica;sans-serif"/>
                <w:color w:val="636466"/>
                <w:sz w:val="14"/>
              </w:rPr>
            </w:pPr>
            <w:r>
              <w:rPr>
                <w:rFonts w:ascii="Arial;Helvetica;sans-serif" w:hAnsi="Arial;Helvetica;sans-serif"/>
                <w:color w:val="636466"/>
                <w:sz w:val="14"/>
              </w:rPr>
              <w:t>2024</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65"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715,385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65"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1,750,000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40"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1,812,507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530" w:type="dxa"/>
            <w:tcBorders>
              <w:bottom w:val="single" w:sz="8" w:space="0" w:color="1F1C6B"/>
            </w:tcBorders>
            <w:tcMar>
              <w:bottom w:w="58" w:type="dxa"/>
            </w:tcMar>
            <w:vAlign w:val="center"/>
          </w:tcPr>
          <w:p>
            <w:pPr>
              <w:pStyle w:val="TableContents"/>
              <w:bidi w:val="0"/>
              <w:spacing w:before="0" w:after="283"/>
              <w:ind w:left="182"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950" w:type="dxa"/>
            <w:tcBorders>
              <w:bottom w:val="single" w:sz="8" w:space="0" w:color="1F1C6B"/>
            </w:tcBorders>
            <w:tcMar>
              <w:bottom w:w="58" w:type="dxa"/>
            </w:tcMar>
            <w:vAlign w:val="center"/>
          </w:tcPr>
          <w:p>
            <w:pPr>
              <w:pStyle w:val="TableContents"/>
              <w:bidi w:val="0"/>
              <w:spacing w:before="0" w:after="283"/>
              <w:ind w:left="182" w:right="0" w:hanging="0"/>
              <w:jc w:val="left"/>
              <w:rPr>
                <w:rFonts w:ascii="Arial;Helvetica;sans-serif" w:hAnsi="Arial;Helvetica;sans-serif"/>
                <w:color w:val="636466"/>
                <w:sz w:val="14"/>
              </w:rPr>
            </w:pPr>
            <w:r>
              <w:rPr>
                <w:rFonts w:ascii="Arial;Helvetica;sans-serif" w:hAnsi="Arial;Helvetica;sans-serif"/>
                <w:color w:val="636466"/>
                <w:sz w:val="14"/>
              </w:rPr>
              <w:t xml:space="preserve">1,015,000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950" w:type="dxa"/>
            <w:tcBorders>
              <w:bottom w:val="single" w:sz="8" w:space="0" w:color="1F1C6B"/>
            </w:tcBorders>
            <w:tcMar>
              <w:bottom w:w="58" w:type="dxa"/>
            </w:tcMar>
            <w:vAlign w:val="center"/>
          </w:tcPr>
          <w:p>
            <w:pPr>
              <w:pStyle w:val="TableContents"/>
              <w:bidi w:val="0"/>
              <w:spacing w:before="0" w:after="283"/>
              <w:ind w:left="537"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950" w:type="dxa"/>
            <w:tcBorders>
              <w:bottom w:val="single" w:sz="8" w:space="0" w:color="1F1C6B"/>
            </w:tcBorders>
            <w:tcMar>
              <w:bottom w:w="58" w:type="dxa"/>
            </w:tcMar>
            <w:vAlign w:val="center"/>
          </w:tcPr>
          <w:p>
            <w:pPr>
              <w:pStyle w:val="TableContents"/>
              <w:bidi w:val="0"/>
              <w:spacing w:before="0" w:after="283"/>
              <w:ind w:left="182" w:right="0" w:hanging="0"/>
              <w:jc w:val="left"/>
              <w:rPr>
                <w:rFonts w:ascii="Arial;Helvetica;sans-serif" w:hAnsi="Arial;Helvetica;sans-serif"/>
                <w:color w:val="636466"/>
                <w:sz w:val="14"/>
              </w:rPr>
            </w:pPr>
            <w:r>
              <w:rPr>
                <w:rFonts w:ascii="Arial;Helvetica;sans-serif" w:hAnsi="Arial;Helvetica;sans-serif"/>
                <w:color w:val="636466"/>
                <w:sz w:val="14"/>
              </w:rPr>
              <w:t xml:space="preserve">222,398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40"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5,515,290 </w:t>
            </w:r>
          </w:p>
        </w:tc>
        <w:tc>
          <w:tcPr>
            <w:tcW w:w="215" w:type="dxa"/>
            <w:tcBorders>
              <w:bottom w:val="single" w:sz="8" w:space="0" w:color="1F1C6B"/>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800" w:type="dxa"/>
            <w:vMerge w:val="restart"/>
            <w:tcBorders>
              <w:bottom w:val="single" w:sz="8" w:space="0" w:color="1F1C6B"/>
            </w:tcBorders>
            <w:tcMar>
              <w:bottom w:w="58" w:type="dxa"/>
            </w:tcMar>
            <w:vAlign w:val="center"/>
          </w:tcPr>
          <w:p>
            <w:pPr>
              <w:pStyle w:val="TableContents"/>
              <w:bidi w:val="0"/>
              <w:spacing w:before="0" w:after="283"/>
              <w:ind w:left="30" w:right="0" w:hanging="0"/>
              <w:jc w:val="left"/>
              <w:rPr>
                <w:rFonts w:ascii="Arial;Helvetica;sans-serif" w:hAnsi="Arial;Helvetica;sans-serif"/>
                <w:b/>
                <w:color w:val="484484"/>
                <w:sz w:val="16"/>
              </w:rPr>
            </w:pPr>
            <w:r>
              <w:rPr>
                <w:rFonts w:ascii="Arial;Helvetica;sans-serif" w:hAnsi="Arial;Helvetica;sans-serif"/>
                <w:b/>
                <w:color w:val="484484"/>
                <w:sz w:val="16"/>
              </w:rPr>
              <w:t>Brian Roman</w:t>
            </w:r>
          </w:p>
          <w:p>
            <w:pPr>
              <w:pStyle w:val="TableContents"/>
              <w:bidi w:val="0"/>
              <w:spacing w:before="0" w:after="283"/>
              <w:ind w:left="30" w:right="0" w:hanging="0"/>
              <w:jc w:val="left"/>
              <w:rPr>
                <w:rFonts w:ascii="Arial;Helvetica;sans-serif" w:hAnsi="Arial;Helvetica;sans-serif"/>
                <w:b w:val="false"/>
                <w:color w:val="636466"/>
                <w:sz w:val="14"/>
              </w:rPr>
            </w:pPr>
            <w:r>
              <w:rPr>
                <w:rFonts w:ascii="Arial;Helvetica;sans-serif" w:hAnsi="Arial;Helvetica;sans-serif"/>
                <w:b w:val="false"/>
                <w:color w:val="636466"/>
                <w:sz w:val="14"/>
              </w:rPr>
              <w:t>Chief Legal Officer</w:t>
            </w:r>
          </w:p>
        </w:tc>
        <w:tc>
          <w:tcPr>
            <w:tcW w:w="170"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40" w:type="dxa"/>
            <w:tcBorders/>
            <w:shd w:fill="E7E0EF" w:val="clear"/>
            <w:vAlign w:val="center"/>
          </w:tcPr>
          <w:p>
            <w:pPr>
              <w:pStyle w:val="TableContents"/>
              <w:bidi w:val="0"/>
              <w:spacing w:before="0" w:after="283"/>
              <w:ind w:left="26" w:right="0" w:hanging="0"/>
              <w:jc w:val="left"/>
              <w:rPr>
                <w:rFonts w:ascii="Arial;Helvetica;sans-serif" w:hAnsi="Arial;Helvetica;sans-serif"/>
                <w:color w:val="636466"/>
                <w:sz w:val="14"/>
              </w:rPr>
            </w:pPr>
            <w:r>
              <w:rPr>
                <w:rFonts w:ascii="Arial;Helvetica;sans-serif" w:hAnsi="Arial;Helvetica;sans-serif"/>
                <w:color w:val="636466"/>
                <w:sz w:val="14"/>
              </w:rPr>
              <w:t>2024</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6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824,520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65" w:type="dxa"/>
            <w:tcBorders/>
            <w:shd w:fill="E7E0EF" w:val="cle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4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2,475,004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30" w:type="dxa"/>
            <w:tcBorders/>
            <w:shd w:fill="E7E0EF" w:val="clear"/>
            <w:vAlign w:val="center"/>
          </w:tcPr>
          <w:p>
            <w:pPr>
              <w:pStyle w:val="TableContents"/>
              <w:bidi w:val="0"/>
              <w:spacing w:before="0" w:after="283"/>
              <w:ind w:left="182"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182" w:right="0" w:hanging="0"/>
              <w:jc w:val="left"/>
              <w:rPr>
                <w:rFonts w:ascii="Arial;Helvetica;sans-serif" w:hAnsi="Arial;Helvetica;sans-serif"/>
                <w:color w:val="636466"/>
                <w:sz w:val="14"/>
              </w:rPr>
            </w:pPr>
            <w:r>
              <w:rPr>
                <w:rFonts w:ascii="Arial;Helvetica;sans-serif" w:hAnsi="Arial;Helvetica;sans-serif"/>
                <w:color w:val="636466"/>
                <w:sz w:val="14"/>
              </w:rPr>
              <w:t xml:space="preserve">1,155,000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537"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182" w:right="0" w:hanging="0"/>
              <w:jc w:val="left"/>
              <w:rPr>
                <w:rFonts w:ascii="Arial;Helvetica;sans-serif" w:hAnsi="Arial;Helvetica;sans-serif"/>
                <w:color w:val="636466"/>
                <w:sz w:val="14"/>
              </w:rPr>
            </w:pPr>
            <w:r>
              <w:rPr>
                <w:rFonts w:ascii="Arial;Helvetica;sans-serif" w:hAnsi="Arial;Helvetica;sans-serif"/>
                <w:color w:val="636466"/>
                <w:sz w:val="14"/>
              </w:rPr>
              <w:t xml:space="preserve">234,780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4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4,689,304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800" w:type="dxa"/>
            <w:vMerge w:val="continue"/>
            <w:tcBorders>
              <w:bottom w:val="single" w:sz="8" w:space="0" w:color="1F1C6B"/>
            </w:tcBorders>
            <w:tcMar>
              <w:bottom w:w="58"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440" w:type="dxa"/>
            <w:tcBorders>
              <w:bottom w:val="single" w:sz="8" w:space="0" w:color="1F1C6B"/>
            </w:tcBorders>
            <w:tcMar>
              <w:bottom w:w="58" w:type="dxa"/>
            </w:tcMar>
            <w:vAlign w:val="center"/>
          </w:tcPr>
          <w:p>
            <w:pPr>
              <w:pStyle w:val="TableContents"/>
              <w:bidi w:val="0"/>
              <w:spacing w:before="0" w:after="283"/>
              <w:ind w:left="26" w:right="0" w:hanging="0"/>
              <w:jc w:val="left"/>
              <w:rPr>
                <w:rFonts w:ascii="Arial;Helvetica;sans-serif" w:hAnsi="Arial;Helvetica;sans-serif"/>
                <w:color w:val="636466"/>
                <w:sz w:val="14"/>
              </w:rPr>
            </w:pPr>
            <w:r>
              <w:rPr>
                <w:rFonts w:ascii="Arial;Helvetica;sans-serif" w:hAnsi="Arial;Helvetica;sans-serif"/>
                <w:color w:val="636466"/>
                <w:sz w:val="14"/>
              </w:rPr>
              <w:t>2023</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65"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790,385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65" w:type="dxa"/>
            <w:tcBorders>
              <w:bottom w:val="single" w:sz="8" w:space="0" w:color="1F1C6B"/>
            </w:tcBorders>
            <w:tcMar>
              <w:bottom w:w="58" w:type="dxa"/>
            </w:tcM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40"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1,600,015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530" w:type="dxa"/>
            <w:tcBorders>
              <w:bottom w:val="single" w:sz="8" w:space="0" w:color="1F1C6B"/>
            </w:tcBorders>
            <w:tcMar>
              <w:bottom w:w="58" w:type="dxa"/>
            </w:tcMar>
            <w:vAlign w:val="center"/>
          </w:tcPr>
          <w:p>
            <w:pPr>
              <w:pStyle w:val="TableContents"/>
              <w:bidi w:val="0"/>
              <w:spacing w:before="0" w:after="283"/>
              <w:ind w:left="182"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950" w:type="dxa"/>
            <w:tcBorders>
              <w:bottom w:val="single" w:sz="8" w:space="0" w:color="1F1C6B"/>
            </w:tcBorders>
            <w:tcMar>
              <w:bottom w:w="58" w:type="dxa"/>
            </w:tcMar>
            <w:vAlign w:val="center"/>
          </w:tcPr>
          <w:p>
            <w:pPr>
              <w:pStyle w:val="TableContents"/>
              <w:bidi w:val="0"/>
              <w:spacing w:before="0" w:after="283"/>
              <w:ind w:left="182" w:right="0" w:hanging="0"/>
              <w:jc w:val="left"/>
              <w:rPr>
                <w:rFonts w:ascii="Arial;Helvetica;sans-serif" w:hAnsi="Arial;Helvetica;sans-serif"/>
                <w:color w:val="636466"/>
                <w:sz w:val="14"/>
              </w:rPr>
            </w:pPr>
            <w:r>
              <w:rPr>
                <w:rFonts w:ascii="Arial;Helvetica;sans-serif" w:hAnsi="Arial;Helvetica;sans-serif"/>
                <w:color w:val="636466"/>
                <w:sz w:val="14"/>
              </w:rPr>
              <w:t xml:space="preserve">1,458,480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950" w:type="dxa"/>
            <w:tcBorders>
              <w:bottom w:val="single" w:sz="8" w:space="0" w:color="1F1C6B"/>
            </w:tcBorders>
            <w:tcMar>
              <w:bottom w:w="58" w:type="dxa"/>
            </w:tcMar>
            <w:vAlign w:val="center"/>
          </w:tcPr>
          <w:p>
            <w:pPr>
              <w:pStyle w:val="TableContents"/>
              <w:bidi w:val="0"/>
              <w:spacing w:before="0" w:after="283"/>
              <w:ind w:left="537"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950" w:type="dxa"/>
            <w:tcBorders>
              <w:bottom w:val="single" w:sz="8" w:space="0" w:color="1F1C6B"/>
            </w:tcBorders>
            <w:tcMar>
              <w:bottom w:w="58" w:type="dxa"/>
            </w:tcMar>
            <w:vAlign w:val="center"/>
          </w:tcPr>
          <w:p>
            <w:pPr>
              <w:pStyle w:val="TableContents"/>
              <w:bidi w:val="0"/>
              <w:spacing w:before="0" w:after="283"/>
              <w:ind w:left="182" w:right="0" w:hanging="0"/>
              <w:jc w:val="left"/>
              <w:rPr>
                <w:rFonts w:ascii="Arial;Helvetica;sans-serif" w:hAnsi="Arial;Helvetica;sans-serif"/>
                <w:color w:val="636466"/>
                <w:sz w:val="14"/>
              </w:rPr>
            </w:pPr>
            <w:r>
              <w:rPr>
                <w:rFonts w:ascii="Arial;Helvetica;sans-serif" w:hAnsi="Arial;Helvetica;sans-serif"/>
                <w:color w:val="636466"/>
                <w:sz w:val="14"/>
              </w:rPr>
              <w:t xml:space="preserve">263,253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40"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4,112,133 </w:t>
            </w:r>
          </w:p>
        </w:tc>
        <w:tc>
          <w:tcPr>
            <w:tcW w:w="215" w:type="dxa"/>
            <w:tcBorders>
              <w:bottom w:val="single" w:sz="8" w:space="0" w:color="1F1C6B"/>
            </w:tcBorders>
            <w:tcMar>
              <w:bottom w:w="28" w:type="dxa"/>
            </w:tcM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800" w:type="dxa"/>
            <w:vMerge w:val="restart"/>
            <w:tcBorders/>
            <w:vAlign w:val="center"/>
          </w:tcPr>
          <w:p>
            <w:pPr>
              <w:pStyle w:val="TableContents"/>
              <w:bidi w:val="0"/>
              <w:spacing w:before="0" w:after="283"/>
              <w:ind w:left="30" w:right="0" w:hanging="0"/>
              <w:jc w:val="left"/>
              <w:rPr>
                <w:rFonts w:ascii="Arial;Helvetica;sans-serif" w:hAnsi="Arial;Helvetica;sans-serif"/>
                <w:b/>
                <w:color w:val="484484"/>
                <w:sz w:val="16"/>
              </w:rPr>
            </w:pPr>
            <w:r>
              <w:rPr>
                <w:rFonts w:ascii="Arial;Helvetica;sans-serif" w:hAnsi="Arial;Helvetica;sans-serif"/>
                <w:b/>
                <w:color w:val="484484"/>
                <w:sz w:val="16"/>
              </w:rPr>
              <w:t>Sanjeev Narula</w:t>
            </w:r>
          </w:p>
          <w:p>
            <w:pPr>
              <w:pStyle w:val="TableContents"/>
              <w:bidi w:val="0"/>
              <w:spacing w:before="0" w:after="283"/>
              <w:ind w:left="30" w:right="0" w:hanging="0"/>
              <w:jc w:val="left"/>
              <w:rPr>
                <w:rFonts w:ascii="Arial;Helvetica;sans-serif" w:hAnsi="Arial;Helvetica;sans-serif"/>
                <w:b w:val="false"/>
                <w:color w:val="636466"/>
                <w:sz w:val="14"/>
              </w:rPr>
            </w:pPr>
            <w:r>
              <w:rPr>
                <w:rFonts w:ascii="Arial;Helvetica;sans-serif" w:hAnsi="Arial;Helvetica;sans-serif"/>
                <w:b w:val="false"/>
                <w:color w:val="636466"/>
                <w:sz w:val="14"/>
              </w:rPr>
              <w:t>Former Chief</w:t>
            </w:r>
          </w:p>
          <w:p>
            <w:pPr>
              <w:pStyle w:val="TableContents"/>
              <w:bidi w:val="0"/>
              <w:spacing w:before="0" w:after="283"/>
              <w:ind w:left="30" w:right="0" w:hanging="0"/>
              <w:jc w:val="left"/>
              <w:rPr>
                <w:rFonts w:ascii="Arial;Helvetica;sans-serif" w:hAnsi="Arial;Helvetica;sans-serif"/>
                <w:b w:val="false"/>
                <w:color w:val="636466"/>
                <w:sz w:val="14"/>
              </w:rPr>
            </w:pPr>
            <w:r>
              <w:rPr>
                <w:rFonts w:ascii="Arial;Helvetica;sans-serif" w:hAnsi="Arial;Helvetica;sans-serif"/>
                <w:b w:val="false"/>
                <w:color w:val="636466"/>
                <w:sz w:val="14"/>
              </w:rPr>
              <w:t>Financial Officer</w:t>
            </w:r>
          </w:p>
        </w:tc>
        <w:tc>
          <w:tcPr>
            <w:tcW w:w="170" w:type="dxa"/>
            <w:vMerge w:val="restart"/>
            <w:tcBorders/>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40" w:type="dxa"/>
            <w:tcBorders/>
            <w:shd w:fill="E7E0EF" w:val="clear"/>
            <w:vAlign w:val="center"/>
          </w:tcPr>
          <w:p>
            <w:pPr>
              <w:pStyle w:val="TableContents"/>
              <w:bidi w:val="0"/>
              <w:spacing w:before="0" w:after="283"/>
              <w:ind w:left="26" w:right="0" w:hanging="0"/>
              <w:jc w:val="left"/>
              <w:rPr>
                <w:rFonts w:ascii="Arial;Helvetica;sans-serif" w:hAnsi="Arial;Helvetica;sans-serif"/>
                <w:color w:val="636466"/>
                <w:sz w:val="14"/>
              </w:rPr>
            </w:pPr>
            <w:r>
              <w:rPr>
                <w:rFonts w:ascii="Arial;Helvetica;sans-serif" w:hAnsi="Arial;Helvetica;sans-serif"/>
                <w:color w:val="636466"/>
                <w:sz w:val="14"/>
              </w:rPr>
              <w:t>2024</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6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185,000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65" w:type="dxa"/>
            <w:tcBorders/>
            <w:shd w:fill="E7E0EF" w:val="cle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4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681,821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30" w:type="dxa"/>
            <w:tcBorders/>
            <w:shd w:fill="E7E0EF" w:val="clear"/>
            <w:vAlign w:val="center"/>
          </w:tcPr>
          <w:p>
            <w:pPr>
              <w:pStyle w:val="TableContents"/>
              <w:bidi w:val="0"/>
              <w:spacing w:before="0" w:after="283"/>
              <w:ind w:left="182"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182" w:right="0" w:hanging="0"/>
              <w:jc w:val="left"/>
              <w:rPr>
                <w:rFonts w:ascii="Arial;Helvetica;sans-serif" w:hAnsi="Arial;Helvetica;sans-serif"/>
                <w:color w:val="636466"/>
                <w:sz w:val="14"/>
              </w:rPr>
            </w:pPr>
            <w:r>
              <w:rPr>
                <w:rFonts w:ascii="Arial;Helvetica;sans-serif" w:hAnsi="Arial;Helvetica;sans-serif"/>
                <w:color w:val="636466"/>
                <w:sz w:val="14"/>
              </w:rPr>
              <w:t xml:space="preserve">229,986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537"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182" w:right="0" w:hanging="0"/>
              <w:jc w:val="left"/>
              <w:rPr>
                <w:rFonts w:ascii="Arial;Helvetica;sans-serif" w:hAnsi="Arial;Helvetica;sans-serif"/>
                <w:color w:val="636466"/>
                <w:sz w:val="14"/>
              </w:rPr>
            </w:pPr>
            <w:r>
              <w:rPr>
                <w:rFonts w:ascii="Arial;Helvetica;sans-serif" w:hAnsi="Arial;Helvetica;sans-serif"/>
                <w:color w:val="636466"/>
                <w:sz w:val="14"/>
              </w:rPr>
              <w:t xml:space="preserve">4,152,344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4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5,249,151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0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26" w:right="0" w:hanging="0"/>
              <w:jc w:val="left"/>
              <w:rPr>
                <w:rFonts w:ascii="Arial;Helvetica;sans-serif" w:hAnsi="Arial;Helvetica;sans-serif"/>
                <w:color w:val="636466"/>
                <w:sz w:val="14"/>
              </w:rPr>
            </w:pPr>
            <w:r>
              <w:rPr>
                <w:rFonts w:ascii="Arial;Helvetica;sans-serif" w:hAnsi="Arial;Helvetica;sans-serif"/>
                <w:color w:val="636466"/>
                <w:sz w:val="14"/>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923,558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3,700,013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82"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82" w:right="0" w:hanging="0"/>
              <w:jc w:val="left"/>
              <w:rPr>
                <w:rFonts w:ascii="Arial;Helvetica;sans-serif" w:hAnsi="Arial;Helvetica;sans-serif"/>
                <w:color w:val="636466"/>
                <w:sz w:val="14"/>
              </w:rPr>
            </w:pPr>
            <w:r>
              <w:rPr>
                <w:rFonts w:ascii="Arial;Helvetica;sans-serif" w:hAnsi="Arial;Helvetica;sans-serif"/>
                <w:color w:val="636466"/>
                <w:sz w:val="14"/>
              </w:rPr>
              <w:t xml:space="preserve">1,686,368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537"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82" w:right="0" w:hanging="0"/>
              <w:jc w:val="left"/>
              <w:rPr>
                <w:rFonts w:ascii="Arial;Helvetica;sans-serif" w:hAnsi="Arial;Helvetica;sans-serif"/>
                <w:color w:val="636466"/>
                <w:sz w:val="14"/>
              </w:rPr>
            </w:pPr>
            <w:r>
              <w:rPr>
                <w:rFonts w:ascii="Arial;Helvetica;sans-serif" w:hAnsi="Arial;Helvetica;sans-serif"/>
                <w:color w:val="636466"/>
                <w:sz w:val="14"/>
              </w:rPr>
              <w:t xml:space="preserve">470,303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6,780,242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0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440" w:type="dxa"/>
            <w:tcBorders/>
            <w:shd w:fill="E7E0EF" w:val="clear"/>
            <w:vAlign w:val="center"/>
          </w:tcPr>
          <w:p>
            <w:pPr>
              <w:pStyle w:val="TableContents"/>
              <w:bidi w:val="0"/>
              <w:spacing w:before="0" w:after="283"/>
              <w:ind w:left="26" w:right="0" w:hanging="0"/>
              <w:jc w:val="left"/>
              <w:rPr>
                <w:rFonts w:ascii="Arial;Helvetica;sans-serif" w:hAnsi="Arial;Helvetica;sans-serif"/>
                <w:color w:val="636466"/>
                <w:sz w:val="14"/>
              </w:rPr>
            </w:pPr>
            <w:r>
              <w:rPr>
                <w:rFonts w:ascii="Arial;Helvetica;sans-serif" w:hAnsi="Arial;Helvetica;sans-serif"/>
                <w:color w:val="636466"/>
                <w:sz w:val="14"/>
              </w:rPr>
              <w:t>2022</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6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840,385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65" w:type="dxa"/>
            <w:tcBorders/>
            <w:shd w:fill="E7E0EF" w:val="cle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4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3,400,006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30" w:type="dxa"/>
            <w:tcBorders/>
            <w:shd w:fill="E7E0EF" w:val="clear"/>
            <w:vAlign w:val="center"/>
          </w:tcPr>
          <w:p>
            <w:pPr>
              <w:pStyle w:val="TableContents"/>
              <w:bidi w:val="0"/>
              <w:spacing w:before="0" w:after="283"/>
              <w:ind w:left="182"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182" w:right="0" w:hanging="0"/>
              <w:jc w:val="left"/>
              <w:rPr>
                <w:rFonts w:ascii="Arial;Helvetica;sans-serif" w:hAnsi="Arial;Helvetica;sans-serif"/>
                <w:color w:val="636466"/>
                <w:sz w:val="14"/>
              </w:rPr>
            </w:pPr>
            <w:r>
              <w:rPr>
                <w:rFonts w:ascii="Arial;Helvetica;sans-serif" w:hAnsi="Arial;Helvetica;sans-serif"/>
                <w:color w:val="636466"/>
                <w:sz w:val="14"/>
              </w:rPr>
              <w:t xml:space="preserve">1,586,355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537"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182" w:right="0" w:hanging="0"/>
              <w:jc w:val="left"/>
              <w:rPr>
                <w:rFonts w:ascii="Arial;Helvetica;sans-serif" w:hAnsi="Arial;Helvetica;sans-serif"/>
                <w:color w:val="636466"/>
                <w:sz w:val="14"/>
              </w:rPr>
            </w:pPr>
            <w:r>
              <w:rPr>
                <w:rFonts w:ascii="Arial;Helvetica;sans-serif" w:hAnsi="Arial;Helvetica;sans-serif"/>
                <w:color w:val="636466"/>
                <w:sz w:val="14"/>
              </w:rPr>
              <w:t xml:space="preserve">281,660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4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6,108,406</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4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6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6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4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3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40"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1</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Represents the base salary actually paid to the NEO in 2024, 2023, and 2022. For Dr. Le Goff, the amount reflects salary received commencing with her April 15, 2024 hire date. For Mr. Narula, the amount reflects salary received up until his last day of employment, which was March 5, 2024.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2</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In connection with the hire date for Ms. Mistras, she received a cash sign-on bonus in the amount of $500,000. In connection with the Combination in 2020, Mr. Campbell was granted a retention bonus (equal to $1,500,000), which became payable in 2024 upon the four-year anniversary of the Combination, subject to Mr. Campbell's continued employment through such date. In connection with the successful completion of the divestiture of our OTC Business, Mr. Campbell was also granted a bonus (equal to $250,000), which became payable in 2024. Consistent with our engagement with shareholders, the Compensation Committee has determined that it does not intend to issue new cash-based retention awards for NEOs except in extraordinary situations where such awards will have a performance-based component with meaningful vesting requirements or in connection with new hires.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3</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Represents the grant date fair value of the long-term incentive awards granted to the NEO in 2024, 2023, and 2022, as applicable. The grant date fair value of PRSUs for 2024 is based on the target value and is as follows: Smith ($6,370,010), Mistras ($2,145,004), Le Goff ($2,275,007), Campbell ($1,178,130), and Roman ($1,608,753). If the maximum achievement of performance goals had been assumed, the grant date fair value of the PRSUs for 2024 would have been as follows: Smith ($12,421,528), Mistras ($4,182,760), Le Goff ($4,436,268), Campbell ($2,297,366), and Roman ($3,137,079). Mr. Narula did not receive a 2024 long-term incentive award grant in 2024. The amount reported reflects the accounting incremental fair value of a prorated portion of the PRSUs awarded to him in 2022 resulting from their modification under his separation agreement to provide for continued vesting. For information regarding assumptions used in determining the expense of such awards, please refer to Note 13 to the Company’s Consolidated Financial Statements contained in the Form 10-K.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4</w:t>
            </w:r>
          </w:p>
        </w:tc>
        <w:tc>
          <w:tcPr>
            <w:tcW w:w="9020" w:type="dxa"/>
            <w:tcBorders/>
            <w:vAlign w:val="center"/>
          </w:tcPr>
          <w:p>
            <w:pPr>
              <w:pStyle w:val="TableContents"/>
              <w:bidi w:val="0"/>
              <w:spacing w:before="0" w:after="0"/>
              <w:jc w:val="left"/>
              <w:rPr/>
            </w:pPr>
            <w:r>
              <w:rPr>
                <w:rFonts w:ascii="Arial;Helvetica;sans-serif" w:hAnsi="Arial;Helvetica;sans-serif"/>
                <w:color w:val="636466"/>
                <w:sz w:val="14"/>
              </w:rPr>
              <w:t xml:space="preserve">Represents amounts paid under the Company’s annual short-term incentive plan. For a discussion of this plan, see “2024 Annual Incentive Compensation Program” on page </w:t>
            </w:r>
            <w:hyperlink w:anchor="tAIC">
              <w:r>
                <w:rPr>
                  <w:rStyle w:val="InternetLink"/>
                  <w:rFonts w:ascii="Arial;Helvetica;sans-serif" w:hAnsi="Arial;Helvetica;sans-serif"/>
                  <w:color w:val="000080"/>
                  <w:sz w:val="14"/>
                </w:rPr>
                <w:t>49</w:t>
              </w:r>
            </w:hyperlink>
            <w:r>
              <w:rPr>
                <w:rFonts w:ascii="Arial;Helvetica;sans-serif" w:hAnsi="Arial;Helvetica;sans-serif"/>
                <w:color w:val="636466"/>
                <w:sz w:val="14"/>
              </w:rPr>
              <w:t>.</w:t>
            </w:r>
          </w:p>
        </w:tc>
      </w:tr>
    </w:tbl>
    <w:tbl>
      <w:tblPr>
        <w:tblW w:w="4980" w:type="dxa"/>
        <w:jc w:val="left"/>
        <w:tblInd w:w="106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58 | 2025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245"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15" descr=""/>
                          <pic:cNvPicPr>
                            <a:picLocks noChangeAspect="1" noChangeArrowheads="1"/>
                          </pic:cNvPicPr>
                        </pic:nvPicPr>
                        <pic:blipFill>
                          <a:blip r:embed="rId232"/>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246"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16" descr=""/>
                    <pic:cNvPicPr>
                      <a:picLocks noChangeAspect="1" noChangeArrowheads="1"/>
                    </pic:cNvPicPr>
                  </pic:nvPicPr>
                  <pic:blipFill>
                    <a:blip r:embed="rId233"/>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58" w:name="ny20055082x771_def14a_111-comp_pg2"/>
        <w:bookmarkEnd w:id="15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right"/>
        <w:rPr>
          <w:caps/>
          <w:color w:val="1F1C6B"/>
          <w:u w:val="single"/>
        </w:rPr>
      </w:pPr>
      <w:r>
        <w:rPr>
          <w:caps/>
          <w:color w:val="1F1C6B"/>
          <w:u w:val="single"/>
        </w:rPr>
        <w:t> </w:t>
      </w:r>
      <w:r>
        <w:rPr>
          <w:rFonts w:ascii="Arial;Helvetica;sans-serif" w:hAnsi="Arial;Helvetica;sans-serif"/>
          <w:caps/>
          <w:color w:val="1F1C6B"/>
          <w:sz w:val="18"/>
          <w:u w:val="single"/>
        </w:rPr>
        <w:t>Executive Compensation Tables </w:t>
      </w:r>
    </w:p>
    <w:tbl>
      <w:tblPr>
        <w:tblW w:w="4240" w:type="dxa"/>
        <w:jc w:val="left"/>
        <w:tblInd w:w="1060" w:type="dxa"/>
        <w:tblLayout w:type="fixed"/>
        <w:tblCellMar>
          <w:top w:w="0" w:type="dxa"/>
          <w:left w:w="0" w:type="dxa"/>
          <w:bottom w:w="0" w:type="dxa"/>
          <w:right w:w="0" w:type="dxa"/>
        </w:tblCellMar>
      </w:tblPr>
      <w:tblGrid>
        <w:gridCol w:w="125"/>
        <w:gridCol w:w="4115"/>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5</w:t>
            </w:r>
          </w:p>
        </w:tc>
        <w:tc>
          <w:tcPr>
            <w:tcW w:w="411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Amounts shown in this column are detailed in the following table. </w:t>
            </w:r>
          </w:p>
        </w:tc>
      </w:tr>
    </w:tbl>
    <w:tbl>
      <w:tblPr>
        <w:tblW w:w="10275" w:type="dxa"/>
        <w:jc w:val="left"/>
        <w:tblInd w:w="1060" w:type="dxa"/>
        <w:tblLayout w:type="fixed"/>
        <w:tblCellMar>
          <w:top w:w="0" w:type="dxa"/>
          <w:left w:w="0" w:type="dxa"/>
          <w:bottom w:w="0" w:type="dxa"/>
          <w:right w:w="0" w:type="dxa"/>
        </w:tblCellMar>
      </w:tblPr>
      <w:tblGrid>
        <w:gridCol w:w="185"/>
        <w:gridCol w:w="650"/>
        <w:gridCol w:w="170"/>
        <w:gridCol w:w="170"/>
        <w:gridCol w:w="440"/>
        <w:gridCol w:w="170"/>
        <w:gridCol w:w="170"/>
        <w:gridCol w:w="770"/>
        <w:gridCol w:w="170"/>
        <w:gridCol w:w="170"/>
        <w:gridCol w:w="680"/>
        <w:gridCol w:w="170"/>
        <w:gridCol w:w="170"/>
        <w:gridCol w:w="710"/>
        <w:gridCol w:w="170"/>
        <w:gridCol w:w="170"/>
        <w:gridCol w:w="830"/>
        <w:gridCol w:w="170"/>
        <w:gridCol w:w="170"/>
        <w:gridCol w:w="830"/>
        <w:gridCol w:w="170"/>
        <w:gridCol w:w="170"/>
        <w:gridCol w:w="695"/>
        <w:gridCol w:w="170"/>
        <w:gridCol w:w="170"/>
        <w:gridCol w:w="545"/>
        <w:gridCol w:w="170"/>
        <w:gridCol w:w="170"/>
        <w:gridCol w:w="665"/>
        <w:gridCol w:w="215"/>
      </w:tblGrid>
      <w:tr>
        <w:trPr/>
        <w:tc>
          <w:tcPr>
            <w:tcW w:w="185" w:type="dxa"/>
            <w:tcBorders/>
            <w:shd w:fill="1F1C6B" w:val="clear"/>
            <w:vAlign w:val="center"/>
          </w:tcPr>
          <w:p>
            <w:pPr>
              <w:pStyle w:val="TableContents"/>
              <w:bidi w:val="0"/>
              <w:spacing w:before="0" w:after="0"/>
              <w:jc w:val="left"/>
              <w:rPr/>
            </w:pPr>
            <w:r>
              <w:rPr/>
              <w:t> </w:t>
            </w:r>
          </w:p>
        </w:tc>
        <w:tc>
          <w:tcPr>
            <w:tcW w:w="65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44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8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1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3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3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9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54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65"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650"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4"/>
              </w:rPr>
            </w:pPr>
            <w:r>
              <w:rPr>
                <w:rFonts w:ascii="Arial;Helvetica;sans-serif" w:hAnsi="Arial;Helvetica;sans-serif"/>
                <w:b/>
                <w:color w:val="FFFFFF"/>
                <w:sz w:val="14"/>
              </w:rPr>
              <w:t>Name</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44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Fiscal</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Year</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7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Automobile</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Benefit</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r>
              <w:rPr>
                <w:rFonts w:ascii="Arial;Helvetica;sans-serif" w:hAnsi="Arial;Helvetica;sans-serif"/>
                <w:b/>
                <w:color w:val="FFFFFF"/>
                <w:position w:val="5"/>
                <w:sz w:val="11"/>
                <w:sz w:val="14"/>
              </w:rPr>
              <w:t>a</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8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Personal</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Use of</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Corporate</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Aircraft</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r>
              <w:rPr>
                <w:rFonts w:ascii="Arial;Helvetica;sans-serif" w:hAnsi="Arial;Helvetica;sans-serif"/>
                <w:b/>
                <w:color w:val="FFFFFF"/>
                <w:position w:val="5"/>
                <w:sz w:val="11"/>
                <w:sz w:val="14"/>
              </w:rPr>
              <w:t>b</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1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Expatriate</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Benefits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r>
              <w:rPr>
                <w:rFonts w:ascii="Arial;Helvetica;sans-serif" w:hAnsi="Arial;Helvetica;sans-serif"/>
                <w:b/>
                <w:color w:val="FFFFFF"/>
                <w:position w:val="5"/>
                <w:sz w:val="11"/>
                <w:sz w:val="14"/>
              </w:rPr>
              <w:t>c</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3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401(k) and</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Profit</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Sharing</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Plan</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Matching</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and Profit</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Sharing</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Contribution</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r>
              <w:rPr>
                <w:rFonts w:ascii="Arial;Helvetica;sans-serif" w:hAnsi="Arial;Helvetica;sans-serif"/>
                <w:b/>
                <w:color w:val="FFFFFF"/>
                <w:position w:val="5"/>
                <w:sz w:val="11"/>
                <w:sz w:val="14"/>
              </w:rPr>
              <w:t>d</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3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Restoration</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Plan</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Contribution</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r>
              <w:rPr>
                <w:rFonts w:ascii="Arial;Helvetica;sans-serif" w:hAnsi="Arial;Helvetica;sans-serif"/>
                <w:b/>
                <w:color w:val="FFFFFF"/>
                <w:position w:val="5"/>
                <w:sz w:val="11"/>
                <w:sz w:val="14"/>
              </w:rPr>
              <w:t>e</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95"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Transition</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Related</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Benefits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r>
              <w:rPr>
                <w:rFonts w:ascii="Arial;Helvetica;sans-serif" w:hAnsi="Arial;Helvetica;sans-serif"/>
                <w:b/>
                <w:color w:val="FFFFFF"/>
                <w:position w:val="5"/>
                <w:sz w:val="11"/>
                <w:sz w:val="14"/>
              </w:rPr>
              <w:t>f</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545"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Other</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r>
              <w:rPr>
                <w:rFonts w:ascii="Arial;Helvetica;sans-serif" w:hAnsi="Arial;Helvetica;sans-serif"/>
                <w:b/>
                <w:color w:val="FFFFFF"/>
                <w:position w:val="5"/>
                <w:sz w:val="11"/>
                <w:sz w:val="14"/>
              </w:rPr>
              <w:t>g</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65"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Total</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215" w:type="dxa"/>
            <w:tcBorders/>
            <w:shd w:fill="1F1C6B" w:val="clear"/>
            <w:vAlign w:val="center"/>
          </w:tcPr>
          <w:p>
            <w:pPr>
              <w:pStyle w:val="TableContents"/>
              <w:bidi w:val="0"/>
              <w:spacing w:before="0" w:after="0"/>
              <w:jc w:val="left"/>
              <w:rPr/>
            </w:pPr>
            <w:r>
              <w:rPr/>
              <w:t> </w:t>
            </w:r>
          </w:p>
        </w:tc>
      </w:tr>
      <w:tr>
        <w:trPr/>
        <w:tc>
          <w:tcPr>
            <w:tcW w:w="185"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650" w:type="dxa"/>
            <w:vMerge w:val="restart"/>
            <w:tcBorders>
              <w:bottom w:val="single" w:sz="8" w:space="0" w:color="1F1C6B"/>
            </w:tcBorders>
            <w:tcMar>
              <w:bottom w:w="28" w:type="dxa"/>
            </w:tcMar>
            <w:vAlign w:val="center"/>
          </w:tcPr>
          <w:p>
            <w:pPr>
              <w:pStyle w:val="TableContents"/>
              <w:bidi w:val="0"/>
              <w:spacing w:before="0" w:after="283"/>
              <w:ind w:left="30" w:right="0" w:hanging="0"/>
              <w:jc w:val="left"/>
              <w:rPr>
                <w:rFonts w:ascii="Arial;Helvetica;sans-serif" w:hAnsi="Arial;Helvetica;sans-serif"/>
                <w:b/>
                <w:color w:val="636466"/>
                <w:sz w:val="14"/>
              </w:rPr>
            </w:pPr>
            <w:r>
              <w:rPr>
                <w:rFonts w:ascii="Arial;Helvetica;sans-serif" w:hAnsi="Arial;Helvetica;sans-serif"/>
                <w:b/>
                <w:color w:val="636466"/>
                <w:sz w:val="14"/>
              </w:rPr>
              <w:t xml:space="preserve">Scott A. Smith </w:t>
            </w:r>
          </w:p>
        </w:tc>
        <w:tc>
          <w:tcPr>
            <w:tcW w:w="170"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26" w:right="0" w:hanging="0"/>
              <w:jc w:val="left"/>
              <w:rPr>
                <w:rFonts w:ascii="Arial;Helvetica;sans-serif" w:hAnsi="Arial;Helvetica;sans-serif"/>
                <w:color w:val="636466"/>
                <w:sz w:val="14"/>
              </w:rPr>
            </w:pPr>
            <w:r>
              <w:rPr>
                <w:rFonts w:ascii="Arial;Helvetica;sans-serif" w:hAnsi="Arial;Helvetica;sans-serif"/>
                <w:color w:val="636466"/>
                <w:sz w:val="14"/>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77" w:right="0" w:hanging="0"/>
              <w:jc w:val="left"/>
              <w:rPr>
                <w:rFonts w:ascii="Arial;Helvetica;sans-serif" w:hAnsi="Arial;Helvetica;sans-serif"/>
                <w:color w:val="636466"/>
                <w:sz w:val="14"/>
              </w:rPr>
            </w:pPr>
            <w:r>
              <w:rPr>
                <w:rFonts w:ascii="Arial;Helvetica;sans-serif" w:hAnsi="Arial;Helvetica;sans-serif"/>
                <w:color w:val="636466"/>
                <w:sz w:val="14"/>
              </w:rPr>
              <w:t xml:space="preserve">19,200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88" w:right="0" w:hanging="0"/>
              <w:jc w:val="left"/>
              <w:rPr>
                <w:rFonts w:ascii="Arial;Helvetica;sans-serif" w:hAnsi="Arial;Helvetica;sans-serif"/>
                <w:color w:val="636466"/>
                <w:sz w:val="14"/>
              </w:rPr>
            </w:pPr>
            <w:r>
              <w:rPr>
                <w:rFonts w:ascii="Arial;Helvetica;sans-serif" w:hAnsi="Arial;Helvetica;sans-serif"/>
                <w:color w:val="636466"/>
                <w:sz w:val="14"/>
              </w:rPr>
              <w:t xml:space="preserve">167,669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93"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16" w:right="0" w:hanging="0"/>
              <w:jc w:val="left"/>
              <w:rPr>
                <w:rFonts w:ascii="Arial;Helvetica;sans-serif" w:hAnsi="Arial;Helvetica;sans-serif"/>
                <w:color w:val="636466"/>
                <w:sz w:val="14"/>
              </w:rPr>
            </w:pPr>
            <w:r>
              <w:rPr>
                <w:rFonts w:ascii="Arial;Helvetica;sans-serif" w:hAnsi="Arial;Helvetica;sans-serif"/>
                <w:color w:val="636466"/>
                <w:sz w:val="14"/>
              </w:rPr>
              <w:t xml:space="preserve">34,700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76" w:right="0" w:hanging="0"/>
              <w:jc w:val="left"/>
              <w:rPr>
                <w:rFonts w:ascii="Arial;Helvetica;sans-serif" w:hAnsi="Arial;Helvetica;sans-serif"/>
                <w:color w:val="636466"/>
                <w:sz w:val="14"/>
              </w:rPr>
            </w:pPr>
            <w:r>
              <w:rPr>
                <w:rFonts w:ascii="Arial;Helvetica;sans-serif" w:hAnsi="Arial;Helvetica;sans-serif"/>
                <w:color w:val="636466"/>
                <w:sz w:val="14"/>
              </w:rPr>
              <w:t xml:space="preserve">395,970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33"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1,819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619,358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650" w:type="dxa"/>
            <w:vMerge w:val="continue"/>
            <w:tcBorders>
              <w:bottom w:val="single" w:sz="8" w:space="0" w:color="1F1C6B"/>
            </w:tcBorders>
            <w:tcMar>
              <w:bottom w:w="28"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440" w:type="dxa"/>
            <w:tcBorders>
              <w:bottom w:val="single" w:sz="8" w:space="0" w:color="1F1C6B"/>
            </w:tcBorders>
            <w:shd w:fill="E7E0EF" w:val="clear"/>
            <w:tcMar>
              <w:bottom w:w="28" w:type="dxa"/>
            </w:tcMar>
            <w:vAlign w:val="center"/>
          </w:tcPr>
          <w:p>
            <w:pPr>
              <w:pStyle w:val="TableContents"/>
              <w:bidi w:val="0"/>
              <w:spacing w:before="0" w:after="283"/>
              <w:ind w:left="26" w:right="0" w:hanging="0"/>
              <w:jc w:val="left"/>
              <w:rPr>
                <w:rFonts w:ascii="Arial;Helvetica;sans-serif" w:hAnsi="Arial;Helvetica;sans-serif"/>
                <w:color w:val="636466"/>
                <w:sz w:val="14"/>
              </w:rPr>
            </w:pPr>
            <w:r>
              <w:rPr>
                <w:rFonts w:ascii="Arial;Helvetica;sans-serif" w:hAnsi="Arial;Helvetica;sans-serif"/>
                <w:color w:val="636466"/>
                <w:sz w:val="14"/>
              </w:rPr>
              <w:t>2023</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770" w:type="dxa"/>
            <w:tcBorders>
              <w:bottom w:val="single" w:sz="8" w:space="0" w:color="1F1C6B"/>
            </w:tcBorders>
            <w:shd w:fill="E7E0EF" w:val="clear"/>
            <w:tcMar>
              <w:bottom w:w="28" w:type="dxa"/>
            </w:tcMar>
            <w:vAlign w:val="center"/>
          </w:tcPr>
          <w:p>
            <w:pPr>
              <w:pStyle w:val="TableContents"/>
              <w:bidi w:val="0"/>
              <w:spacing w:before="0" w:after="283"/>
              <w:ind w:left="177" w:right="0" w:hanging="0"/>
              <w:jc w:val="left"/>
              <w:rPr>
                <w:rFonts w:ascii="Arial;Helvetica;sans-serif" w:hAnsi="Arial;Helvetica;sans-serif"/>
                <w:color w:val="636466"/>
                <w:sz w:val="14"/>
              </w:rPr>
            </w:pPr>
            <w:r>
              <w:rPr>
                <w:rFonts w:ascii="Arial;Helvetica;sans-serif" w:hAnsi="Arial;Helvetica;sans-serif"/>
                <w:color w:val="636466"/>
                <w:sz w:val="14"/>
              </w:rPr>
              <w:t xml:space="preserve">14,458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680" w:type="dxa"/>
            <w:tcBorders>
              <w:bottom w:val="single" w:sz="8" w:space="0" w:color="1F1C6B"/>
            </w:tcBorders>
            <w:shd w:fill="E7E0EF" w:val="clear"/>
            <w:tcMar>
              <w:bottom w:w="28" w:type="dxa"/>
            </w:tcMar>
            <w:vAlign w:val="center"/>
          </w:tcPr>
          <w:p>
            <w:pPr>
              <w:pStyle w:val="TableContents"/>
              <w:bidi w:val="0"/>
              <w:spacing w:before="0" w:after="283"/>
              <w:ind w:left="88" w:right="0" w:hanging="0"/>
              <w:jc w:val="left"/>
              <w:rPr>
                <w:rFonts w:ascii="Arial;Helvetica;sans-serif" w:hAnsi="Arial;Helvetica;sans-serif"/>
                <w:color w:val="636466"/>
                <w:sz w:val="14"/>
              </w:rPr>
            </w:pPr>
            <w:r>
              <w:rPr>
                <w:rFonts w:ascii="Arial;Helvetica;sans-serif" w:hAnsi="Arial;Helvetica;sans-serif"/>
                <w:color w:val="636466"/>
                <w:sz w:val="14"/>
              </w:rPr>
              <w:t xml:space="preserve">163,853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710" w:type="dxa"/>
            <w:tcBorders>
              <w:bottom w:val="single" w:sz="8" w:space="0" w:color="1F1C6B"/>
            </w:tcBorders>
            <w:shd w:fill="E7E0EF" w:val="clear"/>
            <w:tcMar>
              <w:bottom w:w="28" w:type="dxa"/>
            </w:tcMar>
            <w:vAlign w:val="center"/>
          </w:tcPr>
          <w:p>
            <w:pPr>
              <w:pStyle w:val="TableContents"/>
              <w:bidi w:val="0"/>
              <w:spacing w:before="0" w:after="283"/>
              <w:ind w:left="93"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830" w:type="dxa"/>
            <w:tcBorders>
              <w:bottom w:val="single" w:sz="8" w:space="0" w:color="1F1C6B"/>
            </w:tcBorders>
            <w:shd w:fill="E7E0EF" w:val="clear"/>
            <w:tcMar>
              <w:bottom w:w="28" w:type="dxa"/>
            </w:tcMar>
            <w:vAlign w:val="center"/>
          </w:tcPr>
          <w:p>
            <w:pPr>
              <w:pStyle w:val="TableContents"/>
              <w:bidi w:val="0"/>
              <w:spacing w:before="0" w:after="283"/>
              <w:ind w:left="216" w:right="0" w:hanging="0"/>
              <w:jc w:val="left"/>
              <w:rPr>
                <w:rFonts w:ascii="Arial;Helvetica;sans-serif" w:hAnsi="Arial;Helvetica;sans-serif"/>
                <w:color w:val="636466"/>
                <w:sz w:val="14"/>
              </w:rPr>
            </w:pPr>
            <w:r>
              <w:rPr>
                <w:rFonts w:ascii="Arial;Helvetica;sans-serif" w:hAnsi="Arial;Helvetica;sans-serif"/>
                <w:color w:val="636466"/>
                <w:sz w:val="14"/>
              </w:rPr>
              <w:t xml:space="preserve">37,177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830" w:type="dxa"/>
            <w:tcBorders>
              <w:bottom w:val="single" w:sz="8" w:space="0" w:color="1F1C6B"/>
            </w:tcBorders>
            <w:shd w:fill="E7E0EF" w:val="clear"/>
            <w:tcMar>
              <w:bottom w:w="28" w:type="dxa"/>
            </w:tcMar>
            <w:vAlign w:val="center"/>
          </w:tcPr>
          <w:p>
            <w:pPr>
              <w:pStyle w:val="TableContents"/>
              <w:bidi w:val="0"/>
              <w:spacing w:before="0" w:after="283"/>
              <w:ind w:left="176" w:right="0" w:hanging="0"/>
              <w:jc w:val="left"/>
              <w:rPr>
                <w:rFonts w:ascii="Arial;Helvetica;sans-serif" w:hAnsi="Arial;Helvetica;sans-serif"/>
                <w:color w:val="636466"/>
                <w:sz w:val="14"/>
              </w:rPr>
            </w:pPr>
            <w:r>
              <w:rPr>
                <w:rFonts w:ascii="Arial;Helvetica;sans-serif" w:hAnsi="Arial;Helvetica;sans-serif"/>
                <w:color w:val="636466"/>
                <w:sz w:val="14"/>
              </w:rPr>
              <w:t xml:space="preserve">188,587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695" w:type="dxa"/>
            <w:tcBorders>
              <w:bottom w:val="single" w:sz="8" w:space="0" w:color="1F1C6B"/>
            </w:tcBorders>
            <w:shd w:fill="E7E0EF" w:val="clear"/>
            <w:tcMar>
              <w:bottom w:w="28" w:type="dxa"/>
            </w:tcMar>
            <w:vAlign w:val="center"/>
          </w:tcPr>
          <w:p>
            <w:pPr>
              <w:pStyle w:val="TableContents"/>
              <w:bidi w:val="0"/>
              <w:spacing w:before="0" w:after="283"/>
              <w:ind w:left="33"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545" w:type="dxa"/>
            <w:tcBorders>
              <w:bottom w:val="single" w:sz="8" w:space="0" w:color="1F1C6B"/>
            </w:tcBorders>
            <w:shd w:fill="E7E0EF" w:val="clear"/>
            <w:tcMar>
              <w:bottom w:w="28" w:type="dxa"/>
            </w:tcM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418,755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665" w:type="dxa"/>
            <w:tcBorders>
              <w:bottom w:val="single" w:sz="8" w:space="0" w:color="1F1C6B"/>
            </w:tcBorders>
            <w:shd w:fill="E7E0EF" w:val="clear"/>
            <w:tcMar>
              <w:bottom w:w="28" w:type="dxa"/>
            </w:tcM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822,830 </w:t>
            </w:r>
          </w:p>
        </w:tc>
        <w:tc>
          <w:tcPr>
            <w:tcW w:w="215"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1F1C6B"/>
            </w:tcBorders>
            <w:tcMar>
              <w:bottom w:w="28" w:type="dxa"/>
            </w:tcMar>
            <w:vAlign w:val="center"/>
          </w:tcPr>
          <w:p>
            <w:pPr>
              <w:pStyle w:val="TableContents"/>
              <w:bidi w:val="0"/>
              <w:spacing w:before="0" w:after="0"/>
              <w:jc w:val="left"/>
              <w:rPr/>
            </w:pPr>
            <w:r>
              <w:rPr/>
              <w:t> </w:t>
            </w:r>
          </w:p>
        </w:tc>
        <w:tc>
          <w:tcPr>
            <w:tcW w:w="650" w:type="dxa"/>
            <w:tcBorders>
              <w:bottom w:val="single" w:sz="8" w:space="0" w:color="1F1C6B"/>
            </w:tcBorders>
            <w:tcMar>
              <w:bottom w:w="28" w:type="dxa"/>
            </w:tcMar>
            <w:vAlign w:val="center"/>
          </w:tcPr>
          <w:p>
            <w:pPr>
              <w:pStyle w:val="TableContents"/>
              <w:bidi w:val="0"/>
              <w:spacing w:before="0" w:after="283"/>
              <w:ind w:left="30" w:right="0" w:hanging="0"/>
              <w:jc w:val="left"/>
              <w:rPr>
                <w:rFonts w:ascii="Arial;Helvetica;sans-serif" w:hAnsi="Arial;Helvetica;sans-serif"/>
                <w:b/>
                <w:color w:val="636466"/>
                <w:sz w:val="14"/>
              </w:rPr>
            </w:pPr>
            <w:r>
              <w:rPr>
                <w:rFonts w:ascii="Arial;Helvetica;sans-serif" w:hAnsi="Arial;Helvetica;sans-serif"/>
                <w:b/>
                <w:color w:val="636466"/>
                <w:sz w:val="14"/>
              </w:rPr>
              <w:t>Doretta Mistras</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440" w:type="dxa"/>
            <w:tcBorders>
              <w:bottom w:val="single" w:sz="8" w:space="0" w:color="1F1C6B"/>
            </w:tcBorders>
            <w:tcMar>
              <w:bottom w:w="28" w:type="dxa"/>
            </w:tcMar>
            <w:vAlign w:val="center"/>
          </w:tcPr>
          <w:p>
            <w:pPr>
              <w:pStyle w:val="TableContents"/>
              <w:bidi w:val="0"/>
              <w:spacing w:before="0" w:after="283"/>
              <w:ind w:left="26" w:right="0" w:hanging="0"/>
              <w:jc w:val="left"/>
              <w:rPr>
                <w:rFonts w:ascii="Arial;Helvetica;sans-serif" w:hAnsi="Arial;Helvetica;sans-serif"/>
                <w:color w:val="636466"/>
                <w:sz w:val="14"/>
              </w:rPr>
            </w:pPr>
            <w:r>
              <w:rPr>
                <w:rFonts w:ascii="Arial;Helvetica;sans-serif" w:hAnsi="Arial;Helvetica;sans-serif"/>
                <w:color w:val="636466"/>
                <w:sz w:val="14"/>
              </w:rPr>
              <w:t>2024</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28" w:type="dxa"/>
            </w:tcMar>
            <w:vAlign w:val="center"/>
          </w:tcPr>
          <w:p>
            <w:pPr>
              <w:pStyle w:val="TableContents"/>
              <w:bidi w:val="0"/>
              <w:spacing w:before="0" w:after="283"/>
              <w:ind w:left="177" w:right="0" w:hanging="0"/>
              <w:jc w:val="left"/>
              <w:rPr>
                <w:rFonts w:ascii="Arial;Helvetica;sans-serif" w:hAnsi="Arial;Helvetica;sans-serif"/>
                <w:color w:val="636466"/>
                <w:sz w:val="14"/>
              </w:rPr>
            </w:pPr>
            <w:r>
              <w:rPr>
                <w:rFonts w:ascii="Arial;Helvetica;sans-serif" w:hAnsi="Arial;Helvetica;sans-serif"/>
                <w:color w:val="636466"/>
                <w:sz w:val="14"/>
              </w:rPr>
              <w:t xml:space="preserve">19,200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80" w:type="dxa"/>
            <w:tcBorders>
              <w:bottom w:val="single" w:sz="8" w:space="0" w:color="1F1C6B"/>
            </w:tcBorders>
            <w:tcMar>
              <w:bottom w:w="28" w:type="dxa"/>
            </w:tcMar>
            <w:vAlign w:val="center"/>
          </w:tcPr>
          <w:p>
            <w:pPr>
              <w:pStyle w:val="TableContents"/>
              <w:bidi w:val="0"/>
              <w:spacing w:before="0" w:after="283"/>
              <w:ind w:left="88"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10" w:type="dxa"/>
            <w:tcBorders>
              <w:bottom w:val="single" w:sz="8" w:space="0" w:color="1F1C6B"/>
            </w:tcBorders>
            <w:tcMar>
              <w:bottom w:w="28" w:type="dxa"/>
            </w:tcMar>
            <w:vAlign w:val="center"/>
          </w:tcPr>
          <w:p>
            <w:pPr>
              <w:pStyle w:val="TableContents"/>
              <w:bidi w:val="0"/>
              <w:spacing w:before="0" w:after="283"/>
              <w:ind w:left="93"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830" w:type="dxa"/>
            <w:tcBorders>
              <w:bottom w:val="single" w:sz="8" w:space="0" w:color="1F1C6B"/>
            </w:tcBorders>
            <w:tcMar>
              <w:bottom w:w="28" w:type="dxa"/>
            </w:tcMar>
            <w:vAlign w:val="center"/>
          </w:tcPr>
          <w:p>
            <w:pPr>
              <w:pStyle w:val="TableContents"/>
              <w:bidi w:val="0"/>
              <w:spacing w:before="0" w:after="283"/>
              <w:ind w:left="216" w:right="0" w:hanging="0"/>
              <w:jc w:val="left"/>
              <w:rPr>
                <w:rFonts w:ascii="Arial;Helvetica;sans-serif" w:hAnsi="Arial;Helvetica;sans-serif"/>
                <w:color w:val="636466"/>
                <w:sz w:val="14"/>
              </w:rPr>
            </w:pPr>
            <w:r>
              <w:rPr>
                <w:rFonts w:ascii="Arial;Helvetica;sans-serif" w:hAnsi="Arial;Helvetica;sans-serif"/>
                <w:color w:val="636466"/>
                <w:sz w:val="14"/>
              </w:rPr>
              <w:t xml:space="preserve">42,154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830" w:type="dxa"/>
            <w:tcBorders>
              <w:bottom w:val="single" w:sz="8" w:space="0" w:color="1F1C6B"/>
            </w:tcBorders>
            <w:tcMar>
              <w:bottom w:w="28" w:type="dxa"/>
            </w:tcMar>
            <w:vAlign w:val="center"/>
          </w:tcPr>
          <w:p>
            <w:pPr>
              <w:pStyle w:val="TableContents"/>
              <w:bidi w:val="0"/>
              <w:spacing w:before="0" w:after="283"/>
              <w:ind w:left="176" w:right="0" w:hanging="0"/>
              <w:jc w:val="left"/>
              <w:rPr>
                <w:rFonts w:ascii="Arial;Helvetica;sans-serif" w:hAnsi="Arial;Helvetica;sans-serif"/>
                <w:color w:val="636466"/>
                <w:sz w:val="14"/>
              </w:rPr>
            </w:pPr>
            <w:r>
              <w:rPr>
                <w:rFonts w:ascii="Arial;Helvetica;sans-serif" w:hAnsi="Arial;Helvetica;sans-serif"/>
                <w:color w:val="636466"/>
                <w:sz w:val="14"/>
              </w:rPr>
              <w:t xml:space="preserve">46,413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95" w:type="dxa"/>
            <w:tcBorders>
              <w:bottom w:val="single" w:sz="8" w:space="0" w:color="1F1C6B"/>
            </w:tcBorders>
            <w:tcMar>
              <w:bottom w:w="28" w:type="dxa"/>
            </w:tcMar>
            <w:vAlign w:val="center"/>
          </w:tcPr>
          <w:p>
            <w:pPr>
              <w:pStyle w:val="TableContents"/>
              <w:bidi w:val="0"/>
              <w:spacing w:before="0" w:after="283"/>
              <w:ind w:left="33"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545" w:type="dxa"/>
            <w:tcBorders>
              <w:bottom w:val="single" w:sz="8" w:space="0" w:color="1F1C6B"/>
            </w:tcBorders>
            <w:tcMar>
              <w:bottom w:w="28" w:type="dxa"/>
            </w:tcM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1,771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65" w:type="dxa"/>
            <w:tcBorders>
              <w:bottom w:val="single" w:sz="8" w:space="0" w:color="1F1C6B"/>
            </w:tcBorders>
            <w:tcMar>
              <w:bottom w:w="28" w:type="dxa"/>
            </w:tcM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109,538 </w:t>
            </w:r>
          </w:p>
        </w:tc>
        <w:tc>
          <w:tcPr>
            <w:tcW w:w="215" w:type="dxa"/>
            <w:tcBorders>
              <w:bottom w:val="single" w:sz="8" w:space="0" w:color="1F1C6B"/>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F1C6B"/>
            </w:tcBorders>
            <w:tcMar>
              <w:bottom w:w="28" w:type="dxa"/>
            </w:tcMar>
            <w:vAlign w:val="center"/>
          </w:tcPr>
          <w:p>
            <w:pPr>
              <w:pStyle w:val="TableContents"/>
              <w:bidi w:val="0"/>
              <w:spacing w:before="0" w:after="0"/>
              <w:jc w:val="left"/>
              <w:rPr/>
            </w:pPr>
            <w:r>
              <w:rPr/>
              <w:t> </w:t>
            </w:r>
          </w:p>
        </w:tc>
        <w:tc>
          <w:tcPr>
            <w:tcW w:w="650" w:type="dxa"/>
            <w:tcBorders>
              <w:bottom w:val="single" w:sz="8" w:space="0" w:color="1F1C6B"/>
            </w:tcBorders>
            <w:tcMar>
              <w:bottom w:w="28" w:type="dxa"/>
            </w:tcMar>
            <w:vAlign w:val="center"/>
          </w:tcPr>
          <w:p>
            <w:pPr>
              <w:pStyle w:val="TableContents"/>
              <w:bidi w:val="0"/>
              <w:spacing w:before="0" w:after="283"/>
              <w:ind w:left="30" w:right="0" w:hanging="0"/>
              <w:jc w:val="left"/>
              <w:rPr>
                <w:rFonts w:ascii="Arial;Helvetica;sans-serif" w:hAnsi="Arial;Helvetica;sans-serif"/>
                <w:b/>
                <w:color w:val="636466"/>
                <w:sz w:val="14"/>
              </w:rPr>
            </w:pPr>
            <w:r>
              <w:rPr>
                <w:rFonts w:ascii="Arial;Helvetica;sans-serif" w:hAnsi="Arial;Helvetica;sans-serif"/>
                <w:b/>
                <w:color w:val="636466"/>
                <w:sz w:val="14"/>
              </w:rPr>
              <w:t>Corinne Le Goff</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440" w:type="dxa"/>
            <w:tcBorders>
              <w:bottom w:val="single" w:sz="8" w:space="0" w:color="1F1C6B"/>
            </w:tcBorders>
            <w:shd w:fill="E7E0EF" w:val="clear"/>
            <w:tcMar>
              <w:bottom w:w="28" w:type="dxa"/>
            </w:tcMar>
            <w:vAlign w:val="center"/>
          </w:tcPr>
          <w:p>
            <w:pPr>
              <w:pStyle w:val="TableContents"/>
              <w:bidi w:val="0"/>
              <w:spacing w:before="0" w:after="283"/>
              <w:ind w:left="26" w:right="0" w:hanging="0"/>
              <w:jc w:val="left"/>
              <w:rPr>
                <w:rFonts w:ascii="Arial;Helvetica;sans-serif" w:hAnsi="Arial;Helvetica;sans-serif"/>
                <w:color w:val="636466"/>
                <w:sz w:val="14"/>
              </w:rPr>
            </w:pPr>
            <w:r>
              <w:rPr>
                <w:rFonts w:ascii="Arial;Helvetica;sans-serif" w:hAnsi="Arial;Helvetica;sans-serif"/>
                <w:color w:val="636466"/>
                <w:sz w:val="14"/>
              </w:rPr>
              <w:t>2024</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770" w:type="dxa"/>
            <w:tcBorders>
              <w:bottom w:val="single" w:sz="8" w:space="0" w:color="1F1C6B"/>
            </w:tcBorders>
            <w:shd w:fill="E7E0EF" w:val="clear"/>
            <w:tcMar>
              <w:bottom w:w="28" w:type="dxa"/>
            </w:tcMar>
            <w:vAlign w:val="center"/>
          </w:tcPr>
          <w:p>
            <w:pPr>
              <w:pStyle w:val="TableContents"/>
              <w:bidi w:val="0"/>
              <w:spacing w:before="0" w:after="283"/>
              <w:ind w:left="177" w:right="0" w:hanging="0"/>
              <w:jc w:val="left"/>
              <w:rPr>
                <w:rFonts w:ascii="Arial;Helvetica;sans-serif" w:hAnsi="Arial;Helvetica;sans-serif"/>
                <w:color w:val="636466"/>
                <w:sz w:val="14"/>
              </w:rPr>
            </w:pPr>
            <w:r>
              <w:rPr>
                <w:rFonts w:ascii="Arial;Helvetica;sans-serif" w:hAnsi="Arial;Helvetica;sans-serif"/>
                <w:color w:val="636466"/>
                <w:sz w:val="14"/>
              </w:rPr>
              <w:t xml:space="preserve">13,653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680" w:type="dxa"/>
            <w:tcBorders>
              <w:bottom w:val="single" w:sz="8" w:space="0" w:color="1F1C6B"/>
            </w:tcBorders>
            <w:shd w:fill="E7E0EF" w:val="clear"/>
            <w:tcMar>
              <w:bottom w:w="28" w:type="dxa"/>
            </w:tcMar>
            <w:vAlign w:val="center"/>
          </w:tcPr>
          <w:p>
            <w:pPr>
              <w:pStyle w:val="TableContents"/>
              <w:bidi w:val="0"/>
              <w:spacing w:before="0" w:after="283"/>
              <w:ind w:left="88"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710" w:type="dxa"/>
            <w:tcBorders>
              <w:bottom w:val="single" w:sz="8" w:space="0" w:color="1F1C6B"/>
            </w:tcBorders>
            <w:shd w:fill="E7E0EF" w:val="clear"/>
            <w:tcMar>
              <w:bottom w:w="28" w:type="dxa"/>
            </w:tcMar>
            <w:vAlign w:val="center"/>
          </w:tcPr>
          <w:p>
            <w:pPr>
              <w:pStyle w:val="TableContents"/>
              <w:bidi w:val="0"/>
              <w:spacing w:before="0" w:after="283"/>
              <w:ind w:left="93"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830" w:type="dxa"/>
            <w:tcBorders>
              <w:bottom w:val="single" w:sz="8" w:space="0" w:color="1F1C6B"/>
            </w:tcBorders>
            <w:shd w:fill="E7E0EF" w:val="clear"/>
            <w:tcMar>
              <w:bottom w:w="28" w:type="dxa"/>
            </w:tcMar>
            <w:vAlign w:val="center"/>
          </w:tcPr>
          <w:p>
            <w:pPr>
              <w:pStyle w:val="TableContents"/>
              <w:bidi w:val="0"/>
              <w:spacing w:before="0" w:after="283"/>
              <w:ind w:left="216" w:right="0" w:hanging="0"/>
              <w:jc w:val="left"/>
              <w:rPr>
                <w:rFonts w:ascii="Arial;Helvetica;sans-serif" w:hAnsi="Arial;Helvetica;sans-serif"/>
                <w:color w:val="636466"/>
                <w:sz w:val="14"/>
              </w:rPr>
            </w:pPr>
            <w:r>
              <w:rPr>
                <w:rFonts w:ascii="Arial;Helvetica;sans-serif" w:hAnsi="Arial;Helvetica;sans-serif"/>
                <w:color w:val="636466"/>
                <w:sz w:val="14"/>
              </w:rPr>
              <w:t xml:space="preserve">30,462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830" w:type="dxa"/>
            <w:tcBorders>
              <w:bottom w:val="single" w:sz="8" w:space="0" w:color="1F1C6B"/>
            </w:tcBorders>
            <w:shd w:fill="E7E0EF" w:val="clear"/>
            <w:tcMar>
              <w:bottom w:w="28" w:type="dxa"/>
            </w:tcMar>
            <w:vAlign w:val="center"/>
          </w:tcPr>
          <w:p>
            <w:pPr>
              <w:pStyle w:val="TableContents"/>
              <w:bidi w:val="0"/>
              <w:spacing w:before="0" w:after="283"/>
              <w:ind w:left="176" w:right="0" w:hanging="0"/>
              <w:jc w:val="left"/>
              <w:rPr>
                <w:rFonts w:ascii="Arial;Helvetica;sans-serif" w:hAnsi="Arial;Helvetica;sans-serif"/>
                <w:color w:val="636466"/>
                <w:sz w:val="14"/>
              </w:rPr>
            </w:pPr>
            <w:r>
              <w:rPr>
                <w:rFonts w:ascii="Arial;Helvetica;sans-serif" w:hAnsi="Arial;Helvetica;sans-serif"/>
                <w:color w:val="636466"/>
                <w:sz w:val="14"/>
              </w:rPr>
              <w:t xml:space="preserve">15,646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695" w:type="dxa"/>
            <w:tcBorders>
              <w:bottom w:val="single" w:sz="8" w:space="0" w:color="1F1C6B"/>
            </w:tcBorders>
            <w:shd w:fill="E7E0EF" w:val="clear"/>
            <w:tcMar>
              <w:bottom w:w="28" w:type="dxa"/>
            </w:tcMar>
            <w:vAlign w:val="center"/>
          </w:tcPr>
          <w:p>
            <w:pPr>
              <w:pStyle w:val="TableContents"/>
              <w:bidi w:val="0"/>
              <w:spacing w:before="0" w:after="283"/>
              <w:ind w:left="33"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545" w:type="dxa"/>
            <w:tcBorders>
              <w:bottom w:val="single" w:sz="8" w:space="0" w:color="1F1C6B"/>
            </w:tcBorders>
            <w:shd w:fill="E7E0EF" w:val="clear"/>
            <w:tcMar>
              <w:bottom w:w="28" w:type="dxa"/>
            </w:tcM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1,279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665" w:type="dxa"/>
            <w:tcBorders>
              <w:bottom w:val="single" w:sz="8" w:space="0" w:color="1F1C6B"/>
            </w:tcBorders>
            <w:shd w:fill="E7E0EF" w:val="clear"/>
            <w:tcMar>
              <w:bottom w:w="28" w:type="dxa"/>
            </w:tcM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61,040 </w:t>
            </w:r>
          </w:p>
        </w:tc>
        <w:tc>
          <w:tcPr>
            <w:tcW w:w="215"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1F1C6B"/>
            </w:tcBorders>
            <w:tcMar>
              <w:bottom w:w="28" w:type="dxa"/>
            </w:tcMar>
            <w:vAlign w:val="center"/>
          </w:tcPr>
          <w:p>
            <w:pPr>
              <w:pStyle w:val="TableContents"/>
              <w:bidi w:val="0"/>
              <w:spacing w:before="0" w:after="0"/>
              <w:jc w:val="left"/>
              <w:rPr/>
            </w:pPr>
            <w:r>
              <w:rPr/>
              <w:t> </w:t>
            </w:r>
          </w:p>
        </w:tc>
        <w:tc>
          <w:tcPr>
            <w:tcW w:w="650" w:type="dxa"/>
            <w:tcBorders>
              <w:bottom w:val="single" w:sz="8" w:space="0" w:color="1F1C6B"/>
            </w:tcBorders>
            <w:tcMar>
              <w:bottom w:w="28" w:type="dxa"/>
            </w:tcMar>
            <w:vAlign w:val="center"/>
          </w:tcPr>
          <w:p>
            <w:pPr>
              <w:pStyle w:val="TableContents"/>
              <w:bidi w:val="0"/>
              <w:spacing w:before="0" w:after="283"/>
              <w:ind w:left="30" w:right="0" w:hanging="0"/>
              <w:jc w:val="left"/>
              <w:rPr>
                <w:rFonts w:ascii="Arial;Helvetica;sans-serif" w:hAnsi="Arial;Helvetica;sans-serif"/>
                <w:b/>
                <w:color w:val="636466"/>
                <w:sz w:val="14"/>
              </w:rPr>
            </w:pPr>
            <w:r>
              <w:rPr>
                <w:rFonts w:ascii="Arial;Helvetica;sans-serif" w:hAnsi="Arial;Helvetica;sans-serif"/>
                <w:b/>
                <w:color w:val="636466"/>
                <w:sz w:val="14"/>
              </w:rPr>
              <w:t>Paul Campbell</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440" w:type="dxa"/>
            <w:tcBorders>
              <w:bottom w:val="single" w:sz="8" w:space="0" w:color="1F1C6B"/>
            </w:tcBorders>
            <w:tcMar>
              <w:bottom w:w="28" w:type="dxa"/>
            </w:tcMar>
            <w:vAlign w:val="center"/>
          </w:tcPr>
          <w:p>
            <w:pPr>
              <w:pStyle w:val="TableContents"/>
              <w:bidi w:val="0"/>
              <w:spacing w:before="0" w:after="283"/>
              <w:ind w:left="26" w:right="0" w:hanging="0"/>
              <w:jc w:val="left"/>
              <w:rPr>
                <w:rFonts w:ascii="Arial;Helvetica;sans-serif" w:hAnsi="Arial;Helvetica;sans-serif"/>
                <w:color w:val="636466"/>
                <w:sz w:val="14"/>
              </w:rPr>
            </w:pPr>
            <w:r>
              <w:rPr>
                <w:rFonts w:ascii="Arial;Helvetica;sans-serif" w:hAnsi="Arial;Helvetica;sans-serif"/>
                <w:color w:val="636466"/>
                <w:sz w:val="14"/>
              </w:rPr>
              <w:t>2024</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28" w:type="dxa"/>
            </w:tcMar>
            <w:vAlign w:val="center"/>
          </w:tcPr>
          <w:p>
            <w:pPr>
              <w:pStyle w:val="TableContents"/>
              <w:bidi w:val="0"/>
              <w:spacing w:before="0" w:after="283"/>
              <w:ind w:left="177" w:right="0" w:hanging="0"/>
              <w:jc w:val="left"/>
              <w:rPr>
                <w:rFonts w:ascii="Arial;Helvetica;sans-serif" w:hAnsi="Arial;Helvetica;sans-serif"/>
                <w:color w:val="636466"/>
                <w:sz w:val="14"/>
              </w:rPr>
            </w:pPr>
            <w:r>
              <w:rPr>
                <w:rFonts w:ascii="Arial;Helvetica;sans-serif" w:hAnsi="Arial;Helvetica;sans-serif"/>
                <w:color w:val="636466"/>
                <w:sz w:val="14"/>
              </w:rPr>
              <w:t xml:space="preserve">16,800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80" w:type="dxa"/>
            <w:tcBorders>
              <w:bottom w:val="single" w:sz="8" w:space="0" w:color="1F1C6B"/>
            </w:tcBorders>
            <w:tcMar>
              <w:bottom w:w="28" w:type="dxa"/>
            </w:tcMar>
            <w:vAlign w:val="center"/>
          </w:tcPr>
          <w:p>
            <w:pPr>
              <w:pStyle w:val="TableContents"/>
              <w:bidi w:val="0"/>
              <w:spacing w:before="0" w:after="283"/>
              <w:ind w:left="88"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10" w:type="dxa"/>
            <w:tcBorders>
              <w:bottom w:val="single" w:sz="8" w:space="0" w:color="1F1C6B"/>
            </w:tcBorders>
            <w:tcMar>
              <w:bottom w:w="28" w:type="dxa"/>
            </w:tcMar>
            <w:vAlign w:val="center"/>
          </w:tcPr>
          <w:p>
            <w:pPr>
              <w:pStyle w:val="TableContents"/>
              <w:bidi w:val="0"/>
              <w:spacing w:before="0" w:after="283"/>
              <w:ind w:left="93"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830" w:type="dxa"/>
            <w:tcBorders>
              <w:bottom w:val="single" w:sz="8" w:space="0" w:color="1F1C6B"/>
            </w:tcBorders>
            <w:tcMar>
              <w:bottom w:w="28" w:type="dxa"/>
            </w:tcMar>
            <w:vAlign w:val="center"/>
          </w:tcPr>
          <w:p>
            <w:pPr>
              <w:pStyle w:val="TableContents"/>
              <w:bidi w:val="0"/>
              <w:spacing w:before="0" w:after="283"/>
              <w:ind w:left="216" w:right="0" w:hanging="0"/>
              <w:jc w:val="left"/>
              <w:rPr>
                <w:rFonts w:ascii="Arial;Helvetica;sans-serif" w:hAnsi="Arial;Helvetica;sans-serif"/>
                <w:color w:val="636466"/>
                <w:sz w:val="14"/>
              </w:rPr>
            </w:pPr>
            <w:r>
              <w:rPr>
                <w:rFonts w:ascii="Arial;Helvetica;sans-serif" w:hAnsi="Arial;Helvetica;sans-serif"/>
                <w:color w:val="636466"/>
                <w:sz w:val="14"/>
              </w:rPr>
              <w:t xml:space="preserve">34,915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830" w:type="dxa"/>
            <w:tcBorders>
              <w:bottom w:val="single" w:sz="8" w:space="0" w:color="1F1C6B"/>
            </w:tcBorders>
            <w:tcMar>
              <w:bottom w:w="28" w:type="dxa"/>
            </w:tcMar>
            <w:vAlign w:val="center"/>
          </w:tcPr>
          <w:p>
            <w:pPr>
              <w:pStyle w:val="TableContents"/>
              <w:bidi w:val="0"/>
              <w:spacing w:before="0" w:after="283"/>
              <w:ind w:left="176" w:right="0" w:hanging="0"/>
              <w:jc w:val="left"/>
              <w:rPr>
                <w:rFonts w:ascii="Arial;Helvetica;sans-serif" w:hAnsi="Arial;Helvetica;sans-serif"/>
                <w:color w:val="636466"/>
                <w:sz w:val="14"/>
              </w:rPr>
            </w:pPr>
            <w:r>
              <w:rPr>
                <w:rFonts w:ascii="Arial;Helvetica;sans-serif" w:hAnsi="Arial;Helvetica;sans-serif"/>
                <w:color w:val="636466"/>
                <w:sz w:val="14"/>
              </w:rPr>
              <w:t xml:space="preserve">151,659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95" w:type="dxa"/>
            <w:tcBorders>
              <w:bottom w:val="single" w:sz="8" w:space="0" w:color="1F1C6B"/>
            </w:tcBorders>
            <w:tcMar>
              <w:bottom w:w="28" w:type="dxa"/>
            </w:tcMar>
            <w:vAlign w:val="center"/>
          </w:tcPr>
          <w:p>
            <w:pPr>
              <w:pStyle w:val="TableContents"/>
              <w:bidi w:val="0"/>
              <w:spacing w:before="0" w:after="283"/>
              <w:ind w:left="33"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545" w:type="dxa"/>
            <w:tcBorders>
              <w:bottom w:val="single" w:sz="8" w:space="0" w:color="1F1C6B"/>
            </w:tcBorders>
            <w:tcMar>
              <w:bottom w:w="28" w:type="dxa"/>
            </w:tcM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19,024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65" w:type="dxa"/>
            <w:tcBorders>
              <w:bottom w:val="single" w:sz="8" w:space="0" w:color="1F1C6B"/>
            </w:tcBorders>
            <w:tcMar>
              <w:bottom w:w="28" w:type="dxa"/>
            </w:tcM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222,398 </w:t>
            </w:r>
          </w:p>
        </w:tc>
        <w:tc>
          <w:tcPr>
            <w:tcW w:w="215" w:type="dxa"/>
            <w:tcBorders>
              <w:bottom w:val="single" w:sz="8" w:space="0" w:color="1F1C6B"/>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650" w:type="dxa"/>
            <w:vMerge w:val="restart"/>
            <w:tcBorders>
              <w:bottom w:val="single" w:sz="8" w:space="0" w:color="1F1C6B"/>
            </w:tcBorders>
            <w:tcMar>
              <w:bottom w:w="28" w:type="dxa"/>
            </w:tcMar>
            <w:vAlign w:val="center"/>
          </w:tcPr>
          <w:p>
            <w:pPr>
              <w:pStyle w:val="TableContents"/>
              <w:bidi w:val="0"/>
              <w:spacing w:before="0" w:after="283"/>
              <w:ind w:left="30" w:right="0" w:hanging="0"/>
              <w:jc w:val="left"/>
              <w:rPr>
                <w:rFonts w:ascii="Arial;Helvetica;sans-serif" w:hAnsi="Arial;Helvetica;sans-serif"/>
                <w:b/>
                <w:color w:val="636466"/>
                <w:sz w:val="14"/>
              </w:rPr>
            </w:pPr>
            <w:r>
              <w:rPr>
                <w:rFonts w:ascii="Arial;Helvetica;sans-serif" w:hAnsi="Arial;Helvetica;sans-serif"/>
                <w:b/>
                <w:color w:val="636466"/>
                <w:sz w:val="14"/>
              </w:rPr>
              <w:t xml:space="preserve">Brian Roman </w:t>
            </w:r>
          </w:p>
        </w:tc>
        <w:tc>
          <w:tcPr>
            <w:tcW w:w="170"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40" w:type="dxa"/>
            <w:tcBorders/>
            <w:shd w:fill="E7E0EF" w:val="clear"/>
            <w:vAlign w:val="center"/>
          </w:tcPr>
          <w:p>
            <w:pPr>
              <w:pStyle w:val="TableContents"/>
              <w:bidi w:val="0"/>
              <w:spacing w:before="0" w:after="283"/>
              <w:ind w:left="26" w:right="0" w:hanging="0"/>
              <w:jc w:val="left"/>
              <w:rPr>
                <w:rFonts w:ascii="Arial;Helvetica;sans-serif" w:hAnsi="Arial;Helvetica;sans-serif"/>
                <w:color w:val="636466"/>
                <w:sz w:val="14"/>
              </w:rPr>
            </w:pPr>
            <w:r>
              <w:rPr>
                <w:rFonts w:ascii="Arial;Helvetica;sans-serif" w:hAnsi="Arial;Helvetica;sans-serif"/>
                <w:color w:val="636466"/>
                <w:sz w:val="14"/>
              </w:rPr>
              <w:t>2024</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177" w:right="0" w:hanging="0"/>
              <w:jc w:val="left"/>
              <w:rPr>
                <w:rFonts w:ascii="Arial;Helvetica;sans-serif" w:hAnsi="Arial;Helvetica;sans-serif"/>
                <w:color w:val="636466"/>
                <w:sz w:val="14"/>
              </w:rPr>
            </w:pPr>
            <w:r>
              <w:rPr>
                <w:rFonts w:ascii="Arial;Helvetica;sans-serif" w:hAnsi="Arial;Helvetica;sans-serif"/>
                <w:color w:val="636466"/>
                <w:sz w:val="14"/>
              </w:rPr>
              <w:t xml:space="preserve">16,800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ind w:left="88"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10" w:type="dxa"/>
            <w:tcBorders/>
            <w:shd w:fill="E7E0EF" w:val="clear"/>
            <w:vAlign w:val="center"/>
          </w:tcPr>
          <w:p>
            <w:pPr>
              <w:pStyle w:val="TableContents"/>
              <w:bidi w:val="0"/>
              <w:spacing w:before="0" w:after="283"/>
              <w:ind w:left="93"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30" w:type="dxa"/>
            <w:tcBorders/>
            <w:shd w:fill="E7E0EF" w:val="clear"/>
            <w:vAlign w:val="center"/>
          </w:tcPr>
          <w:p>
            <w:pPr>
              <w:pStyle w:val="TableContents"/>
              <w:bidi w:val="0"/>
              <w:spacing w:before="0" w:after="283"/>
              <w:ind w:left="216" w:right="0" w:hanging="0"/>
              <w:jc w:val="left"/>
              <w:rPr>
                <w:rFonts w:ascii="Arial;Helvetica;sans-serif" w:hAnsi="Arial;Helvetica;sans-serif"/>
                <w:color w:val="636466"/>
                <w:sz w:val="14"/>
              </w:rPr>
            </w:pPr>
            <w:r>
              <w:rPr>
                <w:rFonts w:ascii="Arial;Helvetica;sans-serif" w:hAnsi="Arial;Helvetica;sans-serif"/>
                <w:color w:val="636466"/>
                <w:sz w:val="14"/>
              </w:rPr>
              <w:t xml:space="preserve">34,508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30" w:type="dxa"/>
            <w:tcBorders/>
            <w:shd w:fill="E7E0EF" w:val="clear"/>
            <w:vAlign w:val="center"/>
          </w:tcPr>
          <w:p>
            <w:pPr>
              <w:pStyle w:val="TableContents"/>
              <w:bidi w:val="0"/>
              <w:spacing w:before="0" w:after="283"/>
              <w:ind w:left="176" w:right="0" w:hanging="0"/>
              <w:jc w:val="left"/>
              <w:rPr>
                <w:rFonts w:ascii="Arial;Helvetica;sans-serif" w:hAnsi="Arial;Helvetica;sans-serif"/>
                <w:color w:val="636466"/>
                <w:sz w:val="14"/>
              </w:rPr>
            </w:pPr>
            <w:r>
              <w:rPr>
                <w:rFonts w:ascii="Arial;Helvetica;sans-serif" w:hAnsi="Arial;Helvetica;sans-serif"/>
                <w:color w:val="636466"/>
                <w:sz w:val="14"/>
              </w:rPr>
              <w:t xml:space="preserve">181,653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95" w:type="dxa"/>
            <w:tcBorders/>
            <w:shd w:fill="E7E0EF" w:val="clear"/>
            <w:vAlign w:val="center"/>
          </w:tcPr>
          <w:p>
            <w:pPr>
              <w:pStyle w:val="TableContents"/>
              <w:bidi w:val="0"/>
              <w:spacing w:before="0" w:after="283"/>
              <w:ind w:left="33"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1,819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6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234,780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650" w:type="dxa"/>
            <w:vMerge w:val="continue"/>
            <w:tcBorders>
              <w:bottom w:val="single" w:sz="8" w:space="0" w:color="1F1C6B"/>
            </w:tcBorders>
            <w:tcMar>
              <w:bottom w:w="28"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440" w:type="dxa"/>
            <w:tcBorders>
              <w:bottom w:val="single" w:sz="8" w:space="0" w:color="1F1C6B"/>
            </w:tcBorders>
            <w:tcMar>
              <w:bottom w:w="28" w:type="dxa"/>
            </w:tcMar>
            <w:vAlign w:val="center"/>
          </w:tcPr>
          <w:p>
            <w:pPr>
              <w:pStyle w:val="TableContents"/>
              <w:bidi w:val="0"/>
              <w:spacing w:before="0" w:after="283"/>
              <w:ind w:left="26" w:right="0" w:hanging="0"/>
              <w:jc w:val="left"/>
              <w:rPr>
                <w:rFonts w:ascii="Arial;Helvetica;sans-serif" w:hAnsi="Arial;Helvetica;sans-serif"/>
                <w:color w:val="636466"/>
                <w:sz w:val="14"/>
              </w:rPr>
            </w:pPr>
            <w:r>
              <w:rPr>
                <w:rFonts w:ascii="Arial;Helvetica;sans-serif" w:hAnsi="Arial;Helvetica;sans-serif"/>
                <w:color w:val="636466"/>
                <w:sz w:val="14"/>
              </w:rPr>
              <w:t>2023</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28" w:type="dxa"/>
            </w:tcMar>
            <w:vAlign w:val="center"/>
          </w:tcPr>
          <w:p>
            <w:pPr>
              <w:pStyle w:val="TableContents"/>
              <w:bidi w:val="0"/>
              <w:spacing w:before="0" w:after="283"/>
              <w:ind w:left="177" w:right="0" w:hanging="0"/>
              <w:jc w:val="left"/>
              <w:rPr>
                <w:rFonts w:ascii="Arial;Helvetica;sans-serif" w:hAnsi="Arial;Helvetica;sans-serif"/>
                <w:color w:val="636466"/>
                <w:sz w:val="14"/>
              </w:rPr>
            </w:pPr>
            <w:r>
              <w:rPr>
                <w:rFonts w:ascii="Arial;Helvetica;sans-serif" w:hAnsi="Arial;Helvetica;sans-serif"/>
                <w:color w:val="636466"/>
                <w:sz w:val="14"/>
              </w:rPr>
              <w:t xml:space="preserve">16,800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80" w:type="dxa"/>
            <w:tcBorders>
              <w:bottom w:val="single" w:sz="8" w:space="0" w:color="1F1C6B"/>
            </w:tcBorders>
            <w:tcMar>
              <w:bottom w:w="28" w:type="dxa"/>
            </w:tcMar>
            <w:vAlign w:val="center"/>
          </w:tcPr>
          <w:p>
            <w:pPr>
              <w:pStyle w:val="TableContents"/>
              <w:bidi w:val="0"/>
              <w:spacing w:before="0" w:after="283"/>
              <w:ind w:left="88"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10" w:type="dxa"/>
            <w:tcBorders>
              <w:bottom w:val="single" w:sz="8" w:space="0" w:color="1F1C6B"/>
            </w:tcBorders>
            <w:tcMar>
              <w:bottom w:w="28" w:type="dxa"/>
            </w:tcMar>
            <w:vAlign w:val="center"/>
          </w:tcPr>
          <w:p>
            <w:pPr>
              <w:pStyle w:val="TableContents"/>
              <w:bidi w:val="0"/>
              <w:spacing w:before="0" w:after="283"/>
              <w:ind w:left="93"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830" w:type="dxa"/>
            <w:tcBorders>
              <w:bottom w:val="single" w:sz="8" w:space="0" w:color="1F1C6B"/>
            </w:tcBorders>
            <w:tcMar>
              <w:bottom w:w="28" w:type="dxa"/>
            </w:tcMar>
            <w:vAlign w:val="center"/>
          </w:tcPr>
          <w:p>
            <w:pPr>
              <w:pStyle w:val="TableContents"/>
              <w:bidi w:val="0"/>
              <w:spacing w:before="0" w:after="283"/>
              <w:ind w:left="216" w:right="0" w:hanging="0"/>
              <w:jc w:val="left"/>
              <w:rPr>
                <w:rFonts w:ascii="Arial;Helvetica;sans-serif" w:hAnsi="Arial;Helvetica;sans-serif"/>
                <w:color w:val="636466"/>
                <w:sz w:val="14"/>
              </w:rPr>
            </w:pPr>
            <w:r>
              <w:rPr>
                <w:rFonts w:ascii="Arial;Helvetica;sans-serif" w:hAnsi="Arial;Helvetica;sans-serif"/>
                <w:color w:val="636466"/>
                <w:sz w:val="14"/>
              </w:rPr>
              <w:t xml:space="preserve">36,515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830" w:type="dxa"/>
            <w:tcBorders>
              <w:bottom w:val="single" w:sz="8" w:space="0" w:color="1F1C6B"/>
            </w:tcBorders>
            <w:tcMar>
              <w:bottom w:w="28" w:type="dxa"/>
            </w:tcMar>
            <w:vAlign w:val="center"/>
          </w:tcPr>
          <w:p>
            <w:pPr>
              <w:pStyle w:val="TableContents"/>
              <w:bidi w:val="0"/>
              <w:spacing w:before="0" w:after="283"/>
              <w:ind w:left="176" w:right="0" w:hanging="0"/>
              <w:jc w:val="left"/>
              <w:rPr>
                <w:rFonts w:ascii="Arial;Helvetica;sans-serif" w:hAnsi="Arial;Helvetica;sans-serif"/>
                <w:color w:val="636466"/>
                <w:sz w:val="14"/>
              </w:rPr>
            </w:pPr>
            <w:r>
              <w:rPr>
                <w:rFonts w:ascii="Arial;Helvetica;sans-serif" w:hAnsi="Arial;Helvetica;sans-serif"/>
                <w:color w:val="636466"/>
                <w:sz w:val="14"/>
              </w:rPr>
              <w:t xml:space="preserve">206,747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95" w:type="dxa"/>
            <w:tcBorders>
              <w:bottom w:val="single" w:sz="8" w:space="0" w:color="1F1C6B"/>
            </w:tcBorders>
            <w:tcMar>
              <w:bottom w:w="28" w:type="dxa"/>
            </w:tcMar>
            <w:vAlign w:val="center"/>
          </w:tcPr>
          <w:p>
            <w:pPr>
              <w:pStyle w:val="TableContents"/>
              <w:bidi w:val="0"/>
              <w:spacing w:before="0" w:after="283"/>
              <w:ind w:left="33"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545" w:type="dxa"/>
            <w:tcBorders>
              <w:bottom w:val="single" w:sz="8" w:space="0" w:color="1F1C6B"/>
            </w:tcBorders>
            <w:tcMar>
              <w:bottom w:w="28" w:type="dxa"/>
            </w:tcM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3,191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65" w:type="dxa"/>
            <w:tcBorders>
              <w:bottom w:val="single" w:sz="8" w:space="0" w:color="1F1C6B"/>
            </w:tcBorders>
            <w:tcMar>
              <w:bottom w:w="28" w:type="dxa"/>
            </w:tcM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263,253 </w:t>
            </w:r>
          </w:p>
        </w:tc>
        <w:tc>
          <w:tcPr>
            <w:tcW w:w="215" w:type="dxa"/>
            <w:tcBorders>
              <w:bottom w:val="single" w:sz="8" w:space="0" w:color="1F1C6B"/>
            </w:tcBorders>
            <w:tcMar>
              <w:bottom w:w="28" w:type="dxa"/>
            </w:tcM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650" w:type="dxa"/>
            <w:vMerge w:val="restart"/>
            <w:tcBorders/>
            <w:vAlign w:val="center"/>
          </w:tcPr>
          <w:p>
            <w:pPr>
              <w:pStyle w:val="TableContents"/>
              <w:bidi w:val="0"/>
              <w:spacing w:before="0" w:after="283"/>
              <w:ind w:left="30" w:right="0" w:hanging="0"/>
              <w:jc w:val="left"/>
              <w:rPr>
                <w:rFonts w:ascii="Arial;Helvetica;sans-serif" w:hAnsi="Arial;Helvetica;sans-serif"/>
                <w:b/>
                <w:color w:val="636466"/>
                <w:sz w:val="14"/>
              </w:rPr>
            </w:pPr>
            <w:r>
              <w:rPr>
                <w:rFonts w:ascii="Arial;Helvetica;sans-serif" w:hAnsi="Arial;Helvetica;sans-serif"/>
                <w:b/>
                <w:color w:val="636466"/>
                <w:sz w:val="14"/>
              </w:rPr>
              <w:t xml:space="preserve">Sanjeev Narula </w:t>
            </w:r>
          </w:p>
        </w:tc>
        <w:tc>
          <w:tcPr>
            <w:tcW w:w="170" w:type="dxa"/>
            <w:vMerge w:val="restart"/>
            <w:tcBorders/>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40" w:type="dxa"/>
            <w:tcBorders/>
            <w:shd w:fill="E7E0EF" w:val="clear"/>
            <w:vAlign w:val="center"/>
          </w:tcPr>
          <w:p>
            <w:pPr>
              <w:pStyle w:val="TableContents"/>
              <w:bidi w:val="0"/>
              <w:spacing w:before="0" w:after="283"/>
              <w:ind w:left="26" w:right="0" w:hanging="0"/>
              <w:jc w:val="left"/>
              <w:rPr>
                <w:rFonts w:ascii="Arial;Helvetica;sans-serif" w:hAnsi="Arial;Helvetica;sans-serif"/>
                <w:color w:val="636466"/>
                <w:sz w:val="14"/>
              </w:rPr>
            </w:pPr>
            <w:r>
              <w:rPr>
                <w:rFonts w:ascii="Arial;Helvetica;sans-serif" w:hAnsi="Arial;Helvetica;sans-serif"/>
                <w:color w:val="636466"/>
                <w:sz w:val="14"/>
              </w:rPr>
              <w:t>2024</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177" w:right="0" w:hanging="0"/>
              <w:jc w:val="left"/>
              <w:rPr>
                <w:rFonts w:ascii="Arial;Helvetica;sans-serif" w:hAnsi="Arial;Helvetica;sans-serif"/>
                <w:color w:val="636466"/>
                <w:sz w:val="14"/>
              </w:rPr>
            </w:pPr>
            <w:r>
              <w:rPr>
                <w:rFonts w:ascii="Arial;Helvetica;sans-serif" w:hAnsi="Arial;Helvetica;sans-serif"/>
                <w:color w:val="636466"/>
                <w:sz w:val="14"/>
              </w:rPr>
              <w:t xml:space="preserve">3,458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ind w:left="88"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10" w:type="dxa"/>
            <w:tcBorders/>
            <w:shd w:fill="E7E0EF" w:val="clear"/>
            <w:vAlign w:val="center"/>
          </w:tcPr>
          <w:p>
            <w:pPr>
              <w:pStyle w:val="TableContents"/>
              <w:bidi w:val="0"/>
              <w:spacing w:before="0" w:after="283"/>
              <w:ind w:left="93" w:right="0" w:hanging="0"/>
              <w:jc w:val="left"/>
              <w:rPr>
                <w:rFonts w:ascii="Arial;Helvetica;sans-serif" w:hAnsi="Arial;Helvetica;sans-serif"/>
                <w:color w:val="636466"/>
                <w:sz w:val="14"/>
              </w:rPr>
            </w:pPr>
            <w:r>
              <w:rPr>
                <w:rFonts w:ascii="Arial;Helvetica;sans-serif" w:hAnsi="Arial;Helvetica;sans-serif"/>
                <w:color w:val="636466"/>
                <w:sz w:val="14"/>
              </w:rPr>
              <w:t xml:space="preserve">94,457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30" w:type="dxa"/>
            <w:tcBorders/>
            <w:shd w:fill="E7E0EF" w:val="clear"/>
            <w:vAlign w:val="center"/>
          </w:tcPr>
          <w:p>
            <w:pPr>
              <w:pStyle w:val="TableContents"/>
              <w:bidi w:val="0"/>
              <w:spacing w:before="0" w:after="283"/>
              <w:ind w:left="216" w:right="0" w:hanging="0"/>
              <w:jc w:val="left"/>
              <w:rPr>
                <w:rFonts w:ascii="Arial;Helvetica;sans-serif" w:hAnsi="Arial;Helvetica;sans-serif"/>
                <w:color w:val="636466"/>
                <w:sz w:val="14"/>
              </w:rPr>
            </w:pPr>
            <w:r>
              <w:rPr>
                <w:rFonts w:ascii="Arial;Helvetica;sans-serif" w:hAnsi="Arial;Helvetica;sans-serif"/>
                <w:color w:val="636466"/>
                <w:sz w:val="14"/>
              </w:rPr>
              <w:t xml:space="preserve">27,815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30" w:type="dxa"/>
            <w:tcBorders/>
            <w:shd w:fill="E7E0EF" w:val="clear"/>
            <w:vAlign w:val="center"/>
          </w:tcPr>
          <w:p>
            <w:pPr>
              <w:pStyle w:val="TableContents"/>
              <w:bidi w:val="0"/>
              <w:spacing w:before="0" w:after="283"/>
              <w:ind w:left="176" w:right="0" w:hanging="0"/>
              <w:jc w:val="left"/>
              <w:rPr>
                <w:rFonts w:ascii="Arial;Helvetica;sans-serif" w:hAnsi="Arial;Helvetica;sans-serif"/>
                <w:color w:val="636466"/>
                <w:sz w:val="14"/>
              </w:rPr>
            </w:pPr>
            <w:r>
              <w:rPr>
                <w:rFonts w:ascii="Arial;Helvetica;sans-serif" w:hAnsi="Arial;Helvetica;sans-serif"/>
                <w:color w:val="636466"/>
                <w:sz w:val="14"/>
              </w:rPr>
              <w:t xml:space="preserve">96,653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95" w:type="dxa"/>
            <w:tcBorders/>
            <w:shd w:fill="E7E0EF" w:val="clear"/>
            <w:vAlign w:val="center"/>
          </w:tcPr>
          <w:p>
            <w:pPr>
              <w:pStyle w:val="TableContents"/>
              <w:bidi w:val="0"/>
              <w:spacing w:before="0" w:after="283"/>
              <w:ind w:left="33" w:right="0" w:hanging="0"/>
              <w:jc w:val="left"/>
              <w:rPr>
                <w:rFonts w:ascii="Arial;Helvetica;sans-serif" w:hAnsi="Arial;Helvetica;sans-serif"/>
                <w:color w:val="636466"/>
                <w:sz w:val="14"/>
              </w:rPr>
            </w:pPr>
            <w:r>
              <w:rPr>
                <w:rFonts w:ascii="Arial;Helvetica;sans-serif" w:hAnsi="Arial;Helvetica;sans-serif"/>
                <w:color w:val="636466"/>
                <w:sz w:val="14"/>
              </w:rPr>
              <w:t xml:space="preserve">3,784,522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145,439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6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4,152,344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5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26" w:right="0" w:hanging="0"/>
              <w:jc w:val="left"/>
              <w:rPr>
                <w:rFonts w:ascii="Arial;Helvetica;sans-serif" w:hAnsi="Arial;Helvetica;sans-serif"/>
                <w:color w:val="636466"/>
                <w:sz w:val="14"/>
              </w:rPr>
            </w:pPr>
            <w:r>
              <w:rPr>
                <w:rFonts w:ascii="Arial;Helvetica;sans-serif" w:hAnsi="Arial;Helvetica;sans-serif"/>
                <w:color w:val="636466"/>
                <w:sz w:val="14"/>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77" w:right="0" w:hanging="0"/>
              <w:jc w:val="left"/>
              <w:rPr>
                <w:rFonts w:ascii="Arial;Helvetica;sans-serif" w:hAnsi="Arial;Helvetica;sans-serif"/>
                <w:color w:val="636466"/>
                <w:sz w:val="14"/>
              </w:rPr>
            </w:pPr>
            <w:r>
              <w:rPr>
                <w:rFonts w:ascii="Arial;Helvetica;sans-serif" w:hAnsi="Arial;Helvetica;sans-serif"/>
                <w:color w:val="636466"/>
                <w:sz w:val="14"/>
              </w:rPr>
              <w:t xml:space="preserve">19,200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88"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93" w:right="0" w:hanging="0"/>
              <w:jc w:val="left"/>
              <w:rPr>
                <w:rFonts w:ascii="Arial;Helvetica;sans-serif" w:hAnsi="Arial;Helvetica;sans-serif"/>
                <w:color w:val="636466"/>
                <w:sz w:val="14"/>
              </w:rPr>
            </w:pPr>
            <w:r>
              <w:rPr>
                <w:rFonts w:ascii="Arial;Helvetica;sans-serif" w:hAnsi="Arial;Helvetica;sans-serif"/>
                <w:color w:val="636466"/>
                <w:sz w:val="14"/>
              </w:rPr>
              <w:t xml:space="preserve">175,942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16" w:right="0" w:hanging="0"/>
              <w:jc w:val="left"/>
              <w:rPr>
                <w:rFonts w:ascii="Arial;Helvetica;sans-serif" w:hAnsi="Arial;Helvetica;sans-serif"/>
                <w:color w:val="636466"/>
                <w:sz w:val="14"/>
              </w:rPr>
            </w:pPr>
            <w:r>
              <w:rPr>
                <w:rFonts w:ascii="Arial;Helvetica;sans-serif" w:hAnsi="Arial;Helvetica;sans-serif"/>
                <w:color w:val="636466"/>
                <w:sz w:val="14"/>
              </w:rPr>
              <w:t xml:space="preserve">29,638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76" w:right="0" w:hanging="0"/>
              <w:jc w:val="left"/>
              <w:rPr>
                <w:rFonts w:ascii="Arial;Helvetica;sans-serif" w:hAnsi="Arial;Helvetica;sans-serif"/>
                <w:color w:val="636466"/>
                <w:sz w:val="14"/>
              </w:rPr>
            </w:pPr>
            <w:r>
              <w:rPr>
                <w:rFonts w:ascii="Arial;Helvetica;sans-serif" w:hAnsi="Arial;Helvetica;sans-serif"/>
                <w:color w:val="636466"/>
                <w:sz w:val="14"/>
              </w:rPr>
              <w:t xml:space="preserve">243,768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33"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1,755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470,303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5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440" w:type="dxa"/>
            <w:tcBorders/>
            <w:shd w:fill="E7E0EF" w:val="clear"/>
            <w:vAlign w:val="center"/>
          </w:tcPr>
          <w:p>
            <w:pPr>
              <w:pStyle w:val="TableContents"/>
              <w:bidi w:val="0"/>
              <w:spacing w:before="0" w:after="283"/>
              <w:ind w:left="26" w:right="0" w:hanging="0"/>
              <w:jc w:val="left"/>
              <w:rPr>
                <w:rFonts w:ascii="Arial;Helvetica;sans-serif" w:hAnsi="Arial;Helvetica;sans-serif"/>
                <w:color w:val="636466"/>
                <w:sz w:val="14"/>
              </w:rPr>
            </w:pPr>
            <w:r>
              <w:rPr>
                <w:rFonts w:ascii="Arial;Helvetica;sans-serif" w:hAnsi="Arial;Helvetica;sans-serif"/>
                <w:color w:val="636466"/>
                <w:sz w:val="14"/>
              </w:rPr>
              <w:t>2022</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177" w:right="0" w:hanging="0"/>
              <w:jc w:val="left"/>
              <w:rPr>
                <w:rFonts w:ascii="Arial;Helvetica;sans-serif" w:hAnsi="Arial;Helvetica;sans-serif"/>
                <w:color w:val="636466"/>
                <w:sz w:val="14"/>
              </w:rPr>
            </w:pPr>
            <w:r>
              <w:rPr>
                <w:rFonts w:ascii="Arial;Helvetica;sans-serif" w:hAnsi="Arial;Helvetica;sans-serif"/>
                <w:color w:val="636466"/>
                <w:sz w:val="14"/>
              </w:rPr>
              <w:t xml:space="preserve">19,262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ind w:left="88"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10" w:type="dxa"/>
            <w:tcBorders/>
            <w:shd w:fill="E7E0EF" w:val="clear"/>
            <w:vAlign w:val="center"/>
          </w:tcPr>
          <w:p>
            <w:pPr>
              <w:pStyle w:val="TableContents"/>
              <w:bidi w:val="0"/>
              <w:spacing w:before="0" w:after="283"/>
              <w:ind w:left="93" w:right="0" w:hanging="0"/>
              <w:jc w:val="left"/>
              <w:rPr>
                <w:rFonts w:ascii="Arial;Helvetica;sans-serif" w:hAnsi="Arial;Helvetica;sans-serif"/>
                <w:color w:val="636466"/>
                <w:sz w:val="14"/>
              </w:rPr>
            </w:pPr>
            <w:r>
              <w:rPr>
                <w:rFonts w:ascii="Arial;Helvetica;sans-serif" w:hAnsi="Arial;Helvetica;sans-serif"/>
                <w:color w:val="636466"/>
                <w:sz w:val="14"/>
              </w:rPr>
              <w:t xml:space="preserve">4,756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30" w:type="dxa"/>
            <w:tcBorders/>
            <w:shd w:fill="E7E0EF" w:val="clear"/>
            <w:vAlign w:val="center"/>
          </w:tcPr>
          <w:p>
            <w:pPr>
              <w:pStyle w:val="TableContents"/>
              <w:bidi w:val="0"/>
              <w:spacing w:before="0" w:after="283"/>
              <w:ind w:left="216" w:right="0" w:hanging="0"/>
              <w:jc w:val="left"/>
              <w:rPr>
                <w:rFonts w:ascii="Arial;Helvetica;sans-serif" w:hAnsi="Arial;Helvetica;sans-serif"/>
                <w:color w:val="636466"/>
                <w:sz w:val="14"/>
              </w:rPr>
            </w:pPr>
            <w:r>
              <w:rPr>
                <w:rFonts w:ascii="Arial;Helvetica;sans-serif" w:hAnsi="Arial;Helvetica;sans-serif"/>
                <w:color w:val="636466"/>
                <w:sz w:val="14"/>
              </w:rPr>
              <w:t xml:space="preserve">27,504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30" w:type="dxa"/>
            <w:tcBorders/>
            <w:shd w:fill="E7E0EF" w:val="clear"/>
            <w:vAlign w:val="center"/>
          </w:tcPr>
          <w:p>
            <w:pPr>
              <w:pStyle w:val="TableContents"/>
              <w:bidi w:val="0"/>
              <w:spacing w:before="0" w:after="283"/>
              <w:ind w:left="176" w:right="0" w:hanging="0"/>
              <w:jc w:val="left"/>
              <w:rPr>
                <w:rFonts w:ascii="Arial;Helvetica;sans-serif" w:hAnsi="Arial;Helvetica;sans-serif"/>
                <w:color w:val="636466"/>
                <w:sz w:val="14"/>
              </w:rPr>
            </w:pPr>
            <w:r>
              <w:rPr>
                <w:rFonts w:ascii="Arial;Helvetica;sans-serif" w:hAnsi="Arial;Helvetica;sans-serif"/>
                <w:color w:val="636466"/>
                <w:sz w:val="14"/>
              </w:rPr>
              <w:t xml:space="preserve">228,450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95" w:type="dxa"/>
            <w:tcBorders/>
            <w:shd w:fill="E7E0EF" w:val="clear"/>
            <w:vAlign w:val="center"/>
          </w:tcPr>
          <w:p>
            <w:pPr>
              <w:pStyle w:val="TableContents"/>
              <w:bidi w:val="0"/>
              <w:spacing w:before="0" w:after="283"/>
              <w:ind w:left="33"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 xml:space="preserve">1,688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6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281,660</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4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1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3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3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9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6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a</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The values for 2024 represent a vehicle allowance. In addition to the vehicle allowance, there were ancillary expenses associated with such vehicle for Mr. Smith in 2023 and for Mr. Narula in 2022.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b</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Amounts disclosed represent the actual aggregate incremental costs associated with the personal use of corporate aircraft. Incremental costs include annual average hourly fuel and maintenance costs, landing and parking fees, customs and handling charges, passenger catering and ground transportation, crew travel expenses, away from home hanger fees, and other trip-related variable costs. Because the aircrafts are used primarily for business travel, incremental costs exclude fixed costs that do not change based on usage, such as pilots’ salaries, aircraft purchase or lease costs, home-base hangar costs, and certain maintenance fees. Aggregate incremental cost as so determined with respect to personal deadhead flights is allocable to the NEO. In certain instances where there are both business and personal passengers, the incremental costs per hour are pro-rated.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c</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For 2024, amount disclosed represents the tax equalization, gross up, and tax preparation of $94,457. For 2023, amount disclosed represents the tax equalization, gross up, and tax preparation of $175,942. For 2022, amount disclosed includes the value of certain one-time, non-recurring expatriate, repatriation, and relocation benefits of $4,756.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d</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For 2024, amounts for each NEO include a matching contribution for Smith ($14,000), Mistras ($21,454), Le Goff ($9,762), Campbell ($14,215), Roman ($13,808), and Narula ($7,115) and a profit sharing contribution received in March 2025 in respect of fiscal year 2024 to each NEO of Smith, Mistras, Le Goff, Campbell, Roman, and Narula ($20,700). For 2023, amounts for each NEO include a matching contribution for Messrs. Smith ($14,077), Roman ($13,415), and Narula ($6,538) and a profit sharing contribution received in March 2024 in respect of fiscal year 2023 to each of Messrs. Smith, Roman, and Narula ($23,100). For 2022, amounts for each NEO include a matching contribution for Mr. Narula ($6,154), and a profit sharing contribution received in March 2023 in respect of fiscal year 2022 to Mr. Narula, ($21,350).</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e</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For 2024, amounts disclosed include a matching contribution under the Restoration Plan for Smith ($159,600), Mistras ($18,565), Campbell ($55,600), Roman ($65,373), and a profit sharing contribution under the Restoration Plan received in March 2025 in respect of fiscal year 2024 for NEOs Smith ($236,370), Mistras ($27,848), Le Goff ($15,646), Campbell ($96,059), Roman ($116,280), and Narula ($96,653). For 2023, amounts disclosed include a matching contribution under the Restoration Plan for Messrs. Smith ($140,072), Roman ($76,539), and Narula ($91,174), and a profit sharing contribution under the Restoration Plan received in March 2024 in respect of fiscal year 2023 for Messrs. Smith ($48,515), Roman ($130,208), and Narula ($152,594). For 2022, amounts disclosed include a matching contribution under the Restoration Plan for Mr. Narula ($82,254), and a profit sharing contribution under the Restoration Plan received in March 2023 in respect of fiscal year 2022 for Mr. Narula ($144,196). </w:t>
            </w:r>
          </w:p>
        </w:tc>
      </w:tr>
    </w:tbl>
    <w:tbl>
      <w:tblPr>
        <w:tblW w:w="9145" w:type="dxa"/>
        <w:jc w:val="left"/>
        <w:tblInd w:w="1060" w:type="dxa"/>
        <w:tblLayout w:type="fixed"/>
        <w:tblCellMar>
          <w:top w:w="0" w:type="dxa"/>
          <w:left w:w="0" w:type="dxa"/>
          <w:bottom w:w="0" w:type="dxa"/>
          <w:right w:w="0" w:type="dxa"/>
        </w:tblCellMar>
      </w:tblPr>
      <w:tblGrid>
        <w:gridCol w:w="95"/>
        <w:gridCol w:w="9050"/>
      </w:tblGrid>
      <w:tr>
        <w:trPr/>
        <w:tc>
          <w:tcPr>
            <w:tcW w:w="9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f</w:t>
            </w:r>
          </w:p>
        </w:tc>
        <w:tc>
          <w:tcPr>
            <w:tcW w:w="905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For Mr. Narula, the amount reflects a severance amount of $3,700,000 and payment in lieu of accrued vacation ($84,522) in connection with his separation as an executive of the Company. All separation benefits paid to Mr. Narula were required pursuant to the existing terms of their contractual agreements, which were previously disclosed and subject to prior Say-on-Pay resolutions.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g</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For 2024, amounts disclosed represent premiums for international travel assistance and long-term disability for each of the NEOs, events and non-recurring relocation allowances for Mr. Narula ($145,055). For 2023, amounts disclosed represent non-employee board compensation fees for Mr. Smith 2023 earned prior to becoming CEO on April 1, 2023 ($37,500); non-recurring relocation allowances for Mr. Smith ($379,952); events for Mr. Roman; and premiums for international travel assistance and long-term disability for each of the NEOs. For 2022, amounts disclosed represent international travel assistance premiums for Mr. Narula; and long-term disability premiums for Mr. Narula. </w:t>
            </w:r>
          </w:p>
        </w:tc>
      </w:tr>
    </w:tbl>
    <w:tbl>
      <w:tblPr>
        <w:tblW w:w="4980" w:type="dxa"/>
        <w:jc w:val="left"/>
        <w:tblInd w:w="106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247"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17" descr=""/>
                          <pic:cNvPicPr>
                            <a:picLocks noChangeAspect="1" noChangeArrowheads="1"/>
                          </pic:cNvPicPr>
                        </pic:nvPicPr>
                        <pic:blipFill>
                          <a:blip r:embed="rId234"/>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Statement | 59</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248"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18" descr=""/>
                    <pic:cNvPicPr>
                      <a:picLocks noChangeAspect="1" noChangeArrowheads="1"/>
                    </pic:cNvPicPr>
                  </pic:nvPicPr>
                  <pic:blipFill>
                    <a:blip r:embed="rId235"/>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59" w:name="ny20055082x771_def14a_111-comp_pg3"/>
        <w:bookmarkEnd w:id="15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left"/>
        <w:rPr>
          <w:caps/>
          <w:color w:val="1F1C6B"/>
          <w:u w:val="single"/>
        </w:rPr>
      </w:pPr>
      <w:r>
        <w:rPr>
          <w:caps/>
          <w:color w:val="1F1C6B"/>
          <w:u w:val="single"/>
        </w:rPr>
        <w:t> </w:t>
      </w:r>
      <w:r>
        <w:rPr>
          <w:rFonts w:ascii="Arial;Helvetica;sans-serif" w:hAnsi="Arial;Helvetica;sans-serif"/>
          <w:caps/>
          <w:color w:val="1F1C6B"/>
          <w:sz w:val="18"/>
          <w:u w:val="single"/>
        </w:rPr>
        <w:t>Executive Compensation Tables </w:t>
      </w:r>
    </w:p>
    <w:p>
      <w:pPr>
        <w:pStyle w:val="TextBody"/>
        <w:bidi w:val="0"/>
        <w:spacing w:before="160" w:after="283"/>
        <w:ind w:left="1060" w:right="0" w:hanging="0"/>
        <w:jc w:val="left"/>
        <w:rPr>
          <w:rFonts w:ascii="Arial;Helvetica;sans-serif" w:hAnsi="Arial;Helvetica;sans-serif"/>
          <w:color w:val="72288A"/>
          <w:sz w:val="24"/>
        </w:rPr>
      </w:pPr>
      <w:r>
        <w:rPr>
          <w:rFonts w:ascii="Arial;Helvetica;sans-serif" w:hAnsi="Arial;Helvetica;sans-serif"/>
          <w:color w:val="72288A"/>
          <w:sz w:val="24"/>
        </w:rPr>
        <w:t>Grants of Plan-Based Awards for 2024</w:t>
      </w:r>
    </w:p>
    <w:p>
      <w:pPr>
        <w:pStyle w:val="TextBody"/>
        <w:bidi w:val="0"/>
        <w:spacing w:before="20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The following table summarizes grants of plan-based awards made to each NEO during 2024.</w:t>
      </w:r>
    </w:p>
    <w:tbl>
      <w:tblPr>
        <w:tblW w:w="13470" w:type="dxa"/>
        <w:jc w:val="left"/>
        <w:tblInd w:w="1060" w:type="dxa"/>
        <w:tblLayout w:type="fixed"/>
        <w:tblCellMar>
          <w:top w:w="0" w:type="dxa"/>
          <w:left w:w="0" w:type="dxa"/>
          <w:bottom w:w="0" w:type="dxa"/>
          <w:right w:w="0" w:type="dxa"/>
        </w:tblCellMar>
      </w:tblPr>
      <w:tblGrid>
        <w:gridCol w:w="185"/>
        <w:gridCol w:w="800"/>
        <w:gridCol w:w="170"/>
        <w:gridCol w:w="170"/>
        <w:gridCol w:w="410"/>
        <w:gridCol w:w="170"/>
        <w:gridCol w:w="170"/>
        <w:gridCol w:w="620"/>
        <w:gridCol w:w="170"/>
        <w:gridCol w:w="170"/>
        <w:gridCol w:w="770"/>
        <w:gridCol w:w="170"/>
        <w:gridCol w:w="170"/>
        <w:gridCol w:w="770"/>
        <w:gridCol w:w="170"/>
        <w:gridCol w:w="170"/>
        <w:gridCol w:w="770"/>
        <w:gridCol w:w="170"/>
        <w:gridCol w:w="170"/>
        <w:gridCol w:w="680"/>
        <w:gridCol w:w="170"/>
        <w:gridCol w:w="170"/>
        <w:gridCol w:w="635"/>
        <w:gridCol w:w="170"/>
        <w:gridCol w:w="170"/>
        <w:gridCol w:w="770"/>
        <w:gridCol w:w="170"/>
        <w:gridCol w:w="170"/>
        <w:gridCol w:w="635"/>
        <w:gridCol w:w="170"/>
        <w:gridCol w:w="170"/>
        <w:gridCol w:w="740"/>
        <w:gridCol w:w="170"/>
        <w:gridCol w:w="170"/>
        <w:gridCol w:w="620"/>
        <w:gridCol w:w="170"/>
        <w:gridCol w:w="170"/>
        <w:gridCol w:w="770"/>
        <w:gridCol w:w="215"/>
      </w:tblGrid>
      <w:tr>
        <w:trPr/>
        <w:tc>
          <w:tcPr>
            <w:tcW w:w="185" w:type="dxa"/>
            <w:tcBorders/>
            <w:shd w:fill="1F1C6B" w:val="clear"/>
            <w:vAlign w:val="center"/>
          </w:tcPr>
          <w:p>
            <w:pPr>
              <w:pStyle w:val="TableContents"/>
              <w:bidi w:val="0"/>
              <w:spacing w:before="0" w:after="0"/>
              <w:jc w:val="left"/>
              <w:rPr/>
            </w:pPr>
            <w:r>
              <w:rPr/>
              <w:t> </w:t>
            </w:r>
          </w:p>
        </w:tc>
        <w:tc>
          <w:tcPr>
            <w:tcW w:w="80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41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2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2990" w:type="dxa"/>
            <w:gridSpan w:val="7"/>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2765" w:type="dxa"/>
            <w:gridSpan w:val="7"/>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3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4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2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70"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vMerge w:val="restart"/>
            <w:tcBorders/>
            <w:shd w:fill="1F1C6B" w:val="clear"/>
            <w:vAlign w:val="center"/>
          </w:tcPr>
          <w:p>
            <w:pPr>
              <w:pStyle w:val="TableContents"/>
              <w:bidi w:val="0"/>
              <w:spacing w:before="0" w:after="0"/>
              <w:jc w:val="left"/>
              <w:rPr/>
            </w:pPr>
            <w:r>
              <w:rPr/>
              <w:t> </w:t>
            </w:r>
          </w:p>
        </w:tc>
        <w:tc>
          <w:tcPr>
            <w:tcW w:w="800" w:type="dxa"/>
            <w:vMerge w:val="restart"/>
            <w:tcBorders/>
            <w:shd w:fill="1F1C6B" w:val="clear"/>
            <w:vAlign w:val="center"/>
          </w:tcPr>
          <w:p>
            <w:pPr>
              <w:pStyle w:val="TableContents"/>
              <w:bidi w:val="0"/>
              <w:spacing w:before="0" w:after="283"/>
              <w:ind w:left="30" w:right="0" w:hanging="0"/>
              <w:jc w:val="left"/>
              <w:rPr>
                <w:color w:val="FFFFFF"/>
              </w:rPr>
            </w:pPr>
            <w:r>
              <w:rPr>
                <w:color w:val="FFFFFF"/>
              </w:rPr>
              <w:t>​</w:t>
            </w:r>
            <w:r>
              <w:rPr>
                <w:rFonts w:ascii="Arial;Helvetica;sans-serif" w:hAnsi="Arial;Helvetica;sans-serif"/>
                <w:b/>
                <w:color w:val="FFFFFF"/>
                <w:sz w:val="14"/>
              </w:rPr>
              <w:t>Name</w:t>
            </w:r>
          </w:p>
        </w:tc>
        <w:tc>
          <w:tcPr>
            <w:tcW w:w="170" w:type="dxa"/>
            <w:vMerge w:val="restart"/>
            <w:tcBorders/>
            <w:shd w:fill="1F1C6B" w:val="clear"/>
            <w:vAlign w:val="center"/>
          </w:tcPr>
          <w:p>
            <w:pPr>
              <w:pStyle w:val="TableContents"/>
              <w:bidi w:val="0"/>
              <w:spacing w:before="0" w:after="0"/>
              <w:jc w:val="left"/>
              <w:rPr/>
            </w:pPr>
            <w:r>
              <w:rPr/>
              <w:t> </w:t>
            </w:r>
          </w:p>
        </w:tc>
        <w:tc>
          <w:tcPr>
            <w:tcW w:w="170" w:type="dxa"/>
            <w:vMerge w:val="restart"/>
            <w:tcBorders/>
            <w:shd w:fill="1F1C6B" w:val="clear"/>
            <w:vAlign w:val="center"/>
          </w:tcPr>
          <w:p>
            <w:pPr>
              <w:pStyle w:val="TableContents"/>
              <w:bidi w:val="0"/>
              <w:spacing w:before="0" w:after="0"/>
              <w:jc w:val="left"/>
              <w:rPr/>
            </w:pPr>
            <w:r>
              <w:rPr/>
              <w:t> </w:t>
            </w:r>
          </w:p>
        </w:tc>
        <w:tc>
          <w:tcPr>
            <w:tcW w:w="410" w:type="dxa"/>
            <w:vMerge w:val="restart"/>
            <w:tcBorders/>
            <w:shd w:fill="1F1C6B" w:val="clear"/>
            <w:vAlign w:val="center"/>
          </w:tcPr>
          <w:p>
            <w:pPr>
              <w:pStyle w:val="TableContents"/>
              <w:bidi w:val="0"/>
              <w:spacing w:before="0" w:after="283"/>
              <w:jc w:val="center"/>
              <w:rPr>
                <w:color w:val="FFFFFF"/>
              </w:rPr>
            </w:pPr>
            <w:r>
              <w:rPr>
                <w:color w:val="FFFFFF"/>
              </w:rPr>
              <w:t>​</w:t>
            </w:r>
            <w:r>
              <w:rPr>
                <w:rFonts w:ascii="Arial;Helvetica;sans-serif" w:hAnsi="Arial;Helvetica;sans-serif"/>
                <w:b/>
                <w:color w:val="FFFFFF"/>
                <w:sz w:val="14"/>
              </w:rPr>
              <w:t>Grant</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Date</w:t>
            </w:r>
          </w:p>
        </w:tc>
        <w:tc>
          <w:tcPr>
            <w:tcW w:w="170" w:type="dxa"/>
            <w:vMerge w:val="restart"/>
            <w:tcBorders/>
            <w:shd w:fill="1F1C6B" w:val="clear"/>
            <w:vAlign w:val="center"/>
          </w:tcPr>
          <w:p>
            <w:pPr>
              <w:pStyle w:val="TableContents"/>
              <w:bidi w:val="0"/>
              <w:spacing w:before="0" w:after="0"/>
              <w:jc w:val="left"/>
              <w:rPr/>
            </w:pPr>
            <w:r>
              <w:rPr/>
              <w:t> </w:t>
            </w:r>
          </w:p>
        </w:tc>
        <w:tc>
          <w:tcPr>
            <w:tcW w:w="170" w:type="dxa"/>
            <w:vMerge w:val="restart"/>
            <w:tcBorders/>
            <w:shd w:fill="1F1C6B" w:val="clear"/>
            <w:vAlign w:val="center"/>
          </w:tcPr>
          <w:p>
            <w:pPr>
              <w:pStyle w:val="TableContents"/>
              <w:bidi w:val="0"/>
              <w:spacing w:before="0" w:after="0"/>
              <w:jc w:val="left"/>
              <w:rPr/>
            </w:pPr>
            <w:r>
              <w:rPr/>
              <w:t> </w:t>
            </w:r>
          </w:p>
        </w:tc>
        <w:tc>
          <w:tcPr>
            <w:tcW w:w="620" w:type="dxa"/>
            <w:vMerge w:val="restart"/>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Approval</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Date</w:t>
            </w:r>
          </w:p>
        </w:tc>
        <w:tc>
          <w:tcPr>
            <w:tcW w:w="170" w:type="dxa"/>
            <w:vMerge w:val="restart"/>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2990" w:type="dxa"/>
            <w:gridSpan w:val="7"/>
            <w:tcBorders>
              <w:bottom w:val="single" w:sz="8" w:space="0" w:color="FFFFFF"/>
            </w:tcBorders>
            <w:shd w:fill="1F1C6B" w:val="clear"/>
            <w:tcMar>
              <w:bottom w:w="63"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Estimated Future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Payments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Under Non-Equity Incentive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Plan Awards</w:t>
            </w:r>
            <w:r>
              <w:rPr>
                <w:rFonts w:ascii="Arial;Helvetica;sans-serif" w:hAnsi="Arial;Helvetica;sans-serif"/>
                <w:b/>
                <w:color w:val="FFFFFF"/>
                <w:position w:val="5"/>
                <w:sz w:val="11"/>
                <w:sz w:val="14"/>
              </w:rPr>
              <w:t>1</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2765" w:type="dxa"/>
            <w:gridSpan w:val="7"/>
            <w:tcBorders>
              <w:bottom w:val="single" w:sz="8" w:space="0" w:color="FFFFFF"/>
            </w:tcBorders>
            <w:shd w:fill="1F1C6B" w:val="clear"/>
            <w:tcMar>
              <w:bottom w:w="63"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Estimated Future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Payments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Under Equity Incentive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Plan Awards</w:t>
            </w:r>
            <w:r>
              <w:rPr>
                <w:rFonts w:ascii="Arial;Helvetica;sans-serif" w:hAnsi="Arial;Helvetica;sans-serif"/>
                <w:b/>
                <w:color w:val="FFFFFF"/>
                <w:position w:val="5"/>
                <w:sz w:val="11"/>
                <w:sz w:val="14"/>
              </w:rPr>
              <w:t>2</w:t>
            </w:r>
          </w:p>
        </w:tc>
        <w:tc>
          <w:tcPr>
            <w:tcW w:w="170" w:type="dxa"/>
            <w:tcBorders/>
            <w:shd w:fill="1F1C6B" w:val="clear"/>
            <w:vAlign w:val="center"/>
          </w:tcPr>
          <w:p>
            <w:pPr>
              <w:pStyle w:val="TableContents"/>
              <w:bidi w:val="0"/>
              <w:spacing w:before="0" w:after="0"/>
              <w:jc w:val="left"/>
              <w:rPr/>
            </w:pPr>
            <w:r>
              <w:rPr/>
              <w:t> </w:t>
            </w:r>
          </w:p>
        </w:tc>
        <w:tc>
          <w:tcPr>
            <w:tcW w:w="170" w:type="dxa"/>
            <w:vMerge w:val="restart"/>
            <w:tcBorders/>
            <w:shd w:fill="1F1C6B" w:val="clear"/>
            <w:vAlign w:val="center"/>
          </w:tcPr>
          <w:p>
            <w:pPr>
              <w:pStyle w:val="TableContents"/>
              <w:bidi w:val="0"/>
              <w:spacing w:before="0" w:after="0"/>
              <w:jc w:val="left"/>
              <w:rPr/>
            </w:pPr>
            <w:r>
              <w:rPr/>
              <w:t> </w:t>
            </w:r>
          </w:p>
        </w:tc>
        <w:tc>
          <w:tcPr>
            <w:tcW w:w="635" w:type="dxa"/>
            <w:vMerge w:val="restart"/>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All</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Other</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Stock</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Awards: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Number</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of Shares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of Stock</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or Units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r>
              <w:rPr>
                <w:rFonts w:ascii="Arial;Helvetica;sans-serif" w:hAnsi="Arial;Helvetica;sans-serif"/>
                <w:b/>
                <w:color w:val="FFFFFF"/>
                <w:position w:val="5"/>
                <w:sz w:val="11"/>
                <w:sz w:val="14"/>
              </w:rPr>
              <w:t>3</w:t>
            </w:r>
          </w:p>
        </w:tc>
        <w:tc>
          <w:tcPr>
            <w:tcW w:w="170" w:type="dxa"/>
            <w:vMerge w:val="restart"/>
            <w:tcBorders/>
            <w:shd w:fill="1F1C6B" w:val="clear"/>
            <w:vAlign w:val="center"/>
          </w:tcPr>
          <w:p>
            <w:pPr>
              <w:pStyle w:val="TableContents"/>
              <w:bidi w:val="0"/>
              <w:spacing w:before="0" w:after="0"/>
              <w:jc w:val="left"/>
              <w:rPr/>
            </w:pPr>
            <w:r>
              <w:rPr/>
              <w:t> </w:t>
            </w:r>
          </w:p>
        </w:tc>
        <w:tc>
          <w:tcPr>
            <w:tcW w:w="170" w:type="dxa"/>
            <w:vMerge w:val="restart"/>
            <w:tcBorders/>
            <w:shd w:fill="1F1C6B" w:val="clear"/>
            <w:vAlign w:val="center"/>
          </w:tcPr>
          <w:p>
            <w:pPr>
              <w:pStyle w:val="TableContents"/>
              <w:bidi w:val="0"/>
              <w:spacing w:before="0" w:after="0"/>
              <w:jc w:val="left"/>
              <w:rPr/>
            </w:pPr>
            <w:r>
              <w:rPr/>
              <w:t> </w:t>
            </w:r>
          </w:p>
        </w:tc>
        <w:tc>
          <w:tcPr>
            <w:tcW w:w="740" w:type="dxa"/>
            <w:vMerge w:val="restart"/>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All Other</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Option</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Awards: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Number of</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Securities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Underlying</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Options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vMerge w:val="restart"/>
            <w:tcBorders/>
            <w:shd w:fill="1F1C6B" w:val="clear"/>
            <w:vAlign w:val="center"/>
          </w:tcPr>
          <w:p>
            <w:pPr>
              <w:pStyle w:val="TableContents"/>
              <w:bidi w:val="0"/>
              <w:spacing w:before="0" w:after="0"/>
              <w:jc w:val="left"/>
              <w:rPr/>
            </w:pPr>
            <w:r>
              <w:rPr/>
              <w:t> </w:t>
            </w:r>
          </w:p>
        </w:tc>
        <w:tc>
          <w:tcPr>
            <w:tcW w:w="170" w:type="dxa"/>
            <w:vMerge w:val="restart"/>
            <w:tcBorders/>
            <w:shd w:fill="1F1C6B" w:val="clear"/>
            <w:vAlign w:val="center"/>
          </w:tcPr>
          <w:p>
            <w:pPr>
              <w:pStyle w:val="TableContents"/>
              <w:bidi w:val="0"/>
              <w:spacing w:before="0" w:after="0"/>
              <w:jc w:val="left"/>
              <w:rPr/>
            </w:pPr>
            <w:r>
              <w:rPr/>
              <w:t> </w:t>
            </w:r>
          </w:p>
        </w:tc>
        <w:tc>
          <w:tcPr>
            <w:tcW w:w="620" w:type="dxa"/>
            <w:vMerge w:val="restart"/>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Exercise</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or Base</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Price of</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Option</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Awards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($/Sh)</w:t>
            </w:r>
          </w:p>
        </w:tc>
        <w:tc>
          <w:tcPr>
            <w:tcW w:w="170" w:type="dxa"/>
            <w:vMerge w:val="restart"/>
            <w:tcBorders/>
            <w:shd w:fill="1F1C6B" w:val="clear"/>
            <w:vAlign w:val="center"/>
          </w:tcPr>
          <w:p>
            <w:pPr>
              <w:pStyle w:val="TableContents"/>
              <w:bidi w:val="0"/>
              <w:spacing w:before="0" w:after="0"/>
              <w:jc w:val="left"/>
              <w:rPr/>
            </w:pPr>
            <w:r>
              <w:rPr/>
              <w:t> </w:t>
            </w:r>
          </w:p>
        </w:tc>
        <w:tc>
          <w:tcPr>
            <w:tcW w:w="170" w:type="dxa"/>
            <w:vMerge w:val="restart"/>
            <w:tcBorders/>
            <w:shd w:fill="1F1C6B" w:val="clear"/>
            <w:vAlign w:val="center"/>
          </w:tcPr>
          <w:p>
            <w:pPr>
              <w:pStyle w:val="TableContents"/>
              <w:bidi w:val="0"/>
              <w:spacing w:before="0" w:after="0"/>
              <w:jc w:val="left"/>
              <w:rPr/>
            </w:pPr>
            <w:r>
              <w:rPr/>
              <w:t> </w:t>
            </w:r>
          </w:p>
        </w:tc>
        <w:tc>
          <w:tcPr>
            <w:tcW w:w="770" w:type="dxa"/>
            <w:vMerge w:val="restart"/>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Grant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Date Fair</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Value of</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Stock and</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Option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Awards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r>
              <w:rPr>
                <w:rFonts w:ascii="Arial;Helvetica;sans-serif" w:hAnsi="Arial;Helvetica;sans-serif"/>
                <w:b/>
                <w:color w:val="FFFFFF"/>
                <w:position w:val="5"/>
                <w:sz w:val="11"/>
                <w:sz w:val="14"/>
              </w:rPr>
              <w:t>4</w:t>
            </w:r>
          </w:p>
        </w:tc>
        <w:tc>
          <w:tcPr>
            <w:tcW w:w="215" w:type="dxa"/>
            <w:vMerge w:val="restart"/>
            <w:tcBorders/>
            <w:shd w:fill="1F1C6B" w:val="clear"/>
            <w:vAlign w:val="center"/>
          </w:tcPr>
          <w:p>
            <w:pPr>
              <w:pStyle w:val="TableContents"/>
              <w:bidi w:val="0"/>
              <w:spacing w:before="0" w:after="0"/>
              <w:jc w:val="left"/>
              <w:rPr/>
            </w:pPr>
            <w:r>
              <w:rPr/>
              <w:t> </w:t>
            </w:r>
          </w:p>
        </w:tc>
      </w:tr>
      <w:tr>
        <w:trPr/>
        <w:tc>
          <w:tcPr>
            <w:tcW w:w="185" w:type="dxa"/>
            <w:vMerge w:val="continue"/>
            <w:tcBorders/>
            <w:shd w:fill="1F1C6B" w:val="clear"/>
            <w:vAlign w:val="center"/>
          </w:tcPr>
          <w:p>
            <w:pPr>
              <w:pStyle w:val="Normal"/>
              <w:bidi w:val="0"/>
              <w:jc w:val="left"/>
              <w:rPr/>
            </w:pPr>
            <w:r>
              <w:rPr/>
            </w:r>
          </w:p>
        </w:tc>
        <w:tc>
          <w:tcPr>
            <w:tcW w:w="800" w:type="dxa"/>
            <w:vMerge w:val="continue"/>
            <w:tcBorders/>
            <w:shd w:fill="1F1C6B" w:val="clear"/>
            <w:vAlign w:val="center"/>
          </w:tcPr>
          <w:p>
            <w:pPr>
              <w:pStyle w:val="Normal"/>
              <w:bidi w:val="0"/>
              <w:jc w:val="left"/>
              <w:rPr/>
            </w:pPr>
            <w:r>
              <w:rPr/>
            </w:r>
          </w:p>
        </w:tc>
        <w:tc>
          <w:tcPr>
            <w:tcW w:w="170" w:type="dxa"/>
            <w:vMerge w:val="continue"/>
            <w:tcBorders/>
            <w:shd w:fill="1F1C6B" w:val="clear"/>
            <w:vAlign w:val="center"/>
          </w:tcPr>
          <w:p>
            <w:pPr>
              <w:pStyle w:val="Normal"/>
              <w:bidi w:val="0"/>
              <w:jc w:val="left"/>
              <w:rPr/>
            </w:pPr>
            <w:r>
              <w:rPr/>
            </w:r>
          </w:p>
        </w:tc>
        <w:tc>
          <w:tcPr>
            <w:tcW w:w="170" w:type="dxa"/>
            <w:vMerge w:val="continue"/>
            <w:tcBorders/>
            <w:shd w:fill="1F1C6B" w:val="clear"/>
            <w:vAlign w:val="center"/>
          </w:tcPr>
          <w:p>
            <w:pPr>
              <w:pStyle w:val="Normal"/>
              <w:bidi w:val="0"/>
              <w:jc w:val="left"/>
              <w:rPr/>
            </w:pPr>
            <w:r>
              <w:rPr/>
            </w:r>
          </w:p>
        </w:tc>
        <w:tc>
          <w:tcPr>
            <w:tcW w:w="410" w:type="dxa"/>
            <w:vMerge w:val="continue"/>
            <w:tcBorders/>
            <w:shd w:fill="1F1C6B" w:val="clear"/>
            <w:vAlign w:val="center"/>
          </w:tcPr>
          <w:p>
            <w:pPr>
              <w:pStyle w:val="Normal"/>
              <w:bidi w:val="0"/>
              <w:jc w:val="left"/>
              <w:rPr/>
            </w:pPr>
            <w:r>
              <w:rPr/>
            </w:r>
          </w:p>
        </w:tc>
        <w:tc>
          <w:tcPr>
            <w:tcW w:w="170" w:type="dxa"/>
            <w:vMerge w:val="continue"/>
            <w:tcBorders/>
            <w:shd w:fill="1F1C6B" w:val="clear"/>
            <w:vAlign w:val="center"/>
          </w:tcPr>
          <w:p>
            <w:pPr>
              <w:pStyle w:val="Normal"/>
              <w:bidi w:val="0"/>
              <w:jc w:val="left"/>
              <w:rPr/>
            </w:pPr>
            <w:r>
              <w:rPr/>
            </w:r>
          </w:p>
        </w:tc>
        <w:tc>
          <w:tcPr>
            <w:tcW w:w="170" w:type="dxa"/>
            <w:vMerge w:val="continue"/>
            <w:tcBorders/>
            <w:shd w:fill="1F1C6B" w:val="clear"/>
            <w:vAlign w:val="center"/>
          </w:tcPr>
          <w:p>
            <w:pPr>
              <w:pStyle w:val="Normal"/>
              <w:bidi w:val="0"/>
              <w:jc w:val="left"/>
              <w:rPr/>
            </w:pPr>
            <w:r>
              <w:rPr/>
            </w:r>
          </w:p>
        </w:tc>
        <w:tc>
          <w:tcPr>
            <w:tcW w:w="620" w:type="dxa"/>
            <w:vMerge w:val="continue"/>
            <w:tcBorders/>
            <w:shd w:fill="1F1C6B" w:val="clear"/>
            <w:vAlign w:val="center"/>
          </w:tcPr>
          <w:p>
            <w:pPr>
              <w:pStyle w:val="Normal"/>
              <w:bidi w:val="0"/>
              <w:jc w:val="left"/>
              <w:rPr/>
            </w:pPr>
            <w:r>
              <w:rPr/>
            </w:r>
          </w:p>
        </w:tc>
        <w:tc>
          <w:tcPr>
            <w:tcW w:w="170" w:type="dxa"/>
            <w:vMerge w:val="continue"/>
            <w:tcBorders/>
            <w:shd w:fill="1F1C6B" w:val="clear"/>
            <w:vAlign w:val="center"/>
          </w:tcPr>
          <w:p>
            <w:pPr>
              <w:pStyle w:val="Normal"/>
              <w:bidi w:val="0"/>
              <w:jc w:val="left"/>
              <w:rPr/>
            </w:pPr>
            <w:r>
              <w:rPr/>
            </w:r>
          </w:p>
        </w:tc>
        <w:tc>
          <w:tcPr>
            <w:tcW w:w="170" w:type="dxa"/>
            <w:tcBorders/>
            <w:shd w:fill="1F1C6B" w:val="clear"/>
            <w:vAlign w:val="center"/>
          </w:tcPr>
          <w:p>
            <w:pPr>
              <w:pStyle w:val="TableContents"/>
              <w:bidi w:val="0"/>
              <w:spacing w:before="0" w:after="0"/>
              <w:jc w:val="left"/>
              <w:rPr/>
            </w:pPr>
            <w:r>
              <w:rPr/>
              <w:t> </w:t>
            </w:r>
          </w:p>
        </w:tc>
        <w:tc>
          <w:tcPr>
            <w:tcW w:w="77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Threshold</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7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Target</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7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Maximum</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8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Threshold</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35"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Target</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7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Maximum</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w:t>
            </w:r>
          </w:p>
        </w:tc>
        <w:tc>
          <w:tcPr>
            <w:tcW w:w="170" w:type="dxa"/>
            <w:tcBorders/>
            <w:shd w:fill="1F1C6B" w:val="clear"/>
            <w:vAlign w:val="center"/>
          </w:tcPr>
          <w:p>
            <w:pPr>
              <w:pStyle w:val="TableContents"/>
              <w:bidi w:val="0"/>
              <w:spacing w:before="0" w:after="0"/>
              <w:jc w:val="left"/>
              <w:rPr/>
            </w:pPr>
            <w:r>
              <w:rPr/>
              <w:t> </w:t>
            </w:r>
          </w:p>
        </w:tc>
        <w:tc>
          <w:tcPr>
            <w:tcW w:w="170" w:type="dxa"/>
            <w:vMerge w:val="continue"/>
            <w:tcBorders/>
            <w:shd w:fill="1F1C6B" w:val="clear"/>
            <w:vAlign w:val="center"/>
          </w:tcPr>
          <w:p>
            <w:pPr>
              <w:pStyle w:val="Normal"/>
              <w:bidi w:val="0"/>
              <w:jc w:val="left"/>
              <w:rPr/>
            </w:pPr>
            <w:r>
              <w:rPr/>
            </w:r>
          </w:p>
        </w:tc>
        <w:tc>
          <w:tcPr>
            <w:tcW w:w="635" w:type="dxa"/>
            <w:vMerge w:val="continue"/>
            <w:tcBorders/>
            <w:shd w:fill="1F1C6B" w:val="clear"/>
            <w:vAlign w:val="center"/>
          </w:tcPr>
          <w:p>
            <w:pPr>
              <w:pStyle w:val="Normal"/>
              <w:bidi w:val="0"/>
              <w:jc w:val="left"/>
              <w:rPr/>
            </w:pPr>
            <w:r>
              <w:rPr/>
            </w:r>
          </w:p>
        </w:tc>
        <w:tc>
          <w:tcPr>
            <w:tcW w:w="170" w:type="dxa"/>
            <w:vMerge w:val="continue"/>
            <w:tcBorders/>
            <w:shd w:fill="1F1C6B" w:val="clear"/>
            <w:vAlign w:val="center"/>
          </w:tcPr>
          <w:p>
            <w:pPr>
              <w:pStyle w:val="Normal"/>
              <w:bidi w:val="0"/>
              <w:jc w:val="left"/>
              <w:rPr/>
            </w:pPr>
            <w:r>
              <w:rPr/>
            </w:r>
          </w:p>
        </w:tc>
        <w:tc>
          <w:tcPr>
            <w:tcW w:w="170" w:type="dxa"/>
            <w:vMerge w:val="continue"/>
            <w:tcBorders/>
            <w:shd w:fill="1F1C6B" w:val="clear"/>
            <w:vAlign w:val="center"/>
          </w:tcPr>
          <w:p>
            <w:pPr>
              <w:pStyle w:val="Normal"/>
              <w:bidi w:val="0"/>
              <w:jc w:val="left"/>
              <w:rPr/>
            </w:pPr>
            <w:r>
              <w:rPr/>
            </w:r>
          </w:p>
        </w:tc>
        <w:tc>
          <w:tcPr>
            <w:tcW w:w="740" w:type="dxa"/>
            <w:vMerge w:val="continue"/>
            <w:tcBorders/>
            <w:shd w:fill="1F1C6B" w:val="clear"/>
            <w:vAlign w:val="center"/>
          </w:tcPr>
          <w:p>
            <w:pPr>
              <w:pStyle w:val="Normal"/>
              <w:bidi w:val="0"/>
              <w:jc w:val="left"/>
              <w:rPr/>
            </w:pPr>
            <w:r>
              <w:rPr/>
            </w:r>
          </w:p>
        </w:tc>
        <w:tc>
          <w:tcPr>
            <w:tcW w:w="170" w:type="dxa"/>
            <w:vMerge w:val="continue"/>
            <w:tcBorders/>
            <w:shd w:fill="1F1C6B" w:val="clear"/>
            <w:vAlign w:val="center"/>
          </w:tcPr>
          <w:p>
            <w:pPr>
              <w:pStyle w:val="Normal"/>
              <w:bidi w:val="0"/>
              <w:jc w:val="left"/>
              <w:rPr/>
            </w:pPr>
            <w:r>
              <w:rPr/>
            </w:r>
          </w:p>
        </w:tc>
        <w:tc>
          <w:tcPr>
            <w:tcW w:w="170" w:type="dxa"/>
            <w:vMerge w:val="continue"/>
            <w:tcBorders/>
            <w:shd w:fill="1F1C6B" w:val="clear"/>
            <w:vAlign w:val="center"/>
          </w:tcPr>
          <w:p>
            <w:pPr>
              <w:pStyle w:val="Normal"/>
              <w:bidi w:val="0"/>
              <w:jc w:val="left"/>
              <w:rPr/>
            </w:pPr>
            <w:r>
              <w:rPr/>
            </w:r>
          </w:p>
        </w:tc>
        <w:tc>
          <w:tcPr>
            <w:tcW w:w="620" w:type="dxa"/>
            <w:vMerge w:val="continue"/>
            <w:tcBorders/>
            <w:shd w:fill="1F1C6B" w:val="clear"/>
            <w:vAlign w:val="center"/>
          </w:tcPr>
          <w:p>
            <w:pPr>
              <w:pStyle w:val="Normal"/>
              <w:bidi w:val="0"/>
              <w:jc w:val="left"/>
              <w:rPr/>
            </w:pPr>
            <w:r>
              <w:rPr/>
            </w:r>
          </w:p>
        </w:tc>
        <w:tc>
          <w:tcPr>
            <w:tcW w:w="170" w:type="dxa"/>
            <w:vMerge w:val="continue"/>
            <w:tcBorders/>
            <w:shd w:fill="1F1C6B" w:val="clear"/>
            <w:vAlign w:val="center"/>
          </w:tcPr>
          <w:p>
            <w:pPr>
              <w:pStyle w:val="Normal"/>
              <w:bidi w:val="0"/>
              <w:jc w:val="left"/>
              <w:rPr/>
            </w:pPr>
            <w:r>
              <w:rPr/>
            </w:r>
          </w:p>
        </w:tc>
        <w:tc>
          <w:tcPr>
            <w:tcW w:w="170" w:type="dxa"/>
            <w:vMerge w:val="continue"/>
            <w:tcBorders/>
            <w:shd w:fill="1F1C6B" w:val="clear"/>
            <w:vAlign w:val="center"/>
          </w:tcPr>
          <w:p>
            <w:pPr>
              <w:pStyle w:val="Normal"/>
              <w:bidi w:val="0"/>
              <w:jc w:val="left"/>
              <w:rPr/>
            </w:pPr>
            <w:r>
              <w:rPr/>
            </w:r>
          </w:p>
        </w:tc>
        <w:tc>
          <w:tcPr>
            <w:tcW w:w="770" w:type="dxa"/>
            <w:vMerge w:val="continue"/>
            <w:tcBorders/>
            <w:shd w:fill="1F1C6B" w:val="clear"/>
            <w:vAlign w:val="center"/>
          </w:tcPr>
          <w:p>
            <w:pPr>
              <w:pStyle w:val="Normal"/>
              <w:bidi w:val="0"/>
              <w:jc w:val="left"/>
              <w:rPr/>
            </w:pPr>
            <w:r>
              <w:rPr/>
            </w:r>
          </w:p>
        </w:tc>
        <w:tc>
          <w:tcPr>
            <w:tcW w:w="215" w:type="dxa"/>
            <w:vMerge w:val="continue"/>
            <w:tcBorders/>
            <w:shd w:fill="1F1C6B" w:val="clear"/>
            <w:vAlign w:val="center"/>
          </w:tcPr>
          <w:p>
            <w:pPr>
              <w:pStyle w:val="Normal"/>
              <w:bidi w:val="0"/>
              <w:jc w:val="left"/>
              <w:rPr/>
            </w:pPr>
            <w:r>
              <w:rPr/>
            </w:r>
          </w:p>
        </w:tc>
      </w:tr>
      <w:tr>
        <w:trPr/>
        <w:tc>
          <w:tcPr>
            <w:tcW w:w="185"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800" w:type="dxa"/>
            <w:vMerge w:val="restart"/>
            <w:tcBorders>
              <w:bottom w:val="single" w:sz="8" w:space="0" w:color="1F1C6B"/>
            </w:tcBorders>
            <w:tcMar>
              <w:bottom w:w="58" w:type="dxa"/>
            </w:tcMar>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Scott A. Smith </w:t>
            </w:r>
          </w:p>
        </w:tc>
        <w:tc>
          <w:tcPr>
            <w:tcW w:w="170"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color w:val="636466"/>
              </w:rPr>
            </w:pP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636466"/>
              </w:rPr>
            </w:pP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1,050,000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2,100,000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4,200,000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6"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3"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87"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95"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636466"/>
              </w:rPr>
            </w:pPr>
            <w:r>
              <w:rPr>
                <w:color w:val="636466"/>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800" w:type="dxa"/>
            <w:vMerge w:val="continue"/>
            <w:tcBorders>
              <w:bottom w:val="single" w:sz="8" w:space="0" w:color="1F1C6B"/>
            </w:tcBorders>
            <w:tcMar>
              <w:bottom w:w="58"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41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3/4/2024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2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2/26/2024</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ind w:left="46" w:right="0" w:hanging="0"/>
              <w:jc w:val="left"/>
              <w:rPr>
                <w:rFonts w:ascii="Arial;Helvetica;sans-serif" w:hAnsi="Arial;Helvetica;sans-serif"/>
                <w:color w:val="636466"/>
                <w:sz w:val="16"/>
              </w:rPr>
            </w:pPr>
            <w:r>
              <w:rPr>
                <w:rFonts w:ascii="Arial;Helvetica;sans-serif" w:hAnsi="Arial;Helvetica;sans-serif"/>
                <w:color w:val="636466"/>
                <w:sz w:val="16"/>
              </w:rPr>
              <w:t xml:space="preserve">154,612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515,373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1,004,978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23"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40" w:type="dxa"/>
            <w:tcBorders/>
            <w:shd w:fill="E7E0EF" w:val="clear"/>
            <w:vAlign w:val="center"/>
          </w:tcPr>
          <w:p>
            <w:pPr>
              <w:pStyle w:val="TableContents"/>
              <w:bidi w:val="0"/>
              <w:spacing w:before="0" w:after="283"/>
              <w:ind w:left="287"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20" w:type="dxa"/>
            <w:tcBorders/>
            <w:shd w:fill="E7E0EF" w:val="clear"/>
            <w:vAlign w:val="center"/>
          </w:tcPr>
          <w:p>
            <w:pPr>
              <w:pStyle w:val="TableContents"/>
              <w:bidi w:val="0"/>
              <w:spacing w:before="0" w:after="283"/>
              <w:ind w:left="195"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6,370,010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800" w:type="dxa"/>
            <w:vMerge w:val="continue"/>
            <w:tcBorders>
              <w:bottom w:val="single" w:sz="8" w:space="0" w:color="1F1C6B"/>
            </w:tcBorders>
            <w:tcMar>
              <w:bottom w:w="58"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410"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3/4/2024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20"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2/26/2024</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58" w:type="dxa"/>
            </w:tcM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58" w:type="dxa"/>
            </w:tcM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58" w:type="dxa"/>
            </w:tcM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80" w:type="dxa"/>
            <w:tcBorders>
              <w:bottom w:val="single" w:sz="8" w:space="0" w:color="1F1C6B"/>
            </w:tcBorders>
            <w:tcMar>
              <w:bottom w:w="58" w:type="dxa"/>
            </w:tcMar>
            <w:vAlign w:val="center"/>
          </w:tcPr>
          <w:p>
            <w:pPr>
              <w:pStyle w:val="TableContents"/>
              <w:bidi w:val="0"/>
              <w:spacing w:before="0" w:after="283"/>
              <w:ind w:left="46"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35" w:type="dxa"/>
            <w:tcBorders>
              <w:bottom w:val="single" w:sz="8" w:space="0" w:color="1F1C6B"/>
            </w:tcBorders>
            <w:tcMar>
              <w:bottom w:w="58" w:type="dxa"/>
            </w:tcM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58" w:type="dxa"/>
            </w:tcM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35" w:type="dxa"/>
            <w:tcBorders>
              <w:bottom w:val="single" w:sz="8" w:space="0" w:color="1F1C6B"/>
            </w:tcBorders>
            <w:tcMar>
              <w:bottom w:w="58" w:type="dxa"/>
            </w:tcMar>
            <w:vAlign w:val="center"/>
          </w:tcPr>
          <w:p>
            <w:pPr>
              <w:pStyle w:val="TableContents"/>
              <w:bidi w:val="0"/>
              <w:spacing w:before="0" w:after="283"/>
              <w:ind w:left="23" w:right="0" w:hanging="0"/>
              <w:jc w:val="left"/>
              <w:rPr>
                <w:rFonts w:ascii="Arial;Helvetica;sans-serif" w:hAnsi="Arial;Helvetica;sans-serif"/>
                <w:color w:val="636466"/>
                <w:sz w:val="16"/>
              </w:rPr>
            </w:pPr>
            <w:r>
              <w:rPr>
                <w:rFonts w:ascii="Arial;Helvetica;sans-serif" w:hAnsi="Arial;Helvetica;sans-serif"/>
                <w:color w:val="636466"/>
                <w:sz w:val="16"/>
              </w:rPr>
              <w:t xml:space="preserve">277,509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40" w:type="dxa"/>
            <w:tcBorders>
              <w:bottom w:val="single" w:sz="8" w:space="0" w:color="1F1C6B"/>
            </w:tcBorders>
            <w:tcMar>
              <w:bottom w:w="58" w:type="dxa"/>
            </w:tcMar>
            <w:vAlign w:val="center"/>
          </w:tcPr>
          <w:p>
            <w:pPr>
              <w:pStyle w:val="TableContents"/>
              <w:bidi w:val="0"/>
              <w:spacing w:before="0" w:after="283"/>
              <w:ind w:left="287"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20" w:type="dxa"/>
            <w:tcBorders>
              <w:bottom w:val="single" w:sz="8" w:space="0" w:color="1F1C6B"/>
            </w:tcBorders>
            <w:tcMar>
              <w:bottom w:w="58" w:type="dxa"/>
            </w:tcMar>
            <w:vAlign w:val="center"/>
          </w:tcPr>
          <w:p>
            <w:pPr>
              <w:pStyle w:val="TableContents"/>
              <w:bidi w:val="0"/>
              <w:spacing w:before="0" w:after="283"/>
              <w:ind w:left="195"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3,430,011 </w:t>
            </w:r>
          </w:p>
        </w:tc>
        <w:tc>
          <w:tcPr>
            <w:tcW w:w="215" w:type="dxa"/>
            <w:tcBorders>
              <w:bottom w:val="single" w:sz="8" w:space="0" w:color="1F1C6B"/>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800" w:type="dxa"/>
            <w:vMerge w:val="restart"/>
            <w:tcBorders>
              <w:bottom w:val="single" w:sz="8" w:space="0" w:color="1F1C6B"/>
            </w:tcBorders>
            <w:tcMar>
              <w:bottom w:w="58" w:type="dxa"/>
            </w:tcMar>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Doretta Mistras</w:t>
            </w:r>
          </w:p>
        </w:tc>
        <w:tc>
          <w:tcPr>
            <w:tcW w:w="170"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color w:val="636466"/>
              </w:rPr>
            </w:pP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636466"/>
              </w:rPr>
            </w:pP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412,500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825,000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1,650,000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6"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3"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87"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95"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636466"/>
              </w:rPr>
            </w:pPr>
            <w:r>
              <w:rPr>
                <w:color w:val="636466"/>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800" w:type="dxa"/>
            <w:vMerge w:val="continue"/>
            <w:tcBorders>
              <w:bottom w:val="single" w:sz="8" w:space="0" w:color="1F1C6B"/>
            </w:tcBorders>
            <w:tcMar>
              <w:bottom w:w="58"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41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1/1/2024</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2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12/14/2023</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ind w:left="46"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23" w:right="0" w:hanging="0"/>
              <w:jc w:val="left"/>
              <w:rPr>
                <w:rFonts w:ascii="Arial;Helvetica;sans-serif" w:hAnsi="Arial;Helvetica;sans-serif"/>
                <w:color w:val="636466"/>
                <w:sz w:val="16"/>
              </w:rPr>
            </w:pPr>
            <w:r>
              <w:rPr>
                <w:rFonts w:ascii="Arial;Helvetica;sans-serif" w:hAnsi="Arial;Helvetica;sans-serif"/>
                <w:color w:val="636466"/>
                <w:sz w:val="16"/>
              </w:rPr>
              <w:t xml:space="preserve">46,169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40" w:type="dxa"/>
            <w:tcBorders/>
            <w:shd w:fill="E7E0EF" w:val="clear"/>
            <w:vAlign w:val="center"/>
          </w:tcPr>
          <w:p>
            <w:pPr>
              <w:pStyle w:val="TableContents"/>
              <w:bidi w:val="0"/>
              <w:spacing w:before="0" w:after="283"/>
              <w:ind w:left="287"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20" w:type="dxa"/>
            <w:tcBorders/>
            <w:shd w:fill="E7E0EF" w:val="clear"/>
            <w:vAlign w:val="center"/>
          </w:tcPr>
          <w:p>
            <w:pPr>
              <w:pStyle w:val="TableContents"/>
              <w:bidi w:val="0"/>
              <w:spacing w:before="0" w:after="283"/>
              <w:ind w:left="195"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500,010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800" w:type="dxa"/>
            <w:vMerge w:val="continue"/>
            <w:tcBorders>
              <w:bottom w:val="single" w:sz="8" w:space="0" w:color="1F1C6B"/>
            </w:tcBorders>
            <w:tcMar>
              <w:bottom w:w="58"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3/4/2024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2/26/2024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6" w:right="0" w:hanging="0"/>
              <w:jc w:val="left"/>
              <w:rPr>
                <w:rFonts w:ascii="Arial;Helvetica;sans-serif" w:hAnsi="Arial;Helvetica;sans-serif"/>
                <w:color w:val="636466"/>
                <w:sz w:val="16"/>
              </w:rPr>
            </w:pPr>
            <w:r>
              <w:rPr>
                <w:rFonts w:ascii="Arial;Helvetica;sans-serif" w:hAnsi="Arial;Helvetica;sans-serif"/>
                <w:color w:val="636466"/>
                <w:sz w:val="16"/>
              </w:rPr>
              <w:t xml:space="preserve">52,064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173,544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338,411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3"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87"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95"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2,145,004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800" w:type="dxa"/>
            <w:vMerge w:val="continue"/>
            <w:tcBorders>
              <w:bottom w:val="single" w:sz="8" w:space="0" w:color="1F1C6B"/>
            </w:tcBorders>
            <w:tcMar>
              <w:bottom w:w="58"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410" w:type="dxa"/>
            <w:tcBorders>
              <w:bottom w:val="single" w:sz="8" w:space="0" w:color="1F1C6B"/>
            </w:tcBorders>
            <w:shd w:fill="E7E0EF" w:val="clear"/>
            <w:tcMar>
              <w:bottom w:w="58" w:type="dxa"/>
            </w:tcM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3/4/2024</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620" w:type="dxa"/>
            <w:tcBorders>
              <w:bottom w:val="single" w:sz="8" w:space="0" w:color="1F1C6B"/>
            </w:tcBorders>
            <w:shd w:fill="E7E0EF" w:val="clear"/>
            <w:tcMar>
              <w:bottom w:w="58" w:type="dxa"/>
            </w:tcM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2/26/2024</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770" w:type="dxa"/>
            <w:tcBorders>
              <w:bottom w:val="single" w:sz="8" w:space="0" w:color="1F1C6B"/>
            </w:tcBorders>
            <w:shd w:fill="E7E0EF" w:val="clear"/>
            <w:tcMar>
              <w:bottom w:w="58" w:type="dxa"/>
            </w:tcM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770" w:type="dxa"/>
            <w:tcBorders>
              <w:bottom w:val="single" w:sz="8" w:space="0" w:color="1F1C6B"/>
            </w:tcBorders>
            <w:shd w:fill="E7E0EF" w:val="clear"/>
            <w:tcMar>
              <w:bottom w:w="58" w:type="dxa"/>
            </w:tcM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770" w:type="dxa"/>
            <w:tcBorders>
              <w:bottom w:val="single" w:sz="8" w:space="0" w:color="1F1C6B"/>
            </w:tcBorders>
            <w:shd w:fill="E7E0EF" w:val="clear"/>
            <w:tcMar>
              <w:bottom w:w="58" w:type="dxa"/>
            </w:tcM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680" w:type="dxa"/>
            <w:tcBorders>
              <w:bottom w:val="single" w:sz="8" w:space="0" w:color="1F1C6B"/>
            </w:tcBorders>
            <w:shd w:fill="E7E0EF" w:val="clear"/>
            <w:tcMar>
              <w:bottom w:w="58" w:type="dxa"/>
            </w:tcMar>
            <w:vAlign w:val="center"/>
          </w:tcPr>
          <w:p>
            <w:pPr>
              <w:pStyle w:val="TableContents"/>
              <w:bidi w:val="0"/>
              <w:spacing w:before="0" w:after="283"/>
              <w:ind w:left="46"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635" w:type="dxa"/>
            <w:tcBorders>
              <w:bottom w:val="single" w:sz="8" w:space="0" w:color="1F1C6B"/>
            </w:tcBorders>
            <w:shd w:fill="E7E0EF" w:val="clear"/>
            <w:tcMar>
              <w:bottom w:w="58" w:type="dxa"/>
            </w:tcM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770" w:type="dxa"/>
            <w:tcBorders>
              <w:bottom w:val="single" w:sz="8" w:space="0" w:color="1F1C6B"/>
            </w:tcBorders>
            <w:shd w:fill="E7E0EF" w:val="clear"/>
            <w:tcMar>
              <w:bottom w:w="58" w:type="dxa"/>
            </w:tcM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635" w:type="dxa"/>
            <w:tcBorders>
              <w:bottom w:val="single" w:sz="8" w:space="0" w:color="1F1C6B"/>
            </w:tcBorders>
            <w:shd w:fill="E7E0EF" w:val="clear"/>
            <w:tcMar>
              <w:bottom w:w="58" w:type="dxa"/>
            </w:tcMar>
            <w:vAlign w:val="center"/>
          </w:tcPr>
          <w:p>
            <w:pPr>
              <w:pStyle w:val="TableContents"/>
              <w:bidi w:val="0"/>
              <w:spacing w:before="0" w:after="283"/>
              <w:ind w:left="23" w:right="0" w:hanging="0"/>
              <w:jc w:val="left"/>
              <w:rPr>
                <w:rFonts w:ascii="Arial;Helvetica;sans-serif" w:hAnsi="Arial;Helvetica;sans-serif"/>
                <w:color w:val="636466"/>
                <w:sz w:val="16"/>
              </w:rPr>
            </w:pPr>
            <w:r>
              <w:rPr>
                <w:rFonts w:ascii="Arial;Helvetica;sans-serif" w:hAnsi="Arial;Helvetica;sans-serif"/>
                <w:color w:val="636466"/>
                <w:sz w:val="16"/>
              </w:rPr>
              <w:t xml:space="preserve">93,447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740" w:type="dxa"/>
            <w:tcBorders>
              <w:bottom w:val="single" w:sz="8" w:space="0" w:color="1F1C6B"/>
            </w:tcBorders>
            <w:shd w:fill="E7E0EF" w:val="clear"/>
            <w:tcMar>
              <w:bottom w:w="58" w:type="dxa"/>
            </w:tcMar>
            <w:vAlign w:val="center"/>
          </w:tcPr>
          <w:p>
            <w:pPr>
              <w:pStyle w:val="TableContents"/>
              <w:bidi w:val="0"/>
              <w:spacing w:before="0" w:after="283"/>
              <w:ind w:left="287"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620" w:type="dxa"/>
            <w:tcBorders>
              <w:bottom w:val="single" w:sz="8" w:space="0" w:color="1F1C6B"/>
            </w:tcBorders>
            <w:shd w:fill="E7E0EF" w:val="clear"/>
            <w:tcMar>
              <w:bottom w:w="58" w:type="dxa"/>
            </w:tcMar>
            <w:vAlign w:val="center"/>
          </w:tcPr>
          <w:p>
            <w:pPr>
              <w:pStyle w:val="TableContents"/>
              <w:bidi w:val="0"/>
              <w:spacing w:before="0" w:after="283"/>
              <w:ind w:left="195"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770" w:type="dxa"/>
            <w:tcBorders>
              <w:bottom w:val="single" w:sz="8" w:space="0" w:color="1F1C6B"/>
            </w:tcBorders>
            <w:shd w:fill="E7E0EF" w:val="clear"/>
            <w:tcMar>
              <w:bottom w:w="58" w:type="dxa"/>
            </w:tcM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1,155,005 </w:t>
            </w:r>
          </w:p>
        </w:tc>
        <w:tc>
          <w:tcPr>
            <w:tcW w:w="215"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800" w:type="dxa"/>
            <w:vMerge w:val="restart"/>
            <w:tcBorders>
              <w:bottom w:val="single" w:sz="8" w:space="0" w:color="1F1C6B"/>
            </w:tcBorders>
            <w:tcMar>
              <w:bottom w:w="58" w:type="dxa"/>
            </w:tcMar>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Corinne Le Goff </w:t>
            </w:r>
          </w:p>
        </w:tc>
        <w:tc>
          <w:tcPr>
            <w:tcW w:w="170"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color w:val="636466"/>
              </w:rPr>
            </w:pP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636466"/>
              </w:rPr>
            </w:pP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311,988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623,975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1,247,951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6"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3"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87"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95"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636466"/>
              </w:rPr>
            </w:pPr>
            <w:r>
              <w:rPr>
                <w:color w:val="636466"/>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800" w:type="dxa"/>
            <w:vMerge w:val="continue"/>
            <w:tcBorders>
              <w:bottom w:val="single" w:sz="8" w:space="0" w:color="1F1C6B"/>
            </w:tcBorders>
            <w:tcMar>
              <w:bottom w:w="58"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41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4/18/2024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2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2/26/2024</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ind w:left="46" w:right="0" w:hanging="0"/>
              <w:jc w:val="left"/>
              <w:rPr>
                <w:rFonts w:ascii="Arial;Helvetica;sans-serif" w:hAnsi="Arial;Helvetica;sans-serif"/>
                <w:color w:val="636466"/>
                <w:sz w:val="16"/>
              </w:rPr>
            </w:pPr>
            <w:r>
              <w:rPr>
                <w:rFonts w:ascii="Arial;Helvetica;sans-serif" w:hAnsi="Arial;Helvetica;sans-serif"/>
                <w:color w:val="636466"/>
                <w:sz w:val="16"/>
              </w:rPr>
              <w:t xml:space="preserve">61,377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204,587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398,945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23"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40" w:type="dxa"/>
            <w:tcBorders/>
            <w:shd w:fill="E7E0EF" w:val="clear"/>
            <w:vAlign w:val="center"/>
          </w:tcPr>
          <w:p>
            <w:pPr>
              <w:pStyle w:val="TableContents"/>
              <w:bidi w:val="0"/>
              <w:spacing w:before="0" w:after="283"/>
              <w:ind w:left="287"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20" w:type="dxa"/>
            <w:tcBorders/>
            <w:shd w:fill="E7E0EF" w:val="clear"/>
            <w:vAlign w:val="center"/>
          </w:tcPr>
          <w:p>
            <w:pPr>
              <w:pStyle w:val="TableContents"/>
              <w:bidi w:val="0"/>
              <w:spacing w:before="0" w:after="283"/>
              <w:ind w:left="195"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2,275,007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800" w:type="dxa"/>
            <w:vMerge w:val="continue"/>
            <w:tcBorders>
              <w:bottom w:val="single" w:sz="8" w:space="0" w:color="1F1C6B"/>
            </w:tcBorders>
            <w:tcMar>
              <w:bottom w:w="58"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4/18/2024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2/26/2024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6"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3" w:right="0" w:hanging="0"/>
              <w:jc w:val="left"/>
              <w:rPr>
                <w:rFonts w:ascii="Arial;Helvetica;sans-serif" w:hAnsi="Arial;Helvetica;sans-serif"/>
                <w:color w:val="636466"/>
                <w:sz w:val="16"/>
              </w:rPr>
            </w:pPr>
            <w:r>
              <w:rPr>
                <w:rFonts w:ascii="Arial;Helvetica;sans-serif" w:hAnsi="Arial;Helvetica;sans-serif"/>
                <w:color w:val="636466"/>
                <w:sz w:val="16"/>
              </w:rPr>
              <w:t xml:space="preserve">110,162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87"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95"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1,225,001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800" w:type="dxa"/>
            <w:vMerge w:val="continue"/>
            <w:tcBorders>
              <w:bottom w:val="single" w:sz="8" w:space="0" w:color="1F1C6B"/>
            </w:tcBorders>
            <w:tcMar>
              <w:bottom w:w="58"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410" w:type="dxa"/>
            <w:tcBorders>
              <w:bottom w:val="single" w:sz="8" w:space="0" w:color="1F1C6B"/>
            </w:tcBorders>
            <w:shd w:fill="E7E0EF" w:val="clear"/>
            <w:tcMar>
              <w:bottom w:w="58" w:type="dxa"/>
            </w:tcM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4/18/2024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620" w:type="dxa"/>
            <w:tcBorders>
              <w:bottom w:val="single" w:sz="8" w:space="0" w:color="1F1C6B"/>
            </w:tcBorders>
            <w:shd w:fill="E7E0EF" w:val="clear"/>
            <w:tcMar>
              <w:bottom w:w="58" w:type="dxa"/>
            </w:tcM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2/26/2024</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770" w:type="dxa"/>
            <w:tcBorders>
              <w:bottom w:val="single" w:sz="8" w:space="0" w:color="1F1C6B"/>
            </w:tcBorders>
            <w:shd w:fill="E7E0EF" w:val="clear"/>
            <w:tcMar>
              <w:bottom w:w="58" w:type="dxa"/>
            </w:tcM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770" w:type="dxa"/>
            <w:tcBorders>
              <w:bottom w:val="single" w:sz="8" w:space="0" w:color="1F1C6B"/>
            </w:tcBorders>
            <w:shd w:fill="E7E0EF" w:val="clear"/>
            <w:tcMar>
              <w:bottom w:w="58" w:type="dxa"/>
            </w:tcM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770" w:type="dxa"/>
            <w:tcBorders>
              <w:bottom w:val="single" w:sz="8" w:space="0" w:color="1F1C6B"/>
            </w:tcBorders>
            <w:shd w:fill="E7E0EF" w:val="clear"/>
            <w:tcMar>
              <w:bottom w:w="58" w:type="dxa"/>
            </w:tcM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680" w:type="dxa"/>
            <w:tcBorders>
              <w:bottom w:val="single" w:sz="8" w:space="0" w:color="1F1C6B"/>
            </w:tcBorders>
            <w:shd w:fill="E7E0EF" w:val="clear"/>
            <w:tcMar>
              <w:bottom w:w="58" w:type="dxa"/>
            </w:tcMar>
            <w:vAlign w:val="center"/>
          </w:tcPr>
          <w:p>
            <w:pPr>
              <w:pStyle w:val="TableContents"/>
              <w:bidi w:val="0"/>
              <w:spacing w:before="0" w:after="283"/>
              <w:ind w:left="46"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635" w:type="dxa"/>
            <w:tcBorders>
              <w:bottom w:val="single" w:sz="8" w:space="0" w:color="1F1C6B"/>
            </w:tcBorders>
            <w:shd w:fill="E7E0EF" w:val="clear"/>
            <w:tcMar>
              <w:bottom w:w="58" w:type="dxa"/>
            </w:tcM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770" w:type="dxa"/>
            <w:tcBorders>
              <w:bottom w:val="single" w:sz="8" w:space="0" w:color="1F1C6B"/>
            </w:tcBorders>
            <w:shd w:fill="E7E0EF" w:val="clear"/>
            <w:tcMar>
              <w:bottom w:w="58" w:type="dxa"/>
            </w:tcM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635" w:type="dxa"/>
            <w:tcBorders>
              <w:bottom w:val="single" w:sz="8" w:space="0" w:color="1F1C6B"/>
            </w:tcBorders>
            <w:shd w:fill="E7E0EF" w:val="clear"/>
            <w:tcMar>
              <w:bottom w:w="58" w:type="dxa"/>
            </w:tcMar>
            <w:vAlign w:val="center"/>
          </w:tcPr>
          <w:p>
            <w:pPr>
              <w:pStyle w:val="TableContents"/>
              <w:bidi w:val="0"/>
              <w:spacing w:before="0" w:after="283"/>
              <w:ind w:left="23" w:right="0" w:hanging="0"/>
              <w:jc w:val="left"/>
              <w:rPr>
                <w:rFonts w:ascii="Arial;Helvetica;sans-serif" w:hAnsi="Arial;Helvetica;sans-serif"/>
                <w:color w:val="636466"/>
                <w:sz w:val="16"/>
              </w:rPr>
            </w:pPr>
            <w:r>
              <w:rPr>
                <w:rFonts w:ascii="Arial;Helvetica;sans-serif" w:hAnsi="Arial;Helvetica;sans-serif"/>
                <w:color w:val="636466"/>
                <w:sz w:val="16"/>
              </w:rPr>
              <w:t xml:space="preserve">78,688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740" w:type="dxa"/>
            <w:tcBorders>
              <w:bottom w:val="single" w:sz="8" w:space="0" w:color="1F1C6B"/>
            </w:tcBorders>
            <w:shd w:fill="E7E0EF" w:val="clear"/>
            <w:tcMar>
              <w:bottom w:w="58" w:type="dxa"/>
            </w:tcMar>
            <w:vAlign w:val="center"/>
          </w:tcPr>
          <w:p>
            <w:pPr>
              <w:pStyle w:val="TableContents"/>
              <w:bidi w:val="0"/>
              <w:spacing w:before="0" w:after="283"/>
              <w:ind w:left="287"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620" w:type="dxa"/>
            <w:tcBorders>
              <w:bottom w:val="single" w:sz="8" w:space="0" w:color="1F1C6B"/>
            </w:tcBorders>
            <w:shd w:fill="E7E0EF" w:val="clear"/>
            <w:tcMar>
              <w:bottom w:w="58" w:type="dxa"/>
            </w:tcMar>
            <w:vAlign w:val="center"/>
          </w:tcPr>
          <w:p>
            <w:pPr>
              <w:pStyle w:val="TableContents"/>
              <w:bidi w:val="0"/>
              <w:spacing w:before="0" w:after="283"/>
              <w:ind w:left="195"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770" w:type="dxa"/>
            <w:tcBorders>
              <w:bottom w:val="single" w:sz="8" w:space="0" w:color="1F1C6B"/>
            </w:tcBorders>
            <w:shd w:fill="E7E0EF" w:val="clear"/>
            <w:tcMar>
              <w:bottom w:w="58" w:type="dxa"/>
            </w:tcM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875,011 </w:t>
            </w:r>
          </w:p>
        </w:tc>
        <w:tc>
          <w:tcPr>
            <w:tcW w:w="215"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800" w:type="dxa"/>
            <w:vMerge w:val="restart"/>
            <w:tcBorders>
              <w:bottom w:val="single" w:sz="8" w:space="0" w:color="1F1C6B"/>
            </w:tcBorders>
            <w:tcMar>
              <w:bottom w:w="58" w:type="dxa"/>
            </w:tcMar>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Paul Campbell</w:t>
            </w:r>
          </w:p>
        </w:tc>
        <w:tc>
          <w:tcPr>
            <w:tcW w:w="170"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color w:val="636466"/>
              </w:rPr>
            </w:pP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636466"/>
              </w:rPr>
            </w:pP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362,500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725,000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1,450,000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6"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3"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87"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95"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636466"/>
              </w:rPr>
            </w:pPr>
            <w:r>
              <w:rPr>
                <w:color w:val="636466"/>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800" w:type="dxa"/>
            <w:vMerge w:val="continue"/>
            <w:tcBorders>
              <w:bottom w:val="single" w:sz="8" w:space="0" w:color="1F1C6B"/>
            </w:tcBorders>
            <w:tcMar>
              <w:bottom w:w="58"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41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3/4/2024</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2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2/26/2024</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ind w:left="46" w:right="0" w:hanging="0"/>
              <w:jc w:val="left"/>
              <w:rPr>
                <w:rFonts w:ascii="Arial;Helvetica;sans-serif" w:hAnsi="Arial;Helvetica;sans-serif"/>
                <w:color w:val="636466"/>
                <w:sz w:val="16"/>
              </w:rPr>
            </w:pPr>
            <w:r>
              <w:rPr>
                <w:rFonts w:ascii="Arial;Helvetica;sans-serif" w:hAnsi="Arial;Helvetica;sans-serif"/>
                <w:color w:val="636466"/>
                <w:sz w:val="16"/>
              </w:rPr>
              <w:t xml:space="preserve">28,596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95,318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185,871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23"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40" w:type="dxa"/>
            <w:tcBorders/>
            <w:shd w:fill="E7E0EF" w:val="clear"/>
            <w:vAlign w:val="center"/>
          </w:tcPr>
          <w:p>
            <w:pPr>
              <w:pStyle w:val="TableContents"/>
              <w:bidi w:val="0"/>
              <w:spacing w:before="0" w:after="283"/>
              <w:ind w:left="287"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20" w:type="dxa"/>
            <w:tcBorders/>
            <w:shd w:fill="E7E0EF" w:val="clear"/>
            <w:vAlign w:val="center"/>
          </w:tcPr>
          <w:p>
            <w:pPr>
              <w:pStyle w:val="TableContents"/>
              <w:bidi w:val="0"/>
              <w:spacing w:before="0" w:after="283"/>
              <w:ind w:left="195"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1,178,130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800" w:type="dxa"/>
            <w:vMerge w:val="continue"/>
            <w:tcBorders>
              <w:bottom w:val="single" w:sz="8" w:space="0" w:color="1F1C6B"/>
            </w:tcBorders>
            <w:tcMar>
              <w:bottom w:w="58"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410"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3/4/2024</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20"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2/26/2024</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58" w:type="dxa"/>
            </w:tcM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58" w:type="dxa"/>
            </w:tcM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58" w:type="dxa"/>
            </w:tcM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80" w:type="dxa"/>
            <w:tcBorders>
              <w:bottom w:val="single" w:sz="8" w:space="0" w:color="1F1C6B"/>
            </w:tcBorders>
            <w:tcMar>
              <w:bottom w:w="58" w:type="dxa"/>
            </w:tcMar>
            <w:vAlign w:val="center"/>
          </w:tcPr>
          <w:p>
            <w:pPr>
              <w:pStyle w:val="TableContents"/>
              <w:bidi w:val="0"/>
              <w:spacing w:before="0" w:after="283"/>
              <w:ind w:left="46"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35" w:type="dxa"/>
            <w:tcBorders>
              <w:bottom w:val="single" w:sz="8" w:space="0" w:color="1F1C6B"/>
            </w:tcBorders>
            <w:tcMar>
              <w:bottom w:w="58" w:type="dxa"/>
            </w:tcM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58" w:type="dxa"/>
            </w:tcM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35" w:type="dxa"/>
            <w:tcBorders>
              <w:bottom w:val="single" w:sz="8" w:space="0" w:color="1F1C6B"/>
            </w:tcBorders>
            <w:tcMar>
              <w:bottom w:w="58" w:type="dxa"/>
            </w:tcMar>
            <w:vAlign w:val="center"/>
          </w:tcPr>
          <w:p>
            <w:pPr>
              <w:pStyle w:val="TableContents"/>
              <w:bidi w:val="0"/>
              <w:spacing w:before="0" w:after="283"/>
              <w:ind w:left="23" w:right="0" w:hanging="0"/>
              <w:jc w:val="left"/>
              <w:rPr>
                <w:rFonts w:ascii="Arial;Helvetica;sans-serif" w:hAnsi="Arial;Helvetica;sans-serif"/>
                <w:color w:val="636466"/>
                <w:sz w:val="16"/>
              </w:rPr>
            </w:pPr>
            <w:r>
              <w:rPr>
                <w:rFonts w:ascii="Arial;Helvetica;sans-serif" w:hAnsi="Arial;Helvetica;sans-serif"/>
                <w:color w:val="636466"/>
                <w:sz w:val="16"/>
              </w:rPr>
              <w:t xml:space="preserve">51,325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40" w:type="dxa"/>
            <w:tcBorders>
              <w:bottom w:val="single" w:sz="8" w:space="0" w:color="1F1C6B"/>
            </w:tcBorders>
            <w:tcMar>
              <w:bottom w:w="58" w:type="dxa"/>
            </w:tcMar>
            <w:vAlign w:val="center"/>
          </w:tcPr>
          <w:p>
            <w:pPr>
              <w:pStyle w:val="TableContents"/>
              <w:bidi w:val="0"/>
              <w:spacing w:before="0" w:after="283"/>
              <w:ind w:left="287"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20" w:type="dxa"/>
            <w:tcBorders>
              <w:bottom w:val="single" w:sz="8" w:space="0" w:color="1F1C6B"/>
            </w:tcBorders>
            <w:tcMar>
              <w:bottom w:w="58" w:type="dxa"/>
            </w:tcMar>
            <w:vAlign w:val="center"/>
          </w:tcPr>
          <w:p>
            <w:pPr>
              <w:pStyle w:val="TableContents"/>
              <w:bidi w:val="0"/>
              <w:spacing w:before="0" w:after="283"/>
              <w:ind w:left="195"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634,377 </w:t>
            </w:r>
          </w:p>
        </w:tc>
        <w:tc>
          <w:tcPr>
            <w:tcW w:w="215" w:type="dxa"/>
            <w:tcBorders>
              <w:bottom w:val="single" w:sz="8" w:space="0" w:color="1F1C6B"/>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800" w:type="dxa"/>
            <w:vMerge w:val="restart"/>
            <w:tcBorders>
              <w:bottom w:val="single" w:sz="8" w:space="0" w:color="1F1C6B"/>
            </w:tcBorders>
            <w:tcMar>
              <w:bottom w:w="58" w:type="dxa"/>
            </w:tcMar>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Brian Roman </w:t>
            </w:r>
          </w:p>
        </w:tc>
        <w:tc>
          <w:tcPr>
            <w:tcW w:w="170"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color w:val="636466"/>
              </w:rPr>
            </w:pPr>
            <w:r>
              <w:rPr>
                <w:color w:val="63646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636466"/>
              </w:rPr>
            </w:pP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412,500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825,000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1,650,000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6"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3"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87"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95"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636466"/>
              </w:rPr>
            </w:pPr>
            <w:r>
              <w:rPr>
                <w:color w:val="636466"/>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800" w:type="dxa"/>
            <w:vMerge w:val="continue"/>
            <w:tcBorders>
              <w:bottom w:val="single" w:sz="8" w:space="0" w:color="1F1C6B"/>
            </w:tcBorders>
            <w:tcMar>
              <w:bottom w:w="58"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41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3/4/2024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2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2/26/2024</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ind w:left="46" w:right="0" w:hanging="0"/>
              <w:jc w:val="left"/>
              <w:rPr>
                <w:rFonts w:ascii="Arial;Helvetica;sans-serif" w:hAnsi="Arial;Helvetica;sans-serif"/>
                <w:color w:val="636466"/>
                <w:sz w:val="16"/>
              </w:rPr>
            </w:pPr>
            <w:r>
              <w:rPr>
                <w:rFonts w:ascii="Arial;Helvetica;sans-serif" w:hAnsi="Arial;Helvetica;sans-serif"/>
                <w:color w:val="636466"/>
                <w:sz w:val="16"/>
              </w:rPr>
              <w:t xml:space="preserve">39,048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130,158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253,809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23"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40" w:type="dxa"/>
            <w:tcBorders/>
            <w:shd w:fill="E7E0EF" w:val="clear"/>
            <w:vAlign w:val="center"/>
          </w:tcPr>
          <w:p>
            <w:pPr>
              <w:pStyle w:val="TableContents"/>
              <w:bidi w:val="0"/>
              <w:spacing w:before="0" w:after="283"/>
              <w:ind w:left="287"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20" w:type="dxa"/>
            <w:tcBorders/>
            <w:shd w:fill="E7E0EF" w:val="clear"/>
            <w:vAlign w:val="center"/>
          </w:tcPr>
          <w:p>
            <w:pPr>
              <w:pStyle w:val="TableContents"/>
              <w:bidi w:val="0"/>
              <w:spacing w:before="0" w:after="283"/>
              <w:ind w:left="195"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1,608,753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800" w:type="dxa"/>
            <w:vMerge w:val="continue"/>
            <w:tcBorders>
              <w:bottom w:val="single" w:sz="8" w:space="0" w:color="1F1C6B"/>
            </w:tcBorders>
            <w:tcMar>
              <w:bottom w:w="58"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410" w:type="dxa"/>
            <w:tcBorders>
              <w:bottom w:val="single" w:sz="8" w:space="0" w:color="1F1C6B"/>
            </w:tcBorders>
            <w:tcMar>
              <w:bottom w:w="58" w:type="dxa"/>
            </w:tcMar>
            <w:vAlign w:val="center"/>
          </w:tcPr>
          <w:p>
            <w:pPr>
              <w:pStyle w:val="TableContents"/>
              <w:bidi w:val="0"/>
              <w:spacing w:before="0" w:after="283"/>
              <w:ind w:left="0" w:right="0" w:hanging="0"/>
              <w:jc w:val="left"/>
              <w:rPr>
                <w:color w:val="636466"/>
              </w:rPr>
            </w:pPr>
            <w:r>
              <w:rPr>
                <w:color w:val="636466"/>
              </w:rPr>
              <w:t>​</w:t>
            </w:r>
            <w:r>
              <w:rPr>
                <w:rFonts w:ascii="Arial;Helvetica;sans-serif" w:hAnsi="Arial;Helvetica;sans-serif"/>
                <w:color w:val="636466"/>
                <w:sz w:val="16"/>
              </w:rPr>
              <w:t xml:space="preserve">3/4/2024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20"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2/26/2024</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58" w:type="dxa"/>
            </w:tcM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58" w:type="dxa"/>
            </w:tcM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58" w:type="dxa"/>
            </w:tcM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80" w:type="dxa"/>
            <w:tcBorders>
              <w:bottom w:val="single" w:sz="8" w:space="0" w:color="1F1C6B"/>
            </w:tcBorders>
            <w:tcMar>
              <w:bottom w:w="58" w:type="dxa"/>
            </w:tcMar>
            <w:vAlign w:val="center"/>
          </w:tcPr>
          <w:p>
            <w:pPr>
              <w:pStyle w:val="TableContents"/>
              <w:bidi w:val="0"/>
              <w:spacing w:before="0" w:after="283"/>
              <w:ind w:left="46"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35" w:type="dxa"/>
            <w:tcBorders>
              <w:bottom w:val="single" w:sz="8" w:space="0" w:color="1F1C6B"/>
            </w:tcBorders>
            <w:tcMar>
              <w:bottom w:w="58" w:type="dxa"/>
            </w:tcM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58" w:type="dxa"/>
            </w:tcM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35" w:type="dxa"/>
            <w:tcBorders>
              <w:bottom w:val="single" w:sz="8" w:space="0" w:color="1F1C6B"/>
            </w:tcBorders>
            <w:tcMar>
              <w:bottom w:w="58" w:type="dxa"/>
            </w:tcMar>
            <w:vAlign w:val="center"/>
          </w:tcPr>
          <w:p>
            <w:pPr>
              <w:pStyle w:val="TableContents"/>
              <w:bidi w:val="0"/>
              <w:spacing w:before="0" w:after="283"/>
              <w:ind w:left="23" w:right="0" w:hanging="0"/>
              <w:jc w:val="left"/>
              <w:rPr>
                <w:rFonts w:ascii="Arial;Helvetica;sans-serif" w:hAnsi="Arial;Helvetica;sans-serif"/>
                <w:color w:val="636466"/>
                <w:sz w:val="16"/>
              </w:rPr>
            </w:pPr>
            <w:r>
              <w:rPr>
                <w:rFonts w:ascii="Arial;Helvetica;sans-serif" w:hAnsi="Arial;Helvetica;sans-serif"/>
                <w:color w:val="636466"/>
                <w:sz w:val="16"/>
              </w:rPr>
              <w:t xml:space="preserve">70,085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40" w:type="dxa"/>
            <w:tcBorders>
              <w:bottom w:val="single" w:sz="8" w:space="0" w:color="1F1C6B"/>
            </w:tcBorders>
            <w:tcMar>
              <w:bottom w:w="58" w:type="dxa"/>
            </w:tcMar>
            <w:vAlign w:val="center"/>
          </w:tcPr>
          <w:p>
            <w:pPr>
              <w:pStyle w:val="TableContents"/>
              <w:bidi w:val="0"/>
              <w:spacing w:before="0" w:after="283"/>
              <w:ind w:left="287"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20" w:type="dxa"/>
            <w:tcBorders>
              <w:bottom w:val="single" w:sz="8" w:space="0" w:color="1F1C6B"/>
            </w:tcBorders>
            <w:tcMar>
              <w:bottom w:w="58" w:type="dxa"/>
            </w:tcMar>
            <w:vAlign w:val="center"/>
          </w:tcPr>
          <w:p>
            <w:pPr>
              <w:pStyle w:val="TableContents"/>
              <w:bidi w:val="0"/>
              <w:spacing w:before="0" w:after="283"/>
              <w:ind w:left="195"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866,251 </w:t>
            </w:r>
          </w:p>
        </w:tc>
        <w:tc>
          <w:tcPr>
            <w:tcW w:w="215" w:type="dxa"/>
            <w:tcBorders>
              <w:bottom w:val="single" w:sz="8" w:space="0" w:color="1F1C6B"/>
            </w:tcBorders>
            <w:tcMar>
              <w:bottom w:w="28" w:type="dxa"/>
            </w:tcM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800" w:type="dxa"/>
            <w:vMerge w:val="restart"/>
            <w:tcBorders/>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Sanjeev Narula </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color w:val="636466"/>
              </w:rPr>
            </w:pP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636466"/>
              </w:rPr>
            </w:pPr>
            <w:r>
              <w:rPr>
                <w:color w:val="636466"/>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82,138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164,276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328,552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6"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3"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87"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95"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636466"/>
              </w:rPr>
            </w:pPr>
            <w:r>
              <w:rPr>
                <w:color w:val="636466"/>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0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41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3/4/2024</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2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2/26/2024</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ind w:left="46"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23"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40" w:type="dxa"/>
            <w:tcBorders/>
            <w:shd w:fill="E7E0EF" w:val="clear"/>
            <w:vAlign w:val="center"/>
          </w:tcPr>
          <w:p>
            <w:pPr>
              <w:pStyle w:val="TableContents"/>
              <w:bidi w:val="0"/>
              <w:spacing w:before="0" w:after="283"/>
              <w:ind w:left="287"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20" w:type="dxa"/>
            <w:tcBorders/>
            <w:shd w:fill="E7E0EF" w:val="clear"/>
            <w:vAlign w:val="center"/>
          </w:tcPr>
          <w:p>
            <w:pPr>
              <w:pStyle w:val="TableContents"/>
              <w:bidi w:val="0"/>
              <w:spacing w:before="0" w:after="283"/>
              <w:ind w:left="195"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636466"/>
              </w:rPr>
            </w:pPr>
            <w:r>
              <w:rPr>
                <w:color w:val="636466"/>
              </w:rPr>
              <w:t xml:space="preserve">—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0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3/4/2024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2/26/2024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6"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3"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87"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95"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636466"/>
              </w:rPr>
            </w:pPr>
            <w:r>
              <w:rPr>
                <w:color w:val="636466"/>
              </w:rPr>
              <w:t>—</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1</w:t>
            </w:r>
          </w:p>
        </w:tc>
        <w:tc>
          <w:tcPr>
            <w:tcW w:w="9020" w:type="dxa"/>
            <w:tcBorders/>
            <w:vAlign w:val="center"/>
          </w:tcPr>
          <w:p>
            <w:pPr>
              <w:pStyle w:val="TableContents"/>
              <w:bidi w:val="0"/>
              <w:spacing w:before="0" w:after="0"/>
              <w:jc w:val="left"/>
              <w:rPr/>
            </w:pPr>
            <w:r>
              <w:rPr>
                <w:rFonts w:ascii="Arial;Helvetica;sans-serif" w:hAnsi="Arial;Helvetica;sans-serif"/>
                <w:color w:val="636466"/>
                <w:sz w:val="14"/>
              </w:rPr>
              <w:t xml:space="preserve">The performance goals under the annual incentive compensation program applicable to the NEOs during 2024 are described above in the CD&amp;A. For a discussion of these awards, see “2024 Annual Incentive Compensation Program” on pages </w:t>
            </w:r>
            <w:hyperlink w:anchor="tAICA">
              <w:r>
                <w:rPr>
                  <w:rStyle w:val="InternetLink"/>
                  <w:rFonts w:ascii="Arial;Helvetica;sans-serif" w:hAnsi="Arial;Helvetica;sans-serif"/>
                  <w:color w:val="000080"/>
                  <w:sz w:val="14"/>
                </w:rPr>
                <w:t>49</w:t>
              </w:r>
            </w:hyperlink>
            <w:r>
              <w:rPr>
                <w:rFonts w:ascii="Arial;Helvetica;sans-serif" w:hAnsi="Arial;Helvetica;sans-serif"/>
                <w:color w:val="636466"/>
                <w:sz w:val="14"/>
              </w:rPr>
              <w:t xml:space="preserve"> and </w:t>
            </w:r>
            <w:hyperlink w:anchor="tAIC2">
              <w:r>
                <w:rPr>
                  <w:rStyle w:val="InternetLink"/>
                  <w:rFonts w:ascii="Arial;Helvetica;sans-serif" w:hAnsi="Arial;Helvetica;sans-serif"/>
                  <w:color w:val="000080"/>
                  <w:sz w:val="14"/>
                </w:rPr>
                <w:t>50</w:t>
              </w:r>
            </w:hyperlink>
            <w:r>
              <w:rPr>
                <w:rFonts w:ascii="Arial;Helvetica;sans-serif" w:hAnsi="Arial;Helvetica;sans-serif"/>
                <w:color w:val="636466"/>
                <w:sz w:val="14"/>
              </w:rPr>
              <w:t xml:space="preserve">. The amounts for Dr. Le Goff and Mr. Narula have been adjusted to reflect their partial year of service during 2024.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2</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Consists of PRSUs awarded under the Viatris 2020 Stock Plan. The vesting terms applicable to these awards are described above in the CD&amp;A and below following the Outstanding Equity Awards at the End of 2024 table.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3</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Consists of RSUs awarded under the Viatris 2020 Stock Plan. The vesting terms applicable to these awards are described above in the CD&amp;A and below following the Outstanding Equity Awards at the End of 2024 table.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4</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Represents the grant date fair value of the specific award granted to the NEO. For information regarding assumptions used in determining such value, please refer to Note 13 to the Company’s Consolidated Financial Statements contained in the Form 10-K. </w:t>
            </w:r>
          </w:p>
        </w:tc>
      </w:tr>
    </w:tbl>
    <w:tbl>
      <w:tblPr>
        <w:tblW w:w="4980" w:type="dxa"/>
        <w:jc w:val="left"/>
        <w:tblInd w:w="106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60 | 2025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249"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19" descr=""/>
                          <pic:cNvPicPr>
                            <a:picLocks noChangeAspect="1" noChangeArrowheads="1"/>
                          </pic:cNvPicPr>
                        </pic:nvPicPr>
                        <pic:blipFill>
                          <a:blip r:embed="rId236"/>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250"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20" descr=""/>
                    <pic:cNvPicPr>
                      <a:picLocks noChangeAspect="1" noChangeArrowheads="1"/>
                    </pic:cNvPicPr>
                  </pic:nvPicPr>
                  <pic:blipFill>
                    <a:blip r:embed="rId237"/>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60" w:name="ny20055082x771_def14a_111-comp_pg4"/>
        <w:bookmarkEnd w:id="16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right"/>
        <w:rPr>
          <w:caps/>
          <w:color w:val="1F1C6B"/>
          <w:u w:val="single"/>
        </w:rPr>
      </w:pPr>
      <w:r>
        <w:rPr>
          <w:caps/>
          <w:color w:val="1F1C6B"/>
          <w:u w:val="single"/>
        </w:rPr>
        <w:t> </w:t>
      </w:r>
      <w:r>
        <w:rPr>
          <w:rFonts w:ascii="Arial;Helvetica;sans-serif" w:hAnsi="Arial;Helvetica;sans-serif"/>
          <w:caps/>
          <w:color w:val="1F1C6B"/>
          <w:sz w:val="18"/>
          <w:u w:val="single"/>
        </w:rPr>
        <w:t>Executive Compensation Tables </w:t>
      </w:r>
    </w:p>
    <w:p>
      <w:pPr>
        <w:pStyle w:val="TextBody"/>
        <w:bidi w:val="0"/>
        <w:spacing w:before="160" w:after="283"/>
        <w:ind w:left="1060" w:right="0" w:hanging="0"/>
        <w:jc w:val="left"/>
        <w:rPr>
          <w:rFonts w:ascii="Arial;Helvetica;sans-serif" w:hAnsi="Arial;Helvetica;sans-serif"/>
          <w:color w:val="72288A"/>
          <w:sz w:val="24"/>
        </w:rPr>
      </w:pPr>
      <w:r>
        <w:rPr>
          <w:rFonts w:ascii="Arial;Helvetica;sans-serif" w:hAnsi="Arial;Helvetica;sans-serif"/>
          <w:color w:val="72288A"/>
          <w:sz w:val="24"/>
        </w:rPr>
        <w:t>Outstanding Equity Awards at the End of 2024</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The following table sets forth information concerning all of the outstanding LTI awards held by each NEO as of December 31, 2024. </w:t>
      </w:r>
    </w:p>
    <w:tbl>
      <w:tblPr>
        <w:tblW w:w="10800" w:type="dxa"/>
        <w:jc w:val="left"/>
        <w:tblInd w:w="1060" w:type="dxa"/>
        <w:tblLayout w:type="fixed"/>
        <w:tblCellMar>
          <w:top w:w="0" w:type="dxa"/>
          <w:left w:w="0" w:type="dxa"/>
          <w:bottom w:w="0" w:type="dxa"/>
          <w:right w:w="0" w:type="dxa"/>
        </w:tblCellMar>
      </w:tblPr>
      <w:tblGrid>
        <w:gridCol w:w="185"/>
        <w:gridCol w:w="800"/>
        <w:gridCol w:w="170"/>
        <w:gridCol w:w="170"/>
        <w:gridCol w:w="1025"/>
        <w:gridCol w:w="170"/>
        <w:gridCol w:w="170"/>
        <w:gridCol w:w="1160"/>
        <w:gridCol w:w="170"/>
        <w:gridCol w:w="170"/>
        <w:gridCol w:w="710"/>
        <w:gridCol w:w="170"/>
        <w:gridCol w:w="170"/>
        <w:gridCol w:w="860"/>
        <w:gridCol w:w="170"/>
        <w:gridCol w:w="170"/>
        <w:gridCol w:w="680"/>
        <w:gridCol w:w="170"/>
        <w:gridCol w:w="170"/>
        <w:gridCol w:w="770"/>
        <w:gridCol w:w="170"/>
        <w:gridCol w:w="170"/>
        <w:gridCol w:w="815"/>
        <w:gridCol w:w="170"/>
        <w:gridCol w:w="170"/>
        <w:gridCol w:w="860"/>
        <w:gridCol w:w="215"/>
      </w:tblGrid>
      <w:tr>
        <w:trPr/>
        <w:tc>
          <w:tcPr>
            <w:tcW w:w="185" w:type="dxa"/>
            <w:tcBorders/>
            <w:shd w:fill="1F1C6B" w:val="clear"/>
            <w:vAlign w:val="center"/>
          </w:tcPr>
          <w:p>
            <w:pPr>
              <w:pStyle w:val="TableContents"/>
              <w:bidi w:val="0"/>
              <w:spacing w:before="0" w:after="0"/>
              <w:jc w:val="left"/>
              <w:rPr/>
            </w:pPr>
            <w:r>
              <w:rPr/>
              <w:t> </w:t>
            </w:r>
          </w:p>
        </w:tc>
        <w:tc>
          <w:tcPr>
            <w:tcW w:w="80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4775" w:type="dxa"/>
            <w:gridSpan w:val="10"/>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4145" w:type="dxa"/>
            <w:gridSpan w:val="10"/>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800" w:type="dxa"/>
            <w:tcBorders/>
            <w:shd w:fill="1F1C6B" w:val="clear"/>
            <w:vAlign w:val="center"/>
          </w:tcPr>
          <w:p>
            <w:pPr>
              <w:pStyle w:val="TableContents"/>
              <w:bidi w:val="0"/>
              <w:spacing w:before="0" w:after="283"/>
              <w:ind w:left="30" w:right="0" w:hanging="0"/>
              <w:jc w:val="left"/>
              <w:rPr>
                <w:color w:val="FFFFFF"/>
              </w:rPr>
            </w:pPr>
            <w:r>
              <w:rPr>
                <w:color w:val="FFFFFF"/>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4775" w:type="dxa"/>
            <w:gridSpan w:val="10"/>
            <w:tcBorders>
              <w:bottom w:val="single" w:sz="8" w:space="0" w:color="FFFFFF"/>
            </w:tcBorders>
            <w:shd w:fill="1F1C6B" w:val="clear"/>
            <w:tcMar>
              <w:bottom w:w="31"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Option Awards</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4145" w:type="dxa"/>
            <w:gridSpan w:val="10"/>
            <w:tcBorders>
              <w:bottom w:val="single" w:sz="8" w:space="0" w:color="FFFFFF"/>
            </w:tcBorders>
            <w:shd w:fill="1F1C6B" w:val="clear"/>
            <w:tcMar>
              <w:bottom w:w="31"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Stock Awards</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800"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2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Number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Securities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Underlying</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Unexercised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Options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Exercisable</w:t>
            </w:r>
            <w:r>
              <w:rPr>
                <w:rFonts w:ascii="Arial;Helvetica;sans-serif" w:hAnsi="Arial;Helvetica;sans-serif"/>
                <w:b/>
                <w:color w:val="FFFFFF"/>
                <w:position w:val="5"/>
                <w:sz w:val="13"/>
                <w:sz w:val="16"/>
              </w:rPr>
              <w:t>1</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6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Number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Securities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Underlying</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Unexercised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Options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Unexercisable</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1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Option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Exercise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Price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6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Option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Expiration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Date</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8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Number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Shares or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Units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Stock That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Have Not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Vested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7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Market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Value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Shares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or Units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of Stock</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That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Have Not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Vested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2</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1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Equity</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Incentive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Plan Awards: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Number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Unearned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Shares,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Units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or Other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Rights That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Have Not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Vested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6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Equity</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Incentive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Plan Awards: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Market or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Payout Value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of Unearned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Shares, Units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or Other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Rights That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Have Not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Vested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2</w:t>
            </w:r>
          </w:p>
        </w:tc>
        <w:tc>
          <w:tcPr>
            <w:tcW w:w="215" w:type="dxa"/>
            <w:tcBorders/>
            <w:shd w:fill="1F1C6B" w:val="clear"/>
            <w:vAlign w:val="center"/>
          </w:tcPr>
          <w:p>
            <w:pPr>
              <w:pStyle w:val="TableContents"/>
              <w:bidi w:val="0"/>
              <w:spacing w:before="0" w:after="0"/>
              <w:jc w:val="left"/>
              <w:rPr/>
            </w:pPr>
            <w:r>
              <w:rPr/>
              <w:t> </w:t>
            </w:r>
          </w:p>
        </w:tc>
      </w:tr>
      <w:tr>
        <w:trPr/>
        <w:tc>
          <w:tcPr>
            <w:tcW w:w="185"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800" w:type="dxa"/>
            <w:vMerge w:val="restart"/>
            <w:tcBorders>
              <w:bottom w:val="single" w:sz="8" w:space="0" w:color="1F1C6B"/>
            </w:tcBorders>
            <w:tcMar>
              <w:bottom w:w="31" w:type="dxa"/>
            </w:tcMar>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Scott A. Smith </w:t>
            </w:r>
          </w:p>
        </w:tc>
        <w:tc>
          <w:tcPr>
            <w:tcW w:w="170"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27"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6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13"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1"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28" w:right="0" w:hanging="0"/>
              <w:jc w:val="left"/>
              <w:rPr>
                <w:rFonts w:ascii="Arial;Helvetica;sans-serif" w:hAnsi="Arial;Helvetica;sans-serif"/>
                <w:color w:val="636466"/>
                <w:sz w:val="16"/>
              </w:rPr>
            </w:pPr>
            <w:r>
              <w:rPr>
                <w:rFonts w:ascii="Arial;Helvetica;sans-serif" w:hAnsi="Arial;Helvetica;sans-serif"/>
                <w:color w:val="636466"/>
                <w:sz w:val="16"/>
              </w:rPr>
              <w:t xml:space="preserve">293,399 </w:t>
            </w:r>
            <w:r>
              <w:rPr>
                <w:rFonts w:ascii="Arial;Helvetica;sans-serif" w:hAnsi="Arial;Helvetica;sans-serif"/>
                <w:color w:val="636466"/>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 w:right="0" w:hanging="0"/>
              <w:jc w:val="left"/>
              <w:rPr>
                <w:rFonts w:ascii="Arial;Helvetica;sans-serif" w:hAnsi="Arial;Helvetica;sans-serif"/>
                <w:color w:val="636466"/>
                <w:sz w:val="16"/>
              </w:rPr>
            </w:pPr>
            <w:r>
              <w:rPr>
                <w:rFonts w:ascii="Arial;Helvetica;sans-serif" w:hAnsi="Arial;Helvetica;sans-serif"/>
                <w:color w:val="636466"/>
                <w:sz w:val="16"/>
              </w:rPr>
              <w:t xml:space="preserve">3,652,818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08" w:right="0" w:hanging="0"/>
              <w:jc w:val="left"/>
              <w:rPr>
                <w:rFonts w:ascii="Arial;Helvetica;sans-serif" w:hAnsi="Arial;Helvetica;sans-serif"/>
                <w:color w:val="636466"/>
                <w:sz w:val="16"/>
              </w:rPr>
            </w:pPr>
            <w:r>
              <w:rPr>
                <w:rFonts w:ascii="Arial;Helvetica;sans-serif" w:hAnsi="Arial;Helvetica;sans-serif"/>
                <w:color w:val="636466"/>
                <w:sz w:val="16"/>
              </w:rPr>
              <w:t xml:space="preserve">817,327 </w:t>
            </w:r>
            <w:r>
              <w:rPr>
                <w:rFonts w:ascii="Arial;Helvetica;sans-serif" w:hAnsi="Arial;Helvetica;sans-serif"/>
                <w:color w:val="636466"/>
                <w:position w:val="5"/>
                <w:sz w:val="13"/>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06" w:right="0" w:hanging="0"/>
              <w:jc w:val="left"/>
              <w:rPr>
                <w:rFonts w:ascii="Arial;Helvetica;sans-serif" w:hAnsi="Arial;Helvetica;sans-serif"/>
                <w:color w:val="636466"/>
                <w:sz w:val="16"/>
              </w:rPr>
            </w:pPr>
            <w:r>
              <w:rPr>
                <w:rFonts w:ascii="Arial;Helvetica;sans-serif" w:hAnsi="Arial;Helvetica;sans-serif"/>
                <w:color w:val="636466"/>
                <w:sz w:val="16"/>
              </w:rPr>
              <w:t xml:space="preserve">10,175,721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800" w:type="dxa"/>
            <w:vMerge w:val="continue"/>
            <w:tcBorders>
              <w:bottom w:val="single" w:sz="8" w:space="0" w:color="1F1C6B"/>
            </w:tcBorders>
            <w:tcMar>
              <w:bottom w:w="31"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025" w:type="dxa"/>
            <w:tcBorders>
              <w:bottom w:val="single" w:sz="8" w:space="0" w:color="1F1C6B"/>
            </w:tcBorders>
            <w:shd w:fill="E7E0EF" w:val="clear"/>
            <w:tcMar>
              <w:bottom w:w="31" w:type="dxa"/>
            </w:tcMar>
            <w:vAlign w:val="center"/>
          </w:tcPr>
          <w:p>
            <w:pPr>
              <w:pStyle w:val="TableContents"/>
              <w:bidi w:val="0"/>
              <w:spacing w:before="0" w:after="283"/>
              <w:ind w:left="227"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160" w:type="dxa"/>
            <w:tcBorders>
              <w:bottom w:val="single" w:sz="8" w:space="0" w:color="1F1C6B"/>
            </w:tcBorders>
            <w:shd w:fill="E7E0EF" w:val="clear"/>
            <w:tcMar>
              <w:bottom w:w="31" w:type="dxa"/>
            </w:tcMar>
            <w:vAlign w:val="center"/>
          </w:tcPr>
          <w:p>
            <w:pPr>
              <w:pStyle w:val="TableContents"/>
              <w:bidi w:val="0"/>
              <w:spacing w:before="0" w:after="283"/>
              <w:ind w:left="460"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710" w:type="dxa"/>
            <w:tcBorders>
              <w:bottom w:val="single" w:sz="8" w:space="0" w:color="1F1C6B"/>
            </w:tcBorders>
            <w:shd w:fill="E7E0EF" w:val="clear"/>
            <w:tcMar>
              <w:bottom w:w="31" w:type="dxa"/>
            </w:tcMar>
            <w:vAlign w:val="center"/>
          </w:tcPr>
          <w:p>
            <w:pPr>
              <w:pStyle w:val="TableContents"/>
              <w:bidi w:val="0"/>
              <w:spacing w:before="0" w:after="283"/>
              <w:ind w:left="113"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860" w:type="dxa"/>
            <w:tcBorders>
              <w:bottom w:val="single" w:sz="8" w:space="0" w:color="1F1C6B"/>
            </w:tcBorders>
            <w:shd w:fill="E7E0EF" w:val="clear"/>
            <w:tcMar>
              <w:bottom w:w="31" w:type="dxa"/>
            </w:tcMar>
            <w:vAlign w:val="center"/>
          </w:tcPr>
          <w:p>
            <w:pPr>
              <w:pStyle w:val="TableContents"/>
              <w:bidi w:val="0"/>
              <w:spacing w:before="0" w:after="283"/>
              <w:ind w:left="21"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680" w:type="dxa"/>
            <w:tcBorders>
              <w:bottom w:val="single" w:sz="8" w:space="0" w:color="1F1C6B"/>
            </w:tcBorders>
            <w:shd w:fill="E7E0EF" w:val="clear"/>
            <w:tcMar>
              <w:bottom w:w="31" w:type="dxa"/>
            </w:tcMar>
            <w:vAlign w:val="center"/>
          </w:tcPr>
          <w:p>
            <w:pPr>
              <w:pStyle w:val="TableContents"/>
              <w:bidi w:val="0"/>
              <w:spacing w:before="0" w:after="283"/>
              <w:ind w:left="128" w:right="0" w:hanging="0"/>
              <w:jc w:val="left"/>
              <w:rPr>
                <w:rFonts w:ascii="Arial;Helvetica;sans-serif" w:hAnsi="Arial;Helvetica;sans-serif"/>
                <w:color w:val="636466"/>
                <w:sz w:val="16"/>
              </w:rPr>
            </w:pPr>
            <w:r>
              <w:rPr>
                <w:rFonts w:ascii="Arial;Helvetica;sans-serif" w:hAnsi="Arial;Helvetica;sans-serif"/>
                <w:color w:val="636466"/>
                <w:sz w:val="16"/>
              </w:rPr>
              <w:t xml:space="preserve">289,291 </w:t>
            </w:r>
            <w:r>
              <w:rPr>
                <w:rFonts w:ascii="Arial;Helvetica;sans-serif" w:hAnsi="Arial;Helvetica;sans-serif"/>
                <w:color w:val="636466"/>
                <w:position w:val="5"/>
                <w:sz w:val="13"/>
                <w:sz w:val="16"/>
              </w:rPr>
              <w:t>4</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770" w:type="dxa"/>
            <w:tcBorders>
              <w:bottom w:val="single" w:sz="8" w:space="0" w:color="1F1C6B"/>
            </w:tcBorders>
            <w:shd w:fill="E7E0EF" w:val="clear"/>
            <w:tcMar>
              <w:bottom w:w="31" w:type="dxa"/>
            </w:tcMar>
            <w:vAlign w:val="center"/>
          </w:tcPr>
          <w:p>
            <w:pPr>
              <w:pStyle w:val="TableContents"/>
              <w:bidi w:val="0"/>
              <w:spacing w:before="0" w:after="283"/>
              <w:ind w:left="5" w:right="0" w:hanging="0"/>
              <w:jc w:val="left"/>
              <w:rPr>
                <w:rFonts w:ascii="Arial;Helvetica;sans-serif" w:hAnsi="Arial;Helvetica;sans-serif"/>
                <w:color w:val="636466"/>
                <w:sz w:val="16"/>
              </w:rPr>
            </w:pPr>
            <w:r>
              <w:rPr>
                <w:rFonts w:ascii="Arial;Helvetica;sans-serif" w:hAnsi="Arial;Helvetica;sans-serif"/>
                <w:color w:val="636466"/>
                <w:sz w:val="16"/>
              </w:rPr>
              <w:t xml:space="preserve">3,601,673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815" w:type="dxa"/>
            <w:tcBorders>
              <w:bottom w:val="single" w:sz="8" w:space="0" w:color="1F1C6B"/>
            </w:tcBorders>
            <w:shd w:fill="E7E0EF" w:val="clear"/>
            <w:tcMar>
              <w:bottom w:w="31" w:type="dxa"/>
            </w:tcMar>
            <w:vAlign w:val="center"/>
          </w:tcPr>
          <w:p>
            <w:pPr>
              <w:pStyle w:val="TableContents"/>
              <w:bidi w:val="0"/>
              <w:spacing w:before="0" w:after="283"/>
              <w:ind w:left="208" w:right="0" w:hanging="0"/>
              <w:jc w:val="left"/>
              <w:rPr>
                <w:rFonts w:ascii="Arial;Helvetica;sans-serif" w:hAnsi="Arial;Helvetica;sans-serif"/>
                <w:color w:val="636466"/>
                <w:sz w:val="16"/>
              </w:rPr>
            </w:pPr>
            <w:r>
              <w:rPr>
                <w:rFonts w:ascii="Arial;Helvetica;sans-serif" w:hAnsi="Arial;Helvetica;sans-serif"/>
                <w:color w:val="636466"/>
                <w:sz w:val="16"/>
              </w:rPr>
              <w:t xml:space="preserve">537,253 </w:t>
            </w:r>
            <w:r>
              <w:rPr>
                <w:rFonts w:ascii="Arial;Helvetica;sans-serif" w:hAnsi="Arial;Helvetica;sans-serif"/>
                <w:color w:val="636466"/>
                <w:position w:val="5"/>
                <w:sz w:val="13"/>
                <w:sz w:val="16"/>
              </w:rPr>
              <w:t>8</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860" w:type="dxa"/>
            <w:tcBorders>
              <w:bottom w:val="single" w:sz="8" w:space="0" w:color="1F1C6B"/>
            </w:tcBorders>
            <w:shd w:fill="E7E0EF" w:val="clear"/>
            <w:tcMar>
              <w:bottom w:w="31" w:type="dxa"/>
            </w:tcMar>
            <w:vAlign w:val="center"/>
          </w:tcPr>
          <w:p>
            <w:pPr>
              <w:pStyle w:val="TableContents"/>
              <w:bidi w:val="0"/>
              <w:spacing w:before="0" w:after="283"/>
              <w:ind w:left="106" w:right="0" w:hanging="0"/>
              <w:jc w:val="left"/>
              <w:rPr>
                <w:rFonts w:ascii="Arial;Helvetica;sans-serif" w:hAnsi="Arial;Helvetica;sans-serif"/>
                <w:color w:val="636466"/>
                <w:sz w:val="16"/>
              </w:rPr>
            </w:pPr>
            <w:r>
              <w:rPr>
                <w:rFonts w:ascii="Arial;Helvetica;sans-serif" w:hAnsi="Arial;Helvetica;sans-serif"/>
                <w:color w:val="636466"/>
                <w:sz w:val="16"/>
              </w:rPr>
              <w:t xml:space="preserve">6,688,800 </w:t>
            </w:r>
          </w:p>
        </w:tc>
        <w:tc>
          <w:tcPr>
            <w:tcW w:w="215"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800" w:type="dxa"/>
            <w:vMerge w:val="restart"/>
            <w:tcBorders>
              <w:bottom w:val="single" w:sz="8" w:space="0" w:color="1F1C6B"/>
            </w:tcBorders>
            <w:tcMar>
              <w:bottom w:w="31" w:type="dxa"/>
            </w:tcMar>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Doretta Mistras</w:t>
            </w:r>
          </w:p>
        </w:tc>
        <w:tc>
          <w:tcPr>
            <w:tcW w:w="170"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27"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6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13"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1"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28" w:right="0" w:hanging="0"/>
              <w:jc w:val="left"/>
              <w:rPr>
                <w:rFonts w:ascii="Arial;Helvetica;sans-serif" w:hAnsi="Arial;Helvetica;sans-serif"/>
                <w:color w:val="636466"/>
                <w:sz w:val="16"/>
              </w:rPr>
            </w:pPr>
            <w:r>
              <w:rPr>
                <w:rFonts w:ascii="Arial;Helvetica;sans-serif" w:hAnsi="Arial;Helvetica;sans-serif"/>
                <w:color w:val="636466"/>
                <w:sz w:val="16"/>
              </w:rPr>
              <w:t xml:space="preserve">48,130 </w:t>
            </w:r>
            <w:r>
              <w:rPr>
                <w:rFonts w:ascii="Arial;Helvetica;sans-serif" w:hAnsi="Arial;Helvetica;sans-serif"/>
                <w:color w:val="636466"/>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 w:right="0" w:hanging="0"/>
              <w:jc w:val="left"/>
              <w:rPr>
                <w:rFonts w:ascii="Arial;Helvetica;sans-serif" w:hAnsi="Arial;Helvetica;sans-serif"/>
                <w:color w:val="636466"/>
                <w:sz w:val="16"/>
              </w:rPr>
            </w:pPr>
            <w:r>
              <w:rPr>
                <w:rFonts w:ascii="Arial;Helvetica;sans-serif" w:hAnsi="Arial;Helvetica;sans-serif"/>
                <w:color w:val="636466"/>
                <w:sz w:val="16"/>
              </w:rPr>
              <w:t xml:space="preserve">599,219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08"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06" w:right="0" w:hanging="0"/>
              <w:jc w:val="left"/>
              <w:rPr>
                <w:color w:val="636466"/>
              </w:rPr>
            </w:pPr>
            <w:r>
              <w:rPr>
                <w:color w:val="636466"/>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800" w:type="dxa"/>
            <w:vMerge w:val="continue"/>
            <w:tcBorders>
              <w:bottom w:val="single" w:sz="8" w:space="0" w:color="1F1C6B"/>
            </w:tcBorders>
            <w:tcMar>
              <w:bottom w:w="31"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025" w:type="dxa"/>
            <w:tcBorders>
              <w:bottom w:val="single" w:sz="8" w:space="0" w:color="1F1C6B"/>
            </w:tcBorders>
            <w:shd w:fill="E7E0EF" w:val="clear"/>
            <w:tcMar>
              <w:bottom w:w="31" w:type="dxa"/>
            </w:tcMar>
            <w:vAlign w:val="center"/>
          </w:tcPr>
          <w:p>
            <w:pPr>
              <w:pStyle w:val="TableContents"/>
              <w:bidi w:val="0"/>
              <w:spacing w:before="0" w:after="283"/>
              <w:ind w:left="227"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160" w:type="dxa"/>
            <w:tcBorders>
              <w:bottom w:val="single" w:sz="8" w:space="0" w:color="1F1C6B"/>
            </w:tcBorders>
            <w:shd w:fill="E7E0EF" w:val="clear"/>
            <w:tcMar>
              <w:bottom w:w="31" w:type="dxa"/>
            </w:tcMar>
            <w:vAlign w:val="center"/>
          </w:tcPr>
          <w:p>
            <w:pPr>
              <w:pStyle w:val="TableContents"/>
              <w:bidi w:val="0"/>
              <w:spacing w:before="0" w:after="283"/>
              <w:ind w:left="460"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710" w:type="dxa"/>
            <w:tcBorders>
              <w:bottom w:val="single" w:sz="8" w:space="0" w:color="1F1C6B"/>
            </w:tcBorders>
            <w:shd w:fill="E7E0EF" w:val="clear"/>
            <w:tcMar>
              <w:bottom w:w="31" w:type="dxa"/>
            </w:tcMar>
            <w:vAlign w:val="center"/>
          </w:tcPr>
          <w:p>
            <w:pPr>
              <w:pStyle w:val="TableContents"/>
              <w:bidi w:val="0"/>
              <w:spacing w:before="0" w:after="283"/>
              <w:ind w:left="113"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860" w:type="dxa"/>
            <w:tcBorders>
              <w:bottom w:val="single" w:sz="8" w:space="0" w:color="1F1C6B"/>
            </w:tcBorders>
            <w:shd w:fill="E7E0EF" w:val="clear"/>
            <w:tcMar>
              <w:bottom w:w="31" w:type="dxa"/>
            </w:tcMar>
            <w:vAlign w:val="center"/>
          </w:tcPr>
          <w:p>
            <w:pPr>
              <w:pStyle w:val="TableContents"/>
              <w:bidi w:val="0"/>
              <w:spacing w:before="0" w:after="283"/>
              <w:ind w:left="21"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680" w:type="dxa"/>
            <w:tcBorders>
              <w:bottom w:val="single" w:sz="8" w:space="0" w:color="1F1C6B"/>
            </w:tcBorders>
            <w:shd w:fill="E7E0EF" w:val="clear"/>
            <w:tcMar>
              <w:bottom w:w="31" w:type="dxa"/>
            </w:tcMar>
            <w:vAlign w:val="center"/>
          </w:tcPr>
          <w:p>
            <w:pPr>
              <w:pStyle w:val="TableContents"/>
              <w:bidi w:val="0"/>
              <w:spacing w:before="0" w:after="283"/>
              <w:ind w:left="128" w:right="0" w:hanging="0"/>
              <w:jc w:val="left"/>
              <w:rPr>
                <w:rFonts w:ascii="Arial;Helvetica;sans-serif" w:hAnsi="Arial;Helvetica;sans-serif"/>
                <w:color w:val="636466"/>
                <w:sz w:val="16"/>
              </w:rPr>
            </w:pPr>
            <w:r>
              <w:rPr>
                <w:rFonts w:ascii="Arial;Helvetica;sans-serif" w:hAnsi="Arial;Helvetica;sans-serif"/>
                <w:color w:val="636466"/>
                <w:sz w:val="16"/>
              </w:rPr>
              <w:t xml:space="preserve">97,415 </w:t>
            </w:r>
            <w:r>
              <w:rPr>
                <w:rFonts w:ascii="Arial;Helvetica;sans-serif" w:hAnsi="Arial;Helvetica;sans-serif"/>
                <w:color w:val="636466"/>
                <w:position w:val="5"/>
                <w:sz w:val="13"/>
                <w:sz w:val="16"/>
              </w:rPr>
              <w:t>4</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770" w:type="dxa"/>
            <w:tcBorders>
              <w:bottom w:val="single" w:sz="8" w:space="0" w:color="1F1C6B"/>
            </w:tcBorders>
            <w:shd w:fill="E7E0EF" w:val="clear"/>
            <w:tcMar>
              <w:bottom w:w="31" w:type="dxa"/>
            </w:tcMar>
            <w:vAlign w:val="center"/>
          </w:tcPr>
          <w:p>
            <w:pPr>
              <w:pStyle w:val="TableContents"/>
              <w:bidi w:val="0"/>
              <w:spacing w:before="0" w:after="283"/>
              <w:ind w:left="5" w:right="0" w:hanging="0"/>
              <w:jc w:val="left"/>
              <w:rPr>
                <w:rFonts w:ascii="Arial;Helvetica;sans-serif" w:hAnsi="Arial;Helvetica;sans-serif"/>
                <w:color w:val="636466"/>
                <w:sz w:val="16"/>
              </w:rPr>
            </w:pPr>
            <w:r>
              <w:rPr>
                <w:rFonts w:ascii="Arial;Helvetica;sans-serif" w:hAnsi="Arial;Helvetica;sans-serif"/>
                <w:color w:val="636466"/>
                <w:sz w:val="16"/>
              </w:rPr>
              <w:t xml:space="preserve">1,212,817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815" w:type="dxa"/>
            <w:tcBorders>
              <w:bottom w:val="single" w:sz="8" w:space="0" w:color="1F1C6B"/>
            </w:tcBorders>
            <w:shd w:fill="E7E0EF" w:val="clear"/>
            <w:tcMar>
              <w:bottom w:w="31" w:type="dxa"/>
            </w:tcMar>
            <w:vAlign w:val="center"/>
          </w:tcPr>
          <w:p>
            <w:pPr>
              <w:pStyle w:val="TableContents"/>
              <w:bidi w:val="0"/>
              <w:spacing w:before="0" w:after="283"/>
              <w:ind w:left="208" w:right="0" w:hanging="0"/>
              <w:jc w:val="left"/>
              <w:rPr>
                <w:rFonts w:ascii="Arial;Helvetica;sans-serif" w:hAnsi="Arial;Helvetica;sans-serif"/>
                <w:color w:val="636466"/>
                <w:sz w:val="16"/>
              </w:rPr>
            </w:pPr>
            <w:r>
              <w:rPr>
                <w:rFonts w:ascii="Arial;Helvetica;sans-serif" w:hAnsi="Arial;Helvetica;sans-serif"/>
                <w:color w:val="636466"/>
                <w:sz w:val="16"/>
              </w:rPr>
              <w:t xml:space="preserve">180,912 </w:t>
            </w:r>
            <w:r>
              <w:rPr>
                <w:rFonts w:ascii="Arial;Helvetica;sans-serif" w:hAnsi="Arial;Helvetica;sans-serif"/>
                <w:color w:val="636466"/>
                <w:position w:val="5"/>
                <w:sz w:val="13"/>
                <w:sz w:val="16"/>
              </w:rPr>
              <w:t>8</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860" w:type="dxa"/>
            <w:tcBorders>
              <w:bottom w:val="single" w:sz="8" w:space="0" w:color="1F1C6B"/>
            </w:tcBorders>
            <w:shd w:fill="E7E0EF" w:val="clear"/>
            <w:tcMar>
              <w:bottom w:w="31" w:type="dxa"/>
            </w:tcMar>
            <w:vAlign w:val="center"/>
          </w:tcPr>
          <w:p>
            <w:pPr>
              <w:pStyle w:val="TableContents"/>
              <w:bidi w:val="0"/>
              <w:spacing w:before="0" w:after="283"/>
              <w:ind w:left="106" w:right="0" w:hanging="0"/>
              <w:jc w:val="left"/>
              <w:rPr>
                <w:rFonts w:ascii="Arial;Helvetica;sans-serif" w:hAnsi="Arial;Helvetica;sans-serif"/>
                <w:color w:val="636466"/>
                <w:sz w:val="16"/>
              </w:rPr>
            </w:pPr>
            <w:r>
              <w:rPr>
                <w:rFonts w:ascii="Arial;Helvetica;sans-serif" w:hAnsi="Arial;Helvetica;sans-serif"/>
                <w:color w:val="636466"/>
                <w:sz w:val="16"/>
              </w:rPr>
              <w:t xml:space="preserve">2,252,354 </w:t>
            </w:r>
          </w:p>
        </w:tc>
        <w:tc>
          <w:tcPr>
            <w:tcW w:w="215"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800" w:type="dxa"/>
            <w:vMerge w:val="restart"/>
            <w:tcBorders>
              <w:bottom w:val="single" w:sz="8" w:space="0" w:color="1F1C6B"/>
            </w:tcBorders>
            <w:tcMar>
              <w:bottom w:w="31" w:type="dxa"/>
            </w:tcMar>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Corinne Le Goff </w:t>
            </w:r>
          </w:p>
        </w:tc>
        <w:tc>
          <w:tcPr>
            <w:tcW w:w="170"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27"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6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13"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1"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28" w:right="0" w:hanging="0"/>
              <w:jc w:val="left"/>
              <w:rPr>
                <w:rFonts w:ascii="Arial;Helvetica;sans-serif" w:hAnsi="Arial;Helvetica;sans-serif"/>
                <w:color w:val="636466"/>
                <w:sz w:val="16"/>
              </w:rPr>
            </w:pPr>
            <w:r>
              <w:rPr>
                <w:rFonts w:ascii="Arial;Helvetica;sans-serif" w:hAnsi="Arial;Helvetica;sans-serif"/>
                <w:color w:val="636466"/>
                <w:sz w:val="16"/>
              </w:rPr>
              <w:t xml:space="preserve">81,201 </w:t>
            </w:r>
            <w:r>
              <w:rPr>
                <w:rFonts w:ascii="Arial;Helvetica;sans-serif" w:hAnsi="Arial;Helvetica;sans-serif"/>
                <w:color w:val="636466"/>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 w:right="0" w:hanging="0"/>
              <w:jc w:val="left"/>
              <w:rPr>
                <w:rFonts w:ascii="Arial;Helvetica;sans-serif" w:hAnsi="Arial;Helvetica;sans-serif"/>
                <w:color w:val="636466"/>
                <w:sz w:val="16"/>
              </w:rPr>
            </w:pPr>
            <w:r>
              <w:rPr>
                <w:rFonts w:ascii="Arial;Helvetica;sans-serif" w:hAnsi="Arial;Helvetica;sans-serif"/>
                <w:color w:val="636466"/>
                <w:sz w:val="16"/>
              </w:rPr>
              <w:t xml:space="preserve">1,010,952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08"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06" w:right="0" w:hanging="0"/>
              <w:jc w:val="left"/>
              <w:rPr>
                <w:color w:val="636466"/>
              </w:rPr>
            </w:pPr>
            <w:r>
              <w:rPr>
                <w:color w:val="636466"/>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800" w:type="dxa"/>
            <w:vMerge w:val="continue"/>
            <w:tcBorders>
              <w:bottom w:val="single" w:sz="8" w:space="0" w:color="1F1C6B"/>
            </w:tcBorders>
            <w:tcMar>
              <w:bottom w:w="31"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025" w:type="dxa"/>
            <w:tcBorders>
              <w:bottom w:val="single" w:sz="8" w:space="0" w:color="1F1C6B"/>
            </w:tcBorders>
            <w:shd w:fill="E7E0EF" w:val="clear"/>
            <w:tcMar>
              <w:bottom w:w="31" w:type="dxa"/>
            </w:tcMar>
            <w:vAlign w:val="center"/>
          </w:tcPr>
          <w:p>
            <w:pPr>
              <w:pStyle w:val="TableContents"/>
              <w:bidi w:val="0"/>
              <w:spacing w:before="0" w:after="283"/>
              <w:ind w:left="227"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160" w:type="dxa"/>
            <w:tcBorders>
              <w:bottom w:val="single" w:sz="8" w:space="0" w:color="1F1C6B"/>
            </w:tcBorders>
            <w:shd w:fill="E7E0EF" w:val="clear"/>
            <w:tcMar>
              <w:bottom w:w="31" w:type="dxa"/>
            </w:tcMar>
            <w:vAlign w:val="center"/>
          </w:tcPr>
          <w:p>
            <w:pPr>
              <w:pStyle w:val="TableContents"/>
              <w:bidi w:val="0"/>
              <w:spacing w:before="0" w:after="283"/>
              <w:ind w:left="460"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710" w:type="dxa"/>
            <w:tcBorders>
              <w:bottom w:val="single" w:sz="8" w:space="0" w:color="1F1C6B"/>
            </w:tcBorders>
            <w:shd w:fill="E7E0EF" w:val="clear"/>
            <w:tcMar>
              <w:bottom w:w="31" w:type="dxa"/>
            </w:tcMar>
            <w:vAlign w:val="center"/>
          </w:tcPr>
          <w:p>
            <w:pPr>
              <w:pStyle w:val="TableContents"/>
              <w:bidi w:val="0"/>
              <w:spacing w:before="0" w:after="283"/>
              <w:ind w:left="113"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860" w:type="dxa"/>
            <w:tcBorders>
              <w:bottom w:val="single" w:sz="8" w:space="0" w:color="1F1C6B"/>
            </w:tcBorders>
            <w:shd w:fill="E7E0EF" w:val="clear"/>
            <w:tcMar>
              <w:bottom w:w="31" w:type="dxa"/>
            </w:tcMar>
            <w:vAlign w:val="center"/>
          </w:tcPr>
          <w:p>
            <w:pPr>
              <w:pStyle w:val="TableContents"/>
              <w:bidi w:val="0"/>
              <w:spacing w:before="0" w:after="283"/>
              <w:ind w:left="21"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680" w:type="dxa"/>
            <w:tcBorders>
              <w:bottom w:val="single" w:sz="8" w:space="0" w:color="1F1C6B"/>
            </w:tcBorders>
            <w:shd w:fill="E7E0EF" w:val="clear"/>
            <w:tcMar>
              <w:bottom w:w="31" w:type="dxa"/>
            </w:tcMar>
            <w:vAlign w:val="center"/>
          </w:tcPr>
          <w:p>
            <w:pPr>
              <w:pStyle w:val="TableContents"/>
              <w:bidi w:val="0"/>
              <w:spacing w:before="0" w:after="283"/>
              <w:ind w:left="128" w:right="0" w:hanging="0"/>
              <w:jc w:val="left"/>
              <w:rPr>
                <w:rFonts w:ascii="Arial;Helvetica;sans-serif" w:hAnsi="Arial;Helvetica;sans-serif"/>
                <w:color w:val="636466"/>
                <w:sz w:val="16"/>
              </w:rPr>
            </w:pPr>
            <w:r>
              <w:rPr>
                <w:rFonts w:ascii="Arial;Helvetica;sans-serif" w:hAnsi="Arial;Helvetica;sans-serif"/>
                <w:color w:val="636466"/>
                <w:sz w:val="16"/>
              </w:rPr>
              <w:t xml:space="preserve">113,679 </w:t>
            </w:r>
            <w:r>
              <w:rPr>
                <w:rFonts w:ascii="Arial;Helvetica;sans-serif" w:hAnsi="Arial;Helvetica;sans-serif"/>
                <w:color w:val="636466"/>
                <w:position w:val="5"/>
                <w:sz w:val="13"/>
                <w:sz w:val="16"/>
              </w:rPr>
              <w:t>4</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770" w:type="dxa"/>
            <w:tcBorders>
              <w:bottom w:val="single" w:sz="8" w:space="0" w:color="1F1C6B"/>
            </w:tcBorders>
            <w:shd w:fill="E7E0EF" w:val="clear"/>
            <w:tcMar>
              <w:bottom w:w="31" w:type="dxa"/>
            </w:tcMar>
            <w:vAlign w:val="center"/>
          </w:tcPr>
          <w:p>
            <w:pPr>
              <w:pStyle w:val="TableContents"/>
              <w:bidi w:val="0"/>
              <w:spacing w:before="0" w:after="283"/>
              <w:ind w:left="5" w:right="0" w:hanging="0"/>
              <w:jc w:val="left"/>
              <w:rPr>
                <w:rFonts w:ascii="Arial;Helvetica;sans-serif" w:hAnsi="Arial;Helvetica;sans-serif"/>
                <w:color w:val="636466"/>
                <w:sz w:val="16"/>
              </w:rPr>
            </w:pPr>
            <w:r>
              <w:rPr>
                <w:rFonts w:ascii="Arial;Helvetica;sans-serif" w:hAnsi="Arial;Helvetica;sans-serif"/>
                <w:color w:val="636466"/>
                <w:sz w:val="16"/>
              </w:rPr>
              <w:t xml:space="preserve">1,415,304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815" w:type="dxa"/>
            <w:tcBorders>
              <w:bottom w:val="single" w:sz="8" w:space="0" w:color="1F1C6B"/>
            </w:tcBorders>
            <w:shd w:fill="E7E0EF" w:val="clear"/>
            <w:tcMar>
              <w:bottom w:w="31" w:type="dxa"/>
            </w:tcMar>
            <w:vAlign w:val="center"/>
          </w:tcPr>
          <w:p>
            <w:pPr>
              <w:pStyle w:val="TableContents"/>
              <w:bidi w:val="0"/>
              <w:spacing w:before="0" w:after="283"/>
              <w:ind w:left="208" w:right="0" w:hanging="0"/>
              <w:jc w:val="left"/>
              <w:rPr>
                <w:rFonts w:ascii="Arial;Helvetica;sans-serif" w:hAnsi="Arial;Helvetica;sans-serif"/>
                <w:color w:val="636466"/>
                <w:sz w:val="16"/>
              </w:rPr>
            </w:pPr>
            <w:r>
              <w:rPr>
                <w:rFonts w:ascii="Arial;Helvetica;sans-serif" w:hAnsi="Arial;Helvetica;sans-serif"/>
                <w:color w:val="636466"/>
                <w:sz w:val="16"/>
              </w:rPr>
              <w:t xml:space="preserve">211,119 </w:t>
            </w:r>
            <w:r>
              <w:rPr>
                <w:rFonts w:ascii="Arial;Helvetica;sans-serif" w:hAnsi="Arial;Helvetica;sans-serif"/>
                <w:color w:val="636466"/>
                <w:position w:val="5"/>
                <w:sz w:val="13"/>
                <w:sz w:val="16"/>
              </w:rPr>
              <w:t>8</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860" w:type="dxa"/>
            <w:tcBorders>
              <w:bottom w:val="single" w:sz="8" w:space="0" w:color="1F1C6B"/>
            </w:tcBorders>
            <w:shd w:fill="E7E0EF" w:val="clear"/>
            <w:tcMar>
              <w:bottom w:w="31" w:type="dxa"/>
            </w:tcMar>
            <w:vAlign w:val="center"/>
          </w:tcPr>
          <w:p>
            <w:pPr>
              <w:pStyle w:val="TableContents"/>
              <w:bidi w:val="0"/>
              <w:spacing w:before="0" w:after="283"/>
              <w:ind w:left="106" w:right="0" w:hanging="0"/>
              <w:jc w:val="left"/>
              <w:rPr>
                <w:rFonts w:ascii="Arial;Helvetica;sans-serif" w:hAnsi="Arial;Helvetica;sans-serif"/>
                <w:color w:val="636466"/>
                <w:sz w:val="16"/>
              </w:rPr>
            </w:pPr>
            <w:r>
              <w:rPr>
                <w:rFonts w:ascii="Arial;Helvetica;sans-serif" w:hAnsi="Arial;Helvetica;sans-serif"/>
                <w:color w:val="636466"/>
                <w:sz w:val="16"/>
              </w:rPr>
              <w:t xml:space="preserve">2,628,432 </w:t>
            </w:r>
          </w:p>
        </w:tc>
        <w:tc>
          <w:tcPr>
            <w:tcW w:w="215"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800" w:type="dxa"/>
            <w:vMerge w:val="restart"/>
            <w:tcBorders>
              <w:bottom w:val="single" w:sz="8" w:space="0" w:color="1F1C6B"/>
            </w:tcBorders>
            <w:tcMar>
              <w:bottom w:w="31" w:type="dxa"/>
            </w:tcMar>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Paul Campbell</w:t>
            </w:r>
          </w:p>
        </w:tc>
        <w:tc>
          <w:tcPr>
            <w:tcW w:w="170"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27" w:right="0" w:hanging="0"/>
              <w:jc w:val="left"/>
              <w:rPr>
                <w:rFonts w:ascii="Arial;Helvetica;sans-serif" w:hAnsi="Arial;Helvetica;sans-serif"/>
                <w:color w:val="636466"/>
                <w:sz w:val="16"/>
              </w:rPr>
            </w:pPr>
            <w:r>
              <w:rPr>
                <w:rFonts w:ascii="Arial;Helvetica;sans-serif" w:hAnsi="Arial;Helvetica;sans-serif"/>
                <w:color w:val="636466"/>
                <w:sz w:val="16"/>
              </w:rPr>
              <w:t xml:space="preserve">2,059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6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13" w:right="0" w:hanging="0"/>
              <w:jc w:val="left"/>
              <w:rPr>
                <w:rFonts w:ascii="Arial;Helvetica;sans-serif" w:hAnsi="Arial;Helvetica;sans-serif"/>
                <w:color w:val="636466"/>
                <w:sz w:val="16"/>
              </w:rPr>
            </w:pPr>
            <w:r>
              <w:rPr>
                <w:rFonts w:ascii="Arial;Helvetica;sans-serif" w:hAnsi="Arial;Helvetica;sans-serif"/>
                <w:color w:val="636466"/>
                <w:sz w:val="16"/>
              </w:rPr>
              <w:t xml:space="preserve">55.61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1" w:right="0" w:hanging="0"/>
              <w:jc w:val="left"/>
              <w:rPr>
                <w:rFonts w:ascii="Arial;Helvetica;sans-serif" w:hAnsi="Arial;Helvetica;sans-serif"/>
                <w:color w:val="636466"/>
                <w:sz w:val="16"/>
              </w:rPr>
            </w:pPr>
            <w:r>
              <w:rPr>
                <w:rFonts w:ascii="Arial;Helvetica;sans-serif" w:hAnsi="Arial;Helvetica;sans-serif"/>
                <w:color w:val="636466"/>
                <w:sz w:val="16"/>
              </w:rPr>
              <w:t xml:space="preserve">3/4/2025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28"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08"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06" w:right="0" w:hanging="0"/>
              <w:jc w:val="left"/>
              <w:rPr>
                <w:color w:val="636466"/>
              </w:rPr>
            </w:pPr>
            <w:r>
              <w:rPr>
                <w:color w:val="636466"/>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800" w:type="dxa"/>
            <w:vMerge w:val="continue"/>
            <w:tcBorders>
              <w:bottom w:val="single" w:sz="8" w:space="0" w:color="1F1C6B"/>
            </w:tcBorders>
            <w:tcMar>
              <w:bottom w:w="31"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1025" w:type="dxa"/>
            <w:tcBorders/>
            <w:shd w:fill="E7E0EF" w:val="clear"/>
            <w:vAlign w:val="center"/>
          </w:tcPr>
          <w:p>
            <w:pPr>
              <w:pStyle w:val="TableContents"/>
              <w:bidi w:val="0"/>
              <w:spacing w:before="0" w:after="283"/>
              <w:ind w:left="227" w:right="0" w:hanging="0"/>
              <w:jc w:val="left"/>
              <w:rPr>
                <w:rFonts w:ascii="Arial;Helvetica;sans-serif" w:hAnsi="Arial;Helvetica;sans-serif"/>
                <w:color w:val="636466"/>
                <w:sz w:val="16"/>
              </w:rPr>
            </w:pPr>
            <w:r>
              <w:rPr>
                <w:rFonts w:ascii="Arial;Helvetica;sans-serif" w:hAnsi="Arial;Helvetica;sans-serif"/>
                <w:color w:val="636466"/>
                <w:sz w:val="16"/>
              </w:rPr>
              <w:t xml:space="preserve">4,181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60" w:type="dxa"/>
            <w:tcBorders/>
            <w:shd w:fill="E7E0EF" w:val="clear"/>
            <w:vAlign w:val="center"/>
          </w:tcPr>
          <w:p>
            <w:pPr>
              <w:pStyle w:val="TableContents"/>
              <w:bidi w:val="0"/>
              <w:spacing w:before="0" w:after="283"/>
              <w:ind w:left="460"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10" w:type="dxa"/>
            <w:tcBorders/>
            <w:shd w:fill="E7E0EF" w:val="clear"/>
            <w:vAlign w:val="center"/>
          </w:tcPr>
          <w:p>
            <w:pPr>
              <w:pStyle w:val="TableContents"/>
              <w:bidi w:val="0"/>
              <w:spacing w:before="0" w:after="283"/>
              <w:ind w:left="113" w:right="0" w:hanging="0"/>
              <w:jc w:val="left"/>
              <w:rPr>
                <w:rFonts w:ascii="Arial;Helvetica;sans-serif" w:hAnsi="Arial;Helvetica;sans-serif"/>
                <w:color w:val="636466"/>
                <w:sz w:val="16"/>
              </w:rPr>
            </w:pPr>
            <w:r>
              <w:rPr>
                <w:rFonts w:ascii="Arial;Helvetica;sans-serif" w:hAnsi="Arial;Helvetica;sans-serif"/>
                <w:color w:val="636466"/>
                <w:sz w:val="16"/>
              </w:rPr>
              <w:t xml:space="preserve">46.27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21" w:right="0" w:hanging="0"/>
              <w:jc w:val="left"/>
              <w:rPr>
                <w:rFonts w:ascii="Arial;Helvetica;sans-serif" w:hAnsi="Arial;Helvetica;sans-serif"/>
                <w:color w:val="636466"/>
                <w:sz w:val="16"/>
              </w:rPr>
            </w:pPr>
            <w:r>
              <w:rPr>
                <w:rFonts w:ascii="Arial;Helvetica;sans-serif" w:hAnsi="Arial;Helvetica;sans-serif"/>
                <w:color w:val="636466"/>
                <w:sz w:val="16"/>
              </w:rPr>
              <w:t xml:space="preserve">2/17/2026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ind w:left="128"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5"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15" w:type="dxa"/>
            <w:tcBorders/>
            <w:shd w:fill="E7E0EF" w:val="clear"/>
            <w:vAlign w:val="center"/>
          </w:tcPr>
          <w:p>
            <w:pPr>
              <w:pStyle w:val="TableContents"/>
              <w:bidi w:val="0"/>
              <w:spacing w:before="0" w:after="283"/>
              <w:ind w:left="208"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106" w:right="0" w:hanging="0"/>
              <w:jc w:val="left"/>
              <w:rPr>
                <w:color w:val="636466"/>
              </w:rPr>
            </w:pPr>
            <w:r>
              <w:rPr>
                <w:color w:val="636466"/>
              </w:rPr>
              <w:t xml:space="preserve">—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800" w:type="dxa"/>
            <w:vMerge w:val="continue"/>
            <w:tcBorders>
              <w:bottom w:val="single" w:sz="8" w:space="0" w:color="1F1C6B"/>
            </w:tcBorders>
            <w:tcMar>
              <w:bottom w:w="31"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27" w:right="0" w:hanging="0"/>
              <w:jc w:val="left"/>
              <w:rPr>
                <w:rFonts w:ascii="Arial;Helvetica;sans-serif" w:hAnsi="Arial;Helvetica;sans-serif"/>
                <w:color w:val="636466"/>
                <w:sz w:val="16"/>
              </w:rPr>
            </w:pPr>
            <w:r>
              <w:rPr>
                <w:rFonts w:ascii="Arial;Helvetica;sans-serif" w:hAnsi="Arial;Helvetica;sans-serif"/>
                <w:color w:val="636466"/>
                <w:sz w:val="16"/>
              </w:rPr>
              <w:t xml:space="preserve">4,392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6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13" w:right="0" w:hanging="0"/>
              <w:jc w:val="left"/>
              <w:rPr>
                <w:rFonts w:ascii="Arial;Helvetica;sans-serif" w:hAnsi="Arial;Helvetica;sans-serif"/>
                <w:color w:val="636466"/>
                <w:sz w:val="16"/>
              </w:rPr>
            </w:pPr>
            <w:r>
              <w:rPr>
                <w:rFonts w:ascii="Arial;Helvetica;sans-serif" w:hAnsi="Arial;Helvetica;sans-serif"/>
                <w:color w:val="636466"/>
                <w:sz w:val="16"/>
              </w:rPr>
              <w:t xml:space="preserve">45.18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1" w:right="0" w:hanging="0"/>
              <w:jc w:val="left"/>
              <w:rPr>
                <w:rFonts w:ascii="Arial;Helvetica;sans-serif" w:hAnsi="Arial;Helvetica;sans-serif"/>
                <w:color w:val="636466"/>
                <w:sz w:val="16"/>
              </w:rPr>
            </w:pPr>
            <w:r>
              <w:rPr>
                <w:rFonts w:ascii="Arial;Helvetica;sans-serif" w:hAnsi="Arial;Helvetica;sans-serif"/>
                <w:color w:val="636466"/>
                <w:sz w:val="16"/>
              </w:rPr>
              <w:t xml:space="preserve">3/3/2027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28"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08"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06" w:right="0" w:hanging="0"/>
              <w:jc w:val="left"/>
              <w:rPr>
                <w:color w:val="636466"/>
              </w:rPr>
            </w:pPr>
            <w:r>
              <w:rPr>
                <w:color w:val="636466"/>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800" w:type="dxa"/>
            <w:vMerge w:val="continue"/>
            <w:tcBorders>
              <w:bottom w:val="single" w:sz="8" w:space="0" w:color="1F1C6B"/>
            </w:tcBorders>
            <w:tcMar>
              <w:bottom w:w="31"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1025" w:type="dxa"/>
            <w:tcBorders/>
            <w:shd w:fill="E7E0EF" w:val="clear"/>
            <w:vAlign w:val="center"/>
          </w:tcPr>
          <w:p>
            <w:pPr>
              <w:pStyle w:val="TableContents"/>
              <w:bidi w:val="0"/>
              <w:spacing w:before="0" w:after="283"/>
              <w:ind w:left="227" w:right="0" w:hanging="0"/>
              <w:jc w:val="left"/>
              <w:rPr>
                <w:rFonts w:ascii="Arial;Helvetica;sans-serif" w:hAnsi="Arial;Helvetica;sans-serif"/>
                <w:color w:val="636466"/>
                <w:sz w:val="16"/>
              </w:rPr>
            </w:pPr>
            <w:r>
              <w:rPr>
                <w:rFonts w:ascii="Arial;Helvetica;sans-serif" w:hAnsi="Arial;Helvetica;sans-serif"/>
                <w:color w:val="636466"/>
                <w:sz w:val="16"/>
              </w:rPr>
              <w:t xml:space="preserve">9,681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60" w:type="dxa"/>
            <w:tcBorders/>
            <w:shd w:fill="E7E0EF" w:val="clear"/>
            <w:vAlign w:val="center"/>
          </w:tcPr>
          <w:p>
            <w:pPr>
              <w:pStyle w:val="TableContents"/>
              <w:bidi w:val="0"/>
              <w:spacing w:before="0" w:after="283"/>
              <w:ind w:left="460"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10" w:type="dxa"/>
            <w:tcBorders/>
            <w:shd w:fill="E7E0EF" w:val="clear"/>
            <w:vAlign w:val="center"/>
          </w:tcPr>
          <w:p>
            <w:pPr>
              <w:pStyle w:val="TableContents"/>
              <w:bidi w:val="0"/>
              <w:spacing w:before="0" w:after="283"/>
              <w:ind w:left="113" w:right="0" w:hanging="0"/>
              <w:jc w:val="left"/>
              <w:rPr>
                <w:rFonts w:ascii="Arial;Helvetica;sans-serif" w:hAnsi="Arial;Helvetica;sans-serif"/>
                <w:color w:val="636466"/>
                <w:sz w:val="16"/>
              </w:rPr>
            </w:pPr>
            <w:r>
              <w:rPr>
                <w:rFonts w:ascii="Arial;Helvetica;sans-serif" w:hAnsi="Arial;Helvetica;sans-serif"/>
                <w:color w:val="636466"/>
                <w:sz w:val="16"/>
              </w:rPr>
              <w:t xml:space="preserve">40.97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21" w:right="0" w:hanging="0"/>
              <w:jc w:val="left"/>
              <w:rPr>
                <w:rFonts w:ascii="Arial;Helvetica;sans-serif" w:hAnsi="Arial;Helvetica;sans-serif"/>
                <w:color w:val="636466"/>
                <w:sz w:val="16"/>
              </w:rPr>
            </w:pPr>
            <w:r>
              <w:rPr>
                <w:rFonts w:ascii="Arial;Helvetica;sans-serif" w:hAnsi="Arial;Helvetica;sans-serif"/>
                <w:color w:val="636466"/>
                <w:sz w:val="16"/>
              </w:rPr>
              <w:t xml:space="preserve">3/2/2028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ind w:left="128"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5"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15" w:type="dxa"/>
            <w:tcBorders/>
            <w:shd w:fill="E7E0EF" w:val="clear"/>
            <w:vAlign w:val="center"/>
          </w:tcPr>
          <w:p>
            <w:pPr>
              <w:pStyle w:val="TableContents"/>
              <w:bidi w:val="0"/>
              <w:spacing w:before="0" w:after="283"/>
              <w:ind w:left="208"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106" w:right="0" w:hanging="0"/>
              <w:jc w:val="left"/>
              <w:rPr>
                <w:color w:val="636466"/>
              </w:rPr>
            </w:pPr>
            <w:r>
              <w:rPr>
                <w:color w:val="636466"/>
              </w:rPr>
              <w:t xml:space="preserve">—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800" w:type="dxa"/>
            <w:vMerge w:val="continue"/>
            <w:tcBorders>
              <w:bottom w:val="single" w:sz="8" w:space="0" w:color="1F1C6B"/>
            </w:tcBorders>
            <w:tcMar>
              <w:bottom w:w="31"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27" w:right="0" w:hanging="0"/>
              <w:jc w:val="left"/>
              <w:rPr>
                <w:rFonts w:ascii="Arial;Helvetica;sans-serif" w:hAnsi="Arial;Helvetica;sans-serif"/>
                <w:color w:val="636466"/>
                <w:sz w:val="16"/>
              </w:rPr>
            </w:pPr>
            <w:r>
              <w:rPr>
                <w:rFonts w:ascii="Arial;Helvetica;sans-serif" w:hAnsi="Arial;Helvetica;sans-serif"/>
                <w:color w:val="636466"/>
                <w:sz w:val="16"/>
              </w:rPr>
              <w:t xml:space="preserve">7,398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6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13" w:right="0" w:hanging="0"/>
              <w:jc w:val="left"/>
              <w:rPr>
                <w:rFonts w:ascii="Arial;Helvetica;sans-serif" w:hAnsi="Arial;Helvetica;sans-serif"/>
                <w:color w:val="636466"/>
                <w:sz w:val="16"/>
              </w:rPr>
            </w:pPr>
            <w:r>
              <w:rPr>
                <w:rFonts w:ascii="Arial;Helvetica;sans-serif" w:hAnsi="Arial;Helvetica;sans-serif"/>
                <w:color w:val="636466"/>
                <w:sz w:val="16"/>
              </w:rPr>
              <w:t xml:space="preserve">27.45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1" w:right="0" w:hanging="0"/>
              <w:jc w:val="left"/>
              <w:rPr>
                <w:rFonts w:ascii="Arial;Helvetica;sans-serif" w:hAnsi="Arial;Helvetica;sans-serif"/>
                <w:color w:val="636466"/>
                <w:sz w:val="16"/>
              </w:rPr>
            </w:pPr>
            <w:r>
              <w:rPr>
                <w:rFonts w:ascii="Arial;Helvetica;sans-serif" w:hAnsi="Arial;Helvetica;sans-serif"/>
                <w:color w:val="636466"/>
                <w:sz w:val="16"/>
              </w:rPr>
              <w:t xml:space="preserve">3/1/2029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28"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08"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06" w:right="0" w:hanging="0"/>
              <w:jc w:val="left"/>
              <w:rPr>
                <w:color w:val="636466"/>
              </w:rPr>
            </w:pPr>
            <w:r>
              <w:rPr>
                <w:color w:val="636466"/>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800" w:type="dxa"/>
            <w:vMerge w:val="continue"/>
            <w:tcBorders>
              <w:bottom w:val="single" w:sz="8" w:space="0" w:color="1F1C6B"/>
            </w:tcBorders>
            <w:tcMar>
              <w:bottom w:w="31"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1025" w:type="dxa"/>
            <w:tcBorders/>
            <w:shd w:fill="E7E0EF" w:val="clear"/>
            <w:vAlign w:val="center"/>
          </w:tcPr>
          <w:p>
            <w:pPr>
              <w:pStyle w:val="TableContents"/>
              <w:bidi w:val="0"/>
              <w:spacing w:before="0" w:after="283"/>
              <w:ind w:left="227" w:right="0" w:hanging="0"/>
              <w:jc w:val="left"/>
              <w:rPr>
                <w:rFonts w:ascii="Arial;Helvetica;sans-serif" w:hAnsi="Arial;Helvetica;sans-serif"/>
                <w:color w:val="636466"/>
                <w:sz w:val="16"/>
              </w:rPr>
            </w:pPr>
            <w:r>
              <w:rPr>
                <w:rFonts w:ascii="Arial;Helvetica;sans-serif" w:hAnsi="Arial;Helvetica;sans-serif"/>
                <w:color w:val="636466"/>
                <w:sz w:val="16"/>
              </w:rPr>
              <w:t xml:space="preserve">11,071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60" w:type="dxa"/>
            <w:tcBorders/>
            <w:shd w:fill="E7E0EF" w:val="clear"/>
            <w:vAlign w:val="center"/>
          </w:tcPr>
          <w:p>
            <w:pPr>
              <w:pStyle w:val="TableContents"/>
              <w:bidi w:val="0"/>
              <w:spacing w:before="0" w:after="283"/>
              <w:ind w:left="460"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10" w:type="dxa"/>
            <w:tcBorders/>
            <w:shd w:fill="E7E0EF" w:val="clear"/>
            <w:vAlign w:val="center"/>
          </w:tcPr>
          <w:p>
            <w:pPr>
              <w:pStyle w:val="TableContents"/>
              <w:bidi w:val="0"/>
              <w:spacing w:before="0" w:after="283"/>
              <w:ind w:left="113" w:right="0" w:hanging="0"/>
              <w:jc w:val="left"/>
              <w:rPr>
                <w:rFonts w:ascii="Arial;Helvetica;sans-serif" w:hAnsi="Arial;Helvetica;sans-serif"/>
                <w:color w:val="636466"/>
                <w:sz w:val="16"/>
              </w:rPr>
            </w:pPr>
            <w:r>
              <w:rPr>
                <w:rFonts w:ascii="Arial;Helvetica;sans-serif" w:hAnsi="Arial;Helvetica;sans-serif"/>
                <w:color w:val="636466"/>
                <w:sz w:val="16"/>
              </w:rPr>
              <w:t xml:space="preserve">17.48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21" w:right="0" w:hanging="0"/>
              <w:jc w:val="left"/>
              <w:rPr>
                <w:rFonts w:ascii="Arial;Helvetica;sans-serif" w:hAnsi="Arial;Helvetica;sans-serif"/>
                <w:color w:val="636466"/>
                <w:sz w:val="16"/>
              </w:rPr>
            </w:pPr>
            <w:r>
              <w:rPr>
                <w:rFonts w:ascii="Arial;Helvetica;sans-serif" w:hAnsi="Arial;Helvetica;sans-serif"/>
                <w:color w:val="636466"/>
                <w:sz w:val="16"/>
              </w:rPr>
              <w:t xml:space="preserve">3/2/2030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ind w:left="128"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5"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15" w:type="dxa"/>
            <w:tcBorders/>
            <w:shd w:fill="E7E0EF" w:val="clear"/>
            <w:vAlign w:val="center"/>
          </w:tcPr>
          <w:p>
            <w:pPr>
              <w:pStyle w:val="TableContents"/>
              <w:bidi w:val="0"/>
              <w:spacing w:before="0" w:after="283"/>
              <w:ind w:left="208"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106" w:right="0" w:hanging="0"/>
              <w:jc w:val="left"/>
              <w:rPr>
                <w:color w:val="636466"/>
              </w:rPr>
            </w:pPr>
            <w:r>
              <w:rPr>
                <w:color w:val="636466"/>
              </w:rPr>
              <w:t xml:space="preserve">—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800" w:type="dxa"/>
            <w:vMerge w:val="continue"/>
            <w:tcBorders>
              <w:bottom w:val="single" w:sz="8" w:space="0" w:color="1F1C6B"/>
            </w:tcBorders>
            <w:tcMar>
              <w:bottom w:w="31"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27"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6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13"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1"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28" w:right="0" w:hanging="0"/>
              <w:jc w:val="left"/>
              <w:rPr>
                <w:rFonts w:ascii="Arial;Helvetica;sans-serif" w:hAnsi="Arial;Helvetica;sans-serif"/>
                <w:color w:val="636466"/>
                <w:sz w:val="16"/>
              </w:rPr>
            </w:pPr>
            <w:r>
              <w:rPr>
                <w:rFonts w:ascii="Arial;Helvetica;sans-serif" w:hAnsi="Arial;Helvetica;sans-serif"/>
                <w:color w:val="636466"/>
                <w:sz w:val="16"/>
              </w:rPr>
              <w:t xml:space="preserve">20,251 </w:t>
            </w:r>
            <w:r>
              <w:rPr>
                <w:rFonts w:ascii="Arial;Helvetica;sans-serif" w:hAnsi="Arial;Helvetica;sans-serif"/>
                <w:color w:val="636466"/>
                <w:position w:val="5"/>
                <w:sz w:val="13"/>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 w:right="0" w:hanging="0"/>
              <w:jc w:val="left"/>
              <w:rPr>
                <w:rFonts w:ascii="Arial;Helvetica;sans-serif" w:hAnsi="Arial;Helvetica;sans-serif"/>
                <w:color w:val="636466"/>
                <w:sz w:val="16"/>
              </w:rPr>
            </w:pPr>
            <w:r>
              <w:rPr>
                <w:rFonts w:ascii="Arial;Helvetica;sans-serif" w:hAnsi="Arial;Helvetica;sans-serif"/>
                <w:color w:val="636466"/>
                <w:sz w:val="16"/>
              </w:rPr>
              <w:t xml:space="preserve">252,125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08" w:right="0" w:hanging="0"/>
              <w:jc w:val="left"/>
              <w:rPr>
                <w:rFonts w:ascii="Arial;Helvetica;sans-serif" w:hAnsi="Arial;Helvetica;sans-serif"/>
                <w:color w:val="636466"/>
                <w:sz w:val="16"/>
              </w:rPr>
            </w:pPr>
            <w:r>
              <w:rPr>
                <w:rFonts w:ascii="Arial;Helvetica;sans-serif" w:hAnsi="Arial;Helvetica;sans-serif"/>
                <w:color w:val="636466"/>
                <w:sz w:val="16"/>
              </w:rPr>
              <w:t xml:space="preserve">112,826 </w:t>
            </w:r>
            <w:r>
              <w:rPr>
                <w:rFonts w:ascii="Arial;Helvetica;sans-serif" w:hAnsi="Arial;Helvetica;sans-serif"/>
                <w:color w:val="636466"/>
                <w:position w:val="5"/>
                <w:sz w:val="13"/>
                <w:sz w:val="16"/>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06" w:right="0" w:hanging="0"/>
              <w:jc w:val="left"/>
              <w:rPr>
                <w:rFonts w:ascii="Arial;Helvetica;sans-serif" w:hAnsi="Arial;Helvetica;sans-serif"/>
                <w:color w:val="636466"/>
                <w:sz w:val="16"/>
              </w:rPr>
            </w:pPr>
            <w:r>
              <w:rPr>
                <w:rFonts w:ascii="Arial;Helvetica;sans-serif" w:hAnsi="Arial;Helvetica;sans-serif"/>
                <w:color w:val="636466"/>
                <w:sz w:val="16"/>
              </w:rPr>
              <w:t xml:space="preserve">1,404,684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800" w:type="dxa"/>
            <w:vMerge w:val="continue"/>
            <w:tcBorders>
              <w:bottom w:val="single" w:sz="8" w:space="0" w:color="1F1C6B"/>
            </w:tcBorders>
            <w:tcMar>
              <w:bottom w:w="31"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1025" w:type="dxa"/>
            <w:tcBorders/>
            <w:shd w:fill="E7E0EF" w:val="clear"/>
            <w:vAlign w:val="center"/>
          </w:tcPr>
          <w:p>
            <w:pPr>
              <w:pStyle w:val="TableContents"/>
              <w:bidi w:val="0"/>
              <w:spacing w:before="0" w:after="283"/>
              <w:ind w:left="227"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60" w:type="dxa"/>
            <w:tcBorders/>
            <w:shd w:fill="E7E0EF" w:val="clear"/>
            <w:vAlign w:val="center"/>
          </w:tcPr>
          <w:p>
            <w:pPr>
              <w:pStyle w:val="TableContents"/>
              <w:bidi w:val="0"/>
              <w:spacing w:before="0" w:after="283"/>
              <w:ind w:left="460"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10" w:type="dxa"/>
            <w:tcBorders/>
            <w:shd w:fill="E7E0EF" w:val="clear"/>
            <w:vAlign w:val="center"/>
          </w:tcPr>
          <w:p>
            <w:pPr>
              <w:pStyle w:val="TableContents"/>
              <w:bidi w:val="0"/>
              <w:spacing w:before="0" w:after="283"/>
              <w:ind w:left="113"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21"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ind w:left="128" w:right="0" w:hanging="0"/>
              <w:jc w:val="left"/>
              <w:rPr>
                <w:rFonts w:ascii="Arial;Helvetica;sans-serif" w:hAnsi="Arial;Helvetica;sans-serif"/>
                <w:color w:val="636466"/>
                <w:sz w:val="16"/>
              </w:rPr>
            </w:pPr>
            <w:r>
              <w:rPr>
                <w:rFonts w:ascii="Arial;Helvetica;sans-serif" w:hAnsi="Arial;Helvetica;sans-serif"/>
                <w:color w:val="636466"/>
                <w:sz w:val="16"/>
              </w:rPr>
              <w:t xml:space="preserve">38,696 </w:t>
            </w:r>
            <w:r>
              <w:rPr>
                <w:rFonts w:ascii="Arial;Helvetica;sans-serif" w:hAnsi="Arial;Helvetica;sans-serif"/>
                <w:color w:val="636466"/>
                <w:position w:val="5"/>
                <w:sz w:val="13"/>
                <w:sz w:val="16"/>
              </w:rPr>
              <w:t>3</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5" w:right="0" w:hanging="0"/>
              <w:jc w:val="left"/>
              <w:rPr>
                <w:rFonts w:ascii="Arial;Helvetica;sans-serif" w:hAnsi="Arial;Helvetica;sans-serif"/>
                <w:color w:val="636466"/>
                <w:sz w:val="16"/>
              </w:rPr>
            </w:pPr>
            <w:r>
              <w:rPr>
                <w:rFonts w:ascii="Arial;Helvetica;sans-serif" w:hAnsi="Arial;Helvetica;sans-serif"/>
                <w:color w:val="636466"/>
                <w:sz w:val="16"/>
              </w:rPr>
              <w:t xml:space="preserve">481,765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15" w:type="dxa"/>
            <w:tcBorders/>
            <w:shd w:fill="E7E0EF" w:val="clear"/>
            <w:vAlign w:val="center"/>
          </w:tcPr>
          <w:p>
            <w:pPr>
              <w:pStyle w:val="TableContents"/>
              <w:bidi w:val="0"/>
              <w:spacing w:before="0" w:after="283"/>
              <w:ind w:left="208" w:right="0" w:hanging="0"/>
              <w:jc w:val="left"/>
              <w:rPr>
                <w:rFonts w:ascii="Arial;Helvetica;sans-serif" w:hAnsi="Arial;Helvetica;sans-serif"/>
                <w:color w:val="636466"/>
                <w:sz w:val="16"/>
              </w:rPr>
            </w:pPr>
            <w:r>
              <w:rPr>
                <w:rFonts w:ascii="Arial;Helvetica;sans-serif" w:hAnsi="Arial;Helvetica;sans-serif"/>
                <w:color w:val="636466"/>
                <w:sz w:val="16"/>
              </w:rPr>
              <w:t xml:space="preserve">107,795 </w:t>
            </w:r>
            <w:r>
              <w:rPr>
                <w:rFonts w:ascii="Arial;Helvetica;sans-serif" w:hAnsi="Arial;Helvetica;sans-serif"/>
                <w:color w:val="636466"/>
                <w:position w:val="5"/>
                <w:sz w:val="13"/>
                <w:sz w:val="16"/>
              </w:rPr>
              <w:t>7</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106" w:right="0" w:hanging="0"/>
              <w:jc w:val="left"/>
              <w:rPr>
                <w:rFonts w:ascii="Arial;Helvetica;sans-serif" w:hAnsi="Arial;Helvetica;sans-serif"/>
                <w:color w:val="636466"/>
                <w:sz w:val="16"/>
              </w:rPr>
            </w:pPr>
            <w:r>
              <w:rPr>
                <w:rFonts w:ascii="Arial;Helvetica;sans-serif" w:hAnsi="Arial;Helvetica;sans-serif"/>
                <w:color w:val="636466"/>
                <w:sz w:val="16"/>
              </w:rPr>
              <w:t xml:space="preserve">1,342,048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800" w:type="dxa"/>
            <w:vMerge w:val="continue"/>
            <w:tcBorders>
              <w:bottom w:val="single" w:sz="8" w:space="0" w:color="1F1C6B"/>
            </w:tcBorders>
            <w:tcMar>
              <w:bottom w:w="31"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025" w:type="dxa"/>
            <w:tcBorders>
              <w:bottom w:val="single" w:sz="8" w:space="0" w:color="1F1C6B"/>
            </w:tcBorders>
            <w:tcMar>
              <w:bottom w:w="31" w:type="dxa"/>
            </w:tcMar>
            <w:vAlign w:val="center"/>
          </w:tcPr>
          <w:p>
            <w:pPr>
              <w:pStyle w:val="TableContents"/>
              <w:bidi w:val="0"/>
              <w:spacing w:before="0" w:after="283"/>
              <w:ind w:left="227"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160" w:type="dxa"/>
            <w:tcBorders>
              <w:bottom w:val="single" w:sz="8" w:space="0" w:color="1F1C6B"/>
            </w:tcBorders>
            <w:tcMar>
              <w:bottom w:w="31" w:type="dxa"/>
            </w:tcMar>
            <w:vAlign w:val="center"/>
          </w:tcPr>
          <w:p>
            <w:pPr>
              <w:pStyle w:val="TableContents"/>
              <w:bidi w:val="0"/>
              <w:spacing w:before="0" w:after="283"/>
              <w:ind w:left="460"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10" w:type="dxa"/>
            <w:tcBorders>
              <w:bottom w:val="single" w:sz="8" w:space="0" w:color="1F1C6B"/>
            </w:tcBorders>
            <w:tcMar>
              <w:bottom w:w="31" w:type="dxa"/>
            </w:tcMar>
            <w:vAlign w:val="center"/>
          </w:tcPr>
          <w:p>
            <w:pPr>
              <w:pStyle w:val="TableContents"/>
              <w:bidi w:val="0"/>
              <w:spacing w:before="0" w:after="283"/>
              <w:ind w:left="113"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860" w:type="dxa"/>
            <w:tcBorders>
              <w:bottom w:val="single" w:sz="8" w:space="0" w:color="1F1C6B"/>
            </w:tcBorders>
            <w:tcMar>
              <w:bottom w:w="31" w:type="dxa"/>
            </w:tcMar>
            <w:vAlign w:val="center"/>
          </w:tcPr>
          <w:p>
            <w:pPr>
              <w:pStyle w:val="TableContents"/>
              <w:bidi w:val="0"/>
              <w:spacing w:before="0" w:after="283"/>
              <w:ind w:left="21" w:right="0" w:hanging="0"/>
              <w:jc w:val="left"/>
              <w:rPr>
                <w:color w:val="636466"/>
              </w:rPr>
            </w:pPr>
            <w:r>
              <w:rPr>
                <w:color w:val="636466"/>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80" w:type="dxa"/>
            <w:tcBorders>
              <w:bottom w:val="single" w:sz="8" w:space="0" w:color="1F1C6B"/>
            </w:tcBorders>
            <w:tcMar>
              <w:bottom w:w="31" w:type="dxa"/>
            </w:tcMar>
            <w:vAlign w:val="center"/>
          </w:tcPr>
          <w:p>
            <w:pPr>
              <w:pStyle w:val="TableContents"/>
              <w:bidi w:val="0"/>
              <w:spacing w:before="0" w:after="283"/>
              <w:ind w:left="128" w:right="0" w:hanging="0"/>
              <w:jc w:val="left"/>
              <w:rPr>
                <w:rFonts w:ascii="Arial;Helvetica;sans-serif" w:hAnsi="Arial;Helvetica;sans-serif"/>
                <w:color w:val="636466"/>
                <w:sz w:val="16"/>
              </w:rPr>
            </w:pPr>
            <w:r>
              <w:rPr>
                <w:rFonts w:ascii="Arial;Helvetica;sans-serif" w:hAnsi="Arial;Helvetica;sans-serif"/>
                <w:color w:val="636466"/>
                <w:sz w:val="16"/>
              </w:rPr>
              <w:t xml:space="preserve">53,504 </w:t>
            </w:r>
            <w:r>
              <w:rPr>
                <w:rFonts w:ascii="Arial;Helvetica;sans-serif" w:hAnsi="Arial;Helvetica;sans-serif"/>
                <w:color w:val="636466"/>
                <w:position w:val="5"/>
                <w:sz w:val="13"/>
                <w:sz w:val="16"/>
              </w:rPr>
              <w:t>4</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31" w:type="dxa"/>
            </w:tcMar>
            <w:vAlign w:val="center"/>
          </w:tcPr>
          <w:p>
            <w:pPr>
              <w:pStyle w:val="TableContents"/>
              <w:bidi w:val="0"/>
              <w:spacing w:before="0" w:after="283"/>
              <w:ind w:left="5" w:right="0" w:hanging="0"/>
              <w:jc w:val="left"/>
              <w:rPr>
                <w:rFonts w:ascii="Arial;Helvetica;sans-serif" w:hAnsi="Arial;Helvetica;sans-serif"/>
                <w:color w:val="636466"/>
                <w:sz w:val="16"/>
              </w:rPr>
            </w:pPr>
            <w:r>
              <w:rPr>
                <w:rFonts w:ascii="Arial;Helvetica;sans-serif" w:hAnsi="Arial;Helvetica;sans-serif"/>
                <w:color w:val="636466"/>
                <w:sz w:val="16"/>
              </w:rPr>
              <w:t xml:space="preserve">666,125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815" w:type="dxa"/>
            <w:tcBorders>
              <w:bottom w:val="single" w:sz="8" w:space="0" w:color="1F1C6B"/>
            </w:tcBorders>
            <w:tcMar>
              <w:bottom w:w="31" w:type="dxa"/>
            </w:tcMar>
            <w:vAlign w:val="center"/>
          </w:tcPr>
          <w:p>
            <w:pPr>
              <w:pStyle w:val="TableContents"/>
              <w:bidi w:val="0"/>
              <w:spacing w:before="0" w:after="283"/>
              <w:ind w:left="208" w:right="0" w:hanging="0"/>
              <w:jc w:val="left"/>
              <w:rPr>
                <w:rFonts w:ascii="Arial;Helvetica;sans-serif" w:hAnsi="Arial;Helvetica;sans-serif"/>
                <w:color w:val="636466"/>
                <w:sz w:val="16"/>
              </w:rPr>
            </w:pPr>
            <w:r>
              <w:rPr>
                <w:rFonts w:ascii="Arial;Helvetica;sans-serif" w:hAnsi="Arial;Helvetica;sans-serif"/>
                <w:color w:val="636466"/>
                <w:sz w:val="16"/>
              </w:rPr>
              <w:t xml:space="preserve">99,365 </w:t>
            </w:r>
            <w:r>
              <w:rPr>
                <w:rFonts w:ascii="Arial;Helvetica;sans-serif" w:hAnsi="Arial;Helvetica;sans-serif"/>
                <w:color w:val="636466"/>
                <w:position w:val="5"/>
                <w:sz w:val="13"/>
                <w:sz w:val="16"/>
              </w:rPr>
              <w:t>8</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860" w:type="dxa"/>
            <w:tcBorders>
              <w:bottom w:val="single" w:sz="8" w:space="0" w:color="1F1C6B"/>
            </w:tcBorders>
            <w:tcMar>
              <w:bottom w:w="31" w:type="dxa"/>
            </w:tcMar>
            <w:vAlign w:val="center"/>
          </w:tcPr>
          <w:p>
            <w:pPr>
              <w:pStyle w:val="TableContents"/>
              <w:bidi w:val="0"/>
              <w:spacing w:before="0" w:after="283"/>
              <w:ind w:left="106" w:right="0" w:hanging="0"/>
              <w:jc w:val="left"/>
              <w:rPr>
                <w:rFonts w:ascii="Arial;Helvetica;sans-serif" w:hAnsi="Arial;Helvetica;sans-serif"/>
                <w:color w:val="636466"/>
                <w:sz w:val="16"/>
              </w:rPr>
            </w:pPr>
            <w:r>
              <w:rPr>
                <w:rFonts w:ascii="Arial;Helvetica;sans-serif" w:hAnsi="Arial;Helvetica;sans-serif"/>
                <w:color w:val="636466"/>
                <w:sz w:val="16"/>
              </w:rPr>
              <w:t xml:space="preserve">1,237,094 </w:t>
            </w:r>
          </w:p>
        </w:tc>
        <w:tc>
          <w:tcPr>
            <w:tcW w:w="215" w:type="dxa"/>
            <w:tcBorders>
              <w:bottom w:val="single" w:sz="8" w:space="0" w:color="1F1C6B"/>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800" w:type="dxa"/>
            <w:vMerge w:val="restart"/>
            <w:tcBorders>
              <w:bottom w:val="single" w:sz="8" w:space="0" w:color="1F1C6B"/>
            </w:tcBorders>
            <w:tcMar>
              <w:bottom w:w="31" w:type="dxa"/>
            </w:tcMar>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Brian Roman </w:t>
            </w:r>
          </w:p>
        </w:tc>
        <w:tc>
          <w:tcPr>
            <w:tcW w:w="170"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25" w:type="dxa"/>
            <w:tcBorders/>
            <w:shd w:fill="E7E0EF" w:val="clear"/>
            <w:vAlign w:val="center"/>
          </w:tcPr>
          <w:p>
            <w:pPr>
              <w:pStyle w:val="TableContents"/>
              <w:bidi w:val="0"/>
              <w:spacing w:before="0" w:after="283"/>
              <w:ind w:left="227" w:right="0" w:hanging="0"/>
              <w:jc w:val="left"/>
              <w:rPr>
                <w:rFonts w:ascii="Arial;Helvetica;sans-serif" w:hAnsi="Arial;Helvetica;sans-serif"/>
                <w:color w:val="636466"/>
                <w:sz w:val="16"/>
              </w:rPr>
            </w:pPr>
            <w:r>
              <w:rPr>
                <w:rFonts w:ascii="Arial;Helvetica;sans-serif" w:hAnsi="Arial;Helvetica;sans-serif"/>
                <w:color w:val="636466"/>
                <w:sz w:val="16"/>
              </w:rPr>
              <w:t xml:space="preserve">4,111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60" w:type="dxa"/>
            <w:tcBorders/>
            <w:shd w:fill="E7E0EF" w:val="clear"/>
            <w:vAlign w:val="center"/>
          </w:tcPr>
          <w:p>
            <w:pPr>
              <w:pStyle w:val="TableContents"/>
              <w:bidi w:val="0"/>
              <w:spacing w:before="0" w:after="283"/>
              <w:ind w:left="460"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10" w:type="dxa"/>
            <w:tcBorders/>
            <w:shd w:fill="E7E0EF" w:val="clear"/>
            <w:vAlign w:val="center"/>
          </w:tcPr>
          <w:p>
            <w:pPr>
              <w:pStyle w:val="TableContents"/>
              <w:bidi w:val="0"/>
              <w:spacing w:before="0" w:after="283"/>
              <w:ind w:left="113" w:right="0" w:hanging="0"/>
              <w:jc w:val="left"/>
              <w:rPr>
                <w:rFonts w:ascii="Arial;Helvetica;sans-serif" w:hAnsi="Arial;Helvetica;sans-serif"/>
                <w:color w:val="636466"/>
                <w:sz w:val="16"/>
              </w:rPr>
            </w:pPr>
            <w:r>
              <w:rPr>
                <w:rFonts w:ascii="Arial;Helvetica;sans-serif" w:hAnsi="Arial;Helvetica;sans-serif"/>
                <w:color w:val="636466"/>
                <w:sz w:val="16"/>
              </w:rPr>
              <w:t xml:space="preserve">55.61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21" w:right="0" w:hanging="0"/>
              <w:jc w:val="left"/>
              <w:rPr>
                <w:rFonts w:ascii="Arial;Helvetica;sans-serif" w:hAnsi="Arial;Helvetica;sans-serif"/>
                <w:color w:val="636466"/>
                <w:sz w:val="16"/>
              </w:rPr>
            </w:pPr>
            <w:r>
              <w:rPr>
                <w:rFonts w:ascii="Arial;Helvetica;sans-serif" w:hAnsi="Arial;Helvetica;sans-serif"/>
                <w:color w:val="636466"/>
                <w:sz w:val="16"/>
              </w:rPr>
              <w:t xml:space="preserve">3/4/2025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ind w:left="128"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5"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15" w:type="dxa"/>
            <w:tcBorders/>
            <w:shd w:fill="E7E0EF" w:val="clear"/>
            <w:vAlign w:val="center"/>
          </w:tcPr>
          <w:p>
            <w:pPr>
              <w:pStyle w:val="TableContents"/>
              <w:bidi w:val="0"/>
              <w:spacing w:before="0" w:after="283"/>
              <w:ind w:left="208"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106" w:right="0" w:hanging="0"/>
              <w:jc w:val="left"/>
              <w:rPr>
                <w:color w:val="636466"/>
              </w:rPr>
            </w:pPr>
            <w:r>
              <w:rPr>
                <w:color w:val="636466"/>
              </w:rPr>
              <w:t xml:space="preserve">—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800" w:type="dxa"/>
            <w:vMerge w:val="continue"/>
            <w:tcBorders>
              <w:bottom w:val="single" w:sz="8" w:space="0" w:color="1F1C6B"/>
            </w:tcBorders>
            <w:tcMar>
              <w:bottom w:w="31"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27" w:right="0" w:hanging="0"/>
              <w:jc w:val="left"/>
              <w:rPr>
                <w:rFonts w:ascii="Arial;Helvetica;sans-serif" w:hAnsi="Arial;Helvetica;sans-serif"/>
                <w:color w:val="636466"/>
                <w:sz w:val="16"/>
              </w:rPr>
            </w:pPr>
            <w:r>
              <w:rPr>
                <w:rFonts w:ascii="Arial;Helvetica;sans-serif" w:hAnsi="Arial;Helvetica;sans-serif"/>
                <w:color w:val="636466"/>
                <w:sz w:val="16"/>
              </w:rPr>
              <w:t xml:space="preserve">4,739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6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13" w:right="0" w:hanging="0"/>
              <w:jc w:val="left"/>
              <w:rPr>
                <w:rFonts w:ascii="Arial;Helvetica;sans-serif" w:hAnsi="Arial;Helvetica;sans-serif"/>
                <w:color w:val="636466"/>
                <w:sz w:val="16"/>
              </w:rPr>
            </w:pPr>
            <w:r>
              <w:rPr>
                <w:rFonts w:ascii="Arial;Helvetica;sans-serif" w:hAnsi="Arial;Helvetica;sans-serif"/>
                <w:color w:val="636466"/>
                <w:sz w:val="16"/>
              </w:rPr>
              <w:t xml:space="preserve">46.27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1" w:right="0" w:hanging="0"/>
              <w:jc w:val="left"/>
              <w:rPr>
                <w:rFonts w:ascii="Arial;Helvetica;sans-serif" w:hAnsi="Arial;Helvetica;sans-serif"/>
                <w:color w:val="636466"/>
                <w:sz w:val="16"/>
              </w:rPr>
            </w:pPr>
            <w:r>
              <w:rPr>
                <w:rFonts w:ascii="Arial;Helvetica;sans-serif" w:hAnsi="Arial;Helvetica;sans-serif"/>
                <w:color w:val="636466"/>
                <w:sz w:val="16"/>
              </w:rPr>
              <w:t xml:space="preserve">2/17/2026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28"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08"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06" w:right="0" w:hanging="0"/>
              <w:jc w:val="left"/>
              <w:rPr>
                <w:color w:val="636466"/>
              </w:rPr>
            </w:pPr>
            <w:r>
              <w:rPr>
                <w:color w:val="636466"/>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800" w:type="dxa"/>
            <w:vMerge w:val="continue"/>
            <w:tcBorders>
              <w:bottom w:val="single" w:sz="8" w:space="0" w:color="1F1C6B"/>
            </w:tcBorders>
            <w:tcMar>
              <w:bottom w:w="31"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1025" w:type="dxa"/>
            <w:tcBorders/>
            <w:shd w:fill="E7E0EF" w:val="clear"/>
            <w:vAlign w:val="center"/>
          </w:tcPr>
          <w:p>
            <w:pPr>
              <w:pStyle w:val="TableContents"/>
              <w:bidi w:val="0"/>
              <w:spacing w:before="0" w:after="283"/>
              <w:ind w:left="227" w:right="0" w:hanging="0"/>
              <w:jc w:val="left"/>
              <w:rPr>
                <w:rFonts w:ascii="Arial;Helvetica;sans-serif" w:hAnsi="Arial;Helvetica;sans-serif"/>
                <w:color w:val="636466"/>
                <w:sz w:val="16"/>
              </w:rPr>
            </w:pPr>
            <w:r>
              <w:rPr>
                <w:rFonts w:ascii="Arial;Helvetica;sans-serif" w:hAnsi="Arial;Helvetica;sans-serif"/>
                <w:color w:val="636466"/>
                <w:sz w:val="16"/>
              </w:rPr>
              <w:t xml:space="preserve">5,694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60" w:type="dxa"/>
            <w:tcBorders/>
            <w:shd w:fill="E7E0EF" w:val="clear"/>
            <w:vAlign w:val="center"/>
          </w:tcPr>
          <w:p>
            <w:pPr>
              <w:pStyle w:val="TableContents"/>
              <w:bidi w:val="0"/>
              <w:spacing w:before="0" w:after="283"/>
              <w:ind w:left="460"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10" w:type="dxa"/>
            <w:tcBorders/>
            <w:shd w:fill="E7E0EF" w:val="clear"/>
            <w:vAlign w:val="center"/>
          </w:tcPr>
          <w:p>
            <w:pPr>
              <w:pStyle w:val="TableContents"/>
              <w:bidi w:val="0"/>
              <w:spacing w:before="0" w:after="283"/>
              <w:ind w:left="113" w:right="0" w:hanging="0"/>
              <w:jc w:val="left"/>
              <w:rPr>
                <w:rFonts w:ascii="Arial;Helvetica;sans-serif" w:hAnsi="Arial;Helvetica;sans-serif"/>
                <w:color w:val="636466"/>
                <w:sz w:val="16"/>
              </w:rPr>
            </w:pPr>
            <w:r>
              <w:rPr>
                <w:rFonts w:ascii="Arial;Helvetica;sans-serif" w:hAnsi="Arial;Helvetica;sans-serif"/>
                <w:color w:val="636466"/>
                <w:sz w:val="16"/>
              </w:rPr>
              <w:t xml:space="preserve">45.18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21" w:right="0" w:hanging="0"/>
              <w:jc w:val="left"/>
              <w:rPr>
                <w:rFonts w:ascii="Arial;Helvetica;sans-serif" w:hAnsi="Arial;Helvetica;sans-serif"/>
                <w:color w:val="636466"/>
                <w:sz w:val="16"/>
              </w:rPr>
            </w:pPr>
            <w:r>
              <w:rPr>
                <w:rFonts w:ascii="Arial;Helvetica;sans-serif" w:hAnsi="Arial;Helvetica;sans-serif"/>
                <w:color w:val="636466"/>
                <w:sz w:val="16"/>
              </w:rPr>
              <w:t xml:space="preserve">3/3/2027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ind w:left="128"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5"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15" w:type="dxa"/>
            <w:tcBorders/>
            <w:shd w:fill="E7E0EF" w:val="clear"/>
            <w:vAlign w:val="center"/>
          </w:tcPr>
          <w:p>
            <w:pPr>
              <w:pStyle w:val="TableContents"/>
              <w:bidi w:val="0"/>
              <w:spacing w:before="0" w:after="283"/>
              <w:ind w:left="208"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106" w:right="0" w:hanging="0"/>
              <w:jc w:val="left"/>
              <w:rPr>
                <w:color w:val="636466"/>
              </w:rPr>
            </w:pPr>
            <w:r>
              <w:rPr>
                <w:color w:val="636466"/>
              </w:rPr>
              <w:t xml:space="preserve">—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800" w:type="dxa"/>
            <w:vMerge w:val="continue"/>
            <w:tcBorders>
              <w:bottom w:val="single" w:sz="8" w:space="0" w:color="1F1C6B"/>
            </w:tcBorders>
            <w:tcMar>
              <w:bottom w:w="31"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27" w:right="0" w:hanging="0"/>
              <w:jc w:val="left"/>
              <w:rPr>
                <w:rFonts w:ascii="Arial;Helvetica;sans-serif" w:hAnsi="Arial;Helvetica;sans-serif"/>
                <w:color w:val="636466"/>
                <w:sz w:val="16"/>
              </w:rPr>
            </w:pPr>
            <w:r>
              <w:rPr>
                <w:rFonts w:ascii="Arial;Helvetica;sans-serif" w:hAnsi="Arial;Helvetica;sans-serif"/>
                <w:color w:val="636466"/>
                <w:sz w:val="16"/>
              </w:rPr>
              <w:t xml:space="preserve">7,876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6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13" w:right="0" w:hanging="0"/>
              <w:jc w:val="left"/>
              <w:rPr>
                <w:rFonts w:ascii="Arial;Helvetica;sans-serif" w:hAnsi="Arial;Helvetica;sans-serif"/>
                <w:color w:val="636466"/>
                <w:sz w:val="16"/>
              </w:rPr>
            </w:pPr>
            <w:r>
              <w:rPr>
                <w:rFonts w:ascii="Arial;Helvetica;sans-serif" w:hAnsi="Arial;Helvetica;sans-serif"/>
                <w:color w:val="636466"/>
                <w:sz w:val="16"/>
              </w:rPr>
              <w:t xml:space="preserve">40.97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1" w:right="0" w:hanging="0"/>
              <w:jc w:val="left"/>
              <w:rPr>
                <w:rFonts w:ascii="Arial;Helvetica;sans-serif" w:hAnsi="Arial;Helvetica;sans-serif"/>
                <w:color w:val="636466"/>
                <w:sz w:val="16"/>
              </w:rPr>
            </w:pPr>
            <w:r>
              <w:rPr>
                <w:rFonts w:ascii="Arial;Helvetica;sans-serif" w:hAnsi="Arial;Helvetica;sans-serif"/>
                <w:color w:val="636466"/>
                <w:sz w:val="16"/>
              </w:rPr>
              <w:t xml:space="preserve">3/2/2028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28"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08" w:right="0" w:hanging="0"/>
              <w:jc w:val="left"/>
              <w:rPr>
                <w:color w:val="636466"/>
              </w:rPr>
            </w:pPr>
            <w:r>
              <w:rPr>
                <w:color w:val="63646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06" w:right="0" w:hanging="0"/>
              <w:jc w:val="left"/>
              <w:rPr>
                <w:color w:val="636466"/>
              </w:rPr>
            </w:pPr>
            <w:r>
              <w:rPr>
                <w:color w:val="636466"/>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800" w:type="dxa"/>
            <w:vMerge w:val="continue"/>
            <w:tcBorders>
              <w:bottom w:val="single" w:sz="8" w:space="0" w:color="1F1C6B"/>
            </w:tcBorders>
            <w:tcMar>
              <w:bottom w:w="31"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1025" w:type="dxa"/>
            <w:tcBorders/>
            <w:shd w:fill="E7E0EF" w:val="clear"/>
            <w:vAlign w:val="center"/>
          </w:tcPr>
          <w:p>
            <w:pPr>
              <w:pStyle w:val="TableContents"/>
              <w:bidi w:val="0"/>
              <w:spacing w:before="0" w:after="283"/>
              <w:ind w:left="227" w:right="0" w:hanging="0"/>
              <w:jc w:val="left"/>
              <w:rPr>
                <w:rFonts w:ascii="Arial;Helvetica;sans-serif" w:hAnsi="Arial;Helvetica;sans-serif"/>
                <w:color w:val="636466"/>
                <w:sz w:val="16"/>
              </w:rPr>
            </w:pPr>
            <w:r>
              <w:rPr>
                <w:rFonts w:ascii="Arial;Helvetica;sans-serif" w:hAnsi="Arial;Helvetica;sans-serif"/>
                <w:color w:val="636466"/>
                <w:sz w:val="16"/>
              </w:rPr>
              <w:t xml:space="preserve">6,267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60" w:type="dxa"/>
            <w:tcBorders/>
            <w:shd w:fill="E7E0EF" w:val="clear"/>
            <w:vAlign w:val="center"/>
          </w:tcPr>
          <w:p>
            <w:pPr>
              <w:pStyle w:val="TableContents"/>
              <w:bidi w:val="0"/>
              <w:spacing w:before="0" w:after="283"/>
              <w:ind w:left="460"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10" w:type="dxa"/>
            <w:tcBorders/>
            <w:shd w:fill="E7E0EF" w:val="clear"/>
            <w:vAlign w:val="center"/>
          </w:tcPr>
          <w:p>
            <w:pPr>
              <w:pStyle w:val="TableContents"/>
              <w:bidi w:val="0"/>
              <w:spacing w:before="0" w:after="283"/>
              <w:ind w:left="113" w:right="0" w:hanging="0"/>
              <w:jc w:val="left"/>
              <w:rPr>
                <w:rFonts w:ascii="Arial;Helvetica;sans-serif" w:hAnsi="Arial;Helvetica;sans-serif"/>
                <w:color w:val="636466"/>
                <w:sz w:val="16"/>
              </w:rPr>
            </w:pPr>
            <w:r>
              <w:rPr>
                <w:rFonts w:ascii="Arial;Helvetica;sans-serif" w:hAnsi="Arial;Helvetica;sans-serif"/>
                <w:color w:val="636466"/>
                <w:sz w:val="16"/>
              </w:rPr>
              <w:t xml:space="preserve">27.45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21" w:right="0" w:hanging="0"/>
              <w:jc w:val="left"/>
              <w:rPr>
                <w:rFonts w:ascii="Arial;Helvetica;sans-serif" w:hAnsi="Arial;Helvetica;sans-serif"/>
                <w:color w:val="636466"/>
                <w:sz w:val="16"/>
              </w:rPr>
            </w:pPr>
            <w:r>
              <w:rPr>
                <w:rFonts w:ascii="Arial;Helvetica;sans-serif" w:hAnsi="Arial;Helvetica;sans-serif"/>
                <w:color w:val="636466"/>
                <w:sz w:val="16"/>
              </w:rPr>
              <w:t xml:space="preserve">3/1/2029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ind w:left="128"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5"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15" w:type="dxa"/>
            <w:tcBorders/>
            <w:shd w:fill="E7E0EF" w:val="clear"/>
            <w:vAlign w:val="center"/>
          </w:tcPr>
          <w:p>
            <w:pPr>
              <w:pStyle w:val="TableContents"/>
              <w:bidi w:val="0"/>
              <w:spacing w:before="0" w:after="283"/>
              <w:ind w:left="208"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106" w:right="0" w:hanging="0"/>
              <w:jc w:val="left"/>
              <w:rPr>
                <w:color w:val="636466"/>
              </w:rPr>
            </w:pPr>
            <w:r>
              <w:rPr>
                <w:color w:val="636466"/>
              </w:rPr>
              <w:t xml:space="preserve">—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800" w:type="dxa"/>
            <w:vMerge w:val="continue"/>
            <w:tcBorders>
              <w:bottom w:val="single" w:sz="8" w:space="0" w:color="1F1C6B"/>
            </w:tcBorders>
            <w:tcMar>
              <w:bottom w:w="31"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27" w:right="0" w:hanging="0"/>
              <w:jc w:val="left"/>
              <w:rPr>
                <w:rFonts w:ascii="Arial;Helvetica;sans-serif" w:hAnsi="Arial;Helvetica;sans-serif"/>
                <w:color w:val="636466"/>
                <w:sz w:val="16"/>
              </w:rPr>
            </w:pPr>
            <w:r>
              <w:rPr>
                <w:rFonts w:ascii="Arial;Helvetica;sans-serif" w:hAnsi="Arial;Helvetica;sans-serif"/>
                <w:color w:val="636466"/>
                <w:sz w:val="16"/>
              </w:rPr>
              <w:t xml:space="preserve">8,119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6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13" w:right="0" w:hanging="0"/>
              <w:jc w:val="left"/>
              <w:rPr>
                <w:rFonts w:ascii="Arial;Helvetica;sans-serif" w:hAnsi="Arial;Helvetica;sans-serif"/>
                <w:color w:val="636466"/>
                <w:sz w:val="16"/>
              </w:rPr>
            </w:pPr>
            <w:r>
              <w:rPr>
                <w:rFonts w:ascii="Arial;Helvetica;sans-serif" w:hAnsi="Arial;Helvetica;sans-serif"/>
                <w:color w:val="636466"/>
                <w:sz w:val="16"/>
              </w:rPr>
              <w:t xml:space="preserve">17.48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1" w:right="0" w:hanging="0"/>
              <w:jc w:val="left"/>
              <w:rPr>
                <w:rFonts w:ascii="Arial;Helvetica;sans-serif" w:hAnsi="Arial;Helvetica;sans-serif"/>
                <w:color w:val="636466"/>
                <w:sz w:val="16"/>
              </w:rPr>
            </w:pPr>
            <w:r>
              <w:rPr>
                <w:rFonts w:ascii="Arial;Helvetica;sans-serif" w:hAnsi="Arial;Helvetica;sans-serif"/>
                <w:color w:val="636466"/>
                <w:sz w:val="16"/>
              </w:rPr>
              <w:t xml:space="preserve">3/2/2030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28"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08"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06" w:right="0" w:hanging="0"/>
              <w:jc w:val="left"/>
              <w:rPr>
                <w:color w:val="636466"/>
              </w:rPr>
            </w:pPr>
            <w:r>
              <w:rPr>
                <w:color w:val="636466"/>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800" w:type="dxa"/>
            <w:vMerge w:val="continue"/>
            <w:tcBorders>
              <w:bottom w:val="single" w:sz="8" w:space="0" w:color="1F1C6B"/>
            </w:tcBorders>
            <w:tcMar>
              <w:bottom w:w="31"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1025" w:type="dxa"/>
            <w:tcBorders/>
            <w:shd w:fill="E7E0EF" w:val="clear"/>
            <w:vAlign w:val="center"/>
          </w:tcPr>
          <w:p>
            <w:pPr>
              <w:pStyle w:val="TableContents"/>
              <w:bidi w:val="0"/>
              <w:spacing w:before="0" w:after="283"/>
              <w:ind w:left="227"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60" w:type="dxa"/>
            <w:tcBorders/>
            <w:shd w:fill="E7E0EF" w:val="clear"/>
            <w:vAlign w:val="center"/>
          </w:tcPr>
          <w:p>
            <w:pPr>
              <w:pStyle w:val="TableContents"/>
              <w:bidi w:val="0"/>
              <w:spacing w:before="0" w:after="283"/>
              <w:ind w:left="460"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10" w:type="dxa"/>
            <w:tcBorders/>
            <w:shd w:fill="E7E0EF" w:val="clear"/>
            <w:vAlign w:val="center"/>
          </w:tcPr>
          <w:p>
            <w:pPr>
              <w:pStyle w:val="TableContents"/>
              <w:bidi w:val="0"/>
              <w:spacing w:before="0" w:after="283"/>
              <w:ind w:left="113"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21"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ind w:left="128" w:right="0" w:hanging="0"/>
              <w:jc w:val="left"/>
              <w:rPr>
                <w:rFonts w:ascii="Arial;Helvetica;sans-serif" w:hAnsi="Arial;Helvetica;sans-serif"/>
                <w:color w:val="636466"/>
                <w:sz w:val="16"/>
              </w:rPr>
            </w:pPr>
            <w:r>
              <w:rPr>
                <w:rFonts w:ascii="Arial;Helvetica;sans-serif" w:hAnsi="Arial;Helvetica;sans-serif"/>
                <w:color w:val="636466"/>
                <w:sz w:val="16"/>
              </w:rPr>
              <w:t xml:space="preserve">19,441 </w:t>
            </w:r>
            <w:r>
              <w:rPr>
                <w:rFonts w:ascii="Arial;Helvetica;sans-serif" w:hAnsi="Arial;Helvetica;sans-serif"/>
                <w:color w:val="636466"/>
                <w:position w:val="5"/>
                <w:sz w:val="13"/>
                <w:sz w:val="16"/>
              </w:rPr>
              <w:t>6</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5" w:right="0" w:hanging="0"/>
              <w:jc w:val="left"/>
              <w:rPr>
                <w:rFonts w:ascii="Arial;Helvetica;sans-serif" w:hAnsi="Arial;Helvetica;sans-serif"/>
                <w:color w:val="636466"/>
                <w:sz w:val="16"/>
              </w:rPr>
            </w:pPr>
            <w:r>
              <w:rPr>
                <w:rFonts w:ascii="Arial;Helvetica;sans-serif" w:hAnsi="Arial;Helvetica;sans-serif"/>
                <w:color w:val="636466"/>
                <w:sz w:val="16"/>
              </w:rPr>
              <w:t xml:space="preserve">242,040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15" w:type="dxa"/>
            <w:tcBorders/>
            <w:shd w:fill="E7E0EF" w:val="clear"/>
            <w:vAlign w:val="center"/>
          </w:tcPr>
          <w:p>
            <w:pPr>
              <w:pStyle w:val="TableContents"/>
              <w:bidi w:val="0"/>
              <w:spacing w:before="0" w:after="283"/>
              <w:ind w:left="208" w:right="0" w:hanging="0"/>
              <w:jc w:val="left"/>
              <w:rPr>
                <w:rFonts w:ascii="Arial;Helvetica;sans-serif" w:hAnsi="Arial;Helvetica;sans-serif"/>
                <w:color w:val="636466"/>
                <w:sz w:val="16"/>
              </w:rPr>
            </w:pPr>
            <w:r>
              <w:rPr>
                <w:rFonts w:ascii="Arial;Helvetica;sans-serif" w:hAnsi="Arial;Helvetica;sans-serif"/>
                <w:color w:val="636466"/>
                <w:sz w:val="16"/>
              </w:rPr>
              <w:t xml:space="preserve">108,312 </w:t>
            </w:r>
            <w:r>
              <w:rPr>
                <w:rFonts w:ascii="Arial;Helvetica;sans-serif" w:hAnsi="Arial;Helvetica;sans-serif"/>
                <w:color w:val="636466"/>
                <w:position w:val="5"/>
                <w:sz w:val="13"/>
                <w:sz w:val="16"/>
              </w:rPr>
              <w:t>9</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106" w:right="0" w:hanging="0"/>
              <w:jc w:val="left"/>
              <w:rPr>
                <w:rFonts w:ascii="Arial;Helvetica;sans-serif" w:hAnsi="Arial;Helvetica;sans-serif"/>
                <w:color w:val="636466"/>
                <w:sz w:val="16"/>
              </w:rPr>
            </w:pPr>
            <w:r>
              <w:rPr>
                <w:rFonts w:ascii="Arial;Helvetica;sans-serif" w:hAnsi="Arial;Helvetica;sans-serif"/>
                <w:color w:val="636466"/>
                <w:sz w:val="16"/>
              </w:rPr>
              <w:t xml:space="preserve">1,348,484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800" w:type="dxa"/>
            <w:vMerge w:val="continue"/>
            <w:tcBorders>
              <w:bottom w:val="single" w:sz="8" w:space="0" w:color="1F1C6B"/>
            </w:tcBorders>
            <w:tcMar>
              <w:bottom w:w="31"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27"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6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13"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1"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28" w:right="0" w:hanging="0"/>
              <w:jc w:val="left"/>
              <w:rPr>
                <w:rFonts w:ascii="Arial;Helvetica;sans-serif" w:hAnsi="Arial;Helvetica;sans-serif"/>
                <w:color w:val="636466"/>
                <w:sz w:val="16"/>
              </w:rPr>
            </w:pPr>
            <w:r>
              <w:rPr>
                <w:rFonts w:ascii="Arial;Helvetica;sans-serif" w:hAnsi="Arial;Helvetica;sans-serif"/>
                <w:color w:val="636466"/>
                <w:sz w:val="16"/>
              </w:rPr>
              <w:t xml:space="preserve">36,690 </w:t>
            </w:r>
            <w:r>
              <w:rPr>
                <w:rFonts w:ascii="Arial;Helvetica;sans-serif" w:hAnsi="Arial;Helvetica;sans-serif"/>
                <w:color w:val="636466"/>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 w:right="0" w:hanging="0"/>
              <w:jc w:val="left"/>
              <w:rPr>
                <w:rFonts w:ascii="Arial;Helvetica;sans-serif" w:hAnsi="Arial;Helvetica;sans-serif"/>
                <w:color w:val="636466"/>
                <w:sz w:val="16"/>
              </w:rPr>
            </w:pPr>
            <w:r>
              <w:rPr>
                <w:rFonts w:ascii="Arial;Helvetica;sans-serif" w:hAnsi="Arial;Helvetica;sans-serif"/>
                <w:color w:val="636466"/>
                <w:sz w:val="16"/>
              </w:rPr>
              <w:t xml:space="preserve">456,791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08" w:right="0" w:hanging="0"/>
              <w:jc w:val="left"/>
              <w:rPr>
                <w:rFonts w:ascii="Arial;Helvetica;sans-serif" w:hAnsi="Arial;Helvetica;sans-serif"/>
                <w:color w:val="636466"/>
                <w:sz w:val="16"/>
              </w:rPr>
            </w:pPr>
            <w:r>
              <w:rPr>
                <w:rFonts w:ascii="Arial;Helvetica;sans-serif" w:hAnsi="Arial;Helvetica;sans-serif"/>
                <w:color w:val="636466"/>
                <w:sz w:val="16"/>
              </w:rPr>
              <w:t xml:space="preserve">102,206 </w:t>
            </w:r>
            <w:r>
              <w:rPr>
                <w:rFonts w:ascii="Arial;Helvetica;sans-serif" w:hAnsi="Arial;Helvetica;sans-serif"/>
                <w:color w:val="636466"/>
                <w:position w:val="5"/>
                <w:sz w:val="13"/>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06" w:right="0" w:hanging="0"/>
              <w:jc w:val="left"/>
              <w:rPr>
                <w:rFonts w:ascii="Arial;Helvetica;sans-serif" w:hAnsi="Arial;Helvetica;sans-serif"/>
                <w:color w:val="636466"/>
                <w:sz w:val="16"/>
              </w:rPr>
            </w:pPr>
            <w:r>
              <w:rPr>
                <w:rFonts w:ascii="Arial;Helvetica;sans-serif" w:hAnsi="Arial;Helvetica;sans-serif"/>
                <w:color w:val="636466"/>
                <w:sz w:val="16"/>
              </w:rPr>
              <w:t xml:space="preserve">1,272,465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800" w:type="dxa"/>
            <w:vMerge w:val="continue"/>
            <w:tcBorders>
              <w:bottom w:val="single" w:sz="8" w:space="0" w:color="1F1C6B"/>
            </w:tcBorders>
            <w:tcMar>
              <w:bottom w:w="31"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025" w:type="dxa"/>
            <w:tcBorders>
              <w:bottom w:val="single" w:sz="8" w:space="0" w:color="1F1C6B"/>
            </w:tcBorders>
            <w:shd w:fill="E7E0EF" w:val="clear"/>
            <w:tcMar>
              <w:bottom w:w="31" w:type="dxa"/>
            </w:tcMar>
            <w:vAlign w:val="center"/>
          </w:tcPr>
          <w:p>
            <w:pPr>
              <w:pStyle w:val="TableContents"/>
              <w:bidi w:val="0"/>
              <w:spacing w:before="0" w:after="283"/>
              <w:ind w:left="227"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160" w:type="dxa"/>
            <w:tcBorders>
              <w:bottom w:val="single" w:sz="8" w:space="0" w:color="1F1C6B"/>
            </w:tcBorders>
            <w:shd w:fill="E7E0EF" w:val="clear"/>
            <w:tcMar>
              <w:bottom w:w="31" w:type="dxa"/>
            </w:tcMar>
            <w:vAlign w:val="center"/>
          </w:tcPr>
          <w:p>
            <w:pPr>
              <w:pStyle w:val="TableContents"/>
              <w:bidi w:val="0"/>
              <w:spacing w:before="0" w:after="283"/>
              <w:ind w:left="460"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710" w:type="dxa"/>
            <w:tcBorders>
              <w:bottom w:val="single" w:sz="8" w:space="0" w:color="1F1C6B"/>
            </w:tcBorders>
            <w:shd w:fill="E7E0EF" w:val="clear"/>
            <w:tcMar>
              <w:bottom w:w="31" w:type="dxa"/>
            </w:tcMar>
            <w:vAlign w:val="center"/>
          </w:tcPr>
          <w:p>
            <w:pPr>
              <w:pStyle w:val="TableContents"/>
              <w:bidi w:val="0"/>
              <w:spacing w:before="0" w:after="283"/>
              <w:ind w:left="113"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860" w:type="dxa"/>
            <w:tcBorders>
              <w:bottom w:val="single" w:sz="8" w:space="0" w:color="1F1C6B"/>
            </w:tcBorders>
            <w:shd w:fill="E7E0EF" w:val="clear"/>
            <w:tcMar>
              <w:bottom w:w="31" w:type="dxa"/>
            </w:tcMar>
            <w:vAlign w:val="center"/>
          </w:tcPr>
          <w:p>
            <w:pPr>
              <w:pStyle w:val="TableContents"/>
              <w:bidi w:val="0"/>
              <w:spacing w:before="0" w:after="283"/>
              <w:ind w:left="21" w:right="0" w:hanging="0"/>
              <w:jc w:val="left"/>
              <w:rPr>
                <w:color w:val="636466"/>
              </w:rPr>
            </w:pPr>
            <w:r>
              <w:rPr>
                <w:color w:val="636466"/>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680" w:type="dxa"/>
            <w:tcBorders>
              <w:bottom w:val="single" w:sz="8" w:space="0" w:color="1F1C6B"/>
            </w:tcBorders>
            <w:shd w:fill="E7E0EF" w:val="clear"/>
            <w:tcMar>
              <w:bottom w:w="31" w:type="dxa"/>
            </w:tcMar>
            <w:vAlign w:val="center"/>
          </w:tcPr>
          <w:p>
            <w:pPr>
              <w:pStyle w:val="TableContents"/>
              <w:bidi w:val="0"/>
              <w:spacing w:before="0" w:after="283"/>
              <w:ind w:left="128" w:right="0" w:hanging="0"/>
              <w:jc w:val="left"/>
              <w:rPr>
                <w:rFonts w:ascii="Arial;Helvetica;sans-serif" w:hAnsi="Arial;Helvetica;sans-serif"/>
                <w:color w:val="636466"/>
                <w:sz w:val="16"/>
              </w:rPr>
            </w:pPr>
            <w:r>
              <w:rPr>
                <w:rFonts w:ascii="Arial;Helvetica;sans-serif" w:hAnsi="Arial;Helvetica;sans-serif"/>
                <w:color w:val="636466"/>
                <w:sz w:val="16"/>
              </w:rPr>
              <w:t xml:space="preserve">73,061 </w:t>
            </w:r>
            <w:r>
              <w:rPr>
                <w:rFonts w:ascii="Arial;Helvetica;sans-serif" w:hAnsi="Arial;Helvetica;sans-serif"/>
                <w:color w:val="636466"/>
                <w:position w:val="5"/>
                <w:sz w:val="13"/>
                <w:sz w:val="16"/>
              </w:rPr>
              <w:t>4</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770" w:type="dxa"/>
            <w:tcBorders>
              <w:bottom w:val="single" w:sz="8" w:space="0" w:color="1F1C6B"/>
            </w:tcBorders>
            <w:shd w:fill="E7E0EF" w:val="clear"/>
            <w:tcMar>
              <w:bottom w:w="31" w:type="dxa"/>
            </w:tcMar>
            <w:vAlign w:val="center"/>
          </w:tcPr>
          <w:p>
            <w:pPr>
              <w:pStyle w:val="TableContents"/>
              <w:bidi w:val="0"/>
              <w:spacing w:before="0" w:after="283"/>
              <w:ind w:left="5" w:right="0" w:hanging="0"/>
              <w:jc w:val="left"/>
              <w:rPr>
                <w:rFonts w:ascii="Arial;Helvetica;sans-serif" w:hAnsi="Arial;Helvetica;sans-serif"/>
                <w:color w:val="636466"/>
                <w:sz w:val="16"/>
              </w:rPr>
            </w:pPr>
            <w:r>
              <w:rPr>
                <w:rFonts w:ascii="Arial;Helvetica;sans-serif" w:hAnsi="Arial;Helvetica;sans-serif"/>
                <w:color w:val="636466"/>
                <w:sz w:val="16"/>
              </w:rPr>
              <w:t xml:space="preserve">909,609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815" w:type="dxa"/>
            <w:tcBorders>
              <w:bottom w:val="single" w:sz="8" w:space="0" w:color="1F1C6B"/>
            </w:tcBorders>
            <w:shd w:fill="E7E0EF" w:val="clear"/>
            <w:tcMar>
              <w:bottom w:w="31" w:type="dxa"/>
            </w:tcMar>
            <w:vAlign w:val="center"/>
          </w:tcPr>
          <w:p>
            <w:pPr>
              <w:pStyle w:val="TableContents"/>
              <w:bidi w:val="0"/>
              <w:spacing w:before="0" w:after="283"/>
              <w:ind w:left="208" w:right="0" w:hanging="0"/>
              <w:jc w:val="left"/>
              <w:rPr>
                <w:rFonts w:ascii="Arial;Helvetica;sans-serif" w:hAnsi="Arial;Helvetica;sans-serif"/>
                <w:color w:val="636466"/>
                <w:sz w:val="16"/>
              </w:rPr>
            </w:pPr>
            <w:r>
              <w:rPr>
                <w:rFonts w:ascii="Arial;Helvetica;sans-serif" w:hAnsi="Arial;Helvetica;sans-serif"/>
                <w:color w:val="636466"/>
                <w:sz w:val="16"/>
              </w:rPr>
              <w:t xml:space="preserve">135,684 </w:t>
            </w:r>
            <w:r>
              <w:rPr>
                <w:rFonts w:ascii="Arial;Helvetica;sans-serif" w:hAnsi="Arial;Helvetica;sans-serif"/>
                <w:color w:val="636466"/>
                <w:position w:val="5"/>
                <w:sz w:val="13"/>
                <w:sz w:val="16"/>
              </w:rPr>
              <w:t>8</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860" w:type="dxa"/>
            <w:tcBorders>
              <w:bottom w:val="single" w:sz="8" w:space="0" w:color="1F1C6B"/>
            </w:tcBorders>
            <w:shd w:fill="E7E0EF" w:val="clear"/>
            <w:tcMar>
              <w:bottom w:w="31" w:type="dxa"/>
            </w:tcMar>
            <w:vAlign w:val="center"/>
          </w:tcPr>
          <w:p>
            <w:pPr>
              <w:pStyle w:val="TableContents"/>
              <w:bidi w:val="0"/>
              <w:spacing w:before="0" w:after="283"/>
              <w:ind w:left="106" w:right="0" w:hanging="0"/>
              <w:jc w:val="left"/>
              <w:rPr>
                <w:rFonts w:ascii="Arial;Helvetica;sans-serif" w:hAnsi="Arial;Helvetica;sans-serif"/>
                <w:color w:val="636466"/>
                <w:sz w:val="16"/>
              </w:rPr>
            </w:pPr>
            <w:r>
              <w:rPr>
                <w:rFonts w:ascii="Arial;Helvetica;sans-serif" w:hAnsi="Arial;Helvetica;sans-serif"/>
                <w:color w:val="636466"/>
                <w:sz w:val="16"/>
              </w:rPr>
              <w:t xml:space="preserve">1,689,266 </w:t>
            </w:r>
          </w:p>
        </w:tc>
        <w:tc>
          <w:tcPr>
            <w:tcW w:w="215"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800" w:type="dxa"/>
            <w:vMerge w:val="restart"/>
            <w:tcBorders/>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 xml:space="preserve">Sanjeev Narula </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27"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6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13"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1"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28"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08" w:right="0" w:hanging="0"/>
              <w:jc w:val="left"/>
              <w:rPr>
                <w:rFonts w:ascii="Arial;Helvetica;sans-serif" w:hAnsi="Arial;Helvetica;sans-serif"/>
                <w:color w:val="636466"/>
                <w:sz w:val="16"/>
              </w:rPr>
            </w:pPr>
            <w:r>
              <w:rPr>
                <w:rFonts w:ascii="Arial;Helvetica;sans-serif" w:hAnsi="Arial;Helvetica;sans-serif"/>
                <w:color w:val="636466"/>
                <w:sz w:val="16"/>
              </w:rPr>
              <w:t xml:space="preserve">178,082 </w:t>
            </w:r>
            <w:r>
              <w:rPr>
                <w:rFonts w:ascii="Arial;Helvetica;sans-serif" w:hAnsi="Arial;Helvetica;sans-serif"/>
                <w:color w:val="636466"/>
                <w:position w:val="5"/>
                <w:sz w:val="13"/>
                <w:sz w:val="16"/>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06" w:right="0" w:hanging="0"/>
              <w:jc w:val="left"/>
              <w:rPr>
                <w:rFonts w:ascii="Arial;Helvetica;sans-serif" w:hAnsi="Arial;Helvetica;sans-serif"/>
                <w:color w:val="636466"/>
                <w:sz w:val="16"/>
              </w:rPr>
            </w:pPr>
            <w:r>
              <w:rPr>
                <w:rFonts w:ascii="Arial;Helvetica;sans-serif" w:hAnsi="Arial;Helvetica;sans-serif"/>
                <w:color w:val="636466"/>
                <w:sz w:val="16"/>
              </w:rPr>
              <w:t xml:space="preserve">2,217,121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0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1025" w:type="dxa"/>
            <w:tcBorders/>
            <w:shd w:fill="E7E0EF" w:val="clear"/>
            <w:vAlign w:val="center"/>
          </w:tcPr>
          <w:p>
            <w:pPr>
              <w:pStyle w:val="TableContents"/>
              <w:bidi w:val="0"/>
              <w:spacing w:before="0" w:after="283"/>
              <w:ind w:left="227"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60" w:type="dxa"/>
            <w:tcBorders/>
            <w:shd w:fill="E7E0EF" w:val="clear"/>
            <w:vAlign w:val="center"/>
          </w:tcPr>
          <w:p>
            <w:pPr>
              <w:pStyle w:val="TableContents"/>
              <w:bidi w:val="0"/>
              <w:spacing w:before="0" w:after="283"/>
              <w:ind w:left="460"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10" w:type="dxa"/>
            <w:tcBorders/>
            <w:shd w:fill="E7E0EF" w:val="clear"/>
            <w:vAlign w:val="center"/>
          </w:tcPr>
          <w:p>
            <w:pPr>
              <w:pStyle w:val="TableContents"/>
              <w:bidi w:val="0"/>
              <w:spacing w:before="0" w:after="283"/>
              <w:ind w:left="113"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21"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ind w:left="128"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5"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15" w:type="dxa"/>
            <w:tcBorders/>
            <w:shd w:fill="E7E0EF" w:val="clear"/>
            <w:vAlign w:val="center"/>
          </w:tcPr>
          <w:p>
            <w:pPr>
              <w:pStyle w:val="TableContents"/>
              <w:bidi w:val="0"/>
              <w:spacing w:before="0" w:after="283"/>
              <w:ind w:left="208" w:right="0" w:hanging="0"/>
              <w:jc w:val="left"/>
              <w:rPr>
                <w:rFonts w:ascii="Arial;Helvetica;sans-serif" w:hAnsi="Arial;Helvetica;sans-serif"/>
                <w:color w:val="636466"/>
                <w:sz w:val="16"/>
              </w:rPr>
            </w:pPr>
            <w:r>
              <w:rPr>
                <w:rFonts w:ascii="Arial;Helvetica;sans-serif" w:hAnsi="Arial;Helvetica;sans-serif"/>
                <w:color w:val="636466"/>
                <w:sz w:val="16"/>
              </w:rPr>
              <w:t xml:space="preserve">91,914 </w:t>
            </w:r>
            <w:r>
              <w:rPr>
                <w:rFonts w:ascii="Arial;Helvetica;sans-serif" w:hAnsi="Arial;Helvetica;sans-serif"/>
                <w:color w:val="636466"/>
                <w:position w:val="5"/>
                <w:sz w:val="13"/>
                <w:sz w:val="16"/>
              </w:rPr>
              <w:t>11</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106" w:right="0" w:hanging="0"/>
              <w:jc w:val="left"/>
              <w:rPr>
                <w:rFonts w:ascii="Arial;Helvetica;sans-serif" w:hAnsi="Arial;Helvetica;sans-serif"/>
                <w:color w:val="636466"/>
                <w:sz w:val="16"/>
              </w:rPr>
            </w:pPr>
            <w:r>
              <w:rPr>
                <w:rFonts w:ascii="Arial;Helvetica;sans-serif" w:hAnsi="Arial;Helvetica;sans-serif"/>
                <w:color w:val="636466"/>
                <w:sz w:val="16"/>
              </w:rPr>
              <w:t>1,144,329</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2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6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1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1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1</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Subject to applicable employment agreement provisions, following termination of employment, vested stock options will generally remain exercisable for 30 days following termination, except that (i) in the case of termination because of disability, 100% of options will remain exercisable for two years following termination; (ii) in the case of a termination due to a reduction in force, vested options will remain exercisable for one year following termination; (iii) in the case of death, including within two years following termination because of disability, or, in the case of options granted prior to January 1, 2017, retirement, 100% of vested options will remain exercisable for the remainder of the original term; and (iv) in the case of an involuntary termination without cause or a voluntary resignation for good reason that occurs within two years following a change in control, 100% of options remain exercisable for the remainder of the original term. </w:t>
            </w:r>
          </w:p>
        </w:tc>
      </w:tr>
    </w:tbl>
    <w:tbl>
      <w:tblPr>
        <w:tblW w:w="8725" w:type="dxa"/>
        <w:jc w:val="left"/>
        <w:tblInd w:w="1060" w:type="dxa"/>
        <w:tblLayout w:type="fixed"/>
        <w:tblCellMar>
          <w:top w:w="0" w:type="dxa"/>
          <w:left w:w="0" w:type="dxa"/>
          <w:bottom w:w="0" w:type="dxa"/>
          <w:right w:w="0" w:type="dxa"/>
        </w:tblCellMar>
      </w:tblPr>
      <w:tblGrid>
        <w:gridCol w:w="125"/>
        <w:gridCol w:w="860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2</w:t>
            </w:r>
          </w:p>
        </w:tc>
        <w:tc>
          <w:tcPr>
            <w:tcW w:w="860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The market value of RSUs and PRSUs was calculated using the closing price of the Company’s shares as of December 31, 2024, $12.45.</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3</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Of the 293,399 RSUs held by Mr. Smith, 146,700 vested on March 3, 2025 and 146,699 will vest on March 3, 2026; of the 38,696 RSUs held by Mr. Campbell, 19,348 vested on March 3, 2025 and 19,348 will vest on March 3, 2026; of the 36,690 RSUs held by Mr. Roman, 18,345 vested on March 3, 2025 and 18,345 will vest on March 3, 2026. Amounts include all accrued and unvested whole share DEUs that vest only to the extent and at the same time the underlying award on which they are issued vest.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4</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Of the 289,291 RSUs held by Mr. Smith, 96,431 vested on March 4, 2025 and 96,430 will vest each on March 4, 2026 and March 4, 2027; of the 97,415 RSUs held by Ms. Mistras, 32,472 vested on March 4, 2025 and 32,471 will vest on March 4, 2026 and 32,472 will vest on March 4, 2027; of the 113,679 RSUs held by Dr. Le Goff, 37,894 vested on March 4, 2025 and 37,892 will vest on March 4, 2026 and 37,893 will vest on March 4, 2027; of the 53,504 RSUs held by Mr. Campbell, 17,836 vested on March 4, 2025 and 17,834 will vest each on March 4, 2026 and March 4, 2027; of the 73,061 RSUs held by Mr. Roman, 24,354 vested on March 4, 2025 and 24,353 will vest on March 4, 2026 and 24,354 will vest on March 4, 2027. Amounts include all accrued and unvested whole share DEUs that vest only to the extent and at the same time the underlying award on which they are issued vest. </w:t>
            </w:r>
          </w:p>
        </w:tc>
      </w:tr>
    </w:tbl>
    <w:tbl>
      <w:tblPr>
        <w:tblW w:w="4980" w:type="dxa"/>
        <w:jc w:val="left"/>
        <w:tblInd w:w="106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251"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21" descr=""/>
                          <pic:cNvPicPr>
                            <a:picLocks noChangeAspect="1" noChangeArrowheads="1"/>
                          </pic:cNvPicPr>
                        </pic:nvPicPr>
                        <pic:blipFill>
                          <a:blip r:embed="rId238"/>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Statement | 61</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252"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22" descr=""/>
                    <pic:cNvPicPr>
                      <a:picLocks noChangeAspect="1" noChangeArrowheads="1"/>
                    </pic:cNvPicPr>
                  </pic:nvPicPr>
                  <pic:blipFill>
                    <a:blip r:embed="rId239"/>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61" w:name="ny20055082x771_def14a_111-comp_pg5"/>
        <w:bookmarkEnd w:id="16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left"/>
        <w:rPr>
          <w:caps/>
          <w:color w:val="1F1C6B"/>
          <w:u w:val="single"/>
        </w:rPr>
      </w:pPr>
      <w:r>
        <w:rPr>
          <w:caps/>
          <w:color w:val="1F1C6B"/>
          <w:u w:val="single"/>
        </w:rPr>
        <w:t> </w:t>
      </w:r>
      <w:r>
        <w:rPr>
          <w:rFonts w:ascii="Arial;Helvetica;sans-serif" w:hAnsi="Arial;Helvetica;sans-serif"/>
          <w:caps/>
          <w:color w:val="1F1C6B"/>
          <w:sz w:val="18"/>
          <w:u w:val="single"/>
        </w:rPr>
        <w:t>Executive Compensation Tables </w:t>
      </w:r>
    </w:p>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5</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Of the 48,130 RSUs held by Ms. Mistras, 24,065 vested on January 1, 2025 and 24,065 will vest on January 1, 2026; of the 81,201 RSUs held by Dr. Le Goff as of December 31, 2024, 40,601 vested on April 15, 2025 and 40,600 will vest on April 15, 2026. Amounts include all accrued and unvested whole share DEUs that vest only to the extent and at the same time the underlying award on which they are issued vest. </w:t>
            </w:r>
          </w:p>
        </w:tc>
      </w:tr>
    </w:tbl>
    <w:tbl>
      <w:tblPr>
        <w:tblW w:w="2800" w:type="dxa"/>
        <w:jc w:val="left"/>
        <w:tblInd w:w="1060" w:type="dxa"/>
        <w:tblLayout w:type="fixed"/>
        <w:tblCellMar>
          <w:top w:w="0" w:type="dxa"/>
          <w:left w:w="0" w:type="dxa"/>
          <w:bottom w:w="0" w:type="dxa"/>
          <w:right w:w="0" w:type="dxa"/>
        </w:tblCellMar>
      </w:tblPr>
      <w:tblGrid>
        <w:gridCol w:w="125"/>
        <w:gridCol w:w="2675"/>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6</w:t>
            </w:r>
          </w:p>
        </w:tc>
        <w:tc>
          <w:tcPr>
            <w:tcW w:w="267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The RSUs fully vested on March 4, 2025.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7</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The PRSUs will vest on March 3, 2026, subject to attainment of performance goals. Amounts include all accrued and unvested whole share DEUs that vest only to the extent and at the same time the underlying award on which they are issued vest.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8</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The PRSUs will vest on March 4, 2027, subject to attainment of performance goals. Amounts include all accrued and unvested whole share DEUs that vest only to the extent and at the same time the underlying award on which they are issued vest.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9</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The PRSUs fully vested on March 4, 2025, subject to attainment of performance goals. Amounts include all accrued and unvested whole share DEUs that vest only to the extent and at the same time the underlying award on which they are issued vest. </w:t>
            </w:r>
          </w:p>
        </w:tc>
      </w:tr>
    </w:tbl>
    <w:tbl>
      <w:tblPr>
        <w:tblW w:w="9145" w:type="dxa"/>
        <w:jc w:val="left"/>
        <w:tblInd w:w="1060" w:type="dxa"/>
        <w:tblLayout w:type="fixed"/>
        <w:tblCellMar>
          <w:top w:w="0" w:type="dxa"/>
          <w:left w:w="0" w:type="dxa"/>
          <w:bottom w:w="0" w:type="dxa"/>
          <w:right w:w="0" w:type="dxa"/>
        </w:tblCellMar>
      </w:tblPr>
      <w:tblGrid>
        <w:gridCol w:w="200"/>
        <w:gridCol w:w="8945"/>
      </w:tblGrid>
      <w:tr>
        <w:trPr/>
        <w:tc>
          <w:tcPr>
            <w:tcW w:w="20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10</w:t>
            </w:r>
          </w:p>
        </w:tc>
        <w:tc>
          <w:tcPr>
            <w:tcW w:w="894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Of the 235,508 PRSUs held by Mr. Narula on March 5, 2024, only 178,082 remained eligible to vest in connection with his separation from Viatris on such date and fully vested on March 4, 2025, subject to attainment of performance goals, and the remaining portion was forfeited. Amounts include all accrued and unvested whole share DEUs that vest only to the extent and at the same time the underlying award on which they are issued vest. </w:t>
            </w:r>
          </w:p>
        </w:tc>
      </w:tr>
    </w:tbl>
    <w:tbl>
      <w:tblPr>
        <w:tblW w:w="9145" w:type="dxa"/>
        <w:jc w:val="left"/>
        <w:tblInd w:w="1060" w:type="dxa"/>
        <w:tblLayout w:type="fixed"/>
        <w:tblCellMar>
          <w:top w:w="0" w:type="dxa"/>
          <w:left w:w="0" w:type="dxa"/>
          <w:bottom w:w="0" w:type="dxa"/>
          <w:right w:w="0" w:type="dxa"/>
        </w:tblCellMar>
      </w:tblPr>
      <w:tblGrid>
        <w:gridCol w:w="200"/>
        <w:gridCol w:w="8945"/>
      </w:tblGrid>
      <w:tr>
        <w:trPr/>
        <w:tc>
          <w:tcPr>
            <w:tcW w:w="20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11</w:t>
            </w:r>
          </w:p>
        </w:tc>
        <w:tc>
          <w:tcPr>
            <w:tcW w:w="894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Of the 226,723 PRSUs held by Mr. Narula on March 5, 2024, only 91,914 remained eligible to vest in connection with his separation from Viatris on such date and will vest on March 3, 2026, subject to attainment of performance goals, and the remaining portion was forfeited. Amounts include all accrued and unvested whole share DEUs that vest only to the extent and at the same time the underlying award on which they are issued vest.</w:t>
            </w:r>
          </w:p>
        </w:tc>
      </w:tr>
    </w:tbl>
    <w:p>
      <w:pPr>
        <w:pStyle w:val="TextBody"/>
        <w:bidi w:val="0"/>
        <w:spacing w:before="390" w:after="283"/>
        <w:ind w:left="1060" w:right="0" w:hanging="0"/>
        <w:jc w:val="left"/>
        <w:rPr>
          <w:rFonts w:ascii="Arial;Helvetica;sans-serif" w:hAnsi="Arial;Helvetica;sans-serif"/>
          <w:color w:val="72288A"/>
          <w:sz w:val="24"/>
        </w:rPr>
      </w:pPr>
      <w:r>
        <w:rPr>
          <w:rFonts w:ascii="Arial;Helvetica;sans-serif" w:hAnsi="Arial;Helvetica;sans-serif"/>
          <w:color w:val="72288A"/>
          <w:sz w:val="24"/>
        </w:rPr>
        <w:t>Option Exercises and Stock Vested for 2024</w:t>
      </w:r>
    </w:p>
    <w:p>
      <w:pPr>
        <w:pStyle w:val="TextBody"/>
        <w:bidi w:val="0"/>
        <w:spacing w:before="21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The option awards and stock awards reflected in the table below were exercised or became vested for the NEOs during 2024.</w:t>
      </w:r>
    </w:p>
    <w:tbl>
      <w:tblPr>
        <w:tblW w:w="7095" w:type="dxa"/>
        <w:jc w:val="left"/>
        <w:tblInd w:w="1060" w:type="dxa"/>
        <w:tblLayout w:type="fixed"/>
        <w:tblCellMar>
          <w:top w:w="0" w:type="dxa"/>
          <w:left w:w="0" w:type="dxa"/>
          <w:bottom w:w="0" w:type="dxa"/>
          <w:right w:w="0" w:type="dxa"/>
        </w:tblCellMar>
      </w:tblPr>
      <w:tblGrid>
        <w:gridCol w:w="185"/>
        <w:gridCol w:w="1325"/>
        <w:gridCol w:w="170"/>
        <w:gridCol w:w="170"/>
        <w:gridCol w:w="1025"/>
        <w:gridCol w:w="170"/>
        <w:gridCol w:w="170"/>
        <w:gridCol w:w="980"/>
        <w:gridCol w:w="170"/>
        <w:gridCol w:w="170"/>
        <w:gridCol w:w="1025"/>
        <w:gridCol w:w="170"/>
        <w:gridCol w:w="170"/>
        <w:gridCol w:w="980"/>
        <w:gridCol w:w="215"/>
      </w:tblGrid>
      <w:tr>
        <w:trPr/>
        <w:tc>
          <w:tcPr>
            <w:tcW w:w="185" w:type="dxa"/>
            <w:tcBorders/>
            <w:shd w:fill="1F1C6B" w:val="clear"/>
            <w:vAlign w:val="center"/>
          </w:tcPr>
          <w:p>
            <w:pPr>
              <w:pStyle w:val="TableContents"/>
              <w:bidi w:val="0"/>
              <w:spacing w:before="0" w:after="0"/>
              <w:jc w:val="left"/>
              <w:rPr/>
            </w:pPr>
            <w:r>
              <w:rPr/>
              <w:t> </w:t>
            </w:r>
          </w:p>
        </w:tc>
        <w:tc>
          <w:tcPr>
            <w:tcW w:w="132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2345" w:type="dxa"/>
            <w:gridSpan w:val="4"/>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2345" w:type="dxa"/>
            <w:gridSpan w:val="4"/>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1325" w:type="dxa"/>
            <w:tcBorders/>
            <w:shd w:fill="1F1C6B" w:val="clear"/>
            <w:vAlign w:val="center"/>
          </w:tcPr>
          <w:p>
            <w:pPr>
              <w:pStyle w:val="TableContents"/>
              <w:bidi w:val="0"/>
              <w:spacing w:before="0" w:after="283"/>
              <w:ind w:left="30" w:right="0" w:hanging="0"/>
              <w:jc w:val="left"/>
              <w:rPr>
                <w:color w:val="FFFFFF"/>
              </w:rPr>
            </w:pPr>
            <w:r>
              <w:rPr>
                <w:color w:val="FFFFFF"/>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2345" w:type="dxa"/>
            <w:gridSpan w:val="4"/>
            <w:tcBorders>
              <w:bottom w:val="single" w:sz="8" w:space="0" w:color="FFFFFF"/>
            </w:tcBorders>
            <w:shd w:fill="1F1C6B" w:val="clear"/>
            <w:tcMar>
              <w:bottom w:w="5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Option Awards</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2345" w:type="dxa"/>
            <w:gridSpan w:val="4"/>
            <w:tcBorders>
              <w:bottom w:val="single" w:sz="8" w:space="0" w:color="FFFFFF"/>
            </w:tcBorders>
            <w:shd w:fill="1F1C6B" w:val="clear"/>
            <w:tcMar>
              <w:bottom w:w="5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Stock Awards</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1325"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2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Number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Shares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Acquired 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Exercise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8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Value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Realized 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Exercise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2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Number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Shares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Acquired 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Vesting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8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Value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Realized 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Vesting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Scott A. Smith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86"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62"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75" w:right="0" w:hanging="0"/>
              <w:jc w:val="left"/>
              <w:rPr>
                <w:rFonts w:ascii="Arial;Helvetica;sans-serif" w:hAnsi="Arial;Helvetica;sans-serif"/>
                <w:color w:val="636466"/>
                <w:sz w:val="16"/>
              </w:rPr>
            </w:pPr>
            <w:r>
              <w:rPr>
                <w:rFonts w:ascii="Arial;Helvetica;sans-serif" w:hAnsi="Arial;Helvetica;sans-serif"/>
                <w:color w:val="636466"/>
                <w:sz w:val="16"/>
              </w:rPr>
              <w:t xml:space="preserve">140,727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89" w:right="0" w:hanging="0"/>
              <w:jc w:val="left"/>
              <w:rPr>
                <w:rFonts w:ascii="Arial;Helvetica;sans-serif" w:hAnsi="Arial;Helvetica;sans-serif"/>
                <w:color w:val="636466"/>
                <w:sz w:val="16"/>
              </w:rPr>
            </w:pPr>
            <w:r>
              <w:rPr>
                <w:rFonts w:ascii="Arial;Helvetica;sans-serif" w:hAnsi="Arial;Helvetica;sans-serif"/>
                <w:color w:val="636466"/>
                <w:sz w:val="16"/>
              </w:rPr>
              <w:t xml:space="preserve">1,771,753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325" w:type="dxa"/>
            <w:tcBorders/>
            <w:shd w:fill="E7E0EF" w:val="clear"/>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Doretta Mistras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25" w:type="dxa"/>
            <w:tcBorders/>
            <w:shd w:fill="E7E0EF" w:val="clear"/>
            <w:vAlign w:val="center"/>
          </w:tcPr>
          <w:p>
            <w:pPr>
              <w:pStyle w:val="TableContents"/>
              <w:bidi w:val="0"/>
              <w:spacing w:before="0" w:after="283"/>
              <w:ind w:left="386"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80" w:type="dxa"/>
            <w:tcBorders/>
            <w:shd w:fill="E7E0EF" w:val="clear"/>
            <w:vAlign w:val="center"/>
          </w:tcPr>
          <w:p>
            <w:pPr>
              <w:pStyle w:val="TableContents"/>
              <w:bidi w:val="0"/>
              <w:spacing w:before="0" w:after="283"/>
              <w:ind w:left="362"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25" w:type="dxa"/>
            <w:tcBorders/>
            <w:shd w:fill="E7E0EF" w:val="clear"/>
            <w:vAlign w:val="center"/>
          </w:tcPr>
          <w:p>
            <w:pPr>
              <w:pStyle w:val="TableContents"/>
              <w:bidi w:val="0"/>
              <w:spacing w:before="0" w:after="283"/>
              <w:ind w:left="175"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80" w:type="dxa"/>
            <w:tcBorders/>
            <w:shd w:fill="E7E0EF" w:val="clear"/>
            <w:vAlign w:val="center"/>
          </w:tcPr>
          <w:p>
            <w:pPr>
              <w:pStyle w:val="TableContents"/>
              <w:bidi w:val="0"/>
              <w:spacing w:before="0" w:after="283"/>
              <w:ind w:left="89" w:right="0" w:hanging="0"/>
              <w:jc w:val="left"/>
              <w:rPr>
                <w:color w:val="636466"/>
              </w:rPr>
            </w:pPr>
            <w:r>
              <w:rPr>
                <w:color w:val="636466"/>
              </w:rPr>
              <w:t xml:space="preserve">—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Corinne Le Goff</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86"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62"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75"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89" w:right="0" w:hanging="0"/>
              <w:jc w:val="left"/>
              <w:rPr>
                <w:color w:val="636466"/>
              </w:rPr>
            </w:pPr>
            <w:r>
              <w:rPr>
                <w:color w:val="636466"/>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325" w:type="dxa"/>
            <w:tcBorders/>
            <w:shd w:fill="E7E0EF" w:val="clear"/>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Paul Campbell</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25" w:type="dxa"/>
            <w:tcBorders/>
            <w:shd w:fill="E7E0EF" w:val="clear"/>
            <w:vAlign w:val="center"/>
          </w:tcPr>
          <w:p>
            <w:pPr>
              <w:pStyle w:val="TableContents"/>
              <w:bidi w:val="0"/>
              <w:spacing w:before="0" w:after="283"/>
              <w:ind w:left="386"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80" w:type="dxa"/>
            <w:tcBorders/>
            <w:shd w:fill="E7E0EF" w:val="clear"/>
            <w:vAlign w:val="center"/>
          </w:tcPr>
          <w:p>
            <w:pPr>
              <w:pStyle w:val="TableContents"/>
              <w:bidi w:val="0"/>
              <w:spacing w:before="0" w:after="283"/>
              <w:ind w:left="362"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25" w:type="dxa"/>
            <w:tcBorders/>
            <w:shd w:fill="E7E0EF" w:val="clear"/>
            <w:vAlign w:val="center"/>
          </w:tcPr>
          <w:p>
            <w:pPr>
              <w:pStyle w:val="TableContents"/>
              <w:bidi w:val="0"/>
              <w:spacing w:before="0" w:after="283"/>
              <w:ind w:left="175" w:right="0" w:hanging="0"/>
              <w:jc w:val="left"/>
              <w:rPr>
                <w:rFonts w:ascii="Arial;Helvetica;sans-serif" w:hAnsi="Arial;Helvetica;sans-serif"/>
                <w:color w:val="636466"/>
                <w:sz w:val="16"/>
              </w:rPr>
            </w:pPr>
            <w:r>
              <w:rPr>
                <w:rFonts w:ascii="Arial;Helvetica;sans-serif" w:hAnsi="Arial;Helvetica;sans-serif"/>
                <w:color w:val="636466"/>
                <w:sz w:val="16"/>
              </w:rPr>
              <w:t xml:space="preserve">128,284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80" w:type="dxa"/>
            <w:tcBorders/>
            <w:shd w:fill="E7E0EF" w:val="clear"/>
            <w:vAlign w:val="center"/>
          </w:tcPr>
          <w:p>
            <w:pPr>
              <w:pStyle w:val="TableContents"/>
              <w:bidi w:val="0"/>
              <w:spacing w:before="0" w:after="283"/>
              <w:ind w:left="89" w:right="0" w:hanging="0"/>
              <w:jc w:val="left"/>
              <w:rPr>
                <w:rFonts w:ascii="Arial;Helvetica;sans-serif" w:hAnsi="Arial;Helvetica;sans-serif"/>
                <w:color w:val="636466"/>
                <w:sz w:val="16"/>
              </w:rPr>
            </w:pPr>
            <w:r>
              <w:rPr>
                <w:rFonts w:ascii="Arial;Helvetica;sans-serif" w:hAnsi="Arial;Helvetica;sans-serif"/>
                <w:color w:val="636466"/>
                <w:sz w:val="16"/>
              </w:rPr>
              <w:t xml:space="preserve">1,610,627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Brian Roman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86"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62"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75" w:right="0" w:hanging="0"/>
              <w:jc w:val="left"/>
              <w:rPr>
                <w:rFonts w:ascii="Arial;Helvetica;sans-serif" w:hAnsi="Arial;Helvetica;sans-serif"/>
                <w:color w:val="636466"/>
                <w:sz w:val="16"/>
              </w:rPr>
            </w:pPr>
            <w:r>
              <w:rPr>
                <w:rFonts w:ascii="Arial;Helvetica;sans-serif" w:hAnsi="Arial;Helvetica;sans-serif"/>
                <w:color w:val="636466"/>
                <w:sz w:val="16"/>
              </w:rPr>
              <w:t xml:space="preserve">120,525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89" w:right="0" w:hanging="0"/>
              <w:jc w:val="left"/>
              <w:rPr>
                <w:rFonts w:ascii="Arial;Helvetica;sans-serif" w:hAnsi="Arial;Helvetica;sans-serif"/>
                <w:color w:val="636466"/>
                <w:sz w:val="16"/>
              </w:rPr>
            </w:pPr>
            <w:r>
              <w:rPr>
                <w:rFonts w:ascii="Arial;Helvetica;sans-serif" w:hAnsi="Arial;Helvetica;sans-serif"/>
                <w:color w:val="636466"/>
                <w:sz w:val="16"/>
              </w:rPr>
              <w:t xml:space="preserve">1,513,120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325" w:type="dxa"/>
            <w:tcBorders/>
            <w:shd w:fill="E7E0EF" w:val="clear"/>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Sanjeev Narula</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25" w:type="dxa"/>
            <w:tcBorders/>
            <w:shd w:fill="E7E0EF" w:val="clear"/>
            <w:vAlign w:val="center"/>
          </w:tcPr>
          <w:p>
            <w:pPr>
              <w:pStyle w:val="TableContents"/>
              <w:bidi w:val="0"/>
              <w:spacing w:before="0" w:after="283"/>
              <w:ind w:left="386"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80" w:type="dxa"/>
            <w:tcBorders/>
            <w:shd w:fill="E7E0EF" w:val="clear"/>
            <w:vAlign w:val="center"/>
          </w:tcPr>
          <w:p>
            <w:pPr>
              <w:pStyle w:val="TableContents"/>
              <w:bidi w:val="0"/>
              <w:spacing w:before="0" w:after="283"/>
              <w:ind w:left="362"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25" w:type="dxa"/>
            <w:tcBorders/>
            <w:shd w:fill="E7E0EF" w:val="clear"/>
            <w:vAlign w:val="center"/>
          </w:tcPr>
          <w:p>
            <w:pPr>
              <w:pStyle w:val="TableContents"/>
              <w:bidi w:val="0"/>
              <w:spacing w:before="0" w:after="283"/>
              <w:ind w:left="175" w:right="0" w:hanging="0"/>
              <w:jc w:val="left"/>
              <w:rPr>
                <w:rFonts w:ascii="Arial;Helvetica;sans-serif" w:hAnsi="Arial;Helvetica;sans-serif"/>
                <w:color w:val="636466"/>
                <w:sz w:val="16"/>
              </w:rPr>
            </w:pPr>
            <w:r>
              <w:rPr>
                <w:rFonts w:ascii="Arial;Helvetica;sans-serif" w:hAnsi="Arial;Helvetica;sans-serif"/>
                <w:color w:val="636466"/>
                <w:sz w:val="16"/>
              </w:rPr>
              <w:t xml:space="preserve">251,518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80" w:type="dxa"/>
            <w:tcBorders/>
            <w:shd w:fill="E7E0EF" w:val="clear"/>
            <w:vAlign w:val="center"/>
          </w:tcPr>
          <w:p>
            <w:pPr>
              <w:pStyle w:val="TableContents"/>
              <w:bidi w:val="0"/>
              <w:spacing w:before="0" w:after="283"/>
              <w:ind w:left="89" w:right="0" w:hanging="0"/>
              <w:jc w:val="left"/>
              <w:rPr>
                <w:rFonts w:ascii="Arial;Helvetica;sans-serif" w:hAnsi="Arial;Helvetica;sans-serif"/>
                <w:color w:val="636466"/>
                <w:sz w:val="16"/>
              </w:rPr>
            </w:pPr>
            <w:r>
              <w:rPr>
                <w:rFonts w:ascii="Arial;Helvetica;sans-serif" w:hAnsi="Arial;Helvetica;sans-serif"/>
                <w:color w:val="636466"/>
                <w:sz w:val="16"/>
              </w:rPr>
              <w:t>3,156,889</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32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2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8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2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80"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1</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All shares reflected as vesting in this table were paid pursuant to their pre-existing contractual terms, including those paid to Mr. Narula in connection with his separation from employment. </w:t>
            </w:r>
          </w:p>
        </w:tc>
      </w:tr>
    </w:tbl>
    <w:p>
      <w:pPr>
        <w:pStyle w:val="TextBody"/>
        <w:bidi w:val="0"/>
        <w:spacing w:before="390" w:after="283"/>
        <w:ind w:left="1060" w:right="0" w:hanging="0"/>
        <w:jc w:val="left"/>
        <w:rPr>
          <w:rFonts w:ascii="Arial;Helvetica;sans-serif" w:hAnsi="Arial;Helvetica;sans-serif"/>
          <w:color w:val="72288A"/>
          <w:sz w:val="24"/>
        </w:rPr>
      </w:pPr>
      <w:r>
        <w:rPr>
          <w:rFonts w:ascii="Arial;Helvetica;sans-serif" w:hAnsi="Arial;Helvetica;sans-serif"/>
          <w:color w:val="72288A"/>
          <w:sz w:val="24"/>
        </w:rPr>
        <w:t>Non-qualified Deferred Compensation for 2024</w:t>
      </w:r>
    </w:p>
    <w:p>
      <w:pPr>
        <w:pStyle w:val="TextBody"/>
        <w:bidi w:val="0"/>
        <w:spacing w:before="21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The following table sets forth information relating to the Restoration Plan for 2024.</w:t>
      </w:r>
    </w:p>
    <w:tbl>
      <w:tblPr>
        <w:tblW w:w="9270" w:type="dxa"/>
        <w:jc w:val="left"/>
        <w:tblInd w:w="1060" w:type="dxa"/>
        <w:tblLayout w:type="fixed"/>
        <w:tblCellMar>
          <w:top w:w="0" w:type="dxa"/>
          <w:left w:w="0" w:type="dxa"/>
          <w:bottom w:w="0" w:type="dxa"/>
          <w:right w:w="0" w:type="dxa"/>
        </w:tblCellMar>
      </w:tblPr>
      <w:tblGrid>
        <w:gridCol w:w="185"/>
        <w:gridCol w:w="800"/>
        <w:gridCol w:w="170"/>
        <w:gridCol w:w="170"/>
        <w:gridCol w:w="875"/>
        <w:gridCol w:w="170"/>
        <w:gridCol w:w="170"/>
        <w:gridCol w:w="1160"/>
        <w:gridCol w:w="170"/>
        <w:gridCol w:w="170"/>
        <w:gridCol w:w="1160"/>
        <w:gridCol w:w="170"/>
        <w:gridCol w:w="170"/>
        <w:gridCol w:w="875"/>
        <w:gridCol w:w="170"/>
        <w:gridCol w:w="170"/>
        <w:gridCol w:w="1085"/>
        <w:gridCol w:w="170"/>
        <w:gridCol w:w="170"/>
        <w:gridCol w:w="875"/>
        <w:gridCol w:w="215"/>
      </w:tblGrid>
      <w:tr>
        <w:trPr/>
        <w:tc>
          <w:tcPr>
            <w:tcW w:w="185" w:type="dxa"/>
            <w:tcBorders/>
            <w:shd w:fill="1F1C6B" w:val="clear"/>
            <w:vAlign w:val="center"/>
          </w:tcPr>
          <w:p>
            <w:pPr>
              <w:pStyle w:val="TableContents"/>
              <w:bidi w:val="0"/>
              <w:spacing w:before="0" w:after="0"/>
              <w:jc w:val="left"/>
              <w:rPr/>
            </w:pPr>
            <w:r>
              <w:rPr/>
              <w:t> </w:t>
            </w:r>
          </w:p>
        </w:tc>
        <w:tc>
          <w:tcPr>
            <w:tcW w:w="80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7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6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6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7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8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75"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800"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7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Aggregate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Balance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at Last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FYE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6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Executive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Contributions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 Last FY</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6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Company</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Profit Sharing</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and Match</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Contributions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 Last FY</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7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Aggregate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Earnings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(Loss) in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Last FY</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8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Aggregate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Withdrawals/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Distributions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7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Aggregate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Balance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at FYE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Scott A. Smith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37" w:right="0" w:hanging="0"/>
              <w:jc w:val="left"/>
              <w:rPr>
                <w:rFonts w:ascii="Arial;Helvetica;sans-serif" w:hAnsi="Arial;Helvetica;sans-serif"/>
                <w:color w:val="636466"/>
                <w:sz w:val="16"/>
              </w:rPr>
            </w:pPr>
            <w:r>
              <w:rPr>
                <w:rFonts w:ascii="Arial;Helvetica;sans-serif" w:hAnsi="Arial;Helvetica;sans-serif"/>
                <w:color w:val="636466"/>
                <w:sz w:val="16"/>
              </w:rPr>
              <w:t xml:space="preserve">55,805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40" w:right="0" w:hanging="0"/>
              <w:jc w:val="left"/>
              <w:rPr>
                <w:rFonts w:ascii="Arial;Helvetica;sans-serif" w:hAnsi="Arial;Helvetica;sans-serif"/>
                <w:color w:val="636466"/>
                <w:sz w:val="16"/>
              </w:rPr>
            </w:pPr>
            <w:r>
              <w:rPr>
                <w:rFonts w:ascii="Arial;Helvetica;sans-serif" w:hAnsi="Arial;Helvetica;sans-serif"/>
                <w:color w:val="636466"/>
                <w:sz w:val="16"/>
              </w:rPr>
              <w:t xml:space="preserve">157,580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40" w:right="0" w:hanging="0"/>
              <w:jc w:val="left"/>
              <w:rPr>
                <w:rFonts w:ascii="Arial;Helvetica;sans-serif" w:hAnsi="Arial;Helvetica;sans-serif"/>
                <w:color w:val="636466"/>
                <w:sz w:val="16"/>
              </w:rPr>
            </w:pPr>
            <w:r>
              <w:rPr>
                <w:rFonts w:ascii="Arial;Helvetica;sans-serif" w:hAnsi="Arial;Helvetica;sans-serif"/>
                <w:color w:val="636466"/>
                <w:sz w:val="16"/>
              </w:rPr>
              <w:t xml:space="preserve">206,095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00" w:right="0" w:hanging="0"/>
              <w:jc w:val="left"/>
              <w:rPr>
                <w:rFonts w:ascii="Arial;Helvetica;sans-serif" w:hAnsi="Arial;Helvetica;sans-serif"/>
                <w:color w:val="636466"/>
                <w:sz w:val="16"/>
              </w:rPr>
            </w:pPr>
            <w:r>
              <w:rPr>
                <w:rFonts w:ascii="Arial;Helvetica;sans-serif" w:hAnsi="Arial;Helvetica;sans-serif"/>
                <w:color w:val="636466"/>
                <w:sz w:val="16"/>
              </w:rPr>
              <w:t xml:space="preserve">9,478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39"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37" w:right="0" w:hanging="0"/>
              <w:jc w:val="left"/>
              <w:rPr>
                <w:rFonts w:ascii="Arial;Helvetica;sans-serif" w:hAnsi="Arial;Helvetica;sans-serif"/>
                <w:color w:val="636466"/>
                <w:sz w:val="16"/>
              </w:rPr>
            </w:pPr>
            <w:r>
              <w:rPr>
                <w:rFonts w:ascii="Arial;Helvetica;sans-serif" w:hAnsi="Arial;Helvetica;sans-serif"/>
                <w:color w:val="636466"/>
                <w:sz w:val="16"/>
              </w:rPr>
              <w:t xml:space="preserve">428,958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800" w:type="dxa"/>
            <w:tcBorders/>
            <w:shd w:fill="E7E0EF" w:val="clear"/>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Doretta Mistras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75" w:type="dxa"/>
            <w:tcBorders/>
            <w:shd w:fill="E7E0EF" w:val="clear"/>
            <w:vAlign w:val="center"/>
          </w:tcPr>
          <w:p>
            <w:pPr>
              <w:pStyle w:val="TableContents"/>
              <w:bidi w:val="0"/>
              <w:spacing w:before="0" w:after="283"/>
              <w:ind w:left="37"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60" w:type="dxa"/>
            <w:tcBorders/>
            <w:shd w:fill="E7E0EF" w:val="clear"/>
            <w:vAlign w:val="center"/>
          </w:tcPr>
          <w:p>
            <w:pPr>
              <w:pStyle w:val="TableContents"/>
              <w:bidi w:val="0"/>
              <w:spacing w:before="0" w:after="283"/>
              <w:ind w:left="240" w:right="0" w:hanging="0"/>
              <w:jc w:val="left"/>
              <w:rPr>
                <w:rFonts w:ascii="Arial;Helvetica;sans-serif" w:hAnsi="Arial;Helvetica;sans-serif"/>
                <w:color w:val="636466"/>
                <w:sz w:val="16"/>
              </w:rPr>
            </w:pPr>
            <w:r>
              <w:rPr>
                <w:rFonts w:ascii="Arial;Helvetica;sans-serif" w:hAnsi="Arial;Helvetica;sans-serif"/>
                <w:color w:val="636466"/>
                <w:sz w:val="16"/>
              </w:rPr>
              <w:t xml:space="preserve">18,565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60" w:type="dxa"/>
            <w:tcBorders/>
            <w:shd w:fill="E7E0EF" w:val="clear"/>
            <w:vAlign w:val="center"/>
          </w:tcPr>
          <w:p>
            <w:pPr>
              <w:pStyle w:val="TableContents"/>
              <w:bidi w:val="0"/>
              <w:spacing w:before="0" w:after="283"/>
              <w:ind w:left="240" w:right="0" w:hanging="0"/>
              <w:jc w:val="left"/>
              <w:rPr>
                <w:rFonts w:ascii="Arial;Helvetica;sans-serif" w:hAnsi="Arial;Helvetica;sans-serif"/>
                <w:color w:val="636466"/>
                <w:sz w:val="16"/>
              </w:rPr>
            </w:pPr>
            <w:r>
              <w:rPr>
                <w:rFonts w:ascii="Arial;Helvetica;sans-serif" w:hAnsi="Arial;Helvetica;sans-serif"/>
                <w:color w:val="636466"/>
                <w:sz w:val="16"/>
              </w:rPr>
              <w:t xml:space="preserve">18,565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75" w:type="dxa"/>
            <w:tcBorders/>
            <w:shd w:fill="E7E0EF" w:val="clear"/>
            <w:vAlign w:val="center"/>
          </w:tcPr>
          <w:p>
            <w:pPr>
              <w:pStyle w:val="TableContents"/>
              <w:bidi w:val="0"/>
              <w:spacing w:before="0" w:after="283"/>
              <w:ind w:left="100" w:right="0" w:hanging="0"/>
              <w:jc w:val="left"/>
              <w:rPr>
                <w:rFonts w:ascii="Arial;Helvetica;sans-serif" w:hAnsi="Arial;Helvetica;sans-serif"/>
                <w:color w:val="636466"/>
                <w:sz w:val="16"/>
              </w:rPr>
            </w:pPr>
            <w:r>
              <w:rPr>
                <w:rFonts w:ascii="Arial;Helvetica;sans-serif" w:hAnsi="Arial;Helvetica;sans-serif"/>
                <w:color w:val="636466"/>
                <w:sz w:val="16"/>
              </w:rPr>
              <w:t xml:space="preserve">330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85" w:type="dxa"/>
            <w:tcBorders/>
            <w:shd w:fill="E7E0EF" w:val="clear"/>
            <w:vAlign w:val="center"/>
          </w:tcPr>
          <w:p>
            <w:pPr>
              <w:pStyle w:val="TableContents"/>
              <w:bidi w:val="0"/>
              <w:spacing w:before="0" w:after="283"/>
              <w:ind w:left="139"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75" w:type="dxa"/>
            <w:tcBorders/>
            <w:shd w:fill="E7E0EF" w:val="clear"/>
            <w:vAlign w:val="center"/>
          </w:tcPr>
          <w:p>
            <w:pPr>
              <w:pStyle w:val="TableContents"/>
              <w:bidi w:val="0"/>
              <w:spacing w:before="0" w:after="283"/>
              <w:ind w:left="37" w:right="0" w:hanging="0"/>
              <w:jc w:val="left"/>
              <w:rPr>
                <w:rFonts w:ascii="Arial;Helvetica;sans-serif" w:hAnsi="Arial;Helvetica;sans-serif"/>
                <w:color w:val="636466"/>
                <w:sz w:val="16"/>
              </w:rPr>
            </w:pPr>
            <w:r>
              <w:rPr>
                <w:rFonts w:ascii="Arial;Helvetica;sans-serif" w:hAnsi="Arial;Helvetica;sans-serif"/>
                <w:color w:val="636466"/>
                <w:sz w:val="16"/>
              </w:rPr>
              <w:t xml:space="preserve">37,460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Corinne Le Goff</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37"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4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4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00"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39"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37" w:right="0" w:hanging="0"/>
              <w:jc w:val="left"/>
              <w:rPr>
                <w:color w:val="636466"/>
              </w:rPr>
            </w:pPr>
            <w:r>
              <w:rPr>
                <w:color w:val="636466"/>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800" w:type="dxa"/>
            <w:tcBorders/>
            <w:shd w:fill="E7E0EF" w:val="clear"/>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Paul Campbell</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75" w:type="dxa"/>
            <w:tcBorders/>
            <w:shd w:fill="E7E0EF" w:val="clear"/>
            <w:vAlign w:val="center"/>
          </w:tcPr>
          <w:p>
            <w:pPr>
              <w:pStyle w:val="TableContents"/>
              <w:bidi w:val="0"/>
              <w:spacing w:before="0" w:after="283"/>
              <w:ind w:left="37" w:right="0" w:hanging="0"/>
              <w:jc w:val="left"/>
              <w:rPr>
                <w:rFonts w:ascii="Arial;Helvetica;sans-serif" w:hAnsi="Arial;Helvetica;sans-serif"/>
                <w:color w:val="636466"/>
                <w:sz w:val="16"/>
              </w:rPr>
            </w:pPr>
            <w:r>
              <w:rPr>
                <w:rFonts w:ascii="Arial;Helvetica;sans-serif" w:hAnsi="Arial;Helvetica;sans-serif"/>
                <w:color w:val="636466"/>
                <w:sz w:val="16"/>
              </w:rPr>
              <w:t xml:space="preserve">2,743,277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60" w:type="dxa"/>
            <w:tcBorders/>
            <w:shd w:fill="E7E0EF" w:val="clear"/>
            <w:vAlign w:val="center"/>
          </w:tcPr>
          <w:p>
            <w:pPr>
              <w:pStyle w:val="TableContents"/>
              <w:bidi w:val="0"/>
              <w:spacing w:before="0" w:after="283"/>
              <w:ind w:left="240" w:right="0" w:hanging="0"/>
              <w:jc w:val="left"/>
              <w:rPr>
                <w:rFonts w:ascii="Arial;Helvetica;sans-serif" w:hAnsi="Arial;Helvetica;sans-serif"/>
                <w:color w:val="636466"/>
                <w:sz w:val="16"/>
              </w:rPr>
            </w:pPr>
            <w:r>
              <w:rPr>
                <w:rFonts w:ascii="Arial;Helvetica;sans-serif" w:hAnsi="Arial;Helvetica;sans-serif"/>
                <w:color w:val="636466"/>
                <w:sz w:val="16"/>
              </w:rPr>
              <w:t xml:space="preserve">61,808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60" w:type="dxa"/>
            <w:tcBorders/>
            <w:shd w:fill="E7E0EF" w:val="clear"/>
            <w:vAlign w:val="center"/>
          </w:tcPr>
          <w:p>
            <w:pPr>
              <w:pStyle w:val="TableContents"/>
              <w:bidi w:val="0"/>
              <w:spacing w:before="0" w:after="283"/>
              <w:ind w:left="240" w:right="0" w:hanging="0"/>
              <w:jc w:val="left"/>
              <w:rPr>
                <w:rFonts w:ascii="Arial;Helvetica;sans-serif" w:hAnsi="Arial;Helvetica;sans-serif"/>
                <w:color w:val="636466"/>
                <w:sz w:val="16"/>
              </w:rPr>
            </w:pPr>
            <w:r>
              <w:rPr>
                <w:rFonts w:ascii="Arial;Helvetica;sans-serif" w:hAnsi="Arial;Helvetica;sans-serif"/>
                <w:color w:val="636466"/>
                <w:sz w:val="16"/>
              </w:rPr>
              <w:t xml:space="preserve">166,936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75" w:type="dxa"/>
            <w:tcBorders/>
            <w:shd w:fill="E7E0EF" w:val="clear"/>
            <w:vAlign w:val="center"/>
          </w:tcPr>
          <w:p>
            <w:pPr>
              <w:pStyle w:val="TableContents"/>
              <w:bidi w:val="0"/>
              <w:spacing w:before="0" w:after="283"/>
              <w:ind w:left="100" w:right="0" w:hanging="0"/>
              <w:jc w:val="left"/>
              <w:rPr>
                <w:rFonts w:ascii="Arial;Helvetica;sans-serif" w:hAnsi="Arial;Helvetica;sans-serif"/>
                <w:color w:val="636466"/>
                <w:sz w:val="16"/>
              </w:rPr>
            </w:pPr>
            <w:r>
              <w:rPr>
                <w:rFonts w:ascii="Arial;Helvetica;sans-serif" w:hAnsi="Arial;Helvetica;sans-serif"/>
                <w:color w:val="636466"/>
                <w:sz w:val="16"/>
              </w:rPr>
              <w:t xml:space="preserve">387,523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85" w:type="dxa"/>
            <w:tcBorders/>
            <w:shd w:fill="E7E0EF" w:val="clear"/>
            <w:vAlign w:val="center"/>
          </w:tcPr>
          <w:p>
            <w:pPr>
              <w:pStyle w:val="TableContents"/>
              <w:bidi w:val="0"/>
              <w:spacing w:before="0" w:after="283"/>
              <w:ind w:left="139" w:right="0" w:hanging="0"/>
              <w:jc w:val="left"/>
              <w:rPr>
                <w:color w:val="636466"/>
              </w:rPr>
            </w:pPr>
            <w:r>
              <w:rPr>
                <w:color w:val="636466"/>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75" w:type="dxa"/>
            <w:tcBorders/>
            <w:shd w:fill="E7E0EF" w:val="clear"/>
            <w:vAlign w:val="center"/>
          </w:tcPr>
          <w:p>
            <w:pPr>
              <w:pStyle w:val="TableContents"/>
              <w:bidi w:val="0"/>
              <w:spacing w:before="0" w:after="283"/>
              <w:ind w:left="37" w:right="0" w:hanging="0"/>
              <w:jc w:val="left"/>
              <w:rPr>
                <w:rFonts w:ascii="Arial;Helvetica;sans-serif" w:hAnsi="Arial;Helvetica;sans-serif"/>
                <w:color w:val="636466"/>
                <w:sz w:val="16"/>
              </w:rPr>
            </w:pPr>
            <w:r>
              <w:rPr>
                <w:rFonts w:ascii="Arial;Helvetica;sans-serif" w:hAnsi="Arial;Helvetica;sans-serif"/>
                <w:color w:val="636466"/>
                <w:sz w:val="16"/>
              </w:rPr>
              <w:t xml:space="preserve">3,359,544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Brian Roman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37" w:right="0" w:hanging="0"/>
              <w:jc w:val="left"/>
              <w:rPr>
                <w:rFonts w:ascii="Arial;Helvetica;sans-serif" w:hAnsi="Arial;Helvetica;sans-serif"/>
                <w:color w:val="636466"/>
                <w:sz w:val="16"/>
              </w:rPr>
            </w:pPr>
            <w:r>
              <w:rPr>
                <w:rFonts w:ascii="Arial;Helvetica;sans-serif" w:hAnsi="Arial;Helvetica;sans-serif"/>
                <w:color w:val="636466"/>
                <w:sz w:val="16"/>
              </w:rPr>
              <w:t xml:space="preserve">4,361,501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40" w:right="0" w:hanging="0"/>
              <w:jc w:val="left"/>
              <w:rPr>
                <w:rFonts w:ascii="Arial;Helvetica;sans-serif" w:hAnsi="Arial;Helvetica;sans-serif"/>
                <w:color w:val="636466"/>
                <w:sz w:val="16"/>
              </w:rPr>
            </w:pPr>
            <w:r>
              <w:rPr>
                <w:rFonts w:ascii="Arial;Helvetica;sans-serif" w:hAnsi="Arial;Helvetica;sans-serif"/>
                <w:color w:val="636466"/>
                <w:sz w:val="16"/>
              </w:rPr>
              <w:t xml:space="preserve">77,520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40" w:right="0" w:hanging="0"/>
              <w:jc w:val="left"/>
              <w:rPr>
                <w:rFonts w:ascii="Arial;Helvetica;sans-serif" w:hAnsi="Arial;Helvetica;sans-serif"/>
                <w:color w:val="636466"/>
                <w:sz w:val="16"/>
              </w:rPr>
            </w:pPr>
            <w:r>
              <w:rPr>
                <w:rFonts w:ascii="Arial;Helvetica;sans-serif" w:hAnsi="Arial;Helvetica;sans-serif"/>
                <w:color w:val="636466"/>
                <w:sz w:val="16"/>
              </w:rPr>
              <w:t xml:space="preserve">207,728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00" w:right="0" w:hanging="0"/>
              <w:jc w:val="left"/>
              <w:rPr>
                <w:rFonts w:ascii="Arial;Helvetica;sans-serif" w:hAnsi="Arial;Helvetica;sans-serif"/>
                <w:color w:val="636466"/>
                <w:sz w:val="16"/>
              </w:rPr>
            </w:pPr>
            <w:r>
              <w:rPr>
                <w:rFonts w:ascii="Arial;Helvetica;sans-serif" w:hAnsi="Arial;Helvetica;sans-serif"/>
                <w:color w:val="636466"/>
                <w:sz w:val="16"/>
              </w:rPr>
              <w:t xml:space="preserve">422,996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39" w:right="0" w:hanging="0"/>
              <w:jc w:val="left"/>
              <w:rPr>
                <w:color w:val="636466"/>
              </w:rPr>
            </w:pPr>
            <w:r>
              <w:rPr>
                <w:color w:val="63646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37" w:right="0" w:hanging="0"/>
              <w:jc w:val="left"/>
              <w:rPr>
                <w:rFonts w:ascii="Arial;Helvetica;sans-serif" w:hAnsi="Arial;Helvetica;sans-serif"/>
                <w:color w:val="636466"/>
                <w:sz w:val="16"/>
              </w:rPr>
            </w:pPr>
            <w:r>
              <w:rPr>
                <w:rFonts w:ascii="Arial;Helvetica;sans-serif" w:hAnsi="Arial;Helvetica;sans-serif"/>
                <w:color w:val="636466"/>
                <w:sz w:val="16"/>
              </w:rPr>
              <w:t xml:space="preserve">5,069,745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800" w:type="dxa"/>
            <w:tcBorders/>
            <w:shd w:fill="E7E0EF" w:val="clear"/>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Sanjeev Narula</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75" w:type="dxa"/>
            <w:tcBorders/>
            <w:shd w:fill="E7E0EF" w:val="clear"/>
            <w:vAlign w:val="center"/>
          </w:tcPr>
          <w:p>
            <w:pPr>
              <w:pStyle w:val="TableContents"/>
              <w:bidi w:val="0"/>
              <w:spacing w:before="0" w:after="283"/>
              <w:ind w:left="37" w:right="0" w:hanging="0"/>
              <w:jc w:val="left"/>
              <w:rPr>
                <w:rFonts w:ascii="Arial;Helvetica;sans-serif" w:hAnsi="Arial;Helvetica;sans-serif"/>
                <w:color w:val="636466"/>
                <w:sz w:val="16"/>
              </w:rPr>
            </w:pPr>
            <w:r>
              <w:rPr>
                <w:rFonts w:ascii="Arial;Helvetica;sans-serif" w:hAnsi="Arial;Helvetica;sans-serif"/>
                <w:color w:val="636466"/>
                <w:sz w:val="16"/>
              </w:rPr>
              <w:t xml:space="preserve">685,714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60" w:type="dxa"/>
            <w:tcBorders/>
            <w:shd w:fill="E7E0EF" w:val="clear"/>
            <w:vAlign w:val="center"/>
          </w:tcPr>
          <w:p>
            <w:pPr>
              <w:pStyle w:val="TableContents"/>
              <w:bidi w:val="0"/>
              <w:spacing w:before="0" w:after="283"/>
              <w:ind w:left="240" w:right="0" w:hanging="0"/>
              <w:jc w:val="left"/>
              <w:rPr>
                <w:rFonts w:ascii="Arial;Helvetica;sans-serif" w:hAnsi="Arial;Helvetica;sans-serif"/>
                <w:color w:val="636466"/>
                <w:sz w:val="16"/>
              </w:rPr>
            </w:pPr>
            <w:r>
              <w:rPr>
                <w:rFonts w:ascii="Arial;Helvetica;sans-serif" w:hAnsi="Arial;Helvetica;sans-serif"/>
                <w:color w:val="636466"/>
                <w:sz w:val="16"/>
              </w:rPr>
              <w:t xml:space="preserve">151,925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60" w:type="dxa"/>
            <w:tcBorders/>
            <w:shd w:fill="E7E0EF" w:val="clear"/>
            <w:vAlign w:val="center"/>
          </w:tcPr>
          <w:p>
            <w:pPr>
              <w:pStyle w:val="TableContents"/>
              <w:bidi w:val="0"/>
              <w:spacing w:before="0" w:after="283"/>
              <w:ind w:left="240" w:right="0" w:hanging="0"/>
              <w:jc w:val="left"/>
              <w:rPr>
                <w:rFonts w:ascii="Arial;Helvetica;sans-serif" w:hAnsi="Arial;Helvetica;sans-serif"/>
                <w:color w:val="636466"/>
                <w:sz w:val="16"/>
              </w:rPr>
            </w:pPr>
            <w:r>
              <w:rPr>
                <w:rFonts w:ascii="Arial;Helvetica;sans-serif" w:hAnsi="Arial;Helvetica;sans-serif"/>
                <w:color w:val="636466"/>
                <w:sz w:val="16"/>
              </w:rPr>
              <w:t xml:space="preserve">213,364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75" w:type="dxa"/>
            <w:tcBorders/>
            <w:shd w:fill="E7E0EF" w:val="clear"/>
            <w:vAlign w:val="center"/>
          </w:tcPr>
          <w:p>
            <w:pPr>
              <w:pStyle w:val="TableContents"/>
              <w:bidi w:val="0"/>
              <w:spacing w:before="0" w:after="283"/>
              <w:ind w:left="100" w:right="0" w:hanging="0"/>
              <w:jc w:val="left"/>
              <w:rPr>
                <w:rFonts w:ascii="Arial;Helvetica;sans-serif" w:hAnsi="Arial;Helvetica;sans-serif"/>
                <w:color w:val="636466"/>
                <w:sz w:val="16"/>
              </w:rPr>
            </w:pPr>
            <w:r>
              <w:rPr>
                <w:rFonts w:ascii="Arial;Helvetica;sans-serif" w:hAnsi="Arial;Helvetica;sans-serif"/>
                <w:color w:val="636466"/>
                <w:sz w:val="16"/>
              </w:rPr>
              <w:t xml:space="preserve">79,449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85" w:type="dxa"/>
            <w:tcBorders/>
            <w:shd w:fill="E7E0EF" w:val="clear"/>
            <w:vAlign w:val="center"/>
          </w:tcPr>
          <w:p>
            <w:pPr>
              <w:pStyle w:val="TableContents"/>
              <w:bidi w:val="0"/>
              <w:spacing w:before="0" w:after="283"/>
              <w:ind w:left="139" w:right="0" w:hanging="0"/>
              <w:jc w:val="left"/>
              <w:rPr>
                <w:rFonts w:ascii="Arial;Helvetica;sans-serif" w:hAnsi="Arial;Helvetica;sans-serif"/>
                <w:color w:val="636466"/>
                <w:sz w:val="16"/>
              </w:rPr>
            </w:pPr>
            <w:r>
              <w:rPr>
                <w:rFonts w:ascii="Arial;Helvetica;sans-serif" w:hAnsi="Arial;Helvetica;sans-serif"/>
                <w:color w:val="636466"/>
                <w:sz w:val="16"/>
              </w:rPr>
              <w:t xml:space="preserve">(1,130,452)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75" w:type="dxa"/>
            <w:tcBorders/>
            <w:shd w:fill="E7E0EF" w:val="clear"/>
            <w:vAlign w:val="center"/>
          </w:tcPr>
          <w:p>
            <w:pPr>
              <w:pStyle w:val="TableContents"/>
              <w:bidi w:val="0"/>
              <w:spacing w:before="0" w:after="283"/>
              <w:ind w:left="37" w:right="0" w:hanging="0"/>
              <w:jc w:val="left"/>
              <w:rPr>
                <w:color w:val="636466"/>
              </w:rPr>
            </w:pPr>
            <w:r>
              <w:rPr>
                <w:color w:val="636466"/>
              </w:rPr>
              <w:t>—</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80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7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6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6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7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8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7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tbl>
      <w:tblPr>
        <w:tblW w:w="4980" w:type="dxa"/>
        <w:jc w:val="left"/>
        <w:tblInd w:w="106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62 | 2025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253"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23" descr=""/>
                          <pic:cNvPicPr>
                            <a:picLocks noChangeAspect="1" noChangeArrowheads="1"/>
                          </pic:cNvPicPr>
                        </pic:nvPicPr>
                        <pic:blipFill>
                          <a:blip r:embed="rId240"/>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254"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24" descr=""/>
                    <pic:cNvPicPr>
                      <a:picLocks noChangeAspect="1" noChangeArrowheads="1"/>
                    </pic:cNvPicPr>
                  </pic:nvPicPr>
                  <pic:blipFill>
                    <a:blip r:embed="rId241"/>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62" w:name="ny20055082x771_def14a_111-comp_pg6"/>
        <w:bookmarkEnd w:id="16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right"/>
        <w:rPr>
          <w:caps/>
          <w:color w:val="1F1C6B"/>
          <w:u w:val="single"/>
        </w:rPr>
      </w:pPr>
      <w:r>
        <w:rPr>
          <w:caps/>
          <w:color w:val="1F1C6B"/>
          <w:u w:val="single"/>
        </w:rPr>
        <w:t> </w:t>
      </w:r>
      <w:r>
        <w:rPr>
          <w:rFonts w:ascii="Arial;Helvetica;sans-serif" w:hAnsi="Arial;Helvetica;sans-serif"/>
          <w:caps/>
          <w:color w:val="1F1C6B"/>
          <w:sz w:val="18"/>
          <w:u w:val="single"/>
        </w:rPr>
        <w:t>Executive Compensation Tables </w:t>
      </w:r>
    </w:p>
    <w:p>
      <w:pPr>
        <w:pStyle w:val="TextBody"/>
        <w:bidi w:val="0"/>
        <w:spacing w:before="200" w:after="283"/>
        <w:ind w:left="1060" w:right="0" w:hanging="0"/>
        <w:jc w:val="left"/>
        <w:rPr>
          <w:rFonts w:ascii="Arial;Helvetica;sans-serif" w:hAnsi="Arial;Helvetica;sans-serif"/>
          <w:color w:val="1F1C6B"/>
          <w:sz w:val="30"/>
        </w:rPr>
      </w:pPr>
      <w:bookmarkStart w:id="163" w:name="tEPI"/>
      <w:bookmarkEnd w:id="163"/>
      <w:r>
        <w:rPr>
          <w:rFonts w:ascii="Arial;Helvetica;sans-serif" w:hAnsi="Arial;Helvetica;sans-serif"/>
          <w:color w:val="1F1C6B"/>
          <w:sz w:val="30"/>
        </w:rPr>
        <w:t>Estimated Payments in Connection with a Termination of Employment or Change in Control</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The following discussion summarizes the potential payments and benefits that would have been payable to each of the NEOs upon a termination of employment on December 31, 2024 by Viatris without “cause”, by the NEO for “good reason” (each as defined in the applicable agreement), due to the NEO’s death or disability or as a result of a CIC Termination. A “CIC Termination” occurs if an NEO’s employment is terminated other than for cause or if he or she terminates employment for good reason, in each case, within two years following the occurrence of a change in control. The amounts discussed below exclude (i) 401(k) retirement plan contributions and distributions that are generally available to all salaried employees, (ii) payments pursuant to vested Restoration Plan balances, (iii) payments pursuant to awards scheduled to vest on or before December 31, 2024 by their terms, (iv) any amounts that may be due at the time of an event in respect of accrued and unpaid salary, bonuses, or vacation, and (v) the value of each NEO’s annual bonus for the 2024 completed fiscal year as the year was complete as of December 31, 2024. These are estimates only and actual amounts payable upon such terminations may be different and will only be determined upon the actual occurrence of any such event. </w:t>
      </w:r>
    </w:p>
    <w:p>
      <w:pPr>
        <w:pStyle w:val="TextBody"/>
        <w:bidi w:val="0"/>
        <w:spacing w:before="430" w:after="283"/>
        <w:ind w:left="1060" w:right="0" w:hanging="0"/>
        <w:jc w:val="left"/>
        <w:rPr>
          <w:rFonts w:ascii="Arial;Helvetica;sans-serif" w:hAnsi="Arial;Helvetica;sans-serif"/>
          <w:color w:val="72288A"/>
          <w:sz w:val="24"/>
        </w:rPr>
      </w:pPr>
      <w:r>
        <w:rPr>
          <w:rFonts w:ascii="Arial;Helvetica;sans-serif" w:hAnsi="Arial;Helvetica;sans-serif"/>
          <w:color w:val="72288A"/>
          <w:sz w:val="24"/>
        </w:rPr>
        <w:t>Scott A. Smith</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Mr. Smith is entitled to severance payments and benefits upon certain terminations of employment pursuant to an offer letter with Viatris and his equity award agreements with Viatris.</w:t>
      </w:r>
    </w:p>
    <w:p>
      <w:pPr>
        <w:pStyle w:val="TextBody"/>
        <w:bidi w:val="0"/>
        <w:spacing w:before="240" w:after="283"/>
        <w:ind w:left="1060" w:right="0" w:hanging="0"/>
        <w:jc w:val="left"/>
        <w:rPr>
          <w:rFonts w:ascii="Arial;Helvetica;sans-serif" w:hAnsi="Arial;Helvetica;sans-serif"/>
          <w:b/>
          <w:color w:val="636466"/>
          <w:sz w:val="18"/>
        </w:rPr>
      </w:pPr>
      <w:r>
        <w:rPr>
          <w:rFonts w:ascii="Arial;Helvetica;sans-serif" w:hAnsi="Arial;Helvetica;sans-serif"/>
          <w:b/>
          <w:color w:val="636466"/>
          <w:sz w:val="18"/>
        </w:rPr>
        <w:t xml:space="preserve">Termination Without Cause Absent a Change in Control. </w:t>
      </w:r>
      <w:r>
        <w:rPr>
          <w:rFonts w:ascii="Arial;Helvetica;sans-serif" w:hAnsi="Arial;Helvetica;sans-serif"/>
          <w:b w:val="false"/>
          <w:color w:val="636466"/>
          <w:sz w:val="18"/>
        </w:rPr>
        <w:t>If Mr. Smith's employment was terminated on December 31, 2024 by Viatris without cause, he would have been entitled to a payment equal to two times the sum of his base salary and his target annual bonus in effect at the time of such termination, payable in equal installments, and eligibility for continued vesting of a prorated number of his PRSUs granted in 2023 and 2024 based on actual Company performance. The estimated values of such payments and benefits, assuming a December 31, 2024 termination of employment, would have been $7,000,000, in respect of cash severance, and $9,013,427, in respect of the vesting of his PRSUs granted in 2023 and 2024 (assuming target performance).</w:t>
      </w:r>
    </w:p>
    <w:p>
      <w:pPr>
        <w:pStyle w:val="TextBody"/>
        <w:bidi w:val="0"/>
        <w:spacing w:before="240" w:after="283"/>
        <w:ind w:left="1060" w:right="0" w:hanging="0"/>
        <w:jc w:val="left"/>
        <w:rPr>
          <w:rFonts w:ascii="Arial;Helvetica;sans-serif" w:hAnsi="Arial;Helvetica;sans-serif"/>
          <w:b/>
          <w:color w:val="636466"/>
          <w:sz w:val="18"/>
        </w:rPr>
      </w:pPr>
      <w:r>
        <w:rPr>
          <w:rFonts w:ascii="Arial;Helvetica;sans-serif" w:hAnsi="Arial;Helvetica;sans-serif"/>
          <w:b/>
          <w:color w:val="636466"/>
          <w:sz w:val="18"/>
        </w:rPr>
        <w:t xml:space="preserve">Termination due to Death or Disability Absent a Change in Control. </w:t>
      </w:r>
      <w:r>
        <w:rPr>
          <w:rFonts w:ascii="Arial;Helvetica;sans-serif" w:hAnsi="Arial;Helvetica;sans-serif"/>
          <w:b w:val="false"/>
          <w:color w:val="636466"/>
          <w:sz w:val="18"/>
        </w:rPr>
        <w:t xml:space="preserve">If Mr. Smith's employment was terminated on December 31, 2024 due to death or disability, he would have been entitled to full vesting of his unvested non-qualified deferred compensation account balance ($49,659) and full vesting of his unvested equity awards, with any PRSUs vesting based on target performance. The estimated value of such equity vesting, assuming a December 31, 2024 termination, would have been $24,119,012. Mr. Smith is not entitled to cash severance payments in connection with a termination of employment due to death or disability. </w:t>
      </w:r>
    </w:p>
    <w:p>
      <w:pPr>
        <w:pStyle w:val="TextBody"/>
        <w:bidi w:val="0"/>
        <w:spacing w:before="240" w:after="283"/>
        <w:ind w:left="1060" w:right="0" w:hanging="0"/>
        <w:jc w:val="left"/>
        <w:rPr>
          <w:rFonts w:ascii="Arial;Helvetica;sans-serif" w:hAnsi="Arial;Helvetica;sans-serif"/>
          <w:b/>
          <w:color w:val="636466"/>
          <w:sz w:val="18"/>
        </w:rPr>
      </w:pPr>
      <w:r>
        <w:rPr>
          <w:rFonts w:ascii="Arial;Helvetica;sans-serif" w:hAnsi="Arial;Helvetica;sans-serif"/>
          <w:b/>
          <w:color w:val="636466"/>
          <w:sz w:val="18"/>
        </w:rPr>
        <w:t xml:space="preserve">Termination in Connection with a Change in Control. </w:t>
      </w:r>
      <w:r>
        <w:rPr>
          <w:rFonts w:ascii="Arial;Helvetica;sans-serif" w:hAnsi="Arial;Helvetica;sans-serif"/>
          <w:b w:val="false"/>
          <w:color w:val="636466"/>
          <w:sz w:val="18"/>
        </w:rPr>
        <w:t>If Mr. Smith incurred a CIC Termination on December 31, 2024, he would have been entitled to a payment equal to two and a half times the sum of his base salary and his target annual bonus in effect at the time of such termination, payable in equal installments, full vesting of his unvested non-qualified deferred compensation account balance, and full vesting of his equity awards, with any PRSUs vesting based on target performance. The estimated values of such payments and benefits, assuming a December 31, 2024 termination of employment, would have been $8,750,000, in respect of cash severance, $49,659, in respect of the vesting of his non-qualified deferred compensation, and $24,119,012, in respect of the vesting of his equity awards.</w:t>
      </w:r>
    </w:p>
    <w:p>
      <w:pPr>
        <w:pStyle w:val="TextBody"/>
        <w:bidi w:val="0"/>
        <w:spacing w:before="430" w:after="283"/>
        <w:ind w:left="1060" w:right="0" w:hanging="0"/>
        <w:jc w:val="left"/>
        <w:rPr>
          <w:rFonts w:ascii="Arial;Helvetica;sans-serif" w:hAnsi="Arial;Helvetica;sans-serif"/>
          <w:color w:val="72288A"/>
          <w:sz w:val="24"/>
        </w:rPr>
      </w:pPr>
      <w:r>
        <w:rPr>
          <w:rFonts w:ascii="Arial;Helvetica;sans-serif" w:hAnsi="Arial;Helvetica;sans-serif"/>
          <w:color w:val="72288A"/>
          <w:sz w:val="24"/>
        </w:rPr>
        <w:t>Doretta Mistras</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Ms. Mistras is entitled to severance payments and benefits upon certain terminations of employment pursuant to an offer letter with Viatris and her equity award agreements with Viatris.</w:t>
      </w:r>
    </w:p>
    <w:p>
      <w:pPr>
        <w:pStyle w:val="TextBody"/>
        <w:bidi w:val="0"/>
        <w:spacing w:before="240" w:after="283"/>
        <w:ind w:left="1060" w:right="0" w:hanging="0"/>
        <w:jc w:val="left"/>
        <w:rPr>
          <w:rFonts w:ascii="Arial;Helvetica;sans-serif" w:hAnsi="Arial;Helvetica;sans-serif"/>
          <w:b/>
          <w:color w:val="636466"/>
          <w:sz w:val="18"/>
        </w:rPr>
      </w:pPr>
      <w:r>
        <w:rPr>
          <w:rFonts w:ascii="Arial;Helvetica;sans-serif" w:hAnsi="Arial;Helvetica;sans-serif"/>
          <w:b/>
          <w:color w:val="636466"/>
          <w:sz w:val="18"/>
        </w:rPr>
        <w:t xml:space="preserve">Termination Without Cause Absent a Change in Control. </w:t>
      </w:r>
      <w:r>
        <w:rPr>
          <w:rFonts w:ascii="Arial;Helvetica;sans-serif" w:hAnsi="Arial;Helvetica;sans-serif"/>
          <w:b w:val="false"/>
          <w:color w:val="636466"/>
          <w:sz w:val="18"/>
        </w:rPr>
        <w:t xml:space="preserve">If Ms. Mistras’ employment was terminated on December 31, 2024 by Viatris without cause, she would have been entitled to a payment equal to one-half times the sum of her base salary and her target annual bonus in effect at the time of such termination, payable in equal installments, and eligibility for continued vesting of </w:t>
      </w:r>
    </w:p>
    <w:tbl>
      <w:tblPr>
        <w:tblW w:w="4980" w:type="dxa"/>
        <w:jc w:val="left"/>
        <w:tblInd w:w="106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255"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25" descr=""/>
                          <pic:cNvPicPr>
                            <a:picLocks noChangeAspect="1" noChangeArrowheads="1"/>
                          </pic:cNvPicPr>
                        </pic:nvPicPr>
                        <pic:blipFill>
                          <a:blip r:embed="rId242"/>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Statement | 63</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256"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26" descr=""/>
                    <pic:cNvPicPr>
                      <a:picLocks noChangeAspect="1" noChangeArrowheads="1"/>
                    </pic:cNvPicPr>
                  </pic:nvPicPr>
                  <pic:blipFill>
                    <a:blip r:embed="rId243"/>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64" w:name="ny20055082x771_def14a_111-comp_pg7"/>
        <w:bookmarkEnd w:id="16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left"/>
        <w:rPr>
          <w:caps/>
          <w:color w:val="1F1C6B"/>
          <w:u w:val="single"/>
        </w:rPr>
      </w:pPr>
      <w:r>
        <w:rPr>
          <w:caps/>
          <w:color w:val="1F1C6B"/>
          <w:u w:val="single"/>
        </w:rPr>
        <w:t> </w:t>
      </w:r>
      <w:r>
        <w:rPr>
          <w:rFonts w:ascii="Arial;Helvetica;sans-serif" w:hAnsi="Arial;Helvetica;sans-serif"/>
          <w:caps/>
          <w:color w:val="1F1C6B"/>
          <w:sz w:val="18"/>
          <w:u w:val="single"/>
        </w:rPr>
        <w:t>Executive Compensation Tables </w:t>
      </w:r>
    </w:p>
    <w:p>
      <w:pPr>
        <w:pStyle w:val="TextBody"/>
        <w:bidi w:val="0"/>
        <w:spacing w:before="12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a prorated number of her PRSUs granted in 2024 based on actual Company performance. The estimated values of such payments and benefits, assuming a December 31, 2024 termination of employment, would have been $825,000, in respect of cash severance, and $750,785, in respect of the vesting of her PRSUs granted in 2024 (assuming target performance).</w:t>
      </w:r>
    </w:p>
    <w:p>
      <w:pPr>
        <w:pStyle w:val="TextBody"/>
        <w:bidi w:val="0"/>
        <w:spacing w:before="240" w:after="283"/>
        <w:ind w:left="1060" w:right="0" w:hanging="0"/>
        <w:jc w:val="left"/>
        <w:rPr>
          <w:rFonts w:ascii="Arial;Helvetica;sans-serif" w:hAnsi="Arial;Helvetica;sans-serif"/>
          <w:b/>
          <w:color w:val="636466"/>
          <w:sz w:val="18"/>
        </w:rPr>
      </w:pPr>
      <w:r>
        <w:rPr>
          <w:rFonts w:ascii="Arial;Helvetica;sans-serif" w:hAnsi="Arial;Helvetica;sans-serif"/>
          <w:b/>
          <w:color w:val="636466"/>
          <w:sz w:val="18"/>
        </w:rPr>
        <w:t xml:space="preserve">Termination due to Death or Disability Absent a Change in Control. </w:t>
      </w:r>
      <w:r>
        <w:rPr>
          <w:rFonts w:ascii="Arial;Helvetica;sans-serif" w:hAnsi="Arial;Helvetica;sans-serif"/>
          <w:b w:val="false"/>
          <w:color w:val="636466"/>
          <w:sz w:val="18"/>
        </w:rPr>
        <w:t xml:space="preserve">If Ms. Mistras’ employment was terminated on December 31, 2024 due to death or disability, she would have been entitled to full vesting of her unvested equity awards, with any PRSUs vesting based on target performance. The estimated value of such equity vesting, assuming a December 31, 2024 termination, would have been $4,064,390. Ms. Mistras is not entitled to cash severance payments in connection with a termination of employment due to death or disability. </w:t>
      </w:r>
    </w:p>
    <w:p>
      <w:pPr>
        <w:pStyle w:val="TextBody"/>
        <w:bidi w:val="0"/>
        <w:spacing w:before="240" w:after="283"/>
        <w:ind w:left="1060" w:right="0" w:hanging="0"/>
        <w:jc w:val="left"/>
        <w:rPr>
          <w:rFonts w:ascii="Arial;Helvetica;sans-serif" w:hAnsi="Arial;Helvetica;sans-serif"/>
          <w:b/>
          <w:color w:val="636466"/>
          <w:sz w:val="18"/>
        </w:rPr>
      </w:pPr>
      <w:r>
        <w:rPr>
          <w:rFonts w:ascii="Arial;Helvetica;sans-serif" w:hAnsi="Arial;Helvetica;sans-serif"/>
          <w:b/>
          <w:color w:val="636466"/>
          <w:sz w:val="18"/>
        </w:rPr>
        <w:t xml:space="preserve">Termination in Connection with a Change in Control. </w:t>
      </w:r>
      <w:r>
        <w:rPr>
          <w:rFonts w:ascii="Arial;Helvetica;sans-serif" w:hAnsi="Arial;Helvetica;sans-serif"/>
          <w:b w:val="false"/>
          <w:color w:val="636466"/>
          <w:sz w:val="18"/>
        </w:rPr>
        <w:t xml:space="preserve">Ms. Mistras is not entitled to enhanced severance payments in the event of a CIC Termination. However, for illustrative purposes it has been assumed that, in the event of a CIC Termination, she would be provided with payments and benefits consistent with the retired Mylan N.V. Severance Plan and Global Guidelines (which had been assumed by Viatris) (the “Mylan Severance Plan”). If Ms. Mistras incurred a CIC Termination on December 31, 2024, it is assumed for illustrative purposes that she would have received a payment equal to two times the sum of her base salary and her target annual bonus in effect at the time of such termination, payable in equal installments, twenty-four months of continued health and other benefits, and full vesting of her unvested equity awards, with any PRSUs vesting based on target performance. The estimated values of such payments and benefits, assuming a December 31, 2024 CIC Termination, would have been $3,363,186, in respect of cash severance and other benefits, and $4,064,390, in respect of the vesting of her equity awards. </w:t>
      </w:r>
    </w:p>
    <w:p>
      <w:pPr>
        <w:pStyle w:val="TextBody"/>
        <w:bidi w:val="0"/>
        <w:spacing w:before="420" w:after="283"/>
        <w:ind w:left="1060" w:right="0" w:hanging="0"/>
        <w:jc w:val="left"/>
        <w:rPr>
          <w:rFonts w:ascii="Arial;Helvetica;sans-serif" w:hAnsi="Arial;Helvetica;sans-serif"/>
          <w:color w:val="72288A"/>
          <w:sz w:val="24"/>
        </w:rPr>
      </w:pPr>
      <w:r>
        <w:rPr>
          <w:rFonts w:ascii="Arial;Helvetica;sans-serif" w:hAnsi="Arial;Helvetica;sans-serif"/>
          <w:color w:val="72288A"/>
          <w:sz w:val="24"/>
        </w:rPr>
        <w:t>Corinne Le Goff</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Dr. Le Goff is entitled to severance payments and benefits upon certain terminations of employment pursuant to an offer letter with Viatris and her equity award agreements with Viatris. </w:t>
      </w:r>
    </w:p>
    <w:p>
      <w:pPr>
        <w:pStyle w:val="TextBody"/>
        <w:bidi w:val="0"/>
        <w:spacing w:before="240" w:after="283"/>
        <w:ind w:left="1060" w:right="0" w:hanging="0"/>
        <w:jc w:val="left"/>
        <w:rPr>
          <w:rFonts w:ascii="Arial;Helvetica;sans-serif" w:hAnsi="Arial;Helvetica;sans-serif"/>
          <w:b/>
          <w:color w:val="636466"/>
          <w:sz w:val="18"/>
        </w:rPr>
      </w:pPr>
      <w:r>
        <w:rPr>
          <w:rFonts w:ascii="Arial;Helvetica;sans-serif" w:hAnsi="Arial;Helvetica;sans-serif"/>
          <w:b/>
          <w:color w:val="636466"/>
          <w:sz w:val="18"/>
        </w:rPr>
        <w:t xml:space="preserve">Termination Without Cause Absent a Change in Control. </w:t>
      </w:r>
      <w:r>
        <w:rPr>
          <w:rFonts w:ascii="Arial;Helvetica;sans-serif" w:hAnsi="Arial;Helvetica;sans-serif"/>
          <w:b w:val="false"/>
          <w:color w:val="636466"/>
          <w:sz w:val="18"/>
        </w:rPr>
        <w:t>If Dr. Le Goff’s employment was terminated on December 31, 2024 by Viatris without cause, she would have been entitled to a payment equal to one-half times the sum of her base salary and her target annual bonus in effect at the time of such termination, payable in equal installments, and eligibility for continued vesting of a prorated number of her PRSUs granted in 2024 based on actual Company performance. The estimated values of such payments and benefits, assuming a December 31, 2024 termination of employment, would have been $875,000, in respect of cash severance, and $876,144, in respect of the vesting of her PRSUs granted in 2024 (assuming target performance).</w:t>
      </w:r>
    </w:p>
    <w:p>
      <w:pPr>
        <w:pStyle w:val="TextBody"/>
        <w:bidi w:val="0"/>
        <w:spacing w:before="240" w:after="283"/>
        <w:ind w:left="1060" w:right="0" w:hanging="0"/>
        <w:jc w:val="left"/>
        <w:rPr>
          <w:rFonts w:ascii="Arial;Helvetica;sans-serif" w:hAnsi="Arial;Helvetica;sans-serif"/>
          <w:b/>
          <w:color w:val="636466"/>
          <w:sz w:val="18"/>
        </w:rPr>
      </w:pPr>
      <w:r>
        <w:rPr>
          <w:rFonts w:ascii="Arial;Helvetica;sans-serif" w:hAnsi="Arial;Helvetica;sans-serif"/>
          <w:b/>
          <w:color w:val="636466"/>
          <w:sz w:val="18"/>
        </w:rPr>
        <w:t xml:space="preserve">Termination due to Death or Disability Absent a Change in Control. </w:t>
      </w:r>
      <w:r>
        <w:rPr>
          <w:rFonts w:ascii="Arial;Helvetica;sans-serif" w:hAnsi="Arial;Helvetica;sans-serif"/>
          <w:b w:val="false"/>
          <w:color w:val="636466"/>
          <w:sz w:val="18"/>
        </w:rPr>
        <w:t xml:space="preserve">If Dr. Le Goff’s employment was terminated on December 31, 2024 due to death or disability, she would have been entitled to full vesting of her unvested equity awards, with any PRSUs vesting based on target performance. The estimated value of such equity vesting, assuming a December 31, 2024 termination, would have been $5,054,688. Dr. Le Goff is not entitled to cash severance payments in connection with a termination of employment due to death or disability. </w:t>
      </w:r>
    </w:p>
    <w:p>
      <w:pPr>
        <w:pStyle w:val="TextBody"/>
        <w:bidi w:val="0"/>
        <w:spacing w:before="240" w:after="283"/>
        <w:ind w:left="1060" w:right="0" w:hanging="0"/>
        <w:jc w:val="left"/>
        <w:rPr>
          <w:rFonts w:ascii="Arial;Helvetica;sans-serif" w:hAnsi="Arial;Helvetica;sans-serif"/>
          <w:b/>
          <w:color w:val="636466"/>
          <w:sz w:val="18"/>
        </w:rPr>
      </w:pPr>
      <w:r>
        <w:rPr>
          <w:rFonts w:ascii="Arial;Helvetica;sans-serif" w:hAnsi="Arial;Helvetica;sans-serif"/>
          <w:b/>
          <w:color w:val="636466"/>
          <w:sz w:val="18"/>
        </w:rPr>
        <w:t xml:space="preserve">Termination in Connection with a Change in Control. </w:t>
      </w:r>
      <w:r>
        <w:rPr>
          <w:rFonts w:ascii="Arial;Helvetica;sans-serif" w:hAnsi="Arial;Helvetica;sans-serif"/>
          <w:b w:val="false"/>
          <w:color w:val="636466"/>
          <w:sz w:val="18"/>
        </w:rPr>
        <w:t xml:space="preserve">Dr. Le Goff is not entitled to enhanced severance payments in the event of a CIC Termination. However, for illustrative purposes it has been assumed that, in the event of a CIC Termination, she would be provided with payments and benefits consistent with the retired Mylan Severance Plan. If Dr. Le Goff incurred a CIC Termination on December 31, 2024, it is assumed for illustrative purposes that she would have received a payment equal to two times the sum of her base salary and her target annual bonus in effect at the time of such termination, payable in equal installments, twenty-four months of continued health and other benefits, and full vesting of her unvested equity awards, with any PRSUs vesting based on target performance. The estimated values of such payments and benefits, assuming a December 31, 2024 CIC Termination, would have been $3,598,193, in respect of cash severance and other benefits, and $5,054,688, in respect of the vesting of her equity awards. </w:t>
      </w:r>
    </w:p>
    <w:p>
      <w:pPr>
        <w:pStyle w:val="TextBody"/>
        <w:bidi w:val="0"/>
        <w:spacing w:before="420" w:after="283"/>
        <w:ind w:left="1060" w:right="0" w:hanging="0"/>
        <w:jc w:val="left"/>
        <w:rPr>
          <w:rFonts w:ascii="Arial;Helvetica;sans-serif" w:hAnsi="Arial;Helvetica;sans-serif"/>
          <w:color w:val="72288A"/>
          <w:sz w:val="24"/>
        </w:rPr>
      </w:pPr>
      <w:r>
        <w:rPr>
          <w:rFonts w:ascii="Arial;Helvetica;sans-serif" w:hAnsi="Arial;Helvetica;sans-serif"/>
          <w:color w:val="72288A"/>
          <w:sz w:val="24"/>
        </w:rPr>
        <w:t>Paul Campbell</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Mr. Campbell is entitled to the equity award treatment established by his equity award agreements with Viatris upon certain terminations of employment. For illustrative purposes it has been assumed that he would be provided with payments and benefits consistent with the Mylan Severance Plan.</w:t>
      </w:r>
    </w:p>
    <w:tbl>
      <w:tblPr>
        <w:tblW w:w="4980" w:type="dxa"/>
        <w:jc w:val="left"/>
        <w:tblInd w:w="106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64 | 2025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257"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27" descr=""/>
                          <pic:cNvPicPr>
                            <a:picLocks noChangeAspect="1" noChangeArrowheads="1"/>
                          </pic:cNvPicPr>
                        </pic:nvPicPr>
                        <pic:blipFill>
                          <a:blip r:embed="rId244"/>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258"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28" descr=""/>
                    <pic:cNvPicPr>
                      <a:picLocks noChangeAspect="1" noChangeArrowheads="1"/>
                    </pic:cNvPicPr>
                  </pic:nvPicPr>
                  <pic:blipFill>
                    <a:blip r:embed="rId245"/>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65" w:name="ny20055082x771_def14a_111-comp_pg8"/>
        <w:bookmarkEnd w:id="16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right"/>
        <w:rPr>
          <w:caps/>
          <w:color w:val="1F1C6B"/>
          <w:u w:val="single"/>
        </w:rPr>
      </w:pPr>
      <w:r>
        <w:rPr>
          <w:caps/>
          <w:color w:val="1F1C6B"/>
          <w:u w:val="single"/>
        </w:rPr>
        <w:t> </w:t>
      </w:r>
      <w:r>
        <w:rPr>
          <w:rFonts w:ascii="Arial;Helvetica;sans-serif" w:hAnsi="Arial;Helvetica;sans-serif"/>
          <w:caps/>
          <w:color w:val="1F1C6B"/>
          <w:sz w:val="18"/>
          <w:u w:val="single"/>
        </w:rPr>
        <w:t>Executive Compensation Tables </w:t>
      </w:r>
    </w:p>
    <w:p>
      <w:pPr>
        <w:pStyle w:val="TextBody"/>
        <w:bidi w:val="0"/>
        <w:spacing w:before="120" w:after="283"/>
        <w:ind w:left="1060" w:right="0" w:hanging="0"/>
        <w:jc w:val="left"/>
        <w:rPr>
          <w:rFonts w:ascii="Arial;Helvetica;sans-serif" w:hAnsi="Arial;Helvetica;sans-serif"/>
          <w:b/>
          <w:color w:val="636466"/>
          <w:sz w:val="18"/>
        </w:rPr>
      </w:pPr>
      <w:r>
        <w:rPr>
          <w:rFonts w:ascii="Arial;Helvetica;sans-serif" w:hAnsi="Arial;Helvetica;sans-serif"/>
          <w:b/>
          <w:color w:val="636466"/>
          <w:sz w:val="18"/>
        </w:rPr>
        <w:t xml:space="preserve">Termination Without Cause Absent a Change in Control. </w:t>
      </w:r>
      <w:r>
        <w:rPr>
          <w:rFonts w:ascii="Arial;Helvetica;sans-serif" w:hAnsi="Arial;Helvetica;sans-serif"/>
          <w:b w:val="false"/>
          <w:color w:val="636466"/>
          <w:sz w:val="18"/>
        </w:rPr>
        <w:t>If Mr. Campbell’s employment was terminated on December 31, 2024 by Viatris without cause, it is assumed for illustrative purposes that he would have received twelve months of base salary continuation, twelve months of continued health and other benefits, and eligibility for continued vesting of a prorated number of his PRSUs granted in 2023 and 2024 based on actual Company performance. The estimated values of such payments, assuming a December 31, 2024 termination of employment, would have been $792,922, in respect of cash severance and other benefits, and $1,307,076, in respect of the vesting of his PRSUs granted in 2023 and 2024 (assuming target performance).</w:t>
      </w:r>
    </w:p>
    <w:p>
      <w:pPr>
        <w:pStyle w:val="TextBody"/>
        <w:bidi w:val="0"/>
        <w:spacing w:before="240" w:after="283"/>
        <w:ind w:left="1060" w:right="0" w:hanging="0"/>
        <w:jc w:val="left"/>
        <w:rPr>
          <w:rFonts w:ascii="Arial;Helvetica;sans-serif" w:hAnsi="Arial;Helvetica;sans-serif"/>
          <w:b/>
          <w:color w:val="636466"/>
          <w:sz w:val="18"/>
        </w:rPr>
      </w:pPr>
      <w:r>
        <w:rPr>
          <w:rFonts w:ascii="Arial;Helvetica;sans-serif" w:hAnsi="Arial;Helvetica;sans-serif"/>
          <w:b/>
          <w:color w:val="636466"/>
          <w:sz w:val="18"/>
        </w:rPr>
        <w:t xml:space="preserve">Termination due to Death or Disability Absent a Change in Control. </w:t>
      </w:r>
      <w:r>
        <w:rPr>
          <w:rFonts w:ascii="Arial;Helvetica;sans-serif" w:hAnsi="Arial;Helvetica;sans-serif"/>
          <w:b w:val="false"/>
          <w:color w:val="636466"/>
          <w:sz w:val="18"/>
        </w:rPr>
        <w:t xml:space="preserve">If Mr. Campbell’s employment was terminated on December 31, 2024 due to death or disability, he would have been entitled to full vesting of his unvested equity awards, with any PRSUs vesting based on target performance. The estimated values of such equity vesting, assuming a December 31, 2024 termination, would have been $5,383,841. Mr. Campbell is not entitled to cash severance payments in connection with a termination of employment due to death or disability. </w:t>
      </w:r>
    </w:p>
    <w:p>
      <w:pPr>
        <w:pStyle w:val="TextBody"/>
        <w:bidi w:val="0"/>
        <w:spacing w:before="240" w:after="283"/>
        <w:ind w:left="1060" w:right="0" w:hanging="0"/>
        <w:jc w:val="left"/>
        <w:rPr>
          <w:rFonts w:ascii="Arial;Helvetica;sans-serif" w:hAnsi="Arial;Helvetica;sans-serif"/>
          <w:b/>
          <w:color w:val="636466"/>
          <w:sz w:val="18"/>
        </w:rPr>
      </w:pPr>
      <w:r>
        <w:rPr>
          <w:rFonts w:ascii="Arial;Helvetica;sans-serif" w:hAnsi="Arial;Helvetica;sans-serif"/>
          <w:b/>
          <w:color w:val="636466"/>
          <w:sz w:val="18"/>
        </w:rPr>
        <w:t xml:space="preserve">Termination in Connection with a Change in Control. </w:t>
      </w:r>
      <w:r>
        <w:rPr>
          <w:rFonts w:ascii="Arial;Helvetica;sans-serif" w:hAnsi="Arial;Helvetica;sans-serif"/>
          <w:b w:val="false"/>
          <w:color w:val="636466"/>
          <w:sz w:val="18"/>
        </w:rPr>
        <w:t>If Mr. Campbell incurred a CIC Termination on December 31, 2024, it is assumed for illustrative purposes that he would have received a payment equal to two times the sum of his base salary and his target annual bonus in effect at the time of such termination, payable in equal installments, twenty-four months of continued health and other benefits, and full vesting of his unvested equity awards, with any PRSUs vesting based on target performance. The estimated values of such payments and benefits, assuming a December 31, 2024 CIC Termination, would have been $2,998,635, in respect of cash severance and other benefits, and $5,383,841, in respect of the vesting of his equity awards.</w:t>
      </w:r>
    </w:p>
    <w:p>
      <w:pPr>
        <w:pStyle w:val="TextBody"/>
        <w:bidi w:val="0"/>
        <w:spacing w:before="420" w:after="283"/>
        <w:ind w:left="1060" w:right="0" w:hanging="0"/>
        <w:jc w:val="left"/>
        <w:rPr>
          <w:rFonts w:ascii="Arial;Helvetica;sans-serif" w:hAnsi="Arial;Helvetica;sans-serif"/>
          <w:color w:val="72288A"/>
          <w:sz w:val="24"/>
        </w:rPr>
      </w:pPr>
      <w:r>
        <w:rPr>
          <w:rFonts w:ascii="Arial;Helvetica;sans-serif" w:hAnsi="Arial;Helvetica;sans-serif"/>
          <w:color w:val="72288A"/>
          <w:sz w:val="24"/>
        </w:rPr>
        <w:t>Brian Roman</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Mr. Roman is entitled to the equity award treatment established by his equity award agreements with Viatris upon certain terminations of employment. For illustrative purposes it has been assumed that he would be provided with payments and benefits consistent with the retired Mylan Severance Plan.</w:t>
      </w:r>
    </w:p>
    <w:p>
      <w:pPr>
        <w:pStyle w:val="TextBody"/>
        <w:bidi w:val="0"/>
        <w:spacing w:before="240" w:after="283"/>
        <w:ind w:left="1060" w:right="0" w:hanging="0"/>
        <w:jc w:val="left"/>
        <w:rPr>
          <w:rFonts w:ascii="Arial;Helvetica;sans-serif" w:hAnsi="Arial;Helvetica;sans-serif"/>
          <w:b/>
          <w:color w:val="636466"/>
          <w:sz w:val="18"/>
        </w:rPr>
      </w:pPr>
      <w:r>
        <w:rPr>
          <w:rFonts w:ascii="Arial;Helvetica;sans-serif" w:hAnsi="Arial;Helvetica;sans-serif"/>
          <w:b/>
          <w:color w:val="636466"/>
          <w:sz w:val="18"/>
        </w:rPr>
        <w:t xml:space="preserve">Termination Without Cause Absent a Change in Control. </w:t>
      </w:r>
      <w:r>
        <w:rPr>
          <w:rFonts w:ascii="Arial;Helvetica;sans-serif" w:hAnsi="Arial;Helvetica;sans-serif"/>
          <w:b w:val="false"/>
          <w:color w:val="636466"/>
          <w:sz w:val="18"/>
        </w:rPr>
        <w:t>If Mr. Roman's employment was terminated on December 31, 2024 by Viatris without cause, it is assumed for illustrative purposes that he would have twelve months of base salary continuation, twelve months of continued health and other benefits, and eligibility for continued vesting of a prorated number of his PRSUs granted in 2023 and 2024 based on actual Company performance. The estimated values of such payments, assuming a December 31, 2024 termination of employment, would have been $892,922, in respect of cash severance and other benefits, and $1,411,407, in respect of the vesting of his PRSUs granted in 2023 and 2024 (assuming target performance).</w:t>
      </w:r>
    </w:p>
    <w:p>
      <w:pPr>
        <w:pStyle w:val="TextBody"/>
        <w:bidi w:val="0"/>
        <w:spacing w:before="240" w:after="283"/>
        <w:ind w:left="1060" w:right="0" w:hanging="0"/>
        <w:jc w:val="left"/>
        <w:rPr>
          <w:rFonts w:ascii="Arial;Helvetica;sans-serif" w:hAnsi="Arial;Helvetica;sans-serif"/>
          <w:b/>
          <w:color w:val="636466"/>
          <w:sz w:val="18"/>
        </w:rPr>
      </w:pPr>
      <w:r>
        <w:rPr>
          <w:rFonts w:ascii="Arial;Helvetica;sans-serif" w:hAnsi="Arial;Helvetica;sans-serif"/>
          <w:b/>
          <w:color w:val="636466"/>
          <w:sz w:val="18"/>
        </w:rPr>
        <w:t xml:space="preserve">Termination due to Death or Disability Absent a Change in Control. </w:t>
      </w:r>
      <w:r>
        <w:rPr>
          <w:rFonts w:ascii="Arial;Helvetica;sans-serif" w:hAnsi="Arial;Helvetica;sans-serif"/>
          <w:b w:val="false"/>
          <w:color w:val="636466"/>
          <w:sz w:val="18"/>
        </w:rPr>
        <w:t xml:space="preserve">If Mr. Roman's employment was terminated on December 31, 2024 due to death or disability, he would have been entitled to full vesting of his unvested equity awards, with any PRSUs vesting based on target performance. The estimated values of such equity vesting, assuming a December 31, 2024 termination, would have been $5,918,655. Mr. Roman is not entitled to cash severance payments in connection with a termination of employment due to death or disability. </w:t>
      </w:r>
    </w:p>
    <w:p>
      <w:pPr>
        <w:pStyle w:val="TextBody"/>
        <w:bidi w:val="0"/>
        <w:spacing w:before="240" w:after="283"/>
        <w:ind w:left="1060" w:right="0" w:hanging="0"/>
        <w:jc w:val="left"/>
        <w:rPr>
          <w:rFonts w:ascii="Arial;Helvetica;sans-serif" w:hAnsi="Arial;Helvetica;sans-serif"/>
          <w:b/>
          <w:color w:val="636466"/>
          <w:sz w:val="18"/>
        </w:rPr>
      </w:pPr>
      <w:r>
        <w:rPr>
          <w:rFonts w:ascii="Arial;Helvetica;sans-serif" w:hAnsi="Arial;Helvetica;sans-serif"/>
          <w:b/>
          <w:color w:val="636466"/>
          <w:sz w:val="18"/>
        </w:rPr>
        <w:t xml:space="preserve">Termination in Connection with a Change in Control. </w:t>
      </w:r>
      <w:r>
        <w:rPr>
          <w:rFonts w:ascii="Arial;Helvetica;sans-serif" w:hAnsi="Arial;Helvetica;sans-serif"/>
          <w:b w:val="false"/>
          <w:color w:val="636466"/>
          <w:sz w:val="18"/>
        </w:rPr>
        <w:t xml:space="preserve">If Mr. Roman incurred a CIC Termination on December 31, 2024, it is assumed for illustrative purposes that he would have received a payment equal to two times the sum of his base salary and his target annual bonus in effect at the time of such termination, payable in equal installments, twenty-four months of continued health and other benefits, and full vesting of his unvested equity awards, with any PRSUs vesting based on target performance. The estimated values of such payments and benefits, assuming a December 31, 2024 CIC Termination, would have been $3,398,635, in respect of cash severance and other benefits, and $5,918,655, in respect of the vesting of his equity awards. </w:t>
      </w:r>
    </w:p>
    <w:p>
      <w:pPr>
        <w:pStyle w:val="TextBody"/>
        <w:bidi w:val="0"/>
        <w:spacing w:before="420" w:after="283"/>
        <w:ind w:left="1060" w:right="0" w:hanging="0"/>
        <w:jc w:val="left"/>
        <w:rPr>
          <w:rFonts w:ascii="Arial;Helvetica;sans-serif" w:hAnsi="Arial;Helvetica;sans-serif"/>
          <w:color w:val="72288A"/>
          <w:sz w:val="24"/>
        </w:rPr>
      </w:pPr>
      <w:r>
        <w:rPr>
          <w:rFonts w:ascii="Arial;Helvetica;sans-serif" w:hAnsi="Arial;Helvetica;sans-serif"/>
          <w:color w:val="72288A"/>
          <w:sz w:val="24"/>
        </w:rPr>
        <w:t>Sanjeev Narula</w:t>
      </w:r>
    </w:p>
    <w:p>
      <w:pPr>
        <w:pStyle w:val="TextBody"/>
        <w:bidi w:val="0"/>
        <w:spacing w:before="160" w:after="283"/>
        <w:ind w:left="1060" w:right="0" w:hanging="0"/>
        <w:jc w:val="left"/>
        <w:rPr>
          <w:rFonts w:ascii="Arial;Helvetica;sans-serif" w:hAnsi="Arial;Helvetica;sans-serif"/>
          <w:color w:val="636466"/>
          <w:sz w:val="18"/>
        </w:rPr>
      </w:pPr>
      <w:bookmarkStart w:id="166" w:name="tTCW"/>
      <w:bookmarkEnd w:id="166"/>
      <w:r>
        <w:rPr>
          <w:rFonts w:ascii="Arial;Helvetica;sans-serif" w:hAnsi="Arial;Helvetica;sans-serif"/>
          <w:color w:val="636466"/>
          <w:sz w:val="18"/>
        </w:rPr>
        <w:t xml:space="preserve">On December 15, 2023, Mr. Narula entered into a separation agreement with Viatris pursuant to which he departed from the Company effective as of March 5, 2024. Mr. Narula's separation agreement provided for a cash payment equal to $3,700,000 payable in the form of installments over a period of two (2) years, a prorated annual bonus for 2024 based on actual Company performance (which was paid to him in the amount of $229,986), eligibility for continued vesting of a prorated number of PRSUs granted in each of 2022 and 2023 based on actual Company performance, reimbursement and allowances with respect to </w:t>
      </w:r>
    </w:p>
    <w:tbl>
      <w:tblPr>
        <w:tblW w:w="4980" w:type="dxa"/>
        <w:jc w:val="left"/>
        <w:tblInd w:w="106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259"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29" descr=""/>
                          <pic:cNvPicPr>
                            <a:picLocks noChangeAspect="1" noChangeArrowheads="1"/>
                          </pic:cNvPicPr>
                        </pic:nvPicPr>
                        <pic:blipFill>
                          <a:blip r:embed="rId246"/>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Statement | 65</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260"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30" descr=""/>
                    <pic:cNvPicPr>
                      <a:picLocks noChangeAspect="1" noChangeArrowheads="1"/>
                    </pic:cNvPicPr>
                  </pic:nvPicPr>
                  <pic:blipFill>
                    <a:blip r:embed="rId247"/>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67" w:name="ny20055082x771_def14a_111-comp_pg9"/>
        <w:bookmarkEnd w:id="16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left"/>
        <w:rPr>
          <w:caps/>
          <w:color w:val="1F1C6B"/>
          <w:u w:val="single"/>
        </w:rPr>
      </w:pPr>
      <w:r>
        <w:rPr>
          <w:caps/>
          <w:color w:val="1F1C6B"/>
          <w:u w:val="single"/>
        </w:rPr>
        <w:t> </w:t>
      </w:r>
      <w:r>
        <w:rPr>
          <w:rFonts w:ascii="Arial;Helvetica;sans-serif" w:hAnsi="Arial;Helvetica;sans-serif"/>
          <w:caps/>
          <w:color w:val="1F1C6B"/>
          <w:sz w:val="18"/>
          <w:u w:val="single"/>
        </w:rPr>
        <w:t>Executive Compensation Tables </w:t>
      </w:r>
    </w:p>
    <w:p>
      <w:pPr>
        <w:pStyle w:val="TextBody"/>
        <w:bidi w:val="0"/>
        <w:spacing w:before="12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reasonable relocation-related expenses, and up to thirty-six months of continued health and other benefits, subject to a release of claims and other customary conditions. Mr. Narula ultimately received five months of continued health and other benefits and tax preparation assistance for 2024, valued in the aggregate at $13,655. </w:t>
      </w:r>
    </w:p>
    <w:p>
      <w:pPr>
        <w:pStyle w:val="TextBody"/>
        <w:bidi w:val="0"/>
        <w:spacing w:before="420" w:after="283"/>
        <w:ind w:left="1060" w:right="0" w:hanging="0"/>
        <w:jc w:val="left"/>
        <w:rPr>
          <w:rFonts w:ascii="Arial;Helvetica;sans-serif" w:hAnsi="Arial;Helvetica;sans-serif"/>
          <w:color w:val="1F1C6B"/>
          <w:sz w:val="30"/>
        </w:rPr>
      </w:pPr>
      <w:bookmarkStart w:id="168" w:name="tCPR"/>
      <w:bookmarkEnd w:id="168"/>
      <w:r>
        <w:rPr>
          <w:rFonts w:ascii="Arial;Helvetica;sans-serif" w:hAnsi="Arial;Helvetica;sans-serif"/>
          <w:color w:val="1F1C6B"/>
          <w:sz w:val="30"/>
        </w:rPr>
        <w:t>CEO Pay Ratio</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Pursuant to Item 402(u) of Regulation S-K (“Item 402(u)”), we are providing the following information about the relationship of the annual total compensation of our global employee population and the annual total compensation of our CEO, Scott A. Smith, for 2024. The pay ratio included in this information is a reasonable estimate calculated in a manner consistent with Item 402(u). </w:t>
      </w:r>
    </w:p>
    <w:p>
      <w:pPr>
        <w:pStyle w:val="TextBody"/>
        <w:bidi w:val="0"/>
        <w:spacing w:before="240" w:after="283"/>
        <w:ind w:left="1060" w:right="0" w:hanging="0"/>
        <w:jc w:val="left"/>
        <w:rPr/>
      </w:pPr>
      <w:r>
        <w:rPr>
          <w:rFonts w:ascii="Arial;Helvetica;sans-serif" w:hAnsi="Arial;Helvetica;sans-serif"/>
          <w:color w:val="636466"/>
          <w:sz w:val="18"/>
        </w:rPr>
        <w:t xml:space="preserve">Further to this requirement, under Instruction 2 to Item 402(u), the median-paid employee may be identified once every three years if there is no impact to the pay ratio disclosure. In light of the changes in our employee population from the addition of 199 employees in connection with the completion of the acquisitions of Oyster Point and Famy Life Sciences in 2023, a new employee representing the median-paid employee has been selected for 2024. We chose base salary as our consistently applied compensation measure. We then calculated an annual base salary for each employee, annualizing pay for those employees who commenced work during 2024 and for any employees who were on leave for a portion of 2024. We collected the 2024 annual total compensation for the median employee using the same methodology we use for our NEOs as disclosed in the Summary Compensation Table on page </w:t>
      </w:r>
      <w:hyperlink w:anchor="tSCT">
        <w:r>
          <w:rPr>
            <w:rStyle w:val="InternetLink"/>
            <w:rFonts w:ascii="Arial;Helvetica;sans-serif" w:hAnsi="Arial;Helvetica;sans-serif"/>
            <w:color w:val="000080"/>
            <w:sz w:val="18"/>
          </w:rPr>
          <w:t>58</w:t>
        </w:r>
      </w:hyperlink>
      <w:r>
        <w:rPr>
          <w:rFonts w:ascii="Arial;Helvetica;sans-serif" w:hAnsi="Arial;Helvetica;sans-serif"/>
          <w:color w:val="636466"/>
          <w:sz w:val="18"/>
        </w:rPr>
        <w:t xml:space="preserve">. </w:t>
      </w:r>
    </w:p>
    <w:p>
      <w:pPr>
        <w:pStyle w:val="TextBody"/>
        <w:bidi w:val="0"/>
        <w:spacing w:before="240" w:after="283"/>
        <w:ind w:left="1060" w:right="0" w:hanging="0"/>
        <w:jc w:val="left"/>
        <w:rPr/>
      </w:pPr>
      <w:r>
        <w:rPr>
          <w:rFonts w:ascii="Arial;Helvetica;sans-serif" w:hAnsi="Arial;Helvetica;sans-serif"/>
          <w:color w:val="636466"/>
          <w:sz w:val="18"/>
        </w:rPr>
        <w:t xml:space="preserve">Total annual compensation for the median employee was $48,598 and is calculated according to the disclosure requirements of Item 402(u) and includes base salary, annual incentive, equity awards, change in pension values, and other compensation such as perquisites and medical benefits. The ratio of Mr. Smith's annual total compensation for 2024, which was $14,759,379 as reported in the Summary Compensation Table on page </w:t>
      </w:r>
      <w:hyperlink w:anchor="tSCT">
        <w:r>
          <w:rPr>
            <w:rStyle w:val="InternetLink"/>
            <w:rFonts w:ascii="Arial;Helvetica;sans-serif" w:hAnsi="Arial;Helvetica;sans-serif"/>
            <w:color w:val="000080"/>
            <w:sz w:val="18"/>
          </w:rPr>
          <w:t>58</w:t>
        </w:r>
      </w:hyperlink>
      <w:r>
        <w:rPr>
          <w:rFonts w:ascii="Arial;Helvetica;sans-serif" w:hAnsi="Arial;Helvetica;sans-serif"/>
          <w:color w:val="636466"/>
          <w:sz w:val="18"/>
        </w:rPr>
        <w:t>, along with the cost of employer-provided medical benefits ($22,413) to the median employee annual total compensation determined on the same basis was 304 to 1.</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Our median employee is located in India, which reflects the true global nature of our organization and the fact that we are a diversified company within our peer group whose employees participate in all aspects of bringing our products to market, from R&amp;D to manufacturing. This diversification should be considered by readers who would compare our CEO Pay Ratio to those within our peer or industry group and reflects differences in pay demographics among those groups. Pay ratios may not be comparable because of different employee populations, geographic distribution of employees, and compensation practices and companies may utilize different methodologies, exclusions, estimates, and assumptions in calculating their own pay ratios. </w:t>
      </w:r>
    </w:p>
    <w:tbl>
      <w:tblPr>
        <w:tblW w:w="4980" w:type="dxa"/>
        <w:jc w:val="left"/>
        <w:tblInd w:w="106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66 | 2025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261"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31" descr=""/>
                          <pic:cNvPicPr>
                            <a:picLocks noChangeAspect="1" noChangeArrowheads="1"/>
                          </pic:cNvPicPr>
                        </pic:nvPicPr>
                        <pic:blipFill>
                          <a:blip r:embed="rId248"/>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262"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32" descr=""/>
                    <pic:cNvPicPr>
                      <a:picLocks noChangeAspect="1" noChangeArrowheads="1"/>
                    </pic:cNvPicPr>
                  </pic:nvPicPr>
                  <pic:blipFill>
                    <a:blip r:embed="rId249"/>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69" w:name="ny20055082x771_def14a_111-comp_pg10"/>
        <w:bookmarkEnd w:id="16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right"/>
        <w:rPr>
          <w:caps/>
          <w:color w:val="1F1C6B"/>
          <w:u w:val="single"/>
        </w:rPr>
      </w:pPr>
      <w:r>
        <w:rPr>
          <w:caps/>
          <w:color w:val="1F1C6B"/>
          <w:u w:val="single"/>
        </w:rPr>
        <w:t> </w:t>
      </w:r>
      <w:r>
        <w:rPr>
          <w:rFonts w:ascii="Arial;Helvetica;sans-serif" w:hAnsi="Arial;Helvetica;sans-serif"/>
          <w:caps/>
          <w:color w:val="1F1C6B"/>
          <w:sz w:val="18"/>
          <w:u w:val="single"/>
        </w:rPr>
        <w:t>Executive Compensation Tables </w:t>
      </w:r>
    </w:p>
    <w:p>
      <w:pPr>
        <w:pStyle w:val="TextBody"/>
        <w:bidi w:val="0"/>
        <w:spacing w:before="200" w:after="283"/>
        <w:ind w:left="1060" w:right="0" w:hanging="0"/>
        <w:jc w:val="left"/>
        <w:rPr>
          <w:rFonts w:ascii="Arial;Helvetica;sans-serif" w:hAnsi="Arial;Helvetica;sans-serif"/>
          <w:color w:val="1F1C6B"/>
          <w:sz w:val="30"/>
        </w:rPr>
      </w:pPr>
      <w:bookmarkStart w:id="170" w:name="tPVP"/>
      <w:bookmarkEnd w:id="170"/>
      <w:r>
        <w:rPr>
          <w:rFonts w:ascii="Arial;Helvetica;sans-serif" w:hAnsi="Arial;Helvetica;sans-serif"/>
          <w:color w:val="1F1C6B"/>
          <w:sz w:val="30"/>
        </w:rPr>
        <w:t>Pay Versus Performance</w:t>
      </w:r>
    </w:p>
    <w:p>
      <w:pPr>
        <w:pStyle w:val="TextBody"/>
        <w:bidi w:val="0"/>
        <w:spacing w:before="160" w:after="283"/>
        <w:ind w:left="1060" w:right="0" w:hanging="0"/>
        <w:jc w:val="left"/>
        <w:rPr/>
      </w:pPr>
      <w:r>
        <w:rPr>
          <w:rFonts w:ascii="Arial;Helvetica;sans-serif" w:hAnsi="Arial;Helvetica;sans-serif"/>
          <w:color w:val="636466"/>
          <w:sz w:val="18"/>
        </w:rPr>
        <w:t xml:space="preserve">As required by Section 953(a) of the Dodd-Frank Wall Street Reform and Consumer Protection Act and Item 402(v) of Regulation S-K (“Compensation Actually Paid”), we are providing the following disclosure regarding executive compensation for our principal executive officers (“PEO 1” and “PEO 2” and, together, the “PEOs”) and non-PEO NEOs and Company performance for the fiscal years listed below. For further information concerning the Company’s variable pay-for-performance philosophy and how the Company aligns executive compensation with the Company’s performance, refer to “Compensation Discussion and Analysis” beginning on page </w:t>
      </w:r>
      <w:hyperlink w:anchor="tCDA">
        <w:r>
          <w:rPr>
            <w:rStyle w:val="InternetLink"/>
            <w:rFonts w:ascii="Arial;Helvetica;sans-serif" w:hAnsi="Arial;Helvetica;sans-serif"/>
            <w:color w:val="000080"/>
            <w:sz w:val="18"/>
          </w:rPr>
          <w:t>43</w:t>
        </w:r>
      </w:hyperlink>
      <w:r>
        <w:rPr>
          <w:rFonts w:ascii="Arial;Helvetica;sans-serif" w:hAnsi="Arial;Helvetica;sans-serif"/>
          <w:color w:val="636466"/>
          <w:sz w:val="18"/>
        </w:rPr>
        <w:t>.</w:t>
      </w:r>
    </w:p>
    <w:p>
      <w:pPr>
        <w:pStyle w:val="TextBody"/>
        <w:bidi w:val="0"/>
        <w:spacing w:before="420" w:after="283"/>
        <w:ind w:left="1060" w:right="0" w:hanging="0"/>
        <w:jc w:val="left"/>
        <w:rPr>
          <w:rFonts w:ascii="Arial;Helvetica;sans-serif" w:hAnsi="Arial;Helvetica;sans-serif"/>
          <w:color w:val="72288A"/>
          <w:sz w:val="24"/>
        </w:rPr>
      </w:pPr>
      <w:r>
        <w:rPr>
          <w:rFonts w:ascii="Arial;Helvetica;sans-serif" w:hAnsi="Arial;Helvetica;sans-serif"/>
          <w:color w:val="72288A"/>
          <w:sz w:val="24"/>
        </w:rPr>
        <w:t>Pay Versus Performance (“PVP”) Table</w:t>
      </w:r>
    </w:p>
    <w:tbl>
      <w:tblPr>
        <w:tblW w:w="12555" w:type="dxa"/>
        <w:jc w:val="left"/>
        <w:tblInd w:w="1060" w:type="dxa"/>
        <w:tblLayout w:type="fixed"/>
        <w:tblCellMar>
          <w:top w:w="0" w:type="dxa"/>
          <w:left w:w="0" w:type="dxa"/>
          <w:bottom w:w="0" w:type="dxa"/>
          <w:right w:w="0" w:type="dxa"/>
        </w:tblCellMar>
      </w:tblPr>
      <w:tblGrid>
        <w:gridCol w:w="185"/>
        <w:gridCol w:w="350"/>
        <w:gridCol w:w="170"/>
        <w:gridCol w:w="170"/>
        <w:gridCol w:w="950"/>
        <w:gridCol w:w="170"/>
        <w:gridCol w:w="170"/>
        <w:gridCol w:w="950"/>
        <w:gridCol w:w="170"/>
        <w:gridCol w:w="170"/>
        <w:gridCol w:w="950"/>
        <w:gridCol w:w="170"/>
        <w:gridCol w:w="170"/>
        <w:gridCol w:w="950"/>
        <w:gridCol w:w="170"/>
        <w:gridCol w:w="170"/>
        <w:gridCol w:w="950"/>
        <w:gridCol w:w="170"/>
        <w:gridCol w:w="170"/>
        <w:gridCol w:w="950"/>
        <w:gridCol w:w="170"/>
        <w:gridCol w:w="170"/>
        <w:gridCol w:w="755"/>
        <w:gridCol w:w="170"/>
        <w:gridCol w:w="170"/>
        <w:gridCol w:w="470"/>
        <w:gridCol w:w="170"/>
        <w:gridCol w:w="170"/>
        <w:gridCol w:w="740"/>
        <w:gridCol w:w="170"/>
        <w:gridCol w:w="170"/>
        <w:gridCol w:w="740"/>
        <w:gridCol w:w="215"/>
      </w:tblGrid>
      <w:tr>
        <w:trPr/>
        <w:tc>
          <w:tcPr>
            <w:tcW w:w="185" w:type="dxa"/>
            <w:tcBorders/>
            <w:shd w:fill="1F1C6B" w:val="clear"/>
            <w:vAlign w:val="center"/>
          </w:tcPr>
          <w:p>
            <w:pPr>
              <w:pStyle w:val="TableContents"/>
              <w:bidi w:val="0"/>
              <w:spacing w:before="0" w:after="0"/>
              <w:jc w:val="left"/>
              <w:rPr/>
            </w:pPr>
            <w:r>
              <w:rPr/>
              <w:t> </w:t>
            </w:r>
          </w:p>
        </w:tc>
        <w:tc>
          <w:tcPr>
            <w:tcW w:w="35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5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5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5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5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5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5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5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4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4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40"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350"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4"/>
              </w:rPr>
            </w:pPr>
            <w:r>
              <w:rPr>
                <w:rFonts w:ascii="Arial;Helvetica;sans-serif" w:hAnsi="Arial;Helvetica;sans-serif"/>
                <w:b/>
                <w:color w:val="FFFFFF"/>
                <w:sz w:val="14"/>
              </w:rPr>
              <w:t>Year</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5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Summary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Compensation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Table Total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for PEO 1</w:t>
            </w:r>
            <w:r>
              <w:rPr>
                <w:rFonts w:ascii="Arial;Helvetica;sans-serif" w:hAnsi="Arial;Helvetica;sans-serif"/>
                <w:b/>
                <w:color w:val="FFFFFF"/>
                <w:position w:val="5"/>
                <w:sz w:val="11"/>
                <w:sz w:val="14"/>
              </w:rPr>
              <w:t>1</w:t>
            </w:r>
            <w:r>
              <w:rPr>
                <w:rFonts w:ascii="Arial;Helvetica;sans-serif" w:hAnsi="Arial;Helvetica;sans-serif"/>
                <w:b/>
                <w:color w:val="FFFFFF"/>
                <w:sz w:val="14"/>
              </w:rPr>
              <w:t xml:space="preser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5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Summary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Compensation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Table Total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for PEO 2</w:t>
            </w:r>
            <w:r>
              <w:rPr>
                <w:rFonts w:ascii="Arial;Helvetica;sans-serif" w:hAnsi="Arial;Helvetica;sans-serif"/>
                <w:b/>
                <w:color w:val="FFFFFF"/>
                <w:position w:val="5"/>
                <w:sz w:val="11"/>
                <w:sz w:val="14"/>
              </w:rPr>
              <w:t>1</w:t>
            </w:r>
            <w:r>
              <w:rPr>
                <w:rFonts w:ascii="Arial;Helvetica;sans-serif" w:hAnsi="Arial;Helvetica;sans-serif"/>
                <w:b/>
                <w:color w:val="FFFFFF"/>
                <w:sz w:val="14"/>
              </w:rPr>
              <w:t xml:space="preser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5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Compensation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Actually Paid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to PEO 1</w:t>
            </w:r>
            <w:r>
              <w:rPr>
                <w:rFonts w:ascii="Arial;Helvetica;sans-serif" w:hAnsi="Arial;Helvetica;sans-serif"/>
                <w:b/>
                <w:color w:val="FFFFFF"/>
                <w:position w:val="5"/>
                <w:sz w:val="11"/>
                <w:sz w:val="14"/>
              </w:rPr>
              <w:t>1,2,3</w:t>
            </w:r>
            <w:r>
              <w:rPr>
                <w:rFonts w:ascii="Arial;Helvetica;sans-serif" w:hAnsi="Arial;Helvetica;sans-serif"/>
                <w:b/>
                <w:color w:val="FFFFFF"/>
                <w:sz w:val="14"/>
              </w:rPr>
              <w:t xml:space="preser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5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Compensation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Actually Paid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to PEO 2</w:t>
            </w:r>
            <w:r>
              <w:rPr>
                <w:rFonts w:ascii="Arial;Helvetica;sans-serif" w:hAnsi="Arial;Helvetica;sans-serif"/>
                <w:b/>
                <w:color w:val="FFFFFF"/>
                <w:position w:val="5"/>
                <w:sz w:val="11"/>
                <w:sz w:val="14"/>
              </w:rPr>
              <w:t>1,2,3</w:t>
            </w:r>
            <w:r>
              <w:rPr>
                <w:rFonts w:ascii="Arial;Helvetica;sans-serif" w:hAnsi="Arial;Helvetica;sans-serif"/>
                <w:b/>
                <w:color w:val="FFFFFF"/>
                <w:sz w:val="14"/>
              </w:rPr>
              <w:t xml:space="preser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5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Average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Summary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Compensation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Table Total for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Non-PEO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NEOs</w:t>
            </w:r>
            <w:r>
              <w:rPr>
                <w:rFonts w:ascii="Arial;Helvetica;sans-serif" w:hAnsi="Arial;Helvetica;sans-serif"/>
                <w:b/>
                <w:color w:val="FFFFFF"/>
                <w:position w:val="5"/>
                <w:sz w:val="11"/>
                <w:sz w:val="14"/>
              </w:rPr>
              <w:t>1</w:t>
            </w:r>
            <w:r>
              <w:rPr>
                <w:rFonts w:ascii="Arial;Helvetica;sans-serif" w:hAnsi="Arial;Helvetica;sans-serif"/>
                <w:b/>
                <w:color w:val="FFFFFF"/>
                <w:sz w:val="14"/>
              </w:rPr>
              <w:t xml:space="preser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5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Average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Compensation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Actually Paid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to Non-PEO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NEOs</w:t>
            </w:r>
            <w:r>
              <w:rPr>
                <w:rFonts w:ascii="Arial;Helvetica;sans-serif" w:hAnsi="Arial;Helvetica;sans-serif"/>
                <w:b/>
                <w:color w:val="FFFFFF"/>
                <w:position w:val="5"/>
                <w:sz w:val="11"/>
                <w:sz w:val="14"/>
              </w:rPr>
              <w:t>1,2,3</w:t>
            </w:r>
            <w:r>
              <w:rPr>
                <w:rFonts w:ascii="Arial;Helvetica;sans-serif" w:hAnsi="Arial;Helvetica;sans-serif"/>
                <w:b/>
                <w:color w:val="FFFFFF"/>
                <w:sz w:val="14"/>
              </w:rPr>
              <w:t xml:space="preser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55"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Value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Initial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Fixed $100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Investment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based 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TSR</w:t>
            </w:r>
            <w:r>
              <w:rPr>
                <w:rFonts w:ascii="Arial;Helvetica;sans-serif" w:hAnsi="Arial;Helvetica;sans-serif"/>
                <w:b/>
                <w:color w:val="FFFFFF"/>
                <w:position w:val="5"/>
                <w:sz w:val="11"/>
                <w:sz w:val="14"/>
              </w:rPr>
              <w:t>4</w:t>
            </w:r>
            <w:r>
              <w:rPr>
                <w:rFonts w:ascii="Arial;Helvetica;sans-serif" w:hAnsi="Arial;Helvetica;sans-serif"/>
                <w:b/>
                <w:color w:val="FFFFFF"/>
                <w:sz w:val="14"/>
              </w:rPr>
              <w:t xml:space="preser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47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Peer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Group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TSR</w:t>
            </w:r>
            <w:r>
              <w:rPr>
                <w:rFonts w:ascii="Arial;Helvetica;sans-serif" w:hAnsi="Arial;Helvetica;sans-serif"/>
                <w:b/>
                <w:color w:val="FFFFFF"/>
                <w:position w:val="5"/>
                <w:sz w:val="11"/>
                <w:sz w:val="14"/>
              </w:rPr>
              <w:t>5</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4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Net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Income</w:t>
            </w:r>
            <w:r>
              <w:rPr>
                <w:rFonts w:ascii="Arial;Helvetica;sans-serif" w:hAnsi="Arial;Helvetica;sans-serif"/>
                <w:b/>
                <w:color w:val="FFFFFF"/>
                <w:position w:val="5"/>
                <w:sz w:val="11"/>
                <w:sz w:val="14"/>
              </w:rPr>
              <w:t>6,7</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millions)</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4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Free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Cash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Flow</w:t>
            </w:r>
            <w:r>
              <w:rPr>
                <w:rFonts w:ascii="Arial;Helvetica;sans-serif" w:hAnsi="Arial;Helvetica;sans-serif"/>
                <w:b/>
                <w:color w:val="FFFFFF"/>
                <w:position w:val="5"/>
                <w:sz w:val="11"/>
                <w:sz w:val="14"/>
              </w:rPr>
              <w:t>7,8</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millions)</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30" w:right="0" w:hanging="0"/>
              <w:jc w:val="left"/>
              <w:rPr>
                <w:rFonts w:ascii="Arial;Helvetica;sans-serif" w:hAnsi="Arial;Helvetica;sans-serif"/>
                <w:color w:val="636466"/>
                <w:sz w:val="14"/>
              </w:rPr>
            </w:pPr>
            <w:r>
              <w:rPr>
                <w:rFonts w:ascii="Arial;Helvetica;sans-serif" w:hAnsi="Arial;Helvetica;sans-serif"/>
                <w:color w:val="636466"/>
                <w:sz w:val="14"/>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42" w:right="0" w:hanging="0"/>
              <w:jc w:val="left"/>
              <w:rPr>
                <w:color w:val="636466"/>
              </w:rPr>
            </w:pPr>
            <w:r>
              <w:rPr>
                <w:color w:val="63646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42" w:right="0" w:hanging="0"/>
              <w:jc w:val="left"/>
              <w:rPr>
                <w:rFonts w:ascii="Arial;Helvetica;sans-serif" w:hAnsi="Arial;Helvetica;sans-serif"/>
                <w:color w:val="636466"/>
                <w:sz w:val="14"/>
              </w:rPr>
            </w:pPr>
            <w:r>
              <w:rPr>
                <w:rFonts w:ascii="Arial;Helvetica;sans-serif" w:hAnsi="Arial;Helvetica;sans-serif"/>
                <w:color w:val="636466"/>
                <w:sz w:val="14"/>
              </w:rPr>
              <w:t>14,759,379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42" w:right="0" w:hanging="0"/>
              <w:jc w:val="left"/>
              <w:rPr>
                <w:color w:val="636466"/>
              </w:rPr>
            </w:pPr>
            <w:r>
              <w:rPr>
                <w:color w:val="63646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42" w:right="0" w:hanging="0"/>
              <w:jc w:val="left"/>
              <w:rPr>
                <w:rFonts w:ascii="Arial;Helvetica;sans-serif" w:hAnsi="Arial;Helvetica;sans-serif"/>
                <w:color w:val="636466"/>
                <w:sz w:val="14"/>
              </w:rPr>
            </w:pPr>
            <w:r>
              <w:rPr>
                <w:rFonts w:ascii="Arial;Helvetica;sans-serif" w:hAnsi="Arial;Helvetica;sans-serif"/>
                <w:color w:val="636466"/>
                <w:sz w:val="14"/>
              </w:rPr>
              <w:t xml:space="preserve">17,786,772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42" w:right="0" w:hanging="0"/>
              <w:jc w:val="left"/>
              <w:rPr>
                <w:rFonts w:ascii="Arial;Helvetica;sans-serif" w:hAnsi="Arial;Helvetica;sans-serif"/>
                <w:color w:val="636466"/>
                <w:sz w:val="14"/>
              </w:rPr>
            </w:pPr>
            <w:r>
              <w:rPr>
                <w:rFonts w:ascii="Arial;Helvetica;sans-serif" w:hAnsi="Arial;Helvetica;sans-serif"/>
                <w:color w:val="636466"/>
                <w:sz w:val="14"/>
              </w:rPr>
              <w:t>5,548,566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42" w:right="0" w:hanging="0"/>
              <w:jc w:val="left"/>
              <w:rPr>
                <w:rFonts w:ascii="Arial;Helvetica;sans-serif" w:hAnsi="Arial;Helvetica;sans-serif"/>
                <w:color w:val="636466"/>
                <w:sz w:val="14"/>
              </w:rPr>
            </w:pPr>
            <w:r>
              <w:rPr>
                <w:rFonts w:ascii="Arial;Helvetica;sans-serif" w:hAnsi="Arial;Helvetica;sans-serif"/>
                <w:color w:val="636466"/>
                <w:sz w:val="14"/>
              </w:rPr>
              <w:t>5,445,568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68" w:right="0" w:hanging="0"/>
              <w:jc w:val="left"/>
              <w:rPr>
                <w:rFonts w:ascii="Arial;Helvetica;sans-serif" w:hAnsi="Arial;Helvetica;sans-serif"/>
                <w:color w:val="636466"/>
                <w:sz w:val="14"/>
              </w:rPr>
            </w:pPr>
            <w:r>
              <w:rPr>
                <w:rFonts w:ascii="Arial;Helvetica;sans-serif" w:hAnsi="Arial;Helvetica;sans-serif"/>
                <w:color w:val="636466"/>
                <w:sz w:val="14"/>
              </w:rPr>
              <w:t>92.55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152.31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75" w:right="0" w:hanging="0"/>
              <w:jc w:val="left"/>
              <w:rPr>
                <w:rFonts w:ascii="Arial;Helvetica;sans-serif" w:hAnsi="Arial;Helvetica;sans-serif"/>
                <w:color w:val="636466"/>
                <w:sz w:val="14"/>
              </w:rPr>
            </w:pPr>
            <w:r>
              <w:rPr>
                <w:rFonts w:ascii="Arial;Helvetica;sans-serif" w:hAnsi="Arial;Helvetica;sans-serif"/>
                <w:color w:val="636466"/>
                <w:sz w:val="14"/>
              </w:rPr>
              <w:t>(634)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94" w:right="0" w:hanging="0"/>
              <w:jc w:val="left"/>
              <w:rPr>
                <w:rFonts w:ascii="Arial;Helvetica;sans-serif" w:hAnsi="Arial;Helvetica;sans-serif"/>
                <w:color w:val="636466"/>
                <w:sz w:val="14"/>
              </w:rPr>
            </w:pPr>
            <w:r>
              <w:rPr>
                <w:rFonts w:ascii="Arial;Helvetica;sans-serif" w:hAnsi="Arial;Helvetica;sans-serif"/>
                <w:color w:val="636466"/>
                <w:sz w:val="14"/>
              </w:rPr>
              <w:t>1,977</w:t>
            </w:r>
            <w:r>
              <w:rPr>
                <w:rFonts w:ascii="Arial;Helvetica;sans-serif" w:hAnsi="Arial;Helvetica;sans-serif"/>
                <w:color w:val="636466"/>
                <w:position w:val="5"/>
                <w:sz w:val="11"/>
                <w:sz w:val="14"/>
              </w:rPr>
              <w:t>9</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350"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4"/>
              </w:rPr>
            </w:pPr>
            <w:r>
              <w:rPr>
                <w:rFonts w:ascii="Arial;Helvetica;sans-serif" w:hAnsi="Arial;Helvetica;sans-serif"/>
                <w:color w:val="636466"/>
                <w:sz w:val="14"/>
              </w:rPr>
              <w:t>2023</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142" w:right="0" w:hanging="0"/>
              <w:jc w:val="left"/>
              <w:rPr>
                <w:rFonts w:ascii="Arial;Helvetica;sans-serif" w:hAnsi="Arial;Helvetica;sans-serif"/>
                <w:color w:val="636466"/>
                <w:sz w:val="14"/>
              </w:rPr>
            </w:pPr>
            <w:r>
              <w:rPr>
                <w:rFonts w:ascii="Arial;Helvetica;sans-serif" w:hAnsi="Arial;Helvetica;sans-serif"/>
                <w:color w:val="636466"/>
                <w:sz w:val="14"/>
              </w:rPr>
              <w:t>9,843,710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142" w:right="0" w:hanging="0"/>
              <w:jc w:val="left"/>
              <w:rPr>
                <w:rFonts w:ascii="Arial;Helvetica;sans-serif" w:hAnsi="Arial;Helvetica;sans-serif"/>
                <w:color w:val="636466"/>
                <w:sz w:val="14"/>
              </w:rPr>
            </w:pPr>
            <w:r>
              <w:rPr>
                <w:rFonts w:ascii="Arial;Helvetica;sans-serif" w:hAnsi="Arial;Helvetica;sans-serif"/>
                <w:color w:val="636466"/>
                <w:sz w:val="14"/>
              </w:rPr>
              <w:t>15,930,409</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142" w:right="0" w:hanging="0"/>
              <w:jc w:val="left"/>
              <w:rPr>
                <w:rFonts w:ascii="Arial;Helvetica;sans-serif" w:hAnsi="Arial;Helvetica;sans-serif"/>
                <w:color w:val="636466"/>
                <w:sz w:val="14"/>
              </w:rPr>
            </w:pPr>
            <w:r>
              <w:rPr>
                <w:rFonts w:ascii="Arial;Helvetica;sans-serif" w:hAnsi="Arial;Helvetica;sans-serif"/>
                <w:color w:val="636466"/>
                <w:sz w:val="14"/>
              </w:rPr>
              <w:t>(4,915,598)</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142" w:right="0" w:hanging="0"/>
              <w:jc w:val="left"/>
              <w:rPr>
                <w:rFonts w:ascii="Arial;Helvetica;sans-serif" w:hAnsi="Arial;Helvetica;sans-serif"/>
                <w:color w:val="636466"/>
                <w:sz w:val="14"/>
              </w:rPr>
            </w:pPr>
            <w:r>
              <w:rPr>
                <w:rFonts w:ascii="Arial;Helvetica;sans-serif" w:hAnsi="Arial;Helvetica;sans-serif"/>
                <w:color w:val="636466"/>
                <w:sz w:val="14"/>
              </w:rPr>
              <w:t>17,793,731</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142" w:right="0" w:hanging="0"/>
              <w:jc w:val="left"/>
              <w:rPr>
                <w:rFonts w:ascii="Arial;Helvetica;sans-serif" w:hAnsi="Arial;Helvetica;sans-serif"/>
                <w:color w:val="636466"/>
                <w:sz w:val="14"/>
              </w:rPr>
            </w:pPr>
            <w:r>
              <w:rPr>
                <w:rFonts w:ascii="Arial;Helvetica;sans-serif" w:hAnsi="Arial;Helvetica;sans-serif"/>
                <w:color w:val="636466"/>
                <w:sz w:val="14"/>
              </w:rPr>
              <w:t>14,262,640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142" w:right="0" w:hanging="0"/>
              <w:jc w:val="left"/>
              <w:rPr>
                <w:rFonts w:ascii="Arial;Helvetica;sans-serif" w:hAnsi="Arial;Helvetica;sans-serif"/>
                <w:color w:val="636466"/>
                <w:sz w:val="14"/>
              </w:rPr>
            </w:pPr>
            <w:r>
              <w:rPr>
                <w:rFonts w:ascii="Arial;Helvetica;sans-serif" w:hAnsi="Arial;Helvetica;sans-serif"/>
                <w:color w:val="636466"/>
                <w:sz w:val="14"/>
              </w:rPr>
              <w:t>17,504,759</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55" w:type="dxa"/>
            <w:tcBorders/>
            <w:shd w:fill="E7E0EF" w:val="clear"/>
            <w:vAlign w:val="center"/>
          </w:tcPr>
          <w:p>
            <w:pPr>
              <w:pStyle w:val="TableContents"/>
              <w:bidi w:val="0"/>
              <w:spacing w:before="0" w:after="283"/>
              <w:ind w:left="168" w:right="0" w:hanging="0"/>
              <w:jc w:val="left"/>
              <w:rPr>
                <w:rFonts w:ascii="Arial;Helvetica;sans-serif" w:hAnsi="Arial;Helvetica;sans-serif"/>
                <w:color w:val="636466"/>
                <w:sz w:val="14"/>
              </w:rPr>
            </w:pPr>
            <w:r>
              <w:rPr>
                <w:rFonts w:ascii="Arial;Helvetica;sans-serif" w:hAnsi="Arial;Helvetica;sans-serif"/>
                <w:color w:val="636466"/>
                <w:sz w:val="14"/>
              </w:rPr>
              <w:t>77.34</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7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141.08</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40" w:type="dxa"/>
            <w:tcBorders/>
            <w:shd w:fill="E7E0EF" w:val="clear"/>
            <w:vAlign w:val="center"/>
          </w:tcPr>
          <w:p>
            <w:pPr>
              <w:pStyle w:val="TableContents"/>
              <w:bidi w:val="0"/>
              <w:spacing w:before="0" w:after="283"/>
              <w:ind w:left="175" w:right="0" w:hanging="0"/>
              <w:jc w:val="left"/>
              <w:rPr>
                <w:rFonts w:ascii="Arial;Helvetica;sans-serif" w:hAnsi="Arial;Helvetica;sans-serif"/>
                <w:color w:val="636466"/>
                <w:sz w:val="14"/>
              </w:rPr>
            </w:pPr>
            <w:r>
              <w:rPr>
                <w:rFonts w:ascii="Arial;Helvetica;sans-serif" w:hAnsi="Arial;Helvetica;sans-serif"/>
                <w:color w:val="636466"/>
                <w:sz w:val="14"/>
              </w:rPr>
              <w:t xml:space="preserve">55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40" w:type="dxa"/>
            <w:tcBorders/>
            <w:shd w:fill="E7E0EF" w:val="clear"/>
            <w:vAlign w:val="center"/>
          </w:tcPr>
          <w:p>
            <w:pPr>
              <w:pStyle w:val="TableContents"/>
              <w:bidi w:val="0"/>
              <w:spacing w:before="0" w:after="283"/>
              <w:ind w:left="194" w:right="0" w:hanging="0"/>
              <w:jc w:val="left"/>
              <w:rPr>
                <w:rFonts w:ascii="Arial;Helvetica;sans-serif" w:hAnsi="Arial;Helvetica;sans-serif"/>
                <w:color w:val="636466"/>
                <w:sz w:val="14"/>
              </w:rPr>
            </w:pPr>
            <w:r>
              <w:rPr>
                <w:rFonts w:ascii="Arial;Helvetica;sans-serif" w:hAnsi="Arial;Helvetica;sans-serif"/>
                <w:color w:val="636466"/>
                <w:sz w:val="14"/>
              </w:rPr>
              <w:t>2,523</w:t>
            </w:r>
            <w:r>
              <w:rPr>
                <w:rFonts w:ascii="Arial;Helvetica;sans-serif" w:hAnsi="Arial;Helvetica;sans-serif"/>
                <w:color w:val="636466"/>
                <w:position w:val="5"/>
                <w:sz w:val="11"/>
                <w:sz w:val="14"/>
              </w:rPr>
              <w:t>9</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30" w:right="0" w:hanging="0"/>
              <w:jc w:val="left"/>
              <w:rPr>
                <w:rFonts w:ascii="Arial;Helvetica;sans-serif" w:hAnsi="Arial;Helvetica;sans-serif"/>
                <w:color w:val="636466"/>
                <w:sz w:val="14"/>
              </w:rPr>
            </w:pPr>
            <w:r>
              <w:rPr>
                <w:rFonts w:ascii="Arial;Helvetica;sans-serif" w:hAnsi="Arial;Helvetica;sans-serif"/>
                <w:color w:val="636466"/>
                <w:sz w:val="14"/>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42" w:right="0" w:hanging="0"/>
              <w:jc w:val="left"/>
              <w:rPr>
                <w:rFonts w:ascii="Arial;Helvetica;sans-serif" w:hAnsi="Arial;Helvetica;sans-serif"/>
                <w:color w:val="636466"/>
                <w:sz w:val="14"/>
              </w:rPr>
            </w:pPr>
            <w:r>
              <w:rPr>
                <w:rFonts w:ascii="Arial;Helvetica;sans-serif" w:hAnsi="Arial;Helvetica;sans-serif"/>
                <w:color w:val="636466"/>
                <w:sz w:val="14"/>
              </w:rPr>
              <w:t>14,771,270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42" w:right="0" w:hanging="0"/>
              <w:jc w:val="left"/>
              <w:rPr>
                <w:color w:val="636466"/>
              </w:rPr>
            </w:pPr>
            <w:r>
              <w:rPr>
                <w:color w:val="63646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42" w:right="0" w:hanging="0"/>
              <w:jc w:val="left"/>
              <w:rPr>
                <w:rFonts w:ascii="Arial;Helvetica;sans-serif" w:hAnsi="Arial;Helvetica;sans-serif"/>
                <w:color w:val="636466"/>
                <w:sz w:val="14"/>
              </w:rPr>
            </w:pPr>
            <w:r>
              <w:rPr>
                <w:rFonts w:ascii="Arial;Helvetica;sans-serif" w:hAnsi="Arial;Helvetica;sans-serif"/>
                <w:color w:val="636466"/>
                <w:sz w:val="14"/>
              </w:rPr>
              <w:t>14,343,391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42" w:right="0" w:hanging="0"/>
              <w:jc w:val="left"/>
              <w:rPr>
                <w:color w:val="636466"/>
              </w:rPr>
            </w:pPr>
            <w:r>
              <w:rPr>
                <w:color w:val="63646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42" w:right="0" w:hanging="0"/>
              <w:jc w:val="left"/>
              <w:rPr>
                <w:rFonts w:ascii="Arial;Helvetica;sans-serif" w:hAnsi="Arial;Helvetica;sans-serif"/>
                <w:color w:val="636466"/>
                <w:sz w:val="14"/>
              </w:rPr>
            </w:pPr>
            <w:r>
              <w:rPr>
                <w:rFonts w:ascii="Arial;Helvetica;sans-serif" w:hAnsi="Arial;Helvetica;sans-serif"/>
                <w:color w:val="636466"/>
                <w:sz w:val="14"/>
              </w:rPr>
              <w:t>14,937,678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42" w:right="0" w:hanging="0"/>
              <w:jc w:val="left"/>
              <w:rPr>
                <w:rFonts w:ascii="Arial;Helvetica;sans-serif" w:hAnsi="Arial;Helvetica;sans-serif"/>
                <w:color w:val="636466"/>
                <w:sz w:val="14"/>
              </w:rPr>
            </w:pPr>
            <w:r>
              <w:rPr>
                <w:rFonts w:ascii="Arial;Helvetica;sans-serif" w:hAnsi="Arial;Helvetica;sans-serif"/>
                <w:color w:val="636466"/>
                <w:sz w:val="14"/>
              </w:rPr>
              <w:t>13,714,272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68" w:right="0" w:hanging="0"/>
              <w:jc w:val="left"/>
              <w:rPr>
                <w:rFonts w:ascii="Arial;Helvetica;sans-serif" w:hAnsi="Arial;Helvetica;sans-serif"/>
                <w:color w:val="636466"/>
                <w:sz w:val="14"/>
              </w:rPr>
            </w:pPr>
            <w:r>
              <w:rPr>
                <w:rFonts w:ascii="Arial;Helvetica;sans-serif" w:hAnsi="Arial;Helvetica;sans-serif"/>
                <w:color w:val="636466"/>
                <w:sz w:val="14"/>
              </w:rPr>
              <w:t>75.78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141.10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75" w:right="0" w:hanging="0"/>
              <w:jc w:val="left"/>
              <w:rPr>
                <w:rFonts w:ascii="Arial;Helvetica;sans-serif" w:hAnsi="Arial;Helvetica;sans-serif"/>
                <w:color w:val="636466"/>
                <w:sz w:val="14"/>
              </w:rPr>
            </w:pPr>
            <w:r>
              <w:rPr>
                <w:rFonts w:ascii="Arial;Helvetica;sans-serif" w:hAnsi="Arial;Helvetica;sans-serif"/>
                <w:color w:val="636466"/>
                <w:sz w:val="14"/>
              </w:rPr>
              <w:t xml:space="preserve">2,079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94" w:right="0" w:hanging="0"/>
              <w:jc w:val="left"/>
              <w:rPr>
                <w:rFonts w:ascii="Arial;Helvetica;sans-serif" w:hAnsi="Arial;Helvetica;sans-serif"/>
                <w:color w:val="636466"/>
                <w:sz w:val="14"/>
              </w:rPr>
            </w:pPr>
            <w:r>
              <w:rPr>
                <w:rFonts w:ascii="Arial;Helvetica;sans-serif" w:hAnsi="Arial;Helvetica;sans-serif"/>
                <w:color w:val="636466"/>
                <w:sz w:val="14"/>
              </w:rPr>
              <w:t>2,593</w:t>
            </w:r>
            <w:r>
              <w:rPr>
                <w:rFonts w:ascii="Arial;Helvetica;sans-serif" w:hAnsi="Arial;Helvetica;sans-serif"/>
                <w:color w:val="636466"/>
                <w:position w:val="5"/>
                <w:sz w:val="11"/>
                <w:sz w:val="14"/>
              </w:rPr>
              <w:t>9</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350"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4"/>
              </w:rPr>
            </w:pPr>
            <w:r>
              <w:rPr>
                <w:rFonts w:ascii="Arial;Helvetica;sans-serif" w:hAnsi="Arial;Helvetica;sans-serif"/>
                <w:color w:val="636466"/>
                <w:sz w:val="14"/>
              </w:rPr>
              <w:t>2021</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142" w:right="0" w:hanging="0"/>
              <w:jc w:val="left"/>
              <w:rPr>
                <w:rFonts w:ascii="Arial;Helvetica;sans-serif" w:hAnsi="Arial;Helvetica;sans-serif"/>
                <w:color w:val="636466"/>
                <w:sz w:val="14"/>
              </w:rPr>
            </w:pPr>
            <w:r>
              <w:rPr>
                <w:rFonts w:ascii="Arial;Helvetica;sans-serif" w:hAnsi="Arial;Helvetica;sans-serif"/>
                <w:color w:val="636466"/>
                <w:sz w:val="14"/>
              </w:rPr>
              <w:t>14,779,570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142" w:right="0" w:hanging="0"/>
              <w:jc w:val="left"/>
              <w:rPr>
                <w:color w:val="636466"/>
              </w:rPr>
            </w:pPr>
            <w:r>
              <w:rPr>
                <w:color w:val="636466"/>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142" w:right="0" w:hanging="0"/>
              <w:jc w:val="left"/>
              <w:rPr>
                <w:rFonts w:ascii="Arial;Helvetica;sans-serif" w:hAnsi="Arial;Helvetica;sans-serif"/>
                <w:color w:val="636466"/>
                <w:sz w:val="14"/>
              </w:rPr>
            </w:pPr>
            <w:r>
              <w:rPr>
                <w:rFonts w:ascii="Arial;Helvetica;sans-serif" w:hAnsi="Arial;Helvetica;sans-serif"/>
                <w:color w:val="636466"/>
                <w:sz w:val="14"/>
              </w:rPr>
              <w:t>13,637,943</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142" w:right="0" w:hanging="0"/>
              <w:jc w:val="left"/>
              <w:rPr>
                <w:color w:val="636466"/>
              </w:rPr>
            </w:pPr>
            <w:r>
              <w:rPr>
                <w:color w:val="636466"/>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142" w:right="0" w:hanging="0"/>
              <w:jc w:val="left"/>
              <w:rPr>
                <w:rFonts w:ascii="Arial;Helvetica;sans-serif" w:hAnsi="Arial;Helvetica;sans-serif"/>
                <w:color w:val="636466"/>
                <w:sz w:val="14"/>
              </w:rPr>
            </w:pPr>
            <w:r>
              <w:rPr>
                <w:rFonts w:ascii="Arial;Helvetica;sans-serif" w:hAnsi="Arial;Helvetica;sans-serif"/>
                <w:color w:val="636466"/>
                <w:sz w:val="14"/>
              </w:rPr>
              <w:t>10,468,732</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142" w:right="0" w:hanging="0"/>
              <w:jc w:val="left"/>
              <w:rPr>
                <w:rFonts w:ascii="Arial;Helvetica;sans-serif" w:hAnsi="Arial;Helvetica;sans-serif"/>
                <w:color w:val="636466"/>
                <w:sz w:val="14"/>
              </w:rPr>
            </w:pPr>
            <w:r>
              <w:rPr>
                <w:rFonts w:ascii="Arial;Helvetica;sans-serif" w:hAnsi="Arial;Helvetica;sans-serif"/>
                <w:color w:val="636466"/>
                <w:sz w:val="14"/>
              </w:rPr>
              <w:t>5,996,167</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55" w:type="dxa"/>
            <w:tcBorders/>
            <w:shd w:fill="E7E0EF" w:val="clear"/>
            <w:vAlign w:val="center"/>
          </w:tcPr>
          <w:p>
            <w:pPr>
              <w:pStyle w:val="TableContents"/>
              <w:bidi w:val="0"/>
              <w:spacing w:before="0" w:after="283"/>
              <w:ind w:left="168" w:right="0" w:hanging="0"/>
              <w:jc w:val="left"/>
              <w:rPr>
                <w:rFonts w:ascii="Arial;Helvetica;sans-serif" w:hAnsi="Arial;Helvetica;sans-serif"/>
                <w:color w:val="636466"/>
                <w:sz w:val="14"/>
              </w:rPr>
            </w:pPr>
            <w:r>
              <w:rPr>
                <w:rFonts w:ascii="Arial;Helvetica;sans-serif" w:hAnsi="Arial;Helvetica;sans-serif"/>
                <w:color w:val="636466"/>
                <w:sz w:val="14"/>
              </w:rPr>
              <w:t>88.40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70"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130.85</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40" w:type="dxa"/>
            <w:tcBorders/>
            <w:shd w:fill="E7E0EF" w:val="clear"/>
            <w:vAlign w:val="center"/>
          </w:tcPr>
          <w:p>
            <w:pPr>
              <w:pStyle w:val="TableContents"/>
              <w:bidi w:val="0"/>
              <w:spacing w:before="0" w:after="283"/>
              <w:ind w:left="175" w:right="0" w:hanging="0"/>
              <w:jc w:val="left"/>
              <w:rPr>
                <w:rFonts w:ascii="Arial;Helvetica;sans-serif" w:hAnsi="Arial;Helvetica;sans-serif"/>
                <w:color w:val="636466"/>
                <w:sz w:val="14"/>
              </w:rPr>
            </w:pPr>
            <w:r>
              <w:rPr>
                <w:rFonts w:ascii="Arial;Helvetica;sans-serif" w:hAnsi="Arial;Helvetica;sans-serif"/>
                <w:color w:val="636466"/>
                <w:sz w:val="14"/>
              </w:rPr>
              <w:t>(1,269)</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40" w:type="dxa"/>
            <w:tcBorders/>
            <w:shd w:fill="E7E0EF" w:val="clear"/>
            <w:vAlign w:val="center"/>
          </w:tcPr>
          <w:p>
            <w:pPr>
              <w:pStyle w:val="TableContents"/>
              <w:bidi w:val="0"/>
              <w:spacing w:before="0" w:after="283"/>
              <w:ind w:left="194" w:right="0" w:hanging="0"/>
              <w:jc w:val="left"/>
              <w:rPr>
                <w:rFonts w:ascii="Arial;Helvetica;sans-serif" w:hAnsi="Arial;Helvetica;sans-serif"/>
                <w:color w:val="636466"/>
                <w:sz w:val="14"/>
              </w:rPr>
            </w:pPr>
            <w:r>
              <w:rPr>
                <w:rFonts w:ascii="Arial;Helvetica;sans-serif" w:hAnsi="Arial;Helvetica;sans-serif"/>
                <w:color w:val="636466"/>
                <w:sz w:val="14"/>
              </w:rPr>
              <w:t>2,560</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30" w:right="0" w:hanging="0"/>
              <w:jc w:val="left"/>
              <w:rPr>
                <w:rFonts w:ascii="Arial;Helvetica;sans-serif" w:hAnsi="Arial;Helvetica;sans-serif"/>
                <w:color w:val="636466"/>
                <w:sz w:val="14"/>
              </w:rPr>
            </w:pPr>
            <w:r>
              <w:rPr>
                <w:rFonts w:ascii="Arial;Helvetica;sans-serif" w:hAnsi="Arial;Helvetica;sans-serif"/>
                <w:color w:val="636466"/>
                <w:sz w:val="14"/>
              </w:rPr>
              <w:t>2020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42" w:right="0" w:hanging="0"/>
              <w:jc w:val="left"/>
              <w:rPr>
                <w:rFonts w:ascii="Arial;Helvetica;sans-serif" w:hAnsi="Arial;Helvetica;sans-serif"/>
                <w:color w:val="636466"/>
                <w:sz w:val="14"/>
              </w:rPr>
            </w:pPr>
            <w:r>
              <w:rPr>
                <w:rFonts w:ascii="Arial;Helvetica;sans-serif" w:hAnsi="Arial;Helvetica;sans-serif"/>
                <w:color w:val="636466"/>
                <w:sz w:val="14"/>
              </w:rPr>
              <w:t>5,472,905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42" w:right="0" w:hanging="0"/>
              <w:jc w:val="left"/>
              <w:rPr>
                <w:color w:val="636466"/>
              </w:rPr>
            </w:pPr>
            <w:r>
              <w:rPr>
                <w:color w:val="63646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42" w:right="0" w:hanging="0"/>
              <w:jc w:val="left"/>
              <w:rPr>
                <w:rFonts w:ascii="Arial;Helvetica;sans-serif" w:hAnsi="Arial;Helvetica;sans-serif"/>
                <w:color w:val="636466"/>
                <w:sz w:val="14"/>
              </w:rPr>
            </w:pPr>
            <w:r>
              <w:rPr>
                <w:rFonts w:ascii="Arial;Helvetica;sans-serif" w:hAnsi="Arial;Helvetica;sans-serif"/>
                <w:color w:val="636466"/>
                <w:sz w:val="14"/>
              </w:rPr>
              <w:t>6,397,981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42" w:right="0" w:hanging="0"/>
              <w:jc w:val="left"/>
              <w:rPr>
                <w:color w:val="636466"/>
              </w:rPr>
            </w:pPr>
            <w:r>
              <w:rPr>
                <w:color w:val="63646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42" w:right="0" w:hanging="0"/>
              <w:jc w:val="left"/>
              <w:rPr>
                <w:rFonts w:ascii="Arial;Helvetica;sans-serif" w:hAnsi="Arial;Helvetica;sans-serif"/>
                <w:color w:val="636466"/>
                <w:sz w:val="14"/>
              </w:rPr>
            </w:pPr>
            <w:r>
              <w:rPr>
                <w:rFonts w:ascii="Arial;Helvetica;sans-serif" w:hAnsi="Arial;Helvetica;sans-serif"/>
                <w:color w:val="636466"/>
                <w:sz w:val="14"/>
              </w:rPr>
              <w:t>13,208,230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42" w:right="0" w:hanging="0"/>
              <w:jc w:val="left"/>
              <w:rPr>
                <w:rFonts w:ascii="Arial;Helvetica;sans-serif" w:hAnsi="Arial;Helvetica;sans-serif"/>
                <w:color w:val="636466"/>
                <w:sz w:val="14"/>
              </w:rPr>
            </w:pPr>
            <w:r>
              <w:rPr>
                <w:rFonts w:ascii="Arial;Helvetica;sans-serif" w:hAnsi="Arial;Helvetica;sans-serif"/>
                <w:color w:val="636466"/>
                <w:sz w:val="14"/>
              </w:rPr>
              <w:t>13,982,122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68" w:right="0" w:hanging="0"/>
              <w:jc w:val="left"/>
              <w:rPr>
                <w:rFonts w:ascii="Arial;Helvetica;sans-serif" w:hAnsi="Arial;Helvetica;sans-serif"/>
                <w:color w:val="636466"/>
                <w:sz w:val="14"/>
              </w:rPr>
            </w:pPr>
            <w:r>
              <w:rPr>
                <w:rFonts w:ascii="Arial;Helvetica;sans-serif" w:hAnsi="Arial;Helvetica;sans-serif"/>
                <w:color w:val="636466"/>
                <w:sz w:val="14"/>
              </w:rPr>
              <w:t>119.67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Arial;Helvetica;sans-serif" w:hAnsi="Arial;Helvetica;sans-serif"/>
                <w:color w:val="636466"/>
                <w:sz w:val="14"/>
              </w:rPr>
            </w:pPr>
            <w:r>
              <w:rPr>
                <w:rFonts w:ascii="Arial;Helvetica;sans-serif" w:hAnsi="Arial;Helvetica;sans-serif"/>
                <w:color w:val="636466"/>
                <w:sz w:val="14"/>
              </w:rPr>
              <w:t>104.70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75" w:right="0" w:hanging="0"/>
              <w:jc w:val="left"/>
              <w:rPr>
                <w:rFonts w:ascii="Arial;Helvetica;sans-serif" w:hAnsi="Arial;Helvetica;sans-serif"/>
                <w:color w:val="636466"/>
                <w:sz w:val="14"/>
              </w:rPr>
            </w:pPr>
            <w:r>
              <w:rPr>
                <w:rFonts w:ascii="Arial;Helvetica;sans-serif" w:hAnsi="Arial;Helvetica;sans-serif"/>
                <w:color w:val="636466"/>
                <w:sz w:val="14"/>
              </w:rPr>
              <w:t>(670)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94" w:right="0" w:hanging="0"/>
              <w:jc w:val="left"/>
              <w:rPr>
                <w:rFonts w:ascii="Arial;Helvetica;sans-serif" w:hAnsi="Arial;Helvetica;sans-serif"/>
                <w:color w:val="636466"/>
                <w:sz w:val="14"/>
              </w:rPr>
            </w:pPr>
            <w:r>
              <w:rPr>
                <w:rFonts w:ascii="Arial;Helvetica;sans-serif" w:hAnsi="Arial;Helvetica;sans-serif"/>
                <w:color w:val="636466"/>
                <w:sz w:val="14"/>
              </w:rPr>
              <w:t>989</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1</w:t>
            </w:r>
          </w:p>
        </w:tc>
        <w:tc>
          <w:tcPr>
            <w:tcW w:w="9020" w:type="dxa"/>
            <w:tcBorders/>
            <w:vAlign w:val="center"/>
          </w:tcPr>
          <w:p>
            <w:pPr>
              <w:pStyle w:val="TableContents"/>
              <w:bidi w:val="0"/>
              <w:spacing w:before="0" w:after="0"/>
              <w:jc w:val="left"/>
              <w:rPr/>
            </w:pPr>
            <w:r>
              <w:rPr>
                <w:rFonts w:ascii="Arial;Helvetica;sans-serif" w:hAnsi="Arial;Helvetica;sans-serif"/>
                <w:color w:val="636466"/>
                <w:sz w:val="14"/>
              </w:rPr>
              <w:t xml:space="preserve">The dollar amounts reported in column “Summary Compensation Table Total for PEO 1” are the amounts of total compensation reported for Michael Goettler (who served as our CEO until April 1, 2023) for 2020-2023 in the “Total” column of the Summary Compensation Table. Refer to the Summary Compensation Table on page </w:t>
            </w:r>
            <w:hyperlink w:anchor="tSCT">
              <w:r>
                <w:rPr>
                  <w:rStyle w:val="InternetLink"/>
                  <w:rFonts w:ascii="Arial;Helvetica;sans-serif" w:hAnsi="Arial;Helvetica;sans-serif"/>
                  <w:color w:val="000080"/>
                  <w:sz w:val="14"/>
                </w:rPr>
                <w:t>58</w:t>
              </w:r>
            </w:hyperlink>
            <w:r>
              <w:rPr>
                <w:rFonts w:ascii="Arial;Helvetica;sans-serif" w:hAnsi="Arial;Helvetica;sans-serif"/>
                <w:color w:val="636466"/>
                <w:sz w:val="14"/>
              </w:rPr>
              <w:t>. The dollar amounts reported in column “Summary Compensation Table Total for PEO 2” is the amount of total compensation reported for Scott A. Smith (who has served as our CEO since April 1, 2023) for 2023-2024 in the “Total” column of the Summary Compensation Table. The dollar amounts reported in column “Average Summary Compensation Table Total for non-PEO NEOs” represent the average of the amounts reported for the Company’s NEOs as a group (excluding the PEOs) in the “Total” column of the Summary Compensation Table in each applicable year. The names of each of the NEOs (excluding the PEOs) included for purposes of calculating the average amounts for the years 2020-2022 are Sanjeev Narula, Rajiv Malik, Anthony Mauro and Robert J. Coury, for 2023 are Sanjeev Narula, Rajiv Malik, Anthony Mauro, Brian Roman, and Robert J. Coury, and for 2024 are Doretta Mistras, Corinne Le Goff, Paul Campbell, Brian Roman, and Sanjeev Narula.</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2</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3</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In accordance with the requirements of Item 402(v) of Regulation S-K, adjustments were made to total compensation for each year to determine the compensation actually paid as set forth below. Equity values are calculated in accordance with FASB ASC Topic 718.</w:t>
            </w:r>
          </w:p>
        </w:tc>
      </w:tr>
    </w:tbl>
    <w:p>
      <w:pPr>
        <w:pStyle w:val="TextBody"/>
        <w:bidi w:val="0"/>
        <w:spacing w:before="360" w:after="283"/>
        <w:ind w:left="1060" w:right="0" w:hanging="0"/>
        <w:jc w:val="left"/>
        <w:rPr>
          <w:rFonts w:ascii="Arial;Helvetica;sans-serif" w:hAnsi="Arial;Helvetica;sans-serif"/>
          <w:color w:val="72288A"/>
          <w:sz w:val="24"/>
        </w:rPr>
      </w:pPr>
      <w:r>
        <w:rPr>
          <w:rFonts w:ascii="Arial;Helvetica;sans-serif" w:hAnsi="Arial;Helvetica;sans-serif"/>
          <w:color w:val="72288A"/>
          <w:sz w:val="24"/>
        </w:rPr>
        <w:t>PEO and Average non-PEO NEOs Summary Compensation Table Total to Compensation Actually Paid Reconciliation</w:t>
      </w:r>
    </w:p>
    <w:tbl>
      <w:tblPr>
        <w:tblW w:w="6195" w:type="dxa"/>
        <w:jc w:val="left"/>
        <w:tblInd w:w="1060" w:type="dxa"/>
        <w:tblLayout w:type="fixed"/>
        <w:tblCellMar>
          <w:top w:w="0" w:type="dxa"/>
          <w:left w:w="0" w:type="dxa"/>
          <w:bottom w:w="0" w:type="dxa"/>
          <w:right w:w="0" w:type="dxa"/>
        </w:tblCellMar>
      </w:tblPr>
      <w:tblGrid>
        <w:gridCol w:w="185"/>
        <w:gridCol w:w="350"/>
        <w:gridCol w:w="170"/>
        <w:gridCol w:w="170"/>
        <w:gridCol w:w="995"/>
        <w:gridCol w:w="170"/>
        <w:gridCol w:w="170"/>
        <w:gridCol w:w="1190"/>
        <w:gridCol w:w="170"/>
        <w:gridCol w:w="170"/>
        <w:gridCol w:w="905"/>
        <w:gridCol w:w="170"/>
        <w:gridCol w:w="170"/>
        <w:gridCol w:w="995"/>
        <w:gridCol w:w="215"/>
      </w:tblGrid>
      <w:tr>
        <w:trPr/>
        <w:tc>
          <w:tcPr>
            <w:tcW w:w="185" w:type="dxa"/>
            <w:tcBorders/>
            <w:shd w:fill="1F1C6B" w:val="clear"/>
            <w:vAlign w:val="center"/>
          </w:tcPr>
          <w:p>
            <w:pPr>
              <w:pStyle w:val="TableContents"/>
              <w:bidi w:val="0"/>
              <w:spacing w:before="0" w:after="0"/>
              <w:jc w:val="left"/>
              <w:rPr/>
            </w:pPr>
            <w:r>
              <w:rPr/>
              <w:t> </w:t>
            </w:r>
          </w:p>
        </w:tc>
        <w:tc>
          <w:tcPr>
            <w:tcW w:w="35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9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9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0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95"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350"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4"/>
              </w:rPr>
            </w:pPr>
            <w:r>
              <w:rPr>
                <w:rFonts w:ascii="Arial;Helvetica;sans-serif" w:hAnsi="Arial;Helvetica;sans-serif"/>
                <w:b/>
                <w:color w:val="FFFFFF"/>
                <w:sz w:val="14"/>
              </w:rPr>
              <w:t>Year</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95"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Summary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Compensation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Table Total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for PEO 2</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9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Reported Value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of Equity Awards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for PEO 2</w:t>
            </w:r>
            <w:r>
              <w:rPr>
                <w:rFonts w:ascii="Arial;Helvetica;sans-serif" w:hAnsi="Arial;Helvetica;sans-serif"/>
                <w:b/>
                <w:color w:val="FFFFFF"/>
                <w:position w:val="5"/>
                <w:sz w:val="11"/>
                <w:sz w:val="14"/>
              </w:rPr>
              <w:t>a</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05"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Equity Award</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Adjustments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for PEO 2</w:t>
            </w:r>
            <w:r>
              <w:rPr>
                <w:rFonts w:ascii="Arial;Helvetica;sans-serif" w:hAnsi="Arial;Helvetica;sans-serif"/>
                <w:b/>
                <w:color w:val="FFFFFF"/>
                <w:position w:val="5"/>
                <w:sz w:val="11"/>
                <w:sz w:val="14"/>
              </w:rPr>
              <w:t>b</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95"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Compensation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Actually Paid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to PEO 2</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30" w:right="0" w:hanging="0"/>
              <w:jc w:val="left"/>
              <w:rPr>
                <w:rFonts w:ascii="Arial;Helvetica;sans-serif" w:hAnsi="Arial;Helvetica;sans-serif"/>
                <w:color w:val="636466"/>
                <w:sz w:val="14"/>
              </w:rPr>
            </w:pPr>
            <w:r>
              <w:rPr>
                <w:rFonts w:ascii="Arial;Helvetica;sans-serif" w:hAnsi="Arial;Helvetica;sans-serif"/>
                <w:color w:val="636466"/>
                <w:sz w:val="14"/>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401" w:right="0" w:hanging="0"/>
              <w:jc w:val="left"/>
              <w:rPr>
                <w:rFonts w:ascii="Arial;Helvetica;sans-serif" w:hAnsi="Arial;Helvetica;sans-serif"/>
                <w:color w:val="636466"/>
                <w:sz w:val="14"/>
              </w:rPr>
            </w:pPr>
            <w:r>
              <w:rPr>
                <w:rFonts w:ascii="Arial;Helvetica;sans-serif" w:hAnsi="Arial;Helvetica;sans-serif"/>
                <w:color w:val="636466"/>
                <w:sz w:val="14"/>
              </w:rPr>
              <w:t>14,759,379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422" w:right="0" w:hanging="0"/>
              <w:jc w:val="left"/>
              <w:rPr>
                <w:rFonts w:ascii="Arial;Helvetica;sans-serif" w:hAnsi="Arial;Helvetica;sans-serif"/>
                <w:color w:val="636466"/>
                <w:sz w:val="14"/>
              </w:rPr>
            </w:pPr>
            <w:r>
              <w:rPr>
                <w:rFonts w:ascii="Arial;Helvetica;sans-serif" w:hAnsi="Arial;Helvetica;sans-serif"/>
                <w:color w:val="636466"/>
                <w:sz w:val="14"/>
              </w:rPr>
              <w:t>(9,800,021)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401" w:right="0" w:hanging="0"/>
              <w:jc w:val="left"/>
              <w:rPr>
                <w:rFonts w:ascii="Arial;Helvetica;sans-serif" w:hAnsi="Arial;Helvetica;sans-serif"/>
                <w:color w:val="636466"/>
                <w:sz w:val="14"/>
              </w:rPr>
            </w:pPr>
            <w:r>
              <w:rPr>
                <w:rFonts w:ascii="Arial;Helvetica;sans-serif" w:hAnsi="Arial;Helvetica;sans-serif"/>
                <w:color w:val="636466"/>
                <w:sz w:val="14"/>
              </w:rPr>
              <w:t xml:space="preserve">12,827,414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401" w:right="0" w:hanging="0"/>
              <w:jc w:val="left"/>
              <w:rPr>
                <w:rFonts w:ascii="Arial;Helvetica;sans-serif" w:hAnsi="Arial;Helvetica;sans-serif"/>
                <w:color w:val="636466"/>
                <w:sz w:val="14"/>
              </w:rPr>
            </w:pPr>
            <w:r>
              <w:rPr>
                <w:rFonts w:ascii="Arial;Helvetica;sans-serif" w:hAnsi="Arial;Helvetica;sans-serif"/>
                <w:color w:val="636466"/>
                <w:sz w:val="14"/>
              </w:rPr>
              <w:t>17,786,772</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6555" w:type="dxa"/>
        <w:jc w:val="left"/>
        <w:tblInd w:w="1060" w:type="dxa"/>
        <w:tblLayout w:type="fixed"/>
        <w:tblCellMar>
          <w:top w:w="0" w:type="dxa"/>
          <w:left w:w="0" w:type="dxa"/>
          <w:bottom w:w="0" w:type="dxa"/>
          <w:right w:w="0" w:type="dxa"/>
        </w:tblCellMar>
      </w:tblPr>
      <w:tblGrid>
        <w:gridCol w:w="185"/>
        <w:gridCol w:w="350"/>
        <w:gridCol w:w="170"/>
        <w:gridCol w:w="170"/>
        <w:gridCol w:w="1025"/>
        <w:gridCol w:w="170"/>
        <w:gridCol w:w="170"/>
        <w:gridCol w:w="1190"/>
        <w:gridCol w:w="170"/>
        <w:gridCol w:w="170"/>
        <w:gridCol w:w="1115"/>
        <w:gridCol w:w="170"/>
        <w:gridCol w:w="170"/>
        <w:gridCol w:w="1115"/>
        <w:gridCol w:w="215"/>
      </w:tblGrid>
      <w:tr>
        <w:trPr/>
        <w:tc>
          <w:tcPr>
            <w:tcW w:w="185" w:type="dxa"/>
            <w:tcBorders/>
            <w:shd w:fill="1F1C6B" w:val="clear"/>
            <w:vAlign w:val="center"/>
          </w:tcPr>
          <w:p>
            <w:pPr>
              <w:pStyle w:val="TableContents"/>
              <w:bidi w:val="0"/>
              <w:spacing w:before="0" w:after="0"/>
              <w:jc w:val="left"/>
              <w:rPr/>
            </w:pPr>
            <w:r>
              <w:rPr/>
              <w:t> </w:t>
            </w:r>
          </w:p>
        </w:tc>
        <w:tc>
          <w:tcPr>
            <w:tcW w:w="35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2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9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1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15"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350"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4"/>
              </w:rPr>
            </w:pPr>
            <w:r>
              <w:rPr>
                <w:rFonts w:ascii="Arial;Helvetica;sans-serif" w:hAnsi="Arial;Helvetica;sans-serif"/>
                <w:b/>
                <w:color w:val="FFFFFF"/>
                <w:sz w:val="14"/>
              </w:rPr>
              <w:t>Year</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25"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Average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Summary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Compensation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Table Total for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Non-PEO NEOs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9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Average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Reported Value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of Equity Awards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Non-PEO NEOs</w:t>
            </w:r>
            <w:r>
              <w:rPr>
                <w:rFonts w:ascii="Arial;Helvetica;sans-serif" w:hAnsi="Arial;Helvetica;sans-serif"/>
                <w:b/>
                <w:color w:val="FFFFFF"/>
                <w:position w:val="5"/>
                <w:sz w:val="11"/>
                <w:sz w:val="14"/>
              </w:rPr>
              <w:t>a</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15"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Average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Equity Award</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Adjustments for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Non-PEO NEOs</w:t>
            </w:r>
            <w:r>
              <w:rPr>
                <w:rFonts w:ascii="Arial;Helvetica;sans-serif" w:hAnsi="Arial;Helvetica;sans-serif"/>
                <w:b/>
                <w:color w:val="FFFFFF"/>
                <w:position w:val="5"/>
                <w:sz w:val="11"/>
                <w:sz w:val="14"/>
              </w:rPr>
              <w:t>b</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15"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Average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Compensation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Actually Paid to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Non-PEO NEOs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30" w:right="0" w:hanging="0"/>
              <w:jc w:val="left"/>
              <w:rPr>
                <w:rFonts w:ascii="Arial;Helvetica;sans-serif" w:hAnsi="Arial;Helvetica;sans-serif"/>
                <w:color w:val="636466"/>
                <w:sz w:val="14"/>
              </w:rPr>
            </w:pPr>
            <w:r>
              <w:rPr>
                <w:rFonts w:ascii="Arial;Helvetica;sans-serif" w:hAnsi="Arial;Helvetica;sans-serif"/>
                <w:color w:val="636466"/>
                <w:sz w:val="14"/>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41" w:right="0" w:hanging="0"/>
              <w:jc w:val="left"/>
              <w:rPr>
                <w:rFonts w:ascii="Arial;Helvetica;sans-serif" w:hAnsi="Arial;Helvetica;sans-serif"/>
                <w:color w:val="636466"/>
                <w:sz w:val="14"/>
              </w:rPr>
            </w:pPr>
            <w:r>
              <w:rPr>
                <w:rFonts w:ascii="Arial;Helvetica;sans-serif" w:hAnsi="Arial;Helvetica;sans-serif"/>
                <w:color w:val="636466"/>
                <w:sz w:val="14"/>
              </w:rPr>
              <w:t>5,548,566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422" w:right="0" w:hanging="0"/>
              <w:jc w:val="left"/>
              <w:rPr>
                <w:rFonts w:ascii="Arial;Helvetica;sans-serif" w:hAnsi="Arial;Helvetica;sans-serif"/>
                <w:color w:val="636466"/>
                <w:sz w:val="14"/>
              </w:rPr>
            </w:pPr>
            <w:r>
              <w:rPr>
                <w:rFonts w:ascii="Arial;Helvetica;sans-serif" w:hAnsi="Arial;Helvetica;sans-serif"/>
                <w:color w:val="636466"/>
                <w:sz w:val="14"/>
              </w:rPr>
              <w:t>(2,628,874)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441" w:right="0" w:hanging="0"/>
              <w:jc w:val="left"/>
              <w:rPr>
                <w:rFonts w:ascii="Arial;Helvetica;sans-serif" w:hAnsi="Arial;Helvetica;sans-serif"/>
                <w:color w:val="636466"/>
                <w:sz w:val="14"/>
              </w:rPr>
            </w:pPr>
            <w:r>
              <w:rPr>
                <w:rFonts w:ascii="Arial;Helvetica;sans-serif" w:hAnsi="Arial;Helvetica;sans-serif"/>
                <w:color w:val="636466"/>
                <w:sz w:val="14"/>
              </w:rPr>
              <w:t xml:space="preserve">2,525,876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441" w:right="0" w:hanging="0"/>
              <w:jc w:val="left"/>
              <w:rPr>
                <w:rFonts w:ascii="Arial;Helvetica;sans-serif" w:hAnsi="Arial;Helvetica;sans-serif"/>
                <w:color w:val="636466"/>
                <w:sz w:val="14"/>
              </w:rPr>
            </w:pPr>
            <w:r>
              <w:rPr>
                <w:rFonts w:ascii="Arial;Helvetica;sans-serif" w:hAnsi="Arial;Helvetica;sans-serif"/>
                <w:color w:val="636466"/>
                <w:sz w:val="14"/>
              </w:rPr>
              <w:t>5,445,568</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a</w:t>
            </w:r>
          </w:p>
        </w:tc>
        <w:tc>
          <w:tcPr>
            <w:tcW w:w="9020" w:type="dxa"/>
            <w:tcBorders/>
            <w:vAlign w:val="center"/>
          </w:tcPr>
          <w:p>
            <w:pPr>
              <w:pStyle w:val="TableContents"/>
              <w:bidi w:val="0"/>
              <w:spacing w:before="0" w:after="0"/>
              <w:jc w:val="left"/>
              <w:rPr/>
            </w:pPr>
            <w:r>
              <w:rPr>
                <w:rFonts w:ascii="Arial;Helvetica;sans-serif" w:hAnsi="Arial;Helvetica;sans-serif"/>
                <w:color w:val="636466"/>
                <w:sz w:val="14"/>
              </w:rPr>
              <w:t>The amounts included in this column represent the total of the amounts reported in the “Stock Awards” column in the Summary Compensation Table on page </w:t>
            </w:r>
            <w:hyperlink w:anchor="tSCT">
              <w:r>
                <w:rPr>
                  <w:rStyle w:val="InternetLink"/>
                  <w:rFonts w:ascii="Arial;Helvetica;sans-serif" w:hAnsi="Arial;Helvetica;sans-serif"/>
                  <w:color w:val="000080"/>
                  <w:sz w:val="14"/>
                </w:rPr>
                <w:t>58</w:t>
              </w:r>
            </w:hyperlink>
            <w:r>
              <w:rPr>
                <w:rFonts w:ascii="Arial;Helvetica;sans-serif" w:hAnsi="Arial;Helvetica;sans-serif"/>
                <w:color w:val="636466"/>
                <w:sz w:val="14"/>
              </w:rPr>
              <w:t>.</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b</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the fair value of any awards granted in prior years that are outstanding and unvested as of the end of the applicable year; (iii) for awards that are granted and vest in same applicable year, the fair value as of the vesting date; (iv) for awards granted in prior years that vest in the applicable year, the amount equal to the change as of the vesting date (from the end of the prior fiscal year) in the fair value; (v) for awards granted in prior years that are </w:t>
            </w:r>
          </w:p>
        </w:tc>
      </w:tr>
    </w:tbl>
    <w:tbl>
      <w:tblPr>
        <w:tblW w:w="4980" w:type="dxa"/>
        <w:jc w:val="left"/>
        <w:tblInd w:w="106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263"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33" descr=""/>
                          <pic:cNvPicPr>
                            <a:picLocks noChangeAspect="1" noChangeArrowheads="1"/>
                          </pic:cNvPicPr>
                        </pic:nvPicPr>
                        <pic:blipFill>
                          <a:blip r:embed="rId250"/>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Statement | 67</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264"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34" descr=""/>
                    <pic:cNvPicPr>
                      <a:picLocks noChangeAspect="1" noChangeArrowheads="1"/>
                    </pic:cNvPicPr>
                  </pic:nvPicPr>
                  <pic:blipFill>
                    <a:blip r:embed="rId251"/>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71" w:name="ny20055082x771_def14a_111-comp_pg11"/>
        <w:bookmarkEnd w:id="17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left"/>
        <w:rPr>
          <w:caps/>
          <w:color w:val="1F1C6B"/>
          <w:u w:val="single"/>
        </w:rPr>
      </w:pPr>
      <w:r>
        <w:rPr>
          <w:caps/>
          <w:color w:val="1F1C6B"/>
          <w:u w:val="single"/>
        </w:rPr>
        <w:t> </w:t>
      </w:r>
      <w:r>
        <w:rPr>
          <w:rFonts w:ascii="Arial;Helvetica;sans-serif" w:hAnsi="Arial;Helvetica;sans-serif"/>
          <w:caps/>
          <w:color w:val="1F1C6B"/>
          <w:sz w:val="18"/>
          <w:u w:val="single"/>
        </w:rPr>
        <w:t>Executive Compensation Tables </w:t>
      </w:r>
    </w:p>
    <w:p>
      <w:pPr>
        <w:pStyle w:val="TextBody"/>
        <w:bidi w:val="0"/>
        <w:spacing w:before="95" w:after="283"/>
        <w:ind w:left="1260" w:right="0" w:hanging="0"/>
        <w:jc w:val="left"/>
        <w:rPr>
          <w:rFonts w:ascii="Arial;Helvetica;sans-serif" w:hAnsi="Arial;Helvetica;sans-serif"/>
          <w:color w:val="636466"/>
          <w:sz w:val="14"/>
        </w:rPr>
      </w:pPr>
      <w:r>
        <w:rPr>
          <w:rFonts w:ascii="Arial;Helvetica;sans-serif" w:hAnsi="Arial;Helvetica;sans-serif"/>
          <w:color w:val="636466"/>
          <w:sz w:val="14"/>
        </w:rPr>
        <w:t>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The amounts deducted or added in calculating the equity award adjustments are as follows:</w:t>
      </w:r>
    </w:p>
    <w:p>
      <w:pPr>
        <w:pStyle w:val="TextBody"/>
        <w:bidi w:val="0"/>
        <w:spacing w:before="390" w:after="283"/>
        <w:ind w:left="1060" w:right="0" w:hanging="0"/>
        <w:jc w:val="left"/>
        <w:rPr>
          <w:rFonts w:ascii="Arial;Helvetica;sans-serif" w:hAnsi="Arial;Helvetica;sans-serif"/>
          <w:color w:val="72288A"/>
          <w:sz w:val="24"/>
        </w:rPr>
      </w:pPr>
      <w:r>
        <w:rPr>
          <w:rFonts w:ascii="Arial;Helvetica;sans-serif" w:hAnsi="Arial;Helvetica;sans-serif"/>
          <w:color w:val="72288A"/>
          <w:sz w:val="24"/>
        </w:rPr>
        <w:t>PEO and Average non-PEO NEOs Equity Component of Compensation Actually Paid:</w:t>
      </w:r>
    </w:p>
    <w:tbl>
      <w:tblPr>
        <w:tblW w:w="9145" w:type="dxa"/>
        <w:jc w:val="left"/>
        <w:tblInd w:w="1060" w:type="dxa"/>
        <w:tblLayout w:type="fixed"/>
        <w:tblCellMar>
          <w:top w:w="0" w:type="dxa"/>
          <w:left w:w="0" w:type="dxa"/>
          <w:bottom w:w="0" w:type="dxa"/>
          <w:right w:w="0" w:type="dxa"/>
        </w:tblCellMar>
      </w:tblPr>
      <w:tblGrid>
        <w:gridCol w:w="185"/>
        <w:gridCol w:w="350"/>
        <w:gridCol w:w="170"/>
        <w:gridCol w:w="170"/>
        <w:gridCol w:w="936"/>
        <w:gridCol w:w="170"/>
        <w:gridCol w:w="170"/>
        <w:gridCol w:w="836"/>
        <w:gridCol w:w="170"/>
        <w:gridCol w:w="170"/>
        <w:gridCol w:w="805"/>
        <w:gridCol w:w="170"/>
        <w:gridCol w:w="170"/>
        <w:gridCol w:w="831"/>
        <w:gridCol w:w="170"/>
        <w:gridCol w:w="170"/>
        <w:gridCol w:w="816"/>
        <w:gridCol w:w="170"/>
        <w:gridCol w:w="170"/>
        <w:gridCol w:w="832"/>
        <w:gridCol w:w="170"/>
        <w:gridCol w:w="170"/>
        <w:gridCol w:w="955"/>
        <w:gridCol w:w="219"/>
      </w:tblGrid>
      <w:tr>
        <w:trPr/>
        <w:tc>
          <w:tcPr>
            <w:tcW w:w="185" w:type="dxa"/>
            <w:tcBorders/>
            <w:shd w:fill="1F1C6B" w:val="clear"/>
            <w:vAlign w:val="center"/>
          </w:tcPr>
          <w:p>
            <w:pPr>
              <w:pStyle w:val="TableContents"/>
              <w:bidi w:val="0"/>
              <w:spacing w:before="0" w:after="0"/>
              <w:jc w:val="left"/>
              <w:rPr/>
            </w:pPr>
            <w:r>
              <w:rPr/>
              <w:t> </w:t>
            </w:r>
          </w:p>
        </w:tc>
        <w:tc>
          <w:tcPr>
            <w:tcW w:w="35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36"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36"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0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31"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16"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32"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55" w:type="dxa"/>
            <w:tcBorders/>
            <w:shd w:fill="1F1C6B" w:val="clear"/>
            <w:vAlign w:val="center"/>
          </w:tcPr>
          <w:p>
            <w:pPr>
              <w:pStyle w:val="TableContents"/>
              <w:bidi w:val="0"/>
              <w:spacing w:before="0" w:after="0"/>
              <w:jc w:val="left"/>
              <w:rPr/>
            </w:pPr>
            <w:r>
              <w:rPr/>
              <w:t> </w:t>
            </w:r>
          </w:p>
        </w:tc>
        <w:tc>
          <w:tcPr>
            <w:tcW w:w="219"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350"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4"/>
              </w:rPr>
            </w:pPr>
            <w:r>
              <w:rPr>
                <w:rFonts w:ascii="Arial;Helvetica;sans-serif" w:hAnsi="Arial;Helvetica;sans-serif"/>
                <w:b/>
                <w:color w:val="FFFFFF"/>
                <w:sz w:val="14"/>
              </w:rPr>
              <w:t>Year</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36"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Year-End Fair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Value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Equity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Awards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Granted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During Year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That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Remained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Unvested as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of Last Day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of Year for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PEO 2</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36"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Change in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Fair Value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from Last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Day of Prior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Year to Last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Day of Year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of Unvested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Equity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Awards for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PEO 2</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05"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Vesting-</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Date Fair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Value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Equity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Awards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Granted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During Year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that Vested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During Year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for PEO 2</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31"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Change in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Fair Value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from Last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Day of Prior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Year to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Vesting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Date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Unvested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Equity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Awards that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Vested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During Year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for PEO 2</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16"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Fair Value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at Last Day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of Prior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Year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Equity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Awards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Forfeited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During Year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for PEO 2</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32"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Value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Dividends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or Other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Earnings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Paid 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Equity</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Awards Not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Otherwise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Included for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PEO 2</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55"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Total – Equity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Award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Adjustments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for PEO 2</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219"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30" w:right="0" w:hanging="0"/>
              <w:jc w:val="left"/>
              <w:rPr>
                <w:rFonts w:ascii="Arial;Helvetica;sans-serif" w:hAnsi="Arial;Helvetica;sans-serif"/>
                <w:color w:val="636466"/>
                <w:sz w:val="14"/>
              </w:rPr>
            </w:pPr>
            <w:r>
              <w:rPr>
                <w:rFonts w:ascii="Arial;Helvetica;sans-serif" w:hAnsi="Arial;Helvetica;sans-serif"/>
                <w:color w:val="636466"/>
                <w:sz w:val="14"/>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6" w:type="dxa"/>
            <w:tcBorders/>
            <w:vAlign w:val="center"/>
          </w:tcPr>
          <w:p>
            <w:pPr>
              <w:pStyle w:val="TableContents"/>
              <w:bidi w:val="0"/>
              <w:spacing w:before="0" w:after="283"/>
              <w:ind w:left="98" w:right="0" w:hanging="0"/>
              <w:jc w:val="left"/>
              <w:rPr>
                <w:rFonts w:ascii="Arial;Helvetica;sans-serif" w:hAnsi="Arial;Helvetica;sans-serif"/>
                <w:color w:val="636466"/>
                <w:sz w:val="14"/>
              </w:rPr>
            </w:pPr>
            <w:r>
              <w:rPr>
                <w:rFonts w:ascii="Arial;Helvetica;sans-serif" w:hAnsi="Arial;Helvetica;sans-serif"/>
                <w:color w:val="636466"/>
                <w:sz w:val="14"/>
              </w:rPr>
              <w:t xml:space="preserve">10,290,466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 w:type="dxa"/>
            <w:tcBorders/>
            <w:vAlign w:val="center"/>
          </w:tcPr>
          <w:p>
            <w:pPr>
              <w:pStyle w:val="TableContents"/>
              <w:bidi w:val="0"/>
              <w:spacing w:before="0" w:after="283"/>
              <w:ind w:left="93" w:right="0" w:hanging="0"/>
              <w:jc w:val="left"/>
              <w:rPr>
                <w:color w:val="636466"/>
              </w:rPr>
            </w:pPr>
            <w:r>
              <w:rPr>
                <w:color w:val="636466"/>
              </w:rPr>
              <w:t>​</w:t>
            </w:r>
            <w:r>
              <w:rPr>
                <w:rFonts w:ascii="Arial;Helvetica;sans-serif" w:hAnsi="Arial;Helvetica;sans-serif"/>
                <w:color w:val="636466"/>
                <w:sz w:val="14"/>
              </w:rPr>
              <w:t xml:space="preserve">2,289,270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5" w:type="dxa"/>
            <w:tcBorders/>
            <w:vAlign w:val="center"/>
          </w:tcPr>
          <w:p>
            <w:pPr>
              <w:pStyle w:val="TableContents"/>
              <w:bidi w:val="0"/>
              <w:spacing w:before="0" w:after="283"/>
              <w:ind w:left="329" w:right="0" w:hanging="0"/>
              <w:jc w:val="left"/>
              <w:rPr>
                <w:color w:val="636466"/>
              </w:rPr>
            </w:pPr>
            <w:r>
              <w:rPr>
                <w:color w:val="63646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1" w:type="dxa"/>
            <w:tcBorders/>
            <w:vAlign w:val="center"/>
          </w:tcPr>
          <w:p>
            <w:pPr>
              <w:pStyle w:val="TableContents"/>
              <w:bidi w:val="0"/>
              <w:spacing w:before="0" w:after="283"/>
              <w:ind w:left="156" w:right="0" w:hanging="0"/>
              <w:jc w:val="left"/>
              <w:rPr>
                <w:rFonts w:ascii="Arial;Helvetica;sans-serif" w:hAnsi="Arial;Helvetica;sans-serif"/>
                <w:color w:val="636466"/>
                <w:sz w:val="14"/>
              </w:rPr>
            </w:pPr>
            <w:r>
              <w:rPr>
                <w:rFonts w:ascii="Arial;Helvetica;sans-serif" w:hAnsi="Arial;Helvetica;sans-serif"/>
                <w:color w:val="636466"/>
                <w:sz w:val="14"/>
              </w:rPr>
              <w:t xml:space="preserve">247,678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6" w:type="dxa"/>
            <w:tcBorders/>
            <w:vAlign w:val="center"/>
          </w:tcPr>
          <w:p>
            <w:pPr>
              <w:pStyle w:val="TableContents"/>
              <w:bidi w:val="0"/>
              <w:spacing w:before="0" w:after="283"/>
              <w:ind w:left="329" w:right="0" w:hanging="0"/>
              <w:jc w:val="left"/>
              <w:rPr>
                <w:color w:val="636466"/>
              </w:rPr>
            </w:pPr>
            <w:r>
              <w:rPr>
                <w:color w:val="63646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338" w:right="0" w:hanging="0"/>
              <w:jc w:val="left"/>
              <w:rPr>
                <w:color w:val="636466"/>
              </w:rPr>
            </w:pPr>
            <w:r>
              <w:rPr>
                <w:color w:val="63646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5" w:type="dxa"/>
            <w:tcBorders/>
            <w:vAlign w:val="center"/>
          </w:tcPr>
          <w:p>
            <w:pPr>
              <w:pStyle w:val="TableContents"/>
              <w:bidi w:val="0"/>
              <w:spacing w:before="0" w:after="283"/>
              <w:ind w:left="104" w:right="0" w:hanging="0"/>
              <w:jc w:val="left"/>
              <w:rPr>
                <w:rFonts w:ascii="Arial;Helvetica;sans-serif" w:hAnsi="Arial;Helvetica;sans-serif"/>
                <w:color w:val="636466"/>
                <w:sz w:val="14"/>
              </w:rPr>
            </w:pPr>
            <w:r>
              <w:rPr>
                <w:rFonts w:ascii="Arial;Helvetica;sans-serif" w:hAnsi="Arial;Helvetica;sans-serif"/>
                <w:color w:val="636466"/>
                <w:sz w:val="14"/>
              </w:rPr>
              <w:t>12,827,414</w:t>
            </w:r>
          </w:p>
        </w:tc>
        <w:tc>
          <w:tcPr>
            <w:tcW w:w="219"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5" w:type="dxa"/>
            <w:tcBorders/>
            <w:vAlign w:val="center"/>
          </w:tcPr>
          <w:p>
            <w:pPr>
              <w:pStyle w:val="TableContents"/>
              <w:bidi w:val="0"/>
              <w:spacing w:before="0" w:after="0"/>
              <w:jc w:val="left"/>
              <w:rPr/>
            </w:pPr>
            <w:r>
              <w:rPr/>
              <w:t> </w:t>
            </w:r>
          </w:p>
        </w:tc>
        <w:tc>
          <w:tcPr>
            <w:tcW w:w="219" w:type="dxa"/>
            <w:tcBorders/>
            <w:vAlign w:val="center"/>
          </w:tcPr>
          <w:p>
            <w:pPr>
              <w:pStyle w:val="TableContents"/>
              <w:bidi w:val="0"/>
              <w:spacing w:before="0" w:after="0"/>
              <w:jc w:val="left"/>
              <w:rPr/>
            </w:pPr>
            <w:r>
              <w:rPr/>
              <w:t> </w:t>
            </w:r>
          </w:p>
        </w:tc>
      </w:tr>
    </w:tbl>
    <w:tbl>
      <w:tblPr>
        <w:tblW w:w="9145" w:type="dxa"/>
        <w:jc w:val="left"/>
        <w:tblInd w:w="1060" w:type="dxa"/>
        <w:tblLayout w:type="fixed"/>
        <w:tblCellMar>
          <w:top w:w="0" w:type="dxa"/>
          <w:left w:w="0" w:type="dxa"/>
          <w:bottom w:w="0" w:type="dxa"/>
          <w:right w:w="0" w:type="dxa"/>
        </w:tblCellMar>
      </w:tblPr>
      <w:tblGrid>
        <w:gridCol w:w="185"/>
        <w:gridCol w:w="350"/>
        <w:gridCol w:w="170"/>
        <w:gridCol w:w="170"/>
        <w:gridCol w:w="861"/>
        <w:gridCol w:w="170"/>
        <w:gridCol w:w="170"/>
        <w:gridCol w:w="858"/>
        <w:gridCol w:w="170"/>
        <w:gridCol w:w="170"/>
        <w:gridCol w:w="675"/>
        <w:gridCol w:w="170"/>
        <w:gridCol w:w="170"/>
        <w:gridCol w:w="872"/>
        <w:gridCol w:w="170"/>
        <w:gridCol w:w="170"/>
        <w:gridCol w:w="913"/>
        <w:gridCol w:w="170"/>
        <w:gridCol w:w="170"/>
        <w:gridCol w:w="891"/>
        <w:gridCol w:w="170"/>
        <w:gridCol w:w="170"/>
        <w:gridCol w:w="942"/>
        <w:gridCol w:w="218"/>
      </w:tblGrid>
      <w:tr>
        <w:trPr/>
        <w:tc>
          <w:tcPr>
            <w:tcW w:w="185" w:type="dxa"/>
            <w:tcBorders/>
            <w:shd w:fill="1F1C6B" w:val="clear"/>
            <w:vAlign w:val="center"/>
          </w:tcPr>
          <w:p>
            <w:pPr>
              <w:pStyle w:val="TableContents"/>
              <w:bidi w:val="0"/>
              <w:spacing w:before="0" w:after="0"/>
              <w:jc w:val="left"/>
              <w:rPr/>
            </w:pPr>
            <w:r>
              <w:rPr/>
              <w:t> </w:t>
            </w:r>
          </w:p>
        </w:tc>
        <w:tc>
          <w:tcPr>
            <w:tcW w:w="35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61"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58"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7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72"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13"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91"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42" w:type="dxa"/>
            <w:tcBorders/>
            <w:shd w:fill="1F1C6B" w:val="clear"/>
            <w:vAlign w:val="center"/>
          </w:tcPr>
          <w:p>
            <w:pPr>
              <w:pStyle w:val="TableContents"/>
              <w:bidi w:val="0"/>
              <w:spacing w:before="0" w:after="0"/>
              <w:jc w:val="left"/>
              <w:rPr/>
            </w:pPr>
            <w:r>
              <w:rPr/>
              <w:t> </w:t>
            </w:r>
          </w:p>
        </w:tc>
        <w:tc>
          <w:tcPr>
            <w:tcW w:w="218"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350"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4"/>
              </w:rPr>
            </w:pPr>
            <w:r>
              <w:rPr>
                <w:rFonts w:ascii="Arial;Helvetica;sans-serif" w:hAnsi="Arial;Helvetica;sans-serif"/>
                <w:b/>
                <w:color w:val="FFFFFF"/>
                <w:sz w:val="14"/>
              </w:rPr>
              <w:t>Year</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61"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Average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Year-End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Fair Value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of Equity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Awards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Granted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During Year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That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Remained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Unvested as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of Last Day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of Year for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Non-PEO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NEOs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58"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Average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Change in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Fair Value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from Last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Day of Prior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Year to Last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Day of Year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of Unvested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Equity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Awards for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Non-PEO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NEOs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75"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Average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Vesting-</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Date Fair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Value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Equity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Awards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Granted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During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Year that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Vested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During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Year for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Non-PEO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NEOs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72"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Average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Change in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Fair Value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from Last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Day of Prior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Year to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Vesting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Date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Unvested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Equity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Awards that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Vested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During Year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for Non-PEO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NEOs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13"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Average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Fair Value at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Last Day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Prior Year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Equity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Awards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Forfeited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During Year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for Non-PEO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NEOs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91"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Average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Value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Dividends 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Other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Earnings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Paid 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Equity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Awards Not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Otherwise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Included for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Non-PEO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NEOs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42"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Average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Total - Equity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Award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Adjustments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for Non-PEO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NEOs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218"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30" w:right="0" w:hanging="0"/>
              <w:jc w:val="left"/>
              <w:rPr>
                <w:rFonts w:ascii="Arial;Helvetica;sans-serif" w:hAnsi="Arial;Helvetica;sans-serif"/>
                <w:color w:val="636466"/>
                <w:sz w:val="14"/>
              </w:rPr>
            </w:pPr>
            <w:r>
              <w:rPr>
                <w:rFonts w:ascii="Arial;Helvetica;sans-serif" w:hAnsi="Arial;Helvetica;sans-serif"/>
                <w:color w:val="636466"/>
                <w:sz w:val="14"/>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1" w:type="dxa"/>
            <w:tcBorders/>
            <w:vAlign w:val="center"/>
          </w:tcPr>
          <w:p>
            <w:pPr>
              <w:pStyle w:val="TableContents"/>
              <w:bidi w:val="0"/>
              <w:spacing w:before="0" w:after="283"/>
              <w:ind w:left="100" w:right="0" w:hanging="0"/>
              <w:jc w:val="left"/>
              <w:rPr>
                <w:rFonts w:ascii="Arial;Helvetica;sans-serif" w:hAnsi="Arial;Helvetica;sans-serif"/>
                <w:color w:val="636466"/>
                <w:sz w:val="14"/>
              </w:rPr>
            </w:pPr>
            <w:r>
              <w:rPr>
                <w:rFonts w:ascii="Arial;Helvetica;sans-serif" w:hAnsi="Arial;Helvetica;sans-serif"/>
                <w:color w:val="636466"/>
                <w:sz w:val="14"/>
              </w:rPr>
              <w:t xml:space="preserve">2,724,222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8" w:type="dxa"/>
            <w:tcBorders/>
            <w:vAlign w:val="center"/>
          </w:tcPr>
          <w:p>
            <w:pPr>
              <w:pStyle w:val="TableContents"/>
              <w:bidi w:val="0"/>
              <w:spacing w:before="0" w:after="283"/>
              <w:ind w:left="148" w:right="0" w:hanging="0"/>
              <w:jc w:val="left"/>
              <w:rPr>
                <w:rFonts w:ascii="Arial;Helvetica;sans-serif" w:hAnsi="Arial;Helvetica;sans-serif"/>
                <w:color w:val="636466"/>
                <w:sz w:val="14"/>
              </w:rPr>
            </w:pPr>
            <w:r>
              <w:rPr>
                <w:rFonts w:ascii="Arial;Helvetica;sans-serif" w:hAnsi="Arial;Helvetica;sans-serif"/>
                <w:color w:val="636466"/>
                <w:sz w:val="14"/>
              </w:rPr>
              <w:t xml:space="preserve">338,746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283"/>
              <w:ind w:left="241" w:right="0" w:hanging="0"/>
              <w:jc w:val="left"/>
              <w:rPr>
                <w:color w:val="636466"/>
              </w:rPr>
            </w:pPr>
            <w:r>
              <w:rPr>
                <w:color w:val="63646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160" w:right="0" w:hanging="0"/>
              <w:jc w:val="left"/>
              <w:rPr>
                <w:rFonts w:ascii="Arial;Helvetica;sans-serif" w:hAnsi="Arial;Helvetica;sans-serif"/>
                <w:color w:val="636466"/>
                <w:sz w:val="14"/>
              </w:rPr>
            </w:pPr>
            <w:r>
              <w:rPr>
                <w:rFonts w:ascii="Arial;Helvetica;sans-serif" w:hAnsi="Arial;Helvetica;sans-serif"/>
                <w:color w:val="636466"/>
                <w:sz w:val="14"/>
              </w:rPr>
              <w:t xml:space="preserve">172,581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3" w:type="dxa"/>
            <w:tcBorders/>
            <w:vAlign w:val="center"/>
          </w:tcPr>
          <w:p>
            <w:pPr>
              <w:pStyle w:val="TableContents"/>
              <w:bidi w:val="0"/>
              <w:spacing w:before="0" w:after="283"/>
              <w:ind w:left="149" w:right="0" w:hanging="0"/>
              <w:jc w:val="left"/>
              <w:rPr>
                <w:rFonts w:ascii="Arial;Helvetica;sans-serif" w:hAnsi="Arial;Helvetica;sans-serif"/>
                <w:color w:val="636466"/>
                <w:sz w:val="14"/>
              </w:rPr>
            </w:pPr>
            <w:r>
              <w:rPr>
                <w:rFonts w:ascii="Arial;Helvetica;sans-serif" w:hAnsi="Arial;Helvetica;sans-serif"/>
                <w:color w:val="636466"/>
                <w:sz w:val="14"/>
              </w:rPr>
              <w:t>(709,673)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1" w:type="dxa"/>
            <w:tcBorders/>
            <w:vAlign w:val="center"/>
          </w:tcPr>
          <w:p>
            <w:pPr>
              <w:pStyle w:val="TableContents"/>
              <w:bidi w:val="0"/>
              <w:spacing w:before="0" w:after="283"/>
              <w:ind w:left="355" w:right="0" w:hanging="0"/>
              <w:jc w:val="left"/>
              <w:rPr>
                <w:color w:val="636466"/>
              </w:rPr>
            </w:pPr>
            <w:r>
              <w:rPr>
                <w:color w:val="63646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2" w:type="dxa"/>
            <w:tcBorders/>
            <w:vAlign w:val="center"/>
          </w:tcPr>
          <w:p>
            <w:pPr>
              <w:pStyle w:val="TableContents"/>
              <w:bidi w:val="0"/>
              <w:spacing w:before="0" w:after="283"/>
              <w:ind w:left="131" w:right="0" w:hanging="0"/>
              <w:jc w:val="left"/>
              <w:rPr>
                <w:rFonts w:ascii="Arial;Helvetica;sans-serif" w:hAnsi="Arial;Helvetica;sans-serif"/>
                <w:color w:val="636466"/>
                <w:sz w:val="14"/>
              </w:rPr>
            </w:pPr>
            <w:r>
              <w:rPr>
                <w:rFonts w:ascii="Arial;Helvetica;sans-serif" w:hAnsi="Arial;Helvetica;sans-serif"/>
                <w:color w:val="636466"/>
                <w:sz w:val="14"/>
              </w:rPr>
              <w:t>2,525,876</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2"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4</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5</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The Peer Group TSR set forth in this table utilizes the Dow Jones U.S. Pharmaceuticals Index, which is also the published industry or line-of-business index we utilized in the stock performance graph required by Item 201(e) of Regulation S-K included in the Form 10-K. Viatris common stock has been listed on the NASDAQ under the symbol “VTRS” since November 17, 2020. Prior to that time, there was no public market for our common stock. Upon consummation of the Combination, Pfizer stockholders received approximately 0.124079 shares of Viatris common stock for every one share of Pfizer common stock held as of the close of business on the record date (which was November 13, 2020). Former Mylan ordinary shareholders received one share of Viatris common stock for every one share of Mylan ordinary share held. The comparison assumes $100 was invested in Company stock and in the Dow Jones U.S. Pharmaceuticals Index, in each case for the period starting November 16, 2020 (with the reinvestment of all dividends) through the end of the listed year. Historical stock performance is not necessarily indicative of future stock performance.</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6</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The dollar amounts reported represent the amount of net earnings (loss) reflected in the Company’s audited financial statements for the applicable year.</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7</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In accordance with Accounting Standards Codification 805, Business Combinations, Mylan is considered the accounting acquirer of the Upjohn business and all historical financial information of the Company prior to November 16, 2020 represents Mylan’s historical results and the Company’s thereafter.</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8</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We determined Free Cash Flow (as reported) to be the most important financial performance measure used to link Company performance to Compensation Actually Paid to our PEOs and non-PEO NEOs in 2024. Free Cash Flow (as reported) refers to U.S. GAAP net cash provided by operating activities less capital expenditures. We may determine a different financial performance measure to be the most important financial performance measure in future years.</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9</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Beginning in 2024, upfront and milestone payments related to externally developed IPR&amp;D projects acquired directly in a transaction other than a business combination, which were previously included in cash flows from operating activities in the consolidated statements of cash flows, are now classified as cash flows from investing activities. Certain reclassifications were made to conform the prior period consolidated financial statements to the current period presentation. The adjustments resulted in an increase to net cash provided by operating activities and an increase to net cash used in investing activities of $100 million for the year ended December 31, 2023, and in an increase to net cash provided by operating activities and a decrease to net cash provided by investing activities of $46 million for the year ended December 31, 2022.</w:t>
            </w:r>
          </w:p>
        </w:tc>
      </w:tr>
    </w:tbl>
    <w:tbl>
      <w:tblPr>
        <w:tblW w:w="4980" w:type="dxa"/>
        <w:jc w:val="left"/>
        <w:tblInd w:w="106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68 | 2025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265"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35" descr=""/>
                          <pic:cNvPicPr>
                            <a:picLocks noChangeAspect="1" noChangeArrowheads="1"/>
                          </pic:cNvPicPr>
                        </pic:nvPicPr>
                        <pic:blipFill>
                          <a:blip r:embed="rId252"/>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266"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36" descr=""/>
                    <pic:cNvPicPr>
                      <a:picLocks noChangeAspect="1" noChangeArrowheads="1"/>
                    </pic:cNvPicPr>
                  </pic:nvPicPr>
                  <pic:blipFill>
                    <a:blip r:embed="rId253"/>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72" w:name="ny20055082x771_def14a_111-comp_pg12"/>
        <w:bookmarkEnd w:id="17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right"/>
        <w:rPr>
          <w:caps/>
          <w:color w:val="1F1C6B"/>
          <w:u w:val="single"/>
        </w:rPr>
      </w:pPr>
      <w:r>
        <w:rPr>
          <w:caps/>
          <w:color w:val="1F1C6B"/>
          <w:u w:val="single"/>
        </w:rPr>
        <w:t> </w:t>
      </w:r>
      <w:r>
        <w:rPr>
          <w:rFonts w:ascii="Arial;Helvetica;sans-serif" w:hAnsi="Arial;Helvetica;sans-serif"/>
          <w:caps/>
          <w:color w:val="1F1C6B"/>
          <w:sz w:val="18"/>
          <w:u w:val="single"/>
        </w:rPr>
        <w:t>Executive Compensation Tables </w:t>
      </w:r>
    </w:p>
    <w:p>
      <w:pPr>
        <w:pStyle w:val="TextBody"/>
        <w:bidi w:val="0"/>
        <w:spacing w:before="160" w:after="283"/>
        <w:ind w:left="1060" w:right="0" w:hanging="0"/>
        <w:jc w:val="left"/>
        <w:rPr>
          <w:rFonts w:ascii="Arial;Helvetica;sans-serif" w:hAnsi="Arial;Helvetica;sans-serif"/>
          <w:color w:val="72288A"/>
          <w:sz w:val="24"/>
        </w:rPr>
      </w:pPr>
      <w:r>
        <w:rPr>
          <w:rFonts w:ascii="Arial;Helvetica;sans-serif" w:hAnsi="Arial;Helvetica;sans-serif"/>
          <w:color w:val="72288A"/>
          <w:sz w:val="24"/>
        </w:rPr>
        <w:t>Description of Relationship Between PEOs and Non-PEO NEOs Compensation Actually Paid and TSR</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The following chart sets forth the relationship between Compensation Actually Paid to our PEOs, the average of Compensation Actually Paid to our non-PEO NEOs, the Company’s cumulative TSR over the five most recently completed fiscal years, and the Peer Group TSR over the same period.</w:t>
      </w:r>
    </w:p>
    <w:p>
      <w:pPr>
        <w:pStyle w:val="TextBody"/>
        <w:bidi w:val="0"/>
        <w:spacing w:before="430" w:after="283"/>
        <w:ind w:left="1060" w:right="0" w:hanging="0"/>
        <w:jc w:val="left"/>
        <w:rPr>
          <w:color w:val="636466"/>
        </w:rPr>
      </w:pPr>
      <w:r>
        <w:rPr>
          <w:color w:val="636466"/>
        </w:rPr>
        <w:drawing>
          <wp:inline distT="0" distB="0" distL="0" distR="0">
            <wp:extent cx="6372225" cy="3667125"/>
            <wp:effectExtent l="0" t="0" r="0" b="0"/>
            <wp:docPr id="267"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37" descr=""/>
                    <pic:cNvPicPr>
                      <a:picLocks noChangeAspect="1" noChangeArrowheads="1"/>
                    </pic:cNvPicPr>
                  </pic:nvPicPr>
                  <pic:blipFill>
                    <a:blip r:embed="rId254"/>
                    <a:stretch>
                      <a:fillRect/>
                    </a:stretch>
                  </pic:blipFill>
                  <pic:spPr bwMode="auto">
                    <a:xfrm>
                      <a:off x="0" y="0"/>
                      <a:ext cx="6372225" cy="3667125"/>
                    </a:xfrm>
                    <a:prstGeom prst="rect">
                      <a:avLst/>
                    </a:prstGeom>
                  </pic:spPr>
                </pic:pic>
              </a:graphicData>
            </a:graphic>
          </wp:inline>
        </w:drawing>
      </w:r>
    </w:p>
    <w:p>
      <w:pPr>
        <w:pStyle w:val="TextBody"/>
        <w:bidi w:val="0"/>
        <w:spacing w:before="0" w:after="283"/>
        <w:ind w:left="1060" w:right="0" w:hanging="0"/>
        <w:jc w:val="left"/>
        <w:rPr>
          <w:color w:val="636466"/>
        </w:rPr>
      </w:pPr>
      <w:r>
        <w:rPr>
          <w:color w:val="636466"/>
        </w:rPr>
        <w:t> </w:t>
      </w:r>
    </w:p>
    <w:p>
      <w:pPr>
        <w:pStyle w:val="TextBody"/>
        <w:bidi w:val="0"/>
        <w:spacing w:before="360" w:after="283"/>
        <w:ind w:left="1060" w:right="0" w:hanging="0"/>
        <w:jc w:val="left"/>
        <w:rPr>
          <w:rFonts w:ascii="Arial;Helvetica;sans-serif" w:hAnsi="Arial;Helvetica;sans-serif"/>
          <w:color w:val="72288A"/>
          <w:sz w:val="24"/>
        </w:rPr>
      </w:pPr>
      <w:r>
        <w:rPr>
          <w:rFonts w:ascii="Arial;Helvetica;sans-serif" w:hAnsi="Arial;Helvetica;sans-serif"/>
          <w:color w:val="72288A"/>
          <w:sz w:val="24"/>
        </w:rPr>
        <w:t>Description of Relationship Between PEOs and Non-PEO NEOs Compensation Actually Paid and Net Income</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The following chart sets forth the relationship between Compensation Actually Paid to our PEOs, the average of Compensation Actually Paid to our non-PEO NEOs, and our Net Earnings (Loss) during the five most recently completed fiscal years.</w:t>
      </w:r>
    </w:p>
    <w:tbl>
      <w:tblPr>
        <w:tblW w:w="4980" w:type="dxa"/>
        <w:jc w:val="left"/>
        <w:tblInd w:w="106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268"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38" descr=""/>
                          <pic:cNvPicPr>
                            <a:picLocks noChangeAspect="1" noChangeArrowheads="1"/>
                          </pic:cNvPicPr>
                        </pic:nvPicPr>
                        <pic:blipFill>
                          <a:blip r:embed="rId255"/>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Statement | 69</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269"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39" descr=""/>
                    <pic:cNvPicPr>
                      <a:picLocks noChangeAspect="1" noChangeArrowheads="1"/>
                    </pic:cNvPicPr>
                  </pic:nvPicPr>
                  <pic:blipFill>
                    <a:blip r:embed="rId256"/>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73" w:name="ny20055082x771_def14a_111-comp_pg13"/>
        <w:bookmarkEnd w:id="17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left"/>
        <w:rPr>
          <w:caps/>
          <w:color w:val="1F1C6B"/>
          <w:u w:val="single"/>
        </w:rPr>
      </w:pPr>
      <w:r>
        <w:rPr>
          <w:caps/>
          <w:color w:val="1F1C6B"/>
          <w:u w:val="single"/>
        </w:rPr>
        <w:t> </w:t>
      </w:r>
      <w:r>
        <w:rPr>
          <w:rFonts w:ascii="Arial;Helvetica;sans-serif" w:hAnsi="Arial;Helvetica;sans-serif"/>
          <w:caps/>
          <w:color w:val="1F1C6B"/>
          <w:sz w:val="18"/>
          <w:u w:val="single"/>
        </w:rPr>
        <w:t>Executive Compensation Tables </w:t>
      </w:r>
    </w:p>
    <w:p>
      <w:pPr>
        <w:pStyle w:val="TextBody"/>
        <w:bidi w:val="0"/>
        <w:spacing w:before="120" w:after="283"/>
        <w:ind w:left="1060" w:right="0" w:hanging="0"/>
        <w:jc w:val="left"/>
        <w:rPr>
          <w:color w:val="636466"/>
        </w:rPr>
      </w:pPr>
      <w:r>
        <w:rPr>
          <w:color w:val="636466"/>
        </w:rPr>
        <w:drawing>
          <wp:inline distT="0" distB="0" distL="0" distR="0">
            <wp:extent cx="6629400" cy="3228975"/>
            <wp:effectExtent l="0" t="0" r="0" b="0"/>
            <wp:docPr id="270"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40" descr=""/>
                    <pic:cNvPicPr>
                      <a:picLocks noChangeAspect="1" noChangeArrowheads="1"/>
                    </pic:cNvPicPr>
                  </pic:nvPicPr>
                  <pic:blipFill>
                    <a:blip r:embed="rId257"/>
                    <a:stretch>
                      <a:fillRect/>
                    </a:stretch>
                  </pic:blipFill>
                  <pic:spPr bwMode="auto">
                    <a:xfrm>
                      <a:off x="0" y="0"/>
                      <a:ext cx="6629400" cy="3228975"/>
                    </a:xfrm>
                    <a:prstGeom prst="rect">
                      <a:avLst/>
                    </a:prstGeom>
                  </pic:spPr>
                </pic:pic>
              </a:graphicData>
            </a:graphic>
          </wp:inline>
        </w:drawing>
      </w:r>
    </w:p>
    <w:p>
      <w:pPr>
        <w:pStyle w:val="TextBody"/>
        <w:bidi w:val="0"/>
        <w:spacing w:before="0" w:after="283"/>
        <w:ind w:left="1060" w:right="0" w:hanging="0"/>
        <w:jc w:val="left"/>
        <w:rPr>
          <w:color w:val="636466"/>
        </w:rPr>
      </w:pPr>
      <w:r>
        <w:rPr>
          <w:color w:val="636466"/>
        </w:rPr>
        <w:t> </w:t>
      </w:r>
    </w:p>
    <w:p>
      <w:pPr>
        <w:pStyle w:val="TextBody"/>
        <w:bidi w:val="0"/>
        <w:spacing w:before="360" w:after="283"/>
        <w:ind w:left="1060" w:right="0" w:hanging="0"/>
        <w:jc w:val="left"/>
        <w:rPr>
          <w:rFonts w:ascii="Arial;Helvetica;sans-serif" w:hAnsi="Arial;Helvetica;sans-serif"/>
          <w:color w:val="72288A"/>
          <w:sz w:val="24"/>
        </w:rPr>
      </w:pPr>
      <w:r>
        <w:rPr>
          <w:rFonts w:ascii="Arial;Helvetica;sans-serif" w:hAnsi="Arial;Helvetica;sans-serif"/>
          <w:color w:val="72288A"/>
          <w:sz w:val="24"/>
        </w:rPr>
        <w:t>Description of Relationship Between PEOs and Non-PEO NEOs Compensation Actually Paid and Free Cash Flow (as reported)</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The following chart sets forth the relationship between Compensation Actually Paid to our PEOs, the average of Compensation Actually Paid to our non-PEO NEOs, and our Free Cash Flow (as reported during the five most recently completed fiscal years).</w:t>
      </w:r>
    </w:p>
    <w:p>
      <w:pPr>
        <w:pStyle w:val="TextBody"/>
        <w:bidi w:val="0"/>
        <w:spacing w:before="430" w:after="283"/>
        <w:ind w:left="1060" w:right="0" w:hanging="0"/>
        <w:jc w:val="left"/>
        <w:rPr>
          <w:color w:val="636466"/>
        </w:rPr>
      </w:pPr>
      <w:r>
        <w:rPr>
          <w:color w:val="636466"/>
        </w:rPr>
        <w:drawing>
          <wp:inline distT="0" distB="0" distL="0" distR="0">
            <wp:extent cx="6600825" cy="3228975"/>
            <wp:effectExtent l="0" t="0" r="0" b="0"/>
            <wp:docPr id="271"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41" descr=""/>
                    <pic:cNvPicPr>
                      <a:picLocks noChangeAspect="1" noChangeArrowheads="1"/>
                    </pic:cNvPicPr>
                  </pic:nvPicPr>
                  <pic:blipFill>
                    <a:blip r:embed="rId258"/>
                    <a:stretch>
                      <a:fillRect/>
                    </a:stretch>
                  </pic:blipFill>
                  <pic:spPr bwMode="auto">
                    <a:xfrm>
                      <a:off x="0" y="0"/>
                      <a:ext cx="6600825" cy="3228975"/>
                    </a:xfrm>
                    <a:prstGeom prst="rect">
                      <a:avLst/>
                    </a:prstGeom>
                  </pic:spPr>
                </pic:pic>
              </a:graphicData>
            </a:graphic>
          </wp:inline>
        </w:drawing>
      </w:r>
    </w:p>
    <w:p>
      <w:pPr>
        <w:pStyle w:val="TextBody"/>
        <w:bidi w:val="0"/>
        <w:spacing w:before="0" w:after="283"/>
        <w:ind w:left="1060" w:right="0" w:hanging="0"/>
        <w:jc w:val="left"/>
        <w:rPr>
          <w:color w:val="636466"/>
        </w:rPr>
      </w:pPr>
      <w:r>
        <w:rPr>
          <w:color w:val="636466"/>
        </w:rPr>
        <w:t> </w:t>
      </w:r>
    </w:p>
    <w:tbl>
      <w:tblPr>
        <w:tblW w:w="4980" w:type="dxa"/>
        <w:jc w:val="left"/>
        <w:tblInd w:w="106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70 | 2025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272"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42" descr=""/>
                          <pic:cNvPicPr>
                            <a:picLocks noChangeAspect="1" noChangeArrowheads="1"/>
                          </pic:cNvPicPr>
                        </pic:nvPicPr>
                        <pic:blipFill>
                          <a:blip r:embed="rId259"/>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273"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43" descr=""/>
                    <pic:cNvPicPr>
                      <a:picLocks noChangeAspect="1" noChangeArrowheads="1"/>
                    </pic:cNvPicPr>
                  </pic:nvPicPr>
                  <pic:blipFill>
                    <a:blip r:embed="rId260"/>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74" w:name="ny20055082x771_def14a_111-comp_pg14"/>
        <w:bookmarkEnd w:id="17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right"/>
        <w:rPr>
          <w:caps/>
          <w:color w:val="1F1C6B"/>
          <w:u w:val="single"/>
        </w:rPr>
      </w:pPr>
      <w:r>
        <w:rPr>
          <w:caps/>
          <w:color w:val="1F1C6B"/>
          <w:u w:val="single"/>
        </w:rPr>
        <w:t> </w:t>
      </w:r>
      <w:r>
        <w:rPr>
          <w:rFonts w:ascii="Arial;Helvetica;sans-serif" w:hAnsi="Arial;Helvetica;sans-serif"/>
          <w:caps/>
          <w:color w:val="1F1C6B"/>
          <w:sz w:val="18"/>
          <w:u w:val="single"/>
        </w:rPr>
        <w:t>Executive Compensation Tables </w:t>
      </w:r>
    </w:p>
    <w:p>
      <w:pPr>
        <w:pStyle w:val="TextBody"/>
        <w:bidi w:val="0"/>
        <w:spacing w:before="160" w:after="283"/>
        <w:ind w:left="1060" w:right="0" w:hanging="0"/>
        <w:jc w:val="left"/>
        <w:rPr>
          <w:rFonts w:ascii="Arial;Helvetica;sans-serif" w:hAnsi="Arial;Helvetica;sans-serif"/>
          <w:color w:val="72288A"/>
          <w:sz w:val="24"/>
        </w:rPr>
      </w:pPr>
      <w:r>
        <w:rPr>
          <w:rFonts w:ascii="Arial;Helvetica;sans-serif" w:hAnsi="Arial;Helvetica;sans-serif"/>
          <w:color w:val="72288A"/>
          <w:sz w:val="24"/>
        </w:rPr>
        <w:t>List of Most Important Financial Performance Measures</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The following presents the financial performance measures that the Company considers to have been the most important in linking Compensation Actually Paid to our PEOs and other NEOs for 2024 to Company performance. The measures are not ranked.</w:t>
      </w:r>
    </w:p>
    <w:tbl>
      <w:tblPr>
        <w:tblW w:w="3510" w:type="dxa"/>
        <w:jc w:val="left"/>
        <w:tblInd w:w="1060" w:type="dxa"/>
        <w:tblLayout w:type="fixed"/>
        <w:tblCellMar>
          <w:top w:w="0" w:type="dxa"/>
          <w:left w:w="0" w:type="dxa"/>
          <w:bottom w:w="0" w:type="dxa"/>
          <w:right w:w="0" w:type="dxa"/>
        </w:tblCellMar>
      </w:tblPr>
      <w:tblGrid>
        <w:gridCol w:w="185"/>
        <w:gridCol w:w="3110"/>
        <w:gridCol w:w="215"/>
      </w:tblGrid>
      <w:tr>
        <w:trPr/>
        <w:tc>
          <w:tcPr>
            <w:tcW w:w="185" w:type="dxa"/>
            <w:tcBorders/>
            <w:shd w:fill="1F1C6B" w:val="clear"/>
            <w:vAlign w:val="center"/>
          </w:tcPr>
          <w:p>
            <w:pPr>
              <w:pStyle w:val="TableContents"/>
              <w:bidi w:val="0"/>
              <w:spacing w:before="0" w:after="0"/>
              <w:jc w:val="left"/>
              <w:rPr/>
            </w:pPr>
            <w:r>
              <w:rPr/>
              <w:t> </w:t>
            </w:r>
          </w:p>
        </w:tc>
        <w:tc>
          <w:tcPr>
            <w:tcW w:w="3110"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3110"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Most Important Performance Measures</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11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Adjusted EBITDA (as reported)*</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3110"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Free Cash Flow (as reported)*</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11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Relative TSR</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11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9115" w:type="dxa"/>
        <w:jc w:val="left"/>
        <w:tblInd w:w="1060" w:type="dxa"/>
        <w:tblLayout w:type="fixed"/>
        <w:tblCellMar>
          <w:top w:w="0" w:type="dxa"/>
          <w:left w:w="0" w:type="dxa"/>
          <w:bottom w:w="0" w:type="dxa"/>
          <w:right w:w="0" w:type="dxa"/>
        </w:tblCellMar>
      </w:tblPr>
      <w:tblGrid>
        <w:gridCol w:w="110"/>
        <w:gridCol w:w="9005"/>
      </w:tblGrid>
      <w:tr>
        <w:trPr/>
        <w:tc>
          <w:tcPr>
            <w:tcW w:w="11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w:t>
            </w:r>
          </w:p>
        </w:tc>
        <w:tc>
          <w:tcPr>
            <w:tcW w:w="900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See Appendix B for reconciliations of 2024 Adjusted EBITDA (as reported) and Free Cash Flow (as reported) to our audited financial statements.</w:t>
            </w:r>
          </w:p>
        </w:tc>
      </w:tr>
    </w:tbl>
    <w:tbl>
      <w:tblPr>
        <w:tblW w:w="4980" w:type="dxa"/>
        <w:jc w:val="left"/>
        <w:tblInd w:w="106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274"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44" descr=""/>
                          <pic:cNvPicPr>
                            <a:picLocks noChangeAspect="1" noChangeArrowheads="1"/>
                          </pic:cNvPicPr>
                        </pic:nvPicPr>
                        <pic:blipFill>
                          <a:blip r:embed="rId261"/>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Statement | 71</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275"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45" descr=""/>
                    <pic:cNvPicPr>
                      <a:picLocks noChangeAspect="1" noChangeArrowheads="1"/>
                    </pic:cNvPicPr>
                  </pic:nvPicPr>
                  <pic:blipFill>
                    <a:blip r:embed="rId262"/>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75" w:name="ny20055082x771_def14a_112-item3_pg1"/>
        <w:bookmarkEnd w:id="175"/>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1060" w:right="0" w:hanging="0"/>
        <w:jc w:val="left"/>
        <w:rPr>
          <w:color w:val="000000"/>
        </w:rPr>
      </w:pPr>
      <w:r>
        <w:rPr>
          <w:color w:val="000000"/>
        </w:rPr>
        <w:drawing>
          <wp:inline distT="0" distB="0" distL="0" distR="0">
            <wp:extent cx="685800" cy="190500"/>
            <wp:effectExtent l="0" t="0" r="0" b="0"/>
            <wp:docPr id="276"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46" descr=""/>
                    <pic:cNvPicPr>
                      <a:picLocks noChangeAspect="1" noChangeArrowheads="1"/>
                    </pic:cNvPicPr>
                  </pic:nvPicPr>
                  <pic:blipFill>
                    <a:blip r:embed="rId263"/>
                    <a:stretch>
                      <a:fillRect/>
                    </a:stretch>
                  </pic:blipFill>
                  <pic:spPr bwMode="auto">
                    <a:xfrm>
                      <a:off x="0" y="0"/>
                      <a:ext cx="685800" cy="190500"/>
                    </a:xfrm>
                    <a:prstGeom prst="rect">
                      <a:avLst/>
                    </a:prstGeom>
                  </pic:spPr>
                </pic:pic>
              </a:graphicData>
            </a:graphic>
          </wp:inline>
        </w:drawing>
      </w:r>
    </w:p>
    <w:p>
      <w:pPr>
        <w:pStyle w:val="Normal"/>
        <w:bidi w:val="0"/>
        <w:spacing w:before="0" w:after="0"/>
        <w:ind w:left="1060" w:right="0" w:hanging="0"/>
        <w:jc w:val="left"/>
        <w:rPr>
          <w:sz w:val="4"/>
          <w:szCs w:val="4"/>
        </w:rPr>
      </w:pPr>
      <w:r>
        <w:rPr>
          <w:sz w:val="4"/>
          <w:szCs w:val="4"/>
        </w:rPr>
      </w:r>
      <w:r>
        <mc:AlternateContent>
          <mc:Choice Requires="wps">
            <w:drawing>
              <wp:anchor behindDoc="0" distT="0" distB="0" distL="304800" distR="0" simplePos="0" locked="0" layoutInCell="1" allowOverlap="1" relativeHeight="140">
                <wp:simplePos x="0" y="0"/>
                <wp:positionH relativeFrom="column">
                  <wp:align>left</wp:align>
                </wp:positionH>
                <wp:positionV relativeFrom="line">
                  <wp:posOffset>635</wp:posOffset>
                </wp:positionV>
                <wp:extent cx="1993900" cy="7357745"/>
                <wp:effectExtent l="0" t="0" r="0" b="0"/>
                <wp:wrapSquare wrapText="right"/>
                <wp:docPr id="277" name="Frame16"/>
                <a:graphic xmlns:a="http://schemas.openxmlformats.org/drawingml/2006/main">
                  <a:graphicData uri="http://schemas.microsoft.com/office/word/2010/wordprocessingShape">
                    <wps:wsp>
                      <wps:cNvSpPr txBox="1"/>
                      <wps:spPr>
                        <a:xfrm>
                          <a:off x="0" y="0"/>
                          <a:ext cx="1993900" cy="7357745"/>
                        </a:xfrm>
                        <a:prstGeom prst="rect"/>
                        <a:solidFill>
                          <a:srgbClr val="FFFFFF"/>
                        </a:solidFill>
                      </wps:spPr>
                      <wps:txbx>
                        <w:txbxContent>
                          <w:tbl>
                            <w:tblPr>
                              <w:tblW w:w="2700" w:type="dxa"/>
                              <w:jc w:val="left"/>
                              <w:tblInd w:w="1060" w:type="dxa"/>
                              <w:tblLayout w:type="fixed"/>
                              <w:tblCellMar>
                                <w:top w:w="0" w:type="dxa"/>
                                <w:left w:w="0" w:type="dxa"/>
                                <w:bottom w:w="0" w:type="dxa"/>
                                <w:right w:w="0" w:type="dxa"/>
                              </w:tblCellMar>
                            </w:tblPr>
                            <w:tblGrid>
                              <w:gridCol w:w="185"/>
                              <w:gridCol w:w="2300"/>
                              <w:gridCol w:w="215"/>
                            </w:tblGrid>
                            <w:tr>
                              <w:trPr/>
                              <w:tc>
                                <w:tcPr>
                                  <w:tcW w:w="185" w:type="dxa"/>
                                  <w:tcBorders/>
                                  <w:shd w:fill="DEDEF6" w:val="clear"/>
                                  <w:vAlign w:val="center"/>
                                </w:tcPr>
                                <w:p>
                                  <w:pPr>
                                    <w:pStyle w:val="TableContents"/>
                                    <w:bidi w:val="0"/>
                                    <w:spacing w:before="0" w:after="0"/>
                                    <w:jc w:val="left"/>
                                    <w:rPr/>
                                  </w:pPr>
                                  <w:r>
                                    <w:rPr/>
                                    <w:t> </w:t>
                                  </w:r>
                                </w:p>
                              </w:tc>
                              <w:tc>
                                <w:tcPr>
                                  <w:tcW w:w="2300" w:type="dxa"/>
                                  <w:tcBorders/>
                                  <w:shd w:fill="DEDEF6" w:val="clear"/>
                                  <w:vAlign w:val="center"/>
                                </w:tcPr>
                                <w:p>
                                  <w:pPr>
                                    <w:pStyle w:val="TableContents"/>
                                    <w:bidi w:val="0"/>
                                    <w:spacing w:before="0" w:after="0"/>
                                    <w:jc w:val="left"/>
                                    <w:rPr/>
                                  </w:pPr>
                                  <w:r>
                                    <w:rPr/>
                                    <w:t> </w:t>
                                  </w:r>
                                </w:p>
                              </w:tc>
                              <w:tc>
                                <w:tcPr>
                                  <w:tcW w:w="215" w:type="dxa"/>
                                  <w:tcBorders/>
                                  <w:shd w:fill="DEDEF6" w:val="clear"/>
                                  <w:vAlign w:val="center"/>
                                </w:tcPr>
                                <w:p>
                                  <w:pPr>
                                    <w:pStyle w:val="TableContents"/>
                                    <w:bidi w:val="0"/>
                                    <w:spacing w:before="0" w:after="0"/>
                                    <w:jc w:val="left"/>
                                    <w:rPr/>
                                  </w:pPr>
                                  <w:r>
                                    <w:rPr/>
                                    <w:t> </w:t>
                                  </w:r>
                                </w:p>
                              </w:tc>
                            </w:tr>
                            <w:tr>
                              <w:trPr/>
                              <w:tc>
                                <w:tcPr>
                                  <w:tcW w:w="185" w:type="dxa"/>
                                  <w:tcBorders/>
                                  <w:shd w:fill="DEDEF6" w:val="clear"/>
                                  <w:vAlign w:val="center"/>
                                </w:tcPr>
                                <w:p>
                                  <w:pPr>
                                    <w:pStyle w:val="TableContents"/>
                                    <w:bidi w:val="0"/>
                                    <w:spacing w:before="0" w:after="0"/>
                                    <w:jc w:val="left"/>
                                    <w:rPr/>
                                  </w:pPr>
                                  <w:r>
                                    <w:rPr/>
                                    <w:t> </w:t>
                                  </w:r>
                                </w:p>
                              </w:tc>
                              <w:tc>
                                <w:tcPr>
                                  <w:tcW w:w="2300" w:type="dxa"/>
                                  <w:tcBorders/>
                                  <w:shd w:fill="DEDEF6" w:val="clear"/>
                                  <w:vAlign w:val="center"/>
                                </w:tcPr>
                                <w:p>
                                  <w:pPr>
                                    <w:pStyle w:val="TableContents"/>
                                    <w:bidi w:val="0"/>
                                    <w:spacing w:before="0" w:after="283"/>
                                    <w:ind w:left="120" w:right="0" w:hanging="0"/>
                                    <w:jc w:val="left"/>
                                    <w:rPr>
                                      <w:rFonts w:ascii="Arial;Helvetica;sans-serif" w:hAnsi="Arial;Helvetica;sans-serif"/>
                                      <w:b/>
                                      <w:color w:val="484484"/>
                                      <w:sz w:val="20"/>
                                    </w:rPr>
                                  </w:pPr>
                                  <w:r>
                                    <w:rPr>
                                      <w:rFonts w:ascii="Arial;Helvetica;sans-serif" w:hAnsi="Arial;Helvetica;sans-serif"/>
                                      <w:b/>
                                      <w:color w:val="484484"/>
                                      <w:sz w:val="20"/>
                                    </w:rPr>
                                    <w:t>Board Recommendation</w:t>
                                  </w:r>
                                </w:p>
                              </w:tc>
                              <w:tc>
                                <w:tcPr>
                                  <w:tcW w:w="215" w:type="dxa"/>
                                  <w:tcBorders/>
                                  <w:shd w:fill="DEDEF6" w:val="clear"/>
                                  <w:vAlign w:val="center"/>
                                </w:tcPr>
                                <w:p>
                                  <w:pPr>
                                    <w:pStyle w:val="TableContents"/>
                                    <w:bidi w:val="0"/>
                                    <w:spacing w:before="0" w:after="0"/>
                                    <w:jc w:val="left"/>
                                    <w:rPr/>
                                  </w:pPr>
                                  <w:r>
                                    <w:rPr/>
                                    <w:t> </w:t>
                                  </w:r>
                                </w:p>
                              </w:tc>
                            </w:tr>
                            <w:tr>
                              <w:trPr/>
                              <w:tc>
                                <w:tcPr>
                                  <w:tcW w:w="185" w:type="dxa"/>
                                  <w:tcBorders/>
                                  <w:shd w:fill="DEDEF6" w:val="clear"/>
                                  <w:vAlign w:val="center"/>
                                </w:tcPr>
                                <w:p>
                                  <w:pPr>
                                    <w:pStyle w:val="TableContents"/>
                                    <w:bidi w:val="0"/>
                                    <w:spacing w:before="0" w:after="0"/>
                                    <w:jc w:val="left"/>
                                    <w:rPr/>
                                  </w:pPr>
                                  <w:r>
                                    <w:rPr/>
                                    <w:t> </w:t>
                                  </w:r>
                                </w:p>
                              </w:tc>
                              <w:tc>
                                <w:tcPr>
                                  <w:tcW w:w="2300" w:type="dxa"/>
                                  <w:tcBorders/>
                                  <w:shd w:fill="DEDEF6" w:val="clear"/>
                                  <w:vAlign w:val="center"/>
                                </w:tcPr>
                                <w:p>
                                  <w:pPr>
                                    <w:pStyle w:val="TableContents"/>
                                    <w:bidi w:val="0"/>
                                    <w:spacing w:before="0" w:after="0"/>
                                    <w:jc w:val="left"/>
                                    <w:rPr/>
                                  </w:pPr>
                                  <w:r>
                                    <w:rPr/>
                                    <w:t> </w:t>
                                  </w:r>
                                </w:p>
                              </w:tc>
                              <w:tc>
                                <w:tcPr>
                                  <w:tcW w:w="215" w:type="dxa"/>
                                  <w:tcBorders/>
                                  <w:shd w:fill="DEDEF6" w:val="clear"/>
                                  <w:vAlign w:val="center"/>
                                </w:tcPr>
                                <w:p>
                                  <w:pPr>
                                    <w:pStyle w:val="TableContents"/>
                                    <w:bidi w:val="0"/>
                                    <w:spacing w:before="0" w:after="0"/>
                                    <w:jc w:val="left"/>
                                    <w:rPr/>
                                  </w:pPr>
                                  <w:r>
                                    <w:rPr/>
                                    <w:t> </w:t>
                                  </w:r>
                                </w:p>
                              </w:tc>
                            </w:tr>
                          </w:tbl>
                          <w:tbl>
                            <w:tblPr>
                              <w:tblW w:w="9145" w:type="dxa"/>
                              <w:jc w:val="left"/>
                              <w:tblInd w:w="1060" w:type="dxa"/>
                              <w:tblLayout w:type="fixed"/>
                              <w:tblCellMar>
                                <w:top w:w="0" w:type="dxa"/>
                                <w:left w:w="0" w:type="dxa"/>
                                <w:bottom w:w="0" w:type="dxa"/>
                                <w:right w:w="0" w:type="dxa"/>
                              </w:tblCellMar>
                            </w:tblPr>
                            <w:tblGrid>
                              <w:gridCol w:w="185"/>
                              <w:gridCol w:w="8745"/>
                              <w:gridCol w:w="215"/>
                            </w:tblGrid>
                            <w:tr>
                              <w:trPr/>
                              <w:tc>
                                <w:tcPr>
                                  <w:tcW w:w="185" w:type="dxa"/>
                                  <w:tcBorders/>
                                  <w:shd w:fill="E7E0EF" w:val="clear"/>
                                  <w:vAlign w:val="center"/>
                                </w:tcPr>
                                <w:p>
                                  <w:pPr>
                                    <w:pStyle w:val="TableContents"/>
                                    <w:bidi w:val="0"/>
                                    <w:spacing w:before="0" w:after="0"/>
                                    <w:jc w:val="left"/>
                                    <w:rPr/>
                                  </w:pPr>
                                  <w:r>
                                    <w:rPr/>
                                    <w:t> </w:t>
                                  </w:r>
                                </w:p>
                              </w:tc>
                              <w:tc>
                                <w:tcPr>
                                  <w:tcW w:w="874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8745" w:type="dxa"/>
                                  <w:tcBorders/>
                                  <w:shd w:fill="E7E0EF" w:val="clear"/>
                                  <w:vAlign w:val="center"/>
                                </w:tcPr>
                                <w:p>
                                  <w:pPr>
                                    <w:pStyle w:val="TableContents"/>
                                    <w:bidi w:val="0"/>
                                    <w:spacing w:before="0" w:after="283"/>
                                    <w:ind w:left="120" w:right="0" w:hanging="0"/>
                                    <w:jc w:val="left"/>
                                    <w:rPr>
                                      <w:rFonts w:ascii="Arial;Helvetica;sans-serif" w:hAnsi="Arial;Helvetica;sans-serif"/>
                                      <w:color w:val="636466"/>
                                      <w:sz w:val="26"/>
                                    </w:rPr>
                                  </w:pPr>
                                  <w:r>
                                    <w:rPr>
                                      <w:rFonts w:ascii="Arial;Helvetica;sans-serif" w:hAnsi="Arial;Helvetica;sans-serif"/>
                                      <w:color w:val="636466"/>
                                      <w:sz w:val="26"/>
                                    </w:rPr>
                                    <w:t xml:space="preserve">Viatris’ Board recommends a vote </w:t>
                                  </w:r>
                                  <w:r>
                                    <w:rPr>
                                      <w:rFonts w:ascii="Arial;Helvetica;sans-serif" w:hAnsi="Arial;Helvetica;sans-serif"/>
                                      <w:color w:val="8A58A0"/>
                                      <w:sz w:val="26"/>
                                    </w:rPr>
                                    <w:t>“</w:t>
                                  </w:r>
                                  <w:r>
                                    <w:rPr>
                                      <w:rFonts w:ascii="Arial;Helvetica;sans-serif" w:hAnsi="Arial;Helvetica;sans-serif"/>
                                      <w:color w:val="8A58A0"/>
                                      <w:sz w:val="44"/>
                                    </w:rPr>
                                    <w:t>FOR”</w:t>
                                  </w:r>
                                  <w:r>
                                    <w:rPr>
                                      <w:rFonts w:ascii="Arial;Helvetica;sans-serif" w:hAnsi="Arial;Helvetica;sans-serif"/>
                                      <w:color w:val="636466"/>
                                      <w:sz w:val="26"/>
                                    </w:rPr>
                                    <w:t xml:space="preserve"> ratification of the selection of Deloitte as the Company’s independent registered public accounting firm for the fiscal year ending December 31, 2025.</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874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p>
                            <w:pPr>
                              <w:pStyle w:val="TextBody"/>
                              <w:bidi w:val="0"/>
                              <w:spacing w:before="80" w:after="283"/>
                              <w:ind w:left="1060" w:right="0" w:hanging="0"/>
                              <w:jc w:val="left"/>
                              <w:rPr>
                                <w:color w:val="636466"/>
                              </w:rPr>
                            </w:pPr>
                            <w:r>
                              <w:rPr>
                                <w:color w:val="636466"/>
                              </w:rPr>
                              <w:drawing>
                                <wp:inline distT="0" distB="0" distL="0" distR="0">
                                  <wp:extent cx="2009775" cy="5076825"/>
                                  <wp:effectExtent l="0" t="0" r="0" b="0"/>
                                  <wp:docPr id="278"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47" descr=""/>
                                          <pic:cNvPicPr>
                                            <a:picLocks noChangeAspect="1" noChangeArrowheads="1"/>
                                          </pic:cNvPicPr>
                                        </pic:nvPicPr>
                                        <pic:blipFill>
                                          <a:blip r:embed="rId264"/>
                                          <a:stretch>
                                            <a:fillRect/>
                                          </a:stretch>
                                        </pic:blipFill>
                                        <pic:spPr bwMode="auto">
                                          <a:xfrm>
                                            <a:off x="0" y="0"/>
                                            <a:ext cx="2009775" cy="5076825"/>
                                          </a:xfrm>
                                          <a:prstGeom prst="rect">
                                            <a:avLst/>
                                          </a:prstGeom>
                                        </pic:spPr>
                                      </pic:pic>
                                    </a:graphicData>
                                  </a:graphic>
                                </wp:inline>
                              </w:drawing>
                            </w:r>
                            <w:r>
                              <w:rPr>
                                <w:color w:val="636466"/>
                              </w:rPr>
                              <w:t> </w:t>
                            </w:r>
                          </w:p>
                        </w:txbxContent>
                      </wps:txbx>
                      <wps:bodyPr anchor="t" lIns="0" tIns="0" rIns="0" bIns="0">
                        <a:noAutofit/>
                      </wps:bodyPr>
                    </wps:wsp>
                  </a:graphicData>
                </a:graphic>
              </wp:anchor>
            </w:drawing>
          </mc:Choice>
          <mc:Fallback>
            <w:pict>
              <v:rect style="position:absolute;rotation:-0;width:157pt;height:579.35pt;mso-wrap-distance-left:24pt;mso-wrap-distance-right:0pt;mso-wrap-distance-top:0pt;mso-wrap-distance-bottom:0pt;margin-top:0pt;mso-position-vertical:top;mso-position-vertical-relative:text;margin-left:24pt;mso-position-horizontal:left;mso-position-horizontal-relative:text">
                <v:textbox>
                  <w:txbxContent>
                    <w:tbl>
                      <w:tblPr>
                        <w:tblW w:w="2700" w:type="dxa"/>
                        <w:jc w:val="left"/>
                        <w:tblInd w:w="1060" w:type="dxa"/>
                        <w:tblLayout w:type="fixed"/>
                        <w:tblCellMar>
                          <w:top w:w="0" w:type="dxa"/>
                          <w:left w:w="0" w:type="dxa"/>
                          <w:bottom w:w="0" w:type="dxa"/>
                          <w:right w:w="0" w:type="dxa"/>
                        </w:tblCellMar>
                      </w:tblPr>
                      <w:tblGrid>
                        <w:gridCol w:w="185"/>
                        <w:gridCol w:w="2300"/>
                        <w:gridCol w:w="215"/>
                      </w:tblGrid>
                      <w:tr>
                        <w:trPr/>
                        <w:tc>
                          <w:tcPr>
                            <w:tcW w:w="185" w:type="dxa"/>
                            <w:tcBorders/>
                            <w:shd w:fill="DEDEF6" w:val="clear"/>
                            <w:vAlign w:val="center"/>
                          </w:tcPr>
                          <w:p>
                            <w:pPr>
                              <w:pStyle w:val="TableContents"/>
                              <w:bidi w:val="0"/>
                              <w:spacing w:before="0" w:after="0"/>
                              <w:jc w:val="left"/>
                              <w:rPr/>
                            </w:pPr>
                            <w:r>
                              <w:rPr/>
                              <w:t> </w:t>
                            </w:r>
                          </w:p>
                        </w:tc>
                        <w:tc>
                          <w:tcPr>
                            <w:tcW w:w="2300" w:type="dxa"/>
                            <w:tcBorders/>
                            <w:shd w:fill="DEDEF6" w:val="clear"/>
                            <w:vAlign w:val="center"/>
                          </w:tcPr>
                          <w:p>
                            <w:pPr>
                              <w:pStyle w:val="TableContents"/>
                              <w:bidi w:val="0"/>
                              <w:spacing w:before="0" w:after="0"/>
                              <w:jc w:val="left"/>
                              <w:rPr/>
                            </w:pPr>
                            <w:r>
                              <w:rPr/>
                              <w:t> </w:t>
                            </w:r>
                          </w:p>
                        </w:tc>
                        <w:tc>
                          <w:tcPr>
                            <w:tcW w:w="215" w:type="dxa"/>
                            <w:tcBorders/>
                            <w:shd w:fill="DEDEF6" w:val="clear"/>
                            <w:vAlign w:val="center"/>
                          </w:tcPr>
                          <w:p>
                            <w:pPr>
                              <w:pStyle w:val="TableContents"/>
                              <w:bidi w:val="0"/>
                              <w:spacing w:before="0" w:after="0"/>
                              <w:jc w:val="left"/>
                              <w:rPr/>
                            </w:pPr>
                            <w:r>
                              <w:rPr/>
                              <w:t> </w:t>
                            </w:r>
                          </w:p>
                        </w:tc>
                      </w:tr>
                      <w:tr>
                        <w:trPr/>
                        <w:tc>
                          <w:tcPr>
                            <w:tcW w:w="185" w:type="dxa"/>
                            <w:tcBorders/>
                            <w:shd w:fill="DEDEF6" w:val="clear"/>
                            <w:vAlign w:val="center"/>
                          </w:tcPr>
                          <w:p>
                            <w:pPr>
                              <w:pStyle w:val="TableContents"/>
                              <w:bidi w:val="0"/>
                              <w:spacing w:before="0" w:after="0"/>
                              <w:jc w:val="left"/>
                              <w:rPr/>
                            </w:pPr>
                            <w:r>
                              <w:rPr/>
                              <w:t> </w:t>
                            </w:r>
                          </w:p>
                        </w:tc>
                        <w:tc>
                          <w:tcPr>
                            <w:tcW w:w="2300" w:type="dxa"/>
                            <w:tcBorders/>
                            <w:shd w:fill="DEDEF6" w:val="clear"/>
                            <w:vAlign w:val="center"/>
                          </w:tcPr>
                          <w:p>
                            <w:pPr>
                              <w:pStyle w:val="TableContents"/>
                              <w:bidi w:val="0"/>
                              <w:spacing w:before="0" w:after="283"/>
                              <w:ind w:left="120" w:right="0" w:hanging="0"/>
                              <w:jc w:val="left"/>
                              <w:rPr>
                                <w:rFonts w:ascii="Arial;Helvetica;sans-serif" w:hAnsi="Arial;Helvetica;sans-serif"/>
                                <w:b/>
                                <w:color w:val="484484"/>
                                <w:sz w:val="20"/>
                              </w:rPr>
                            </w:pPr>
                            <w:r>
                              <w:rPr>
                                <w:rFonts w:ascii="Arial;Helvetica;sans-serif" w:hAnsi="Arial;Helvetica;sans-serif"/>
                                <w:b/>
                                <w:color w:val="484484"/>
                                <w:sz w:val="20"/>
                              </w:rPr>
                              <w:t>Board Recommendation</w:t>
                            </w:r>
                          </w:p>
                        </w:tc>
                        <w:tc>
                          <w:tcPr>
                            <w:tcW w:w="215" w:type="dxa"/>
                            <w:tcBorders/>
                            <w:shd w:fill="DEDEF6" w:val="clear"/>
                            <w:vAlign w:val="center"/>
                          </w:tcPr>
                          <w:p>
                            <w:pPr>
                              <w:pStyle w:val="TableContents"/>
                              <w:bidi w:val="0"/>
                              <w:spacing w:before="0" w:after="0"/>
                              <w:jc w:val="left"/>
                              <w:rPr/>
                            </w:pPr>
                            <w:r>
                              <w:rPr/>
                              <w:t> </w:t>
                            </w:r>
                          </w:p>
                        </w:tc>
                      </w:tr>
                      <w:tr>
                        <w:trPr/>
                        <w:tc>
                          <w:tcPr>
                            <w:tcW w:w="185" w:type="dxa"/>
                            <w:tcBorders/>
                            <w:shd w:fill="DEDEF6" w:val="clear"/>
                            <w:vAlign w:val="center"/>
                          </w:tcPr>
                          <w:p>
                            <w:pPr>
                              <w:pStyle w:val="TableContents"/>
                              <w:bidi w:val="0"/>
                              <w:spacing w:before="0" w:after="0"/>
                              <w:jc w:val="left"/>
                              <w:rPr/>
                            </w:pPr>
                            <w:r>
                              <w:rPr/>
                              <w:t> </w:t>
                            </w:r>
                          </w:p>
                        </w:tc>
                        <w:tc>
                          <w:tcPr>
                            <w:tcW w:w="2300" w:type="dxa"/>
                            <w:tcBorders/>
                            <w:shd w:fill="DEDEF6" w:val="clear"/>
                            <w:vAlign w:val="center"/>
                          </w:tcPr>
                          <w:p>
                            <w:pPr>
                              <w:pStyle w:val="TableContents"/>
                              <w:bidi w:val="0"/>
                              <w:spacing w:before="0" w:after="0"/>
                              <w:jc w:val="left"/>
                              <w:rPr/>
                            </w:pPr>
                            <w:r>
                              <w:rPr/>
                              <w:t> </w:t>
                            </w:r>
                          </w:p>
                        </w:tc>
                        <w:tc>
                          <w:tcPr>
                            <w:tcW w:w="215" w:type="dxa"/>
                            <w:tcBorders/>
                            <w:shd w:fill="DEDEF6" w:val="clear"/>
                            <w:vAlign w:val="center"/>
                          </w:tcPr>
                          <w:p>
                            <w:pPr>
                              <w:pStyle w:val="TableContents"/>
                              <w:bidi w:val="0"/>
                              <w:spacing w:before="0" w:after="0"/>
                              <w:jc w:val="left"/>
                              <w:rPr/>
                            </w:pPr>
                            <w:r>
                              <w:rPr/>
                              <w:t> </w:t>
                            </w:r>
                          </w:p>
                        </w:tc>
                      </w:tr>
                    </w:tbl>
                    <w:tbl>
                      <w:tblPr>
                        <w:tblW w:w="9145" w:type="dxa"/>
                        <w:jc w:val="left"/>
                        <w:tblInd w:w="1060" w:type="dxa"/>
                        <w:tblLayout w:type="fixed"/>
                        <w:tblCellMar>
                          <w:top w:w="0" w:type="dxa"/>
                          <w:left w:w="0" w:type="dxa"/>
                          <w:bottom w:w="0" w:type="dxa"/>
                          <w:right w:w="0" w:type="dxa"/>
                        </w:tblCellMar>
                      </w:tblPr>
                      <w:tblGrid>
                        <w:gridCol w:w="185"/>
                        <w:gridCol w:w="8745"/>
                        <w:gridCol w:w="215"/>
                      </w:tblGrid>
                      <w:tr>
                        <w:trPr/>
                        <w:tc>
                          <w:tcPr>
                            <w:tcW w:w="185" w:type="dxa"/>
                            <w:tcBorders/>
                            <w:shd w:fill="E7E0EF" w:val="clear"/>
                            <w:vAlign w:val="center"/>
                          </w:tcPr>
                          <w:p>
                            <w:pPr>
                              <w:pStyle w:val="TableContents"/>
                              <w:bidi w:val="0"/>
                              <w:spacing w:before="0" w:after="0"/>
                              <w:jc w:val="left"/>
                              <w:rPr/>
                            </w:pPr>
                            <w:r>
                              <w:rPr/>
                              <w:t> </w:t>
                            </w:r>
                          </w:p>
                        </w:tc>
                        <w:tc>
                          <w:tcPr>
                            <w:tcW w:w="874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8745" w:type="dxa"/>
                            <w:tcBorders/>
                            <w:shd w:fill="E7E0EF" w:val="clear"/>
                            <w:vAlign w:val="center"/>
                          </w:tcPr>
                          <w:p>
                            <w:pPr>
                              <w:pStyle w:val="TableContents"/>
                              <w:bidi w:val="0"/>
                              <w:spacing w:before="0" w:after="283"/>
                              <w:ind w:left="120" w:right="0" w:hanging="0"/>
                              <w:jc w:val="left"/>
                              <w:rPr>
                                <w:rFonts w:ascii="Arial;Helvetica;sans-serif" w:hAnsi="Arial;Helvetica;sans-serif"/>
                                <w:color w:val="636466"/>
                                <w:sz w:val="26"/>
                              </w:rPr>
                            </w:pPr>
                            <w:r>
                              <w:rPr>
                                <w:rFonts w:ascii="Arial;Helvetica;sans-serif" w:hAnsi="Arial;Helvetica;sans-serif"/>
                                <w:color w:val="636466"/>
                                <w:sz w:val="26"/>
                              </w:rPr>
                              <w:t xml:space="preserve">Viatris’ Board recommends a vote </w:t>
                            </w:r>
                            <w:r>
                              <w:rPr>
                                <w:rFonts w:ascii="Arial;Helvetica;sans-serif" w:hAnsi="Arial;Helvetica;sans-serif"/>
                                <w:color w:val="8A58A0"/>
                                <w:sz w:val="26"/>
                              </w:rPr>
                              <w:t>“</w:t>
                            </w:r>
                            <w:r>
                              <w:rPr>
                                <w:rFonts w:ascii="Arial;Helvetica;sans-serif" w:hAnsi="Arial;Helvetica;sans-serif"/>
                                <w:color w:val="8A58A0"/>
                                <w:sz w:val="44"/>
                              </w:rPr>
                              <w:t>FOR”</w:t>
                            </w:r>
                            <w:r>
                              <w:rPr>
                                <w:rFonts w:ascii="Arial;Helvetica;sans-serif" w:hAnsi="Arial;Helvetica;sans-serif"/>
                                <w:color w:val="636466"/>
                                <w:sz w:val="26"/>
                              </w:rPr>
                              <w:t xml:space="preserve"> ratification of the selection of Deloitte as the Company’s independent registered public accounting firm for the fiscal year ending December 31, 2025.</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874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p>
                      <w:pPr>
                        <w:pStyle w:val="TextBody"/>
                        <w:bidi w:val="0"/>
                        <w:spacing w:before="80" w:after="283"/>
                        <w:ind w:left="1060" w:right="0" w:hanging="0"/>
                        <w:jc w:val="left"/>
                        <w:rPr>
                          <w:color w:val="636466"/>
                        </w:rPr>
                      </w:pPr>
                      <w:r>
                        <w:rPr>
                          <w:color w:val="636466"/>
                        </w:rPr>
                        <w:drawing>
                          <wp:inline distT="0" distB="0" distL="0" distR="0">
                            <wp:extent cx="2009775" cy="5076825"/>
                            <wp:effectExtent l="0" t="0" r="0" b="0"/>
                            <wp:docPr id="279"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47" descr=""/>
                                    <pic:cNvPicPr>
                                      <a:picLocks noChangeAspect="1" noChangeArrowheads="1"/>
                                    </pic:cNvPicPr>
                                  </pic:nvPicPr>
                                  <pic:blipFill>
                                    <a:blip r:embed="rId265"/>
                                    <a:stretch>
                                      <a:fillRect/>
                                    </a:stretch>
                                  </pic:blipFill>
                                  <pic:spPr bwMode="auto">
                                    <a:xfrm>
                                      <a:off x="0" y="0"/>
                                      <a:ext cx="2009775" cy="5076825"/>
                                    </a:xfrm>
                                    <a:prstGeom prst="rect">
                                      <a:avLst/>
                                    </a:prstGeom>
                                  </pic:spPr>
                                </pic:pic>
                              </a:graphicData>
                            </a:graphic>
                          </wp:inline>
                        </w:drawing>
                      </w:r>
                      <w:r>
                        <w:rPr>
                          <w:color w:val="636466"/>
                        </w:rPr>
                        <w:t> </w:t>
                      </w:r>
                    </w:p>
                  </w:txbxContent>
                </v:textbox>
                <w10:wrap type="square" side="right"/>
              </v:rect>
            </w:pict>
          </mc:Fallback>
        </mc:AlternateContent>
      </w:r>
      <w:r>
        <mc:AlternateContent>
          <mc:Choice Requires="wps">
            <w:drawing>
              <wp:anchor behindDoc="0" distT="0" distB="0" distL="0" distR="0" simplePos="0" locked="0" layoutInCell="1" allowOverlap="1" relativeHeight="305">
                <wp:simplePos x="0" y="0"/>
                <wp:positionH relativeFrom="column">
                  <wp:align>left</wp:align>
                </wp:positionH>
                <wp:positionV relativeFrom="line">
                  <wp:posOffset>635</wp:posOffset>
                </wp:positionV>
                <wp:extent cx="4330700" cy="5876290"/>
                <wp:effectExtent l="0" t="0" r="0" b="0"/>
                <wp:wrapSquare wrapText="right"/>
                <wp:docPr id="280" name="Frame15"/>
                <a:graphic xmlns:a="http://schemas.openxmlformats.org/drawingml/2006/main">
                  <a:graphicData uri="http://schemas.microsoft.com/office/word/2010/wordprocessingShape">
                    <wps:wsp>
                      <wps:cNvSpPr txBox="1"/>
                      <wps:spPr>
                        <a:xfrm>
                          <a:off x="0" y="0"/>
                          <a:ext cx="4330700" cy="5876290"/>
                        </a:xfrm>
                        <a:prstGeom prst="rect"/>
                        <a:solidFill>
                          <a:srgbClr val="FFFFFF"/>
                        </a:solidFill>
                      </wps:spPr>
                      <wps:txbx>
                        <w:txbxContent>
                          <w:p>
                            <w:pPr>
                              <w:pStyle w:val="TextBody"/>
                              <w:bidi w:val="0"/>
                              <w:spacing w:before="295" w:after="283"/>
                              <w:ind w:left="1060" w:right="0" w:hanging="0"/>
                              <w:jc w:val="left"/>
                              <w:rPr>
                                <w:rFonts w:ascii="Arial;Helvetica;sans-serif" w:hAnsi="Arial;Helvetica;sans-serif"/>
                                <w:color w:val="72288A"/>
                                <w:sz w:val="30"/>
                              </w:rPr>
                            </w:pPr>
                            <w:bookmarkStart w:id="176" w:name="tROT3"/>
                            <w:bookmarkEnd w:id="176"/>
                            <w:r>
                              <w:rPr>
                                <w:rFonts w:ascii="Arial;Helvetica;sans-serif" w:hAnsi="Arial;Helvetica;sans-serif"/>
                                <w:color w:val="72288A"/>
                                <w:sz w:val="30"/>
                              </w:rPr>
                              <w:t>Item 3</w:t>
                            </w:r>
                          </w:p>
                          <w:p>
                            <w:pPr>
                              <w:pStyle w:val="TextBody"/>
                              <w:bidi w:val="0"/>
                              <w:spacing w:before="0" w:after="283"/>
                              <w:ind w:left="1060" w:right="0" w:hanging="0"/>
                              <w:jc w:val="left"/>
                              <w:rPr>
                                <w:rFonts w:ascii="Arial;Helvetica;sans-serif" w:hAnsi="Arial;Helvetica;sans-serif"/>
                                <w:color w:val="1F1C6B"/>
                                <w:sz w:val="44"/>
                              </w:rPr>
                            </w:pPr>
                            <w:r>
                              <w:rPr>
                                <w:rFonts w:ascii="Arial;Helvetica;sans-serif" w:hAnsi="Arial;Helvetica;sans-serif"/>
                                <w:color w:val="1F1C6B"/>
                                <w:sz w:val="44"/>
                              </w:rPr>
                              <w:t xml:space="preserve">Ratification of the Selection of Deloitte &amp; Touche LLP as the Company’s Independent Registered Public Accounting Firm for the Fiscal Year Ending December 31, 2025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The Audit Committee has appointed Deloitte as Viatris’ independent registered public accounting firm for the fiscal year ending December 31, 2025 and has further directed that the selection of the independent registered public accounting firm be submitted to shareholders for ratification at the 2025 Annual Meeting.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Representatives of Deloitte are expected to be in attendance at the 2025 Annual Meeting to respond to appropriate questions and will have an opportunity to make a statement if they so desire.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While shareholder ratification of the selection of Deloitte is not required by the Company’s Bylaws or other governing documents or law, the Board is submitting the selection of Deloitte to our shareholders for ratification as the Board believes it is a matter of good corporate governance. If shareholders fail to ratify the selection, the Audit Committee will reconsider whether or not to retain Deloitte. Even if the selection is ratified, the Audit Committee in its discretion may direct the selection of a different independent registered public accounting firm at any time during the year if it determines that such a change would be in the best interests of the Company and its shareholders. </w:t>
                            </w:r>
                          </w:p>
                        </w:txbxContent>
                      </wps:txbx>
                      <wps:bodyPr anchor="t" lIns="0" tIns="0" rIns="0" bIns="0">
                        <a:noAutofit/>
                      </wps:bodyPr>
                    </wps:wsp>
                  </a:graphicData>
                </a:graphic>
              </wp:anchor>
            </w:drawing>
          </mc:Choice>
          <mc:Fallback>
            <w:pict>
              <v:rect style="position:absolute;rotation:-0;width:341pt;height:462.7pt;mso-wrap-distance-left:0pt;mso-wrap-distance-right:0pt;mso-wrap-distance-top:0pt;mso-wrap-distance-bottom:0pt;margin-top:0pt;mso-position-vertical:top;mso-position-vertical-relative:text;margin-left:181pt;mso-position-horizontal:left;mso-position-horizontal-relative:text">
                <v:textbox>
                  <w:txbxContent>
                    <w:p>
                      <w:pPr>
                        <w:pStyle w:val="TextBody"/>
                        <w:bidi w:val="0"/>
                        <w:spacing w:before="295" w:after="283"/>
                        <w:ind w:left="1060" w:right="0" w:hanging="0"/>
                        <w:jc w:val="left"/>
                        <w:rPr>
                          <w:rFonts w:ascii="Arial;Helvetica;sans-serif" w:hAnsi="Arial;Helvetica;sans-serif"/>
                          <w:color w:val="72288A"/>
                          <w:sz w:val="30"/>
                        </w:rPr>
                      </w:pPr>
                      <w:bookmarkStart w:id="177" w:name="tROT3"/>
                      <w:bookmarkEnd w:id="177"/>
                      <w:r>
                        <w:rPr>
                          <w:rFonts w:ascii="Arial;Helvetica;sans-serif" w:hAnsi="Arial;Helvetica;sans-serif"/>
                          <w:color w:val="72288A"/>
                          <w:sz w:val="30"/>
                        </w:rPr>
                        <w:t>Item 3</w:t>
                      </w:r>
                    </w:p>
                    <w:p>
                      <w:pPr>
                        <w:pStyle w:val="TextBody"/>
                        <w:bidi w:val="0"/>
                        <w:spacing w:before="0" w:after="283"/>
                        <w:ind w:left="1060" w:right="0" w:hanging="0"/>
                        <w:jc w:val="left"/>
                        <w:rPr>
                          <w:rFonts w:ascii="Arial;Helvetica;sans-serif" w:hAnsi="Arial;Helvetica;sans-serif"/>
                          <w:color w:val="1F1C6B"/>
                          <w:sz w:val="44"/>
                        </w:rPr>
                      </w:pPr>
                      <w:r>
                        <w:rPr>
                          <w:rFonts w:ascii="Arial;Helvetica;sans-serif" w:hAnsi="Arial;Helvetica;sans-serif"/>
                          <w:color w:val="1F1C6B"/>
                          <w:sz w:val="44"/>
                        </w:rPr>
                        <w:t xml:space="preserve">Ratification of the Selection of Deloitte &amp; Touche LLP as the Company’s Independent Registered Public Accounting Firm for the Fiscal Year Ending December 31, 2025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The Audit Committee has appointed Deloitte as Viatris’ independent registered public accounting firm for the fiscal year ending December 31, 2025 and has further directed that the selection of the independent registered public accounting firm be submitted to shareholders for ratification at the 2025 Annual Meeting.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Representatives of Deloitte are expected to be in attendance at the 2025 Annual Meeting to respond to appropriate questions and will have an opportunity to make a statement if they so desire.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While shareholder ratification of the selection of Deloitte is not required by the Company’s Bylaws or other governing documents or law, the Board is submitting the selection of Deloitte to our shareholders for ratification as the Board believes it is a matter of good corporate governance. If shareholders fail to ratify the selection, the Audit Committee will reconsider whether or not to retain Deloitte. Even if the selection is ratified, the Audit Committee in its discretion may direct the selection of a different independent registered public accounting firm at any time during the year if it determines that such a change would be in the best interests of the Company and its shareholders. </w:t>
                      </w:r>
                    </w:p>
                  </w:txbxContent>
                </v:textbox>
                <w10:wrap type="square" side="right"/>
              </v:rect>
            </w:pict>
          </mc:Fallback>
        </mc:AlternateContent>
      </w:r>
    </w:p>
    <w:tbl>
      <w:tblPr>
        <w:tblW w:w="4980" w:type="dxa"/>
        <w:jc w:val="left"/>
        <w:tblInd w:w="106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72 | 2025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281"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48" descr=""/>
                          <pic:cNvPicPr>
                            <a:picLocks noChangeAspect="1" noChangeArrowheads="1"/>
                          </pic:cNvPicPr>
                        </pic:nvPicPr>
                        <pic:blipFill>
                          <a:blip r:embed="rId266"/>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282"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49" descr=""/>
                    <pic:cNvPicPr>
                      <a:picLocks noChangeAspect="1" noChangeArrowheads="1"/>
                    </pic:cNvPicPr>
                  </pic:nvPicPr>
                  <pic:blipFill>
                    <a:blip r:embed="rId267"/>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78" w:name="ny20055082x771_def14a_112-item3_pg2"/>
        <w:bookmarkEnd w:id="17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right"/>
        <w:rPr>
          <w:caps/>
          <w:color w:val="1F1C6B"/>
          <w:u w:val="single"/>
        </w:rPr>
      </w:pPr>
      <w:r>
        <w:rPr>
          <w:caps/>
          <w:color w:val="1F1C6B"/>
          <w:u w:val="single"/>
        </w:rPr>
        <w:t> </w:t>
      </w:r>
      <w:r>
        <w:rPr>
          <w:rFonts w:ascii="Arial;Helvetica;sans-serif" w:hAnsi="Arial;Helvetica;sans-serif"/>
          <w:caps/>
          <w:color w:val="1F1C6B"/>
          <w:sz w:val="18"/>
          <w:u w:val="single"/>
        </w:rPr>
        <w:t>Item 3  Ratification of the Selection of Deloitte &amp; Touche LLP  </w:t>
      </w:r>
    </w:p>
    <w:p>
      <w:pPr>
        <w:pStyle w:val="TextBody"/>
        <w:bidi w:val="0"/>
        <w:spacing w:before="200" w:after="283"/>
        <w:ind w:left="1060" w:right="0" w:hanging="0"/>
        <w:jc w:val="left"/>
        <w:rPr>
          <w:rFonts w:ascii="Arial;Helvetica;sans-serif" w:hAnsi="Arial;Helvetica;sans-serif"/>
          <w:color w:val="1F1C6B"/>
          <w:sz w:val="30"/>
        </w:rPr>
      </w:pPr>
      <w:bookmarkStart w:id="179" w:name="tPAF"/>
      <w:bookmarkEnd w:id="179"/>
      <w:r>
        <w:rPr>
          <w:rFonts w:ascii="Arial;Helvetica;sans-serif" w:hAnsi="Arial;Helvetica;sans-serif"/>
          <w:color w:val="1F1C6B"/>
          <w:sz w:val="30"/>
        </w:rPr>
        <w:t>Principal Accounting Fees and Services</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Deloitte served as Viatris’ independent registered public accounting firm during 2024 and 2023 and audited Viatris’ financial statements for the fiscal years ended December 31, 2024 and 2023. No relationships exist with Deloitte other than the usual relationship between such a firm and its client. Details about the nature of the services provided by, and fees Viatris paid to, Deloitte and affiliated firms for such services during 2024 and 2023 are set forth below. </w:t>
      </w:r>
    </w:p>
    <w:tbl>
      <w:tblPr>
        <w:tblW w:w="3690" w:type="dxa"/>
        <w:jc w:val="left"/>
        <w:tblInd w:w="1060" w:type="dxa"/>
        <w:tblLayout w:type="fixed"/>
        <w:tblCellMar>
          <w:top w:w="0" w:type="dxa"/>
          <w:left w:w="0" w:type="dxa"/>
          <w:bottom w:w="0" w:type="dxa"/>
          <w:right w:w="0" w:type="dxa"/>
        </w:tblCellMar>
      </w:tblPr>
      <w:tblGrid>
        <w:gridCol w:w="185"/>
        <w:gridCol w:w="1520"/>
        <w:gridCol w:w="170"/>
        <w:gridCol w:w="170"/>
        <w:gridCol w:w="545"/>
        <w:gridCol w:w="170"/>
        <w:gridCol w:w="170"/>
        <w:gridCol w:w="545"/>
        <w:gridCol w:w="215"/>
      </w:tblGrid>
      <w:tr>
        <w:trPr/>
        <w:tc>
          <w:tcPr>
            <w:tcW w:w="185" w:type="dxa"/>
            <w:tcBorders/>
            <w:shd w:fill="1F1C6B" w:val="clear"/>
            <w:vAlign w:val="center"/>
          </w:tcPr>
          <w:p>
            <w:pPr>
              <w:pStyle w:val="TableContents"/>
              <w:bidi w:val="0"/>
              <w:spacing w:before="0" w:after="0"/>
              <w:jc w:val="left"/>
              <w:rPr/>
            </w:pPr>
            <w:r>
              <w:rPr/>
              <w:t> </w:t>
            </w:r>
          </w:p>
        </w:tc>
        <w:tc>
          <w:tcPr>
            <w:tcW w:w="152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430" w:type="dxa"/>
            <w:gridSpan w:val="4"/>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1520" w:type="dxa"/>
            <w:tcBorders/>
            <w:shd w:fill="1F1C6B" w:val="clear"/>
            <w:vAlign w:val="center"/>
          </w:tcPr>
          <w:p>
            <w:pPr>
              <w:pStyle w:val="TableContents"/>
              <w:bidi w:val="0"/>
              <w:spacing w:before="0" w:after="283"/>
              <w:ind w:left="30" w:right="0" w:hanging="0"/>
              <w:jc w:val="left"/>
              <w:rPr>
                <w:color w:val="FFFFFF"/>
              </w:rPr>
            </w:pPr>
            <w:r>
              <w:rPr>
                <w:color w:val="FFFFFF"/>
              </w:rPr>
              <w:t> </w:t>
            </w:r>
          </w:p>
        </w:tc>
        <w:tc>
          <w:tcPr>
            <w:tcW w:w="170" w:type="dxa"/>
            <w:tcBorders/>
            <w:shd w:fill="1F1C6B" w:val="clear"/>
            <w:vAlign w:val="center"/>
          </w:tcPr>
          <w:p>
            <w:pPr>
              <w:pStyle w:val="TableContents"/>
              <w:bidi w:val="0"/>
              <w:spacing w:before="0" w:after="0"/>
              <w:jc w:val="left"/>
              <w:rPr/>
            </w:pPr>
            <w:r>
              <w:rPr/>
              <w:t> </w:t>
            </w:r>
          </w:p>
        </w:tc>
        <w:tc>
          <w:tcPr>
            <w:tcW w:w="170" w:type="dxa"/>
            <w:tcBorders>
              <w:bottom w:val="single" w:sz="8" w:space="0" w:color="FFFFFF"/>
            </w:tcBorders>
            <w:shd w:fill="1F1C6B" w:val="clear"/>
            <w:tcMar>
              <w:bottom w:w="28" w:type="dxa"/>
            </w:tcMar>
            <w:vAlign w:val="center"/>
          </w:tcPr>
          <w:p>
            <w:pPr>
              <w:pStyle w:val="TableContents"/>
              <w:bidi w:val="0"/>
              <w:spacing w:before="0" w:after="0"/>
              <w:jc w:val="left"/>
              <w:rPr/>
            </w:pPr>
            <w:r>
              <w:rPr/>
              <w:t> </w:t>
            </w:r>
          </w:p>
        </w:tc>
        <w:tc>
          <w:tcPr>
            <w:tcW w:w="1430" w:type="dxa"/>
            <w:gridSpan w:val="4"/>
            <w:tcBorders>
              <w:bottom w:val="single" w:sz="8" w:space="0" w:color="FFFFFF"/>
            </w:tcBorders>
            <w:shd w:fill="1F1C6B" w:val="clear"/>
            <w:tcMar>
              <w:bottom w:w="5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 Millions</w:t>
            </w:r>
          </w:p>
        </w:tc>
        <w:tc>
          <w:tcPr>
            <w:tcW w:w="215" w:type="dxa"/>
            <w:tcBorders>
              <w:bottom w:val="single" w:sz="8" w:space="0" w:color="FFFFFF"/>
            </w:tcBorders>
            <w:shd w:fill="1F1C6B" w:val="clear"/>
            <w:tcMar>
              <w:bottom w:w="28" w:type="dxa"/>
            </w:tcM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1520" w:type="dxa"/>
            <w:tcBorders/>
            <w:shd w:fill="1F1C6B" w:val="clear"/>
            <w:vAlign w:val="center"/>
          </w:tcPr>
          <w:p>
            <w:pPr>
              <w:pStyle w:val="TableContents"/>
              <w:bidi w:val="0"/>
              <w:spacing w:before="0" w:after="283"/>
              <w:ind w:left="30" w:right="0" w:hanging="0"/>
              <w:jc w:val="left"/>
              <w:rPr>
                <w:color w:val="FFFFFF"/>
              </w:rPr>
            </w:pPr>
            <w:r>
              <w:rPr>
                <w:color w:val="FFFFFF"/>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545" w:type="dxa"/>
            <w:tcBorders/>
            <w:shd w:fill="1F1C6B"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2024</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545" w:type="dxa"/>
            <w:tcBorders/>
            <w:shd w:fill="1F1C6B"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2023</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Audit Fees</w:t>
            </w:r>
            <w:r>
              <w:rPr>
                <w:rFonts w:ascii="Arial;Helvetica;sans-serif" w:hAnsi="Arial;Helvetica;sans-serif"/>
                <w:color w:val="636466"/>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$18.13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$18.03</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520"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Audit-Related Fees</w:t>
            </w:r>
            <w:r>
              <w:rPr>
                <w:rFonts w:ascii="Arial;Helvetica;sans-serif" w:hAnsi="Arial;Helvetica;sans-serif"/>
                <w:color w:val="636466"/>
                <w:position w:val="5"/>
                <w:sz w:val="13"/>
                <w:sz w:val="16"/>
              </w:rPr>
              <w:t>2</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0.15</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0.28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Tax Fees</w:t>
            </w:r>
            <w:r>
              <w:rPr>
                <w:rFonts w:ascii="Arial;Helvetica;sans-serif" w:hAnsi="Arial;Helvetica;sans-serif"/>
                <w:color w:val="636466"/>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1.74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 xml:space="preserve">1.82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520"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All Other Fees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color w:val="636466"/>
              </w:rPr>
            </w:pPr>
            <w:r>
              <w:rPr>
                <w:color w:val="636466"/>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color w:val="636466"/>
              </w:rPr>
            </w:pPr>
            <w:r>
              <w:rPr>
                <w:color w:val="636466"/>
              </w:rPr>
              <w:t xml:space="preserve">—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30" w:right="0" w:hanging="0"/>
              <w:jc w:val="left"/>
              <w:rPr>
                <w:rFonts w:ascii="Arial;Helvetica;sans-serif" w:hAnsi="Arial;Helvetica;sans-serif"/>
                <w:b/>
                <w:color w:val="636466"/>
                <w:sz w:val="16"/>
              </w:rPr>
            </w:pPr>
            <w:r>
              <w:rPr>
                <w:rFonts w:ascii="Arial;Helvetica;sans-serif" w:hAnsi="Arial;Helvetica;sans-serif"/>
                <w:b/>
                <w:color w:val="636466"/>
                <w:sz w:val="16"/>
              </w:rPr>
              <w:t>Total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b/>
                <w:color w:val="636466"/>
                <w:sz w:val="16"/>
              </w:rPr>
            </w:pPr>
            <w:r>
              <w:rPr>
                <w:rFonts w:ascii="Arial;Helvetica;sans-serif" w:hAnsi="Arial;Helvetica;sans-serif"/>
                <w:b/>
                <w:color w:val="636466"/>
                <w:sz w:val="16"/>
              </w:rPr>
              <w:t>$20.02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b/>
                <w:color w:val="636466"/>
                <w:sz w:val="16"/>
              </w:rPr>
            </w:pPr>
            <w:r>
              <w:rPr>
                <w:rFonts w:ascii="Arial;Helvetica;sans-serif" w:hAnsi="Arial;Helvetica;sans-serif"/>
                <w:b/>
                <w:color w:val="636466"/>
                <w:sz w:val="16"/>
              </w:rPr>
              <w:t>$20.13</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1</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Represents fees for professional services provided for the audit of the Company’s annual consolidated financial statements, the audit of the Company’s internal control over financial reporting, as required by Section 404 of the Sarbanes-Oxley Act of 2002, reviews of the Company’s quarterly condensed consolidated financial statements, audit services provided in connection with other statutory or regulatory filings, and accounting, reporting, and disclosure matters.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2</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Represents fees for assurance services related to the audit of the Company’s annual consolidated financial statements, including audits of certain of the Company’s subsidiaries, comfort letters, certain SEC filings, and other agreed-upon procedures.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3</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 xml:space="preserve">Represents fees primarily related to tax return preparation, tax planning, and tax compliance support services, as well as fees related to tax advice provided in connection with the Combination. </w:t>
            </w:r>
          </w:p>
        </w:tc>
      </w:tr>
    </w:tbl>
    <w:p>
      <w:pPr>
        <w:pStyle w:val="TextBody"/>
        <w:bidi w:val="0"/>
        <w:spacing w:before="380" w:after="283"/>
        <w:ind w:left="1060" w:right="0" w:hanging="0"/>
        <w:jc w:val="left"/>
        <w:rPr>
          <w:rFonts w:ascii="Arial;Helvetica;sans-serif" w:hAnsi="Arial;Helvetica;sans-serif"/>
          <w:color w:val="1F1C6B"/>
          <w:sz w:val="30"/>
        </w:rPr>
      </w:pPr>
      <w:bookmarkStart w:id="180" w:name="tACP"/>
      <w:bookmarkEnd w:id="180"/>
      <w:r>
        <w:rPr>
          <w:rFonts w:ascii="Arial;Helvetica;sans-serif" w:hAnsi="Arial;Helvetica;sans-serif"/>
          <w:color w:val="1F1C6B"/>
          <w:sz w:val="30"/>
        </w:rPr>
        <w:t xml:space="preserve">Audit Committee Pre-Approval Policy </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The Audit Committee has a policy regarding pre-approval of audit, audit-related, tax, and other services that the independent registered public accounting firm may perform for Viatris. Under the policy, the Committee must review and pre-approve on an individual basis any requests for audit, audit-related, tax, and other services not covered by certain services pre-approved by the Committee up to certain amounts. All services performed by Deloitte during 2024 and 2023 were pre-approved by the Audit Committee in accordance with its pre-approval policy. </w:t>
      </w:r>
    </w:p>
    <w:tbl>
      <w:tblPr>
        <w:tblW w:w="4980" w:type="dxa"/>
        <w:jc w:val="left"/>
        <w:tblInd w:w="106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283"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50" descr=""/>
                          <pic:cNvPicPr>
                            <a:picLocks noChangeAspect="1" noChangeArrowheads="1"/>
                          </pic:cNvPicPr>
                        </pic:nvPicPr>
                        <pic:blipFill>
                          <a:blip r:embed="rId268"/>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Statement | 73</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284"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51" descr=""/>
                    <pic:cNvPicPr>
                      <a:picLocks noChangeAspect="1" noChangeArrowheads="1"/>
                    </pic:cNvPicPr>
                  </pic:nvPicPr>
                  <pic:blipFill>
                    <a:blip r:embed="rId269"/>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81" w:name="ny20055082x771_def14a_112-item3_pg3"/>
        <w:bookmarkEnd w:id="18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left"/>
        <w:rPr>
          <w:caps/>
          <w:color w:val="1F1C6B"/>
          <w:u w:val="single"/>
        </w:rPr>
      </w:pPr>
      <w:r>
        <w:rPr>
          <w:caps/>
          <w:color w:val="1F1C6B"/>
          <w:u w:val="single"/>
        </w:rPr>
        <w:t> </w:t>
      </w:r>
      <w:r>
        <w:rPr>
          <w:rFonts w:ascii="Arial;Helvetica;sans-serif" w:hAnsi="Arial;Helvetica;sans-serif"/>
          <w:caps/>
          <w:color w:val="1F1C6B"/>
          <w:sz w:val="18"/>
          <w:u w:val="single"/>
        </w:rPr>
        <w:t>Item 3  Ratification of the Selection of Deloitte &amp; Touche LLP  </w:t>
      </w:r>
    </w:p>
    <w:p>
      <w:pPr>
        <w:pStyle w:val="TextBody"/>
        <w:bidi w:val="0"/>
        <w:spacing w:before="200" w:after="283"/>
        <w:ind w:left="1060" w:right="0" w:hanging="0"/>
        <w:jc w:val="left"/>
        <w:rPr>
          <w:rFonts w:ascii="Arial;Helvetica;sans-serif" w:hAnsi="Arial;Helvetica;sans-serif"/>
          <w:color w:val="1F1C6B"/>
          <w:sz w:val="30"/>
        </w:rPr>
      </w:pPr>
      <w:bookmarkStart w:id="182" w:name="tROTA"/>
      <w:bookmarkEnd w:id="182"/>
      <w:r>
        <w:rPr>
          <w:rFonts w:ascii="Arial;Helvetica;sans-serif" w:hAnsi="Arial;Helvetica;sans-serif"/>
          <w:color w:val="1F1C6B"/>
          <w:sz w:val="30"/>
        </w:rPr>
        <w:t>Report of the Audit Committee of Viatris’ Board</w:t>
      </w:r>
    </w:p>
    <w:p>
      <w:pPr>
        <w:pStyle w:val="TextBody"/>
        <w:bidi w:val="0"/>
        <w:spacing w:before="160" w:after="283"/>
        <w:ind w:left="1060" w:right="0" w:hanging="0"/>
        <w:jc w:val="left"/>
        <w:rPr>
          <w:rFonts w:ascii="Arial;Helvetica;sans-serif" w:hAnsi="Arial;Helvetica;sans-serif"/>
          <w:b/>
          <w:color w:val="72288A"/>
          <w:sz w:val="18"/>
        </w:rPr>
      </w:pPr>
      <w:r>
        <w:rPr>
          <w:rFonts w:ascii="Arial;Helvetica;sans-serif" w:hAnsi="Arial;Helvetica;sans-serif"/>
          <w:b/>
          <w:color w:val="72288A"/>
          <w:sz w:val="18"/>
        </w:rPr>
        <w:t>The following Report of the Audit Committee of the Board does not constitute soliciting material and shall not be deemed filed or incorporated by reference into any filing under the Securities Act of 1933, as amended, or the Exchange Act except to the extent the Company specifically incorporates such information by reference.</w:t>
      </w:r>
      <w:r>
        <w:rPr>
          <w:rFonts w:ascii="Arial;Helvetica;sans-serif" w:hAnsi="Arial;Helvetica;sans-serif"/>
          <w:b/>
          <w:color w:val="636466"/>
          <w:sz w:val="18"/>
        </w:rPr>
        <w:t xml:space="preserve"> </w:t>
      </w:r>
    </w:p>
    <w:p>
      <w:pPr>
        <w:pStyle w:val="TextBody"/>
        <w:bidi w:val="0"/>
        <w:spacing w:before="420" w:after="283"/>
        <w:ind w:left="1060" w:right="0" w:hanging="0"/>
        <w:jc w:val="left"/>
        <w:rPr>
          <w:rFonts w:ascii="Arial;Helvetica;sans-serif" w:hAnsi="Arial;Helvetica;sans-serif"/>
          <w:b/>
          <w:color w:val="1F1C6B"/>
          <w:sz w:val="18"/>
        </w:rPr>
      </w:pPr>
      <w:r>
        <w:rPr>
          <w:rFonts w:ascii="Arial;Helvetica;sans-serif" w:hAnsi="Arial;Helvetica;sans-serif"/>
          <w:b/>
          <w:color w:val="1F1C6B"/>
          <w:sz w:val="18"/>
        </w:rPr>
        <w:t xml:space="preserve">August 14, 2025 </w:t>
      </w:r>
    </w:p>
    <w:p>
      <w:pPr>
        <w:pStyle w:val="TextBody"/>
        <w:bidi w:val="0"/>
        <w:spacing w:before="160" w:after="283"/>
        <w:ind w:left="1060" w:right="0" w:hanging="0"/>
        <w:jc w:val="left"/>
        <w:rPr>
          <w:rFonts w:ascii="Arial;Helvetica;sans-serif" w:hAnsi="Arial;Helvetica;sans-serif"/>
          <w:color w:val="636466"/>
          <w:sz w:val="17"/>
        </w:rPr>
      </w:pPr>
      <w:r>
        <w:rPr>
          <w:rFonts w:ascii="Arial;Helvetica;sans-serif" w:hAnsi="Arial;Helvetica;sans-serif"/>
          <w:color w:val="636466"/>
          <w:sz w:val="17"/>
        </w:rPr>
        <w:t xml:space="preserve">The Audit Committee is currently comprised of four Directors, each of whom is independent as required by and as defined in the audit committee independence standards of the Securities and Exchange Commission (“SEC”) and the applicable NASDAQ listing standards. The Audit Committee operates under a written charter adopted by the Board, a copy of which is available on Viatris Inc.’s (the “Company”) website at https://www.viatris.com/-/media/project/common/viatris/pdf/corporate-governance/audit-committee-charter.pdf.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Management is responsible for the preparation and integrity of the Company’s financial statements. Management is also responsible for implementing and maintaining appropriate accounting and financial reporting policies, procedures, and internal controls designed to ensure compliance with applicable accounting standards and laws and regulations. The independent registered public accounting firm (the “independent auditor”) is responsible for auditing and reviewing the Company’s financial statements and auditing the Company’s internal control over financial reporting, in accordance with standards of the Public Company Accounting Oversight Board (“PCAOB”), and to issue their reports thereon. One of the Audit Committee’s responsibilities is to oversee these processes.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In this context, the Audit Committee met a total of seven (7) times in 2024 and eight (8) times in 2025 as of August 14, 2025, and has reviewed and discussed with management, including Viatris’ internal auditor, and with the independent auditor, Viatris’ audited consolidated financial statements and its internal control over financial reporting. These discussions covered the quality, as well as the acceptability, of Viatris’ financial reporting practices and the completeness and clarity of the related financial disclosures as well as the effectiveness of Viatris’ internal control over financial reporting and its disclosure controls and procedures. Management represented to the Audit Committee that Viatris’ consolidated financial statements were prepared in accordance with accounting principles generally accepted in the United States, and the Audit Committee has reviewed and discussed the consolidated financial statements with management and the independent auditor. The Audit Committee discussed with the independent auditors the matters required to be discussed by the applicable requirements of the PCAOB and the SEC.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Viatris’ independent auditor also provided to the Audit Committee the written disclosures and letter required by the applicable requirements of the PCAOB’s Rule 3526 regarding the independent auditor’s communications with the Audit Committee concerning the independent auditor’s independence, and the Audit Committee discussed these matters with the independent auditor. The Audit Committee has also considered whether the independent auditor’s provision of non-audit services to Viatris is compatible with the firm’s independence. Deloitte &amp; Touche LLP, Viatris’ independent auditor, stated in the written disclosures that in their judgment they are, in fact, independent. The Audit Committee concurred in that judgment of independence.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Based upon the review and discussions referred to above, the Audit Committee recommended to the Board that the audited consolidated financial statements be included in Viatris’ Annual Report on Form 10-K for 2024, which was filed with the SEC. </w:t>
      </w:r>
    </w:p>
    <w:p>
      <w:pPr>
        <w:pStyle w:val="TextBody"/>
        <w:bidi w:val="0"/>
        <w:spacing w:before="300" w:after="283"/>
        <w:ind w:left="6260" w:right="0" w:hanging="0"/>
        <w:jc w:val="left"/>
        <w:rPr>
          <w:rFonts w:ascii="Arial;Helvetica;sans-serif" w:hAnsi="Arial;Helvetica;sans-serif"/>
          <w:color w:val="636466"/>
          <w:sz w:val="18"/>
        </w:rPr>
      </w:pPr>
      <w:r>
        <w:rPr>
          <w:rFonts w:ascii="Arial;Helvetica;sans-serif" w:hAnsi="Arial;Helvetica;sans-serif"/>
          <w:color w:val="636466"/>
          <w:sz w:val="18"/>
        </w:rPr>
        <w:t xml:space="preserve">BY THE AUDIT COMMITTEE: </w:t>
      </w:r>
    </w:p>
    <w:p>
      <w:pPr>
        <w:pStyle w:val="TextBody"/>
        <w:bidi w:val="0"/>
        <w:spacing w:before="300" w:after="283"/>
        <w:ind w:left="6260" w:right="0" w:hanging="0"/>
        <w:jc w:val="left"/>
        <w:rPr>
          <w:rFonts w:ascii="Arial;Helvetica;sans-serif" w:hAnsi="Arial;Helvetica;sans-serif"/>
          <w:color w:val="636466"/>
          <w:sz w:val="18"/>
        </w:rPr>
      </w:pPr>
      <w:r>
        <w:rPr>
          <w:rFonts w:ascii="Arial;Helvetica;sans-serif" w:hAnsi="Arial;Helvetica;sans-serif"/>
          <w:color w:val="636466"/>
          <w:sz w:val="18"/>
        </w:rPr>
        <w:t xml:space="preserve">Richard Mark, Chair </w:t>
      </w:r>
    </w:p>
    <w:p>
      <w:pPr>
        <w:pStyle w:val="TextBody"/>
        <w:bidi w:val="0"/>
        <w:spacing w:before="0" w:after="283"/>
        <w:ind w:left="6260" w:right="0" w:hanging="0"/>
        <w:jc w:val="left"/>
        <w:rPr>
          <w:rFonts w:ascii="Arial;Helvetica;sans-serif" w:hAnsi="Arial;Helvetica;sans-serif"/>
          <w:color w:val="636466"/>
          <w:sz w:val="18"/>
        </w:rPr>
      </w:pPr>
      <w:r>
        <w:rPr>
          <w:rFonts w:ascii="Arial;Helvetica;sans-serif" w:hAnsi="Arial;Helvetica;sans-serif"/>
          <w:color w:val="636466"/>
          <w:sz w:val="18"/>
        </w:rPr>
        <w:t xml:space="preserve">W. Don Cornwell </w:t>
      </w:r>
    </w:p>
    <w:p>
      <w:pPr>
        <w:pStyle w:val="TextBody"/>
        <w:bidi w:val="0"/>
        <w:spacing w:before="0" w:after="283"/>
        <w:ind w:left="6260" w:right="0" w:hanging="0"/>
        <w:jc w:val="left"/>
        <w:rPr>
          <w:rFonts w:ascii="Arial;Helvetica;sans-serif" w:hAnsi="Arial;Helvetica;sans-serif"/>
          <w:color w:val="636466"/>
          <w:sz w:val="18"/>
        </w:rPr>
      </w:pPr>
      <w:r>
        <w:rPr>
          <w:rFonts w:ascii="Arial;Helvetica;sans-serif" w:hAnsi="Arial;Helvetica;sans-serif"/>
          <w:color w:val="636466"/>
          <w:sz w:val="18"/>
        </w:rPr>
        <w:t xml:space="preserve">JoEllen Lyons Dillon </w:t>
      </w:r>
    </w:p>
    <w:p>
      <w:pPr>
        <w:pStyle w:val="TextBody"/>
        <w:bidi w:val="0"/>
        <w:spacing w:before="0" w:after="283"/>
        <w:ind w:left="6260" w:right="0" w:hanging="0"/>
        <w:jc w:val="left"/>
        <w:rPr>
          <w:rFonts w:ascii="Arial;Helvetica;sans-serif" w:hAnsi="Arial;Helvetica;sans-serif"/>
          <w:color w:val="636466"/>
          <w:sz w:val="18"/>
        </w:rPr>
      </w:pPr>
      <w:r>
        <w:rPr>
          <w:rFonts w:ascii="Arial;Helvetica;sans-serif" w:hAnsi="Arial;Helvetica;sans-serif"/>
          <w:color w:val="636466"/>
          <w:sz w:val="18"/>
        </w:rPr>
        <w:t xml:space="preserve">Elisha Finney </w:t>
      </w:r>
    </w:p>
    <w:tbl>
      <w:tblPr>
        <w:tblW w:w="4980" w:type="dxa"/>
        <w:jc w:val="left"/>
        <w:tblInd w:w="106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74 | 2025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285"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52" descr=""/>
                          <pic:cNvPicPr>
                            <a:picLocks noChangeAspect="1" noChangeArrowheads="1"/>
                          </pic:cNvPicPr>
                        </pic:nvPicPr>
                        <pic:blipFill>
                          <a:blip r:embed="rId270"/>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286"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53" descr=""/>
                    <pic:cNvPicPr>
                      <a:picLocks noChangeAspect="1" noChangeArrowheads="1"/>
                    </pic:cNvPicPr>
                  </pic:nvPicPr>
                  <pic:blipFill>
                    <a:blip r:embed="rId271"/>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83" w:name="ny20055082x771_def14a_300-appa_pg1"/>
        <w:bookmarkEnd w:id="183"/>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1060" w:right="0" w:hanging="0"/>
        <w:jc w:val="left"/>
        <w:rPr>
          <w:color w:val="000000"/>
        </w:rPr>
      </w:pPr>
      <w:r>
        <w:rPr>
          <w:color w:val="000000"/>
        </w:rPr>
        <w:drawing>
          <wp:inline distT="0" distB="0" distL="0" distR="0">
            <wp:extent cx="685800" cy="190500"/>
            <wp:effectExtent l="0" t="0" r="0" b="0"/>
            <wp:docPr id="287"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54" descr=""/>
                    <pic:cNvPicPr>
                      <a:picLocks noChangeAspect="1" noChangeArrowheads="1"/>
                    </pic:cNvPicPr>
                  </pic:nvPicPr>
                  <pic:blipFill>
                    <a:blip r:embed="rId272"/>
                    <a:stretch>
                      <a:fillRect/>
                    </a:stretch>
                  </pic:blipFill>
                  <pic:spPr bwMode="auto">
                    <a:xfrm>
                      <a:off x="0" y="0"/>
                      <a:ext cx="685800" cy="190500"/>
                    </a:xfrm>
                    <a:prstGeom prst="rect">
                      <a:avLst/>
                    </a:prstGeom>
                  </pic:spPr>
                </pic:pic>
              </a:graphicData>
            </a:graphic>
          </wp:inline>
        </w:drawing>
      </w:r>
    </w:p>
    <w:p>
      <w:pPr>
        <w:pStyle w:val="TextBody"/>
        <w:bidi w:val="0"/>
        <w:spacing w:before="295" w:after="283"/>
        <w:ind w:left="1060" w:right="0" w:hanging="0"/>
        <w:jc w:val="left"/>
        <w:rPr>
          <w:rFonts w:ascii="Arial;Helvetica;sans-serif" w:hAnsi="Arial;Helvetica;sans-serif"/>
          <w:color w:val="1F1C6B"/>
          <w:sz w:val="44"/>
        </w:rPr>
      </w:pPr>
      <w:bookmarkStart w:id="184" w:name="tQAA"/>
      <w:bookmarkEnd w:id="184"/>
      <w:r>
        <w:rPr>
          <w:rFonts w:ascii="Arial;Helvetica;sans-serif" w:hAnsi="Arial;Helvetica;sans-serif"/>
          <w:color w:val="1F1C6B"/>
          <w:sz w:val="44"/>
        </w:rPr>
        <w:t xml:space="preserve">Appendix A — Questions and Answers </w:t>
      </w:r>
    </w:p>
    <w:p>
      <w:pPr>
        <w:pStyle w:val="TextBody"/>
        <w:bidi w:val="0"/>
        <w:spacing w:before="240" w:after="283"/>
        <w:ind w:left="1060" w:right="0" w:hanging="0"/>
        <w:jc w:val="left"/>
        <w:rPr>
          <w:rFonts w:ascii="Arial;Helvetica;sans-serif" w:hAnsi="Arial;Helvetica;sans-serif"/>
          <w:b/>
          <w:color w:val="72288A"/>
          <w:sz w:val="18"/>
        </w:rPr>
      </w:pPr>
      <w:r>
        <w:rPr>
          <w:rFonts w:ascii="Arial;Helvetica;sans-serif" w:hAnsi="Arial;Helvetica;sans-serif"/>
          <w:b/>
          <w:color w:val="72288A"/>
          <w:sz w:val="18"/>
        </w:rPr>
        <w:t>The following questions and answers are intended to address questions that you, as a shareholder of Viatris, may have regarding the 2025 Annual Meeting and provide information with respect to the 2025 Annual Meeting, proxy materials and voting. Viatris urges you to carefully read this entire Proxy Statement in addition to these questions and answers.</w:t>
      </w:r>
      <w:r>
        <w:rPr>
          <w:rFonts w:ascii="Arial;Helvetica;sans-serif" w:hAnsi="Arial;Helvetica;sans-serif"/>
          <w:b/>
          <w:color w:val="636466"/>
          <w:sz w:val="18"/>
        </w:rPr>
        <w:t xml:space="preserve"> </w:t>
      </w:r>
    </w:p>
    <w:tbl>
      <w:tblPr>
        <w:tblW w:w="4960" w:type="dxa"/>
        <w:jc w:val="left"/>
        <w:tblInd w:w="1060" w:type="dxa"/>
        <w:tblLayout w:type="fixed"/>
        <w:tblCellMar>
          <w:top w:w="0" w:type="dxa"/>
          <w:left w:w="0" w:type="dxa"/>
          <w:bottom w:w="0" w:type="dxa"/>
          <w:right w:w="0" w:type="dxa"/>
        </w:tblCellMar>
      </w:tblPr>
      <w:tblGrid>
        <w:gridCol w:w="245"/>
        <w:gridCol w:w="4715"/>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471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What is this Proxy Statement, and why is it important? </w:t>
            </w:r>
          </w:p>
        </w:tc>
      </w:tr>
    </w:tbl>
    <w:tbl>
      <w:tblPr>
        <w:tblW w:w="9145" w:type="dxa"/>
        <w:jc w:val="left"/>
        <w:tblInd w:w="1060" w:type="dxa"/>
        <w:tblLayout w:type="fixed"/>
        <w:tblCellMar>
          <w:top w:w="0" w:type="dxa"/>
          <w:left w:w="0" w:type="dxa"/>
          <w:bottom w:w="0" w:type="dxa"/>
          <w:right w:w="0" w:type="dxa"/>
        </w:tblCellMar>
      </w:tblPr>
      <w:tblGrid>
        <w:gridCol w:w="177"/>
        <w:gridCol w:w="8968"/>
      </w:tblGrid>
      <w:tr>
        <w:trPr/>
        <w:tc>
          <w:tcPr>
            <w:tcW w:w="177"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A:</w:t>
            </w:r>
          </w:p>
        </w:tc>
        <w:tc>
          <w:tcPr>
            <w:tcW w:w="8968"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This Proxy Statement is part of a solicitation of proxies by Viatris’ Board for use at the 2025 Annual Meeting and provides Viatris’ shareholders and beneficial owners of shares of Viatris common stock as of the close of business (5:00 p.m. Eastern Time) on October 10, 2025 (the “Record Date”) with information relating to their decisions to vote, grant a proxy to vote, attend and, if relevant, instruct their vote to be cast at the 2025 Annual Meeting. As such, this Proxy Statement contains important information about the 2025 Annual Meeting and the matters to be voted on at such meeting; you should read it carefully and in its entirety. </w:t>
            </w:r>
          </w:p>
        </w:tc>
      </w:tr>
    </w:tbl>
    <w:p>
      <w:pPr>
        <w:pStyle w:val="Normal"/>
        <w:bidi w:val="0"/>
        <w:spacing w:before="0" w:after="0"/>
        <w:ind w:left="1060" w:right="0" w:hanging="0"/>
        <w:jc w:val="left"/>
        <w:rPr>
          <w:sz w:val="4"/>
          <w:szCs w:val="4"/>
        </w:rPr>
      </w:pPr>
      <w:r>
        <w:rPr>
          <w:sz w:val="4"/>
          <w:szCs w:val="4"/>
        </w:rPr>
      </w:r>
      <w:bookmarkStart w:id="185" w:name="tWDI"/>
      <w:bookmarkStart w:id="186" w:name="tWDI"/>
      <w:bookmarkEnd w:id="186"/>
    </w:p>
    <w:tbl>
      <w:tblPr>
        <w:tblW w:w="9145" w:type="dxa"/>
        <w:jc w:val="left"/>
        <w:tblInd w:w="1060" w:type="dxa"/>
        <w:tblLayout w:type="fixed"/>
        <w:tblCellMar>
          <w:top w:w="0" w:type="dxa"/>
          <w:left w:w="0" w:type="dxa"/>
          <w:bottom w:w="0" w:type="dxa"/>
          <w:right w:w="0" w:type="dxa"/>
        </w:tblCellMar>
      </w:tblPr>
      <w:tblGrid>
        <w:gridCol w:w="232"/>
        <w:gridCol w:w="8913"/>
      </w:tblGrid>
      <w:tr>
        <w:trPr/>
        <w:tc>
          <w:tcPr>
            <w:tcW w:w="232"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8913"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Why did I receive a notice in the mail regarding the Internet availability of proxy materials instead of a full set of proxy materials?</w:t>
            </w:r>
          </w:p>
        </w:tc>
      </w:tr>
    </w:tbl>
    <w:tbl>
      <w:tblPr>
        <w:tblW w:w="9145" w:type="dxa"/>
        <w:jc w:val="left"/>
        <w:tblInd w:w="1060" w:type="dxa"/>
        <w:tblLayout w:type="fixed"/>
        <w:tblCellMar>
          <w:top w:w="0" w:type="dxa"/>
          <w:left w:w="0" w:type="dxa"/>
          <w:bottom w:w="0" w:type="dxa"/>
          <w:right w:w="0" w:type="dxa"/>
        </w:tblCellMar>
      </w:tblPr>
      <w:tblGrid>
        <w:gridCol w:w="174"/>
        <w:gridCol w:w="8971"/>
      </w:tblGrid>
      <w:tr>
        <w:trPr/>
        <w:tc>
          <w:tcPr>
            <w:tcW w:w="174"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A:</w:t>
            </w:r>
          </w:p>
        </w:tc>
        <w:tc>
          <w:tcPr>
            <w:tcW w:w="8971"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In accordance with rules adopted by the SEC, we may furnish proxy materials to our shareholders by providing access to such documents on the Internet instead of mailing printed copies. This approach conserves natural resources and reduces our distribution costs, while providing a timely and convenient method of accessing the materials and voting. As a result, most shareholders will not receive printed copies of the proxy materials unless they request them. Instead, on or about October 24, 2025 we mailed to Viatris shareholders as of the Record Date a Notice of Internet Availability of Proxy Materials (the “Internet Notice”) that instructs you as to how you may access and review all of the proxy materials on the Internet. The Internet Notice also instructs you as to how you may submit your proxy on the Internet; however, the Internet Notice is not itself a proxy card and should not be returned with voting instructions. If you would like to receive a paper or email copy of the Company’s proxy materials, you should follow the instructions for requesting such materials in the Internet Notice. </w:t>
            </w:r>
          </w:p>
        </w:tc>
      </w:tr>
    </w:tbl>
    <w:tbl>
      <w:tblPr>
        <w:tblW w:w="4750" w:type="dxa"/>
        <w:jc w:val="left"/>
        <w:tblInd w:w="1060" w:type="dxa"/>
        <w:tblLayout w:type="fixed"/>
        <w:tblCellMar>
          <w:top w:w="0" w:type="dxa"/>
          <w:left w:w="0" w:type="dxa"/>
          <w:bottom w:w="0" w:type="dxa"/>
          <w:right w:w="0" w:type="dxa"/>
        </w:tblCellMar>
      </w:tblPr>
      <w:tblGrid>
        <w:gridCol w:w="245"/>
        <w:gridCol w:w="4505"/>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450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What is included in the Company’s proxy materials?</w:t>
            </w:r>
          </w:p>
        </w:tc>
      </w:tr>
    </w:tbl>
    <w:tbl>
      <w:tblPr>
        <w:tblW w:w="9145" w:type="dxa"/>
        <w:jc w:val="left"/>
        <w:tblInd w:w="1060" w:type="dxa"/>
        <w:tblLayout w:type="fixed"/>
        <w:tblCellMar>
          <w:top w:w="0" w:type="dxa"/>
          <w:left w:w="0" w:type="dxa"/>
          <w:bottom w:w="0" w:type="dxa"/>
          <w:right w:w="0" w:type="dxa"/>
        </w:tblCellMar>
      </w:tblPr>
      <w:tblGrid>
        <w:gridCol w:w="174"/>
        <w:gridCol w:w="8971"/>
      </w:tblGrid>
      <w:tr>
        <w:trPr/>
        <w:tc>
          <w:tcPr>
            <w:tcW w:w="174"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A:</w:t>
            </w:r>
          </w:p>
        </w:tc>
        <w:tc>
          <w:tcPr>
            <w:tcW w:w="8971"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The Company’s proxy materials include this Proxy Statement for the 2025 Annual Meeting and the 2024 Annual Report. The 2024 Annual Report is not incorporated into this Proxy Statement and shall not be deemed to be solicitation materials. If you received the Internet Notice, voting instructions can be found in the Internet Notice. If you received a paper copy of these materials, the proxy materials also included the accompanying proxy card or voting instruction form, as applicable, for the 2025 Annual Meeting. For detailed information on voting, see the questions below entitled, </w:t>
            </w:r>
            <w:r>
              <w:rPr>
                <w:rFonts w:ascii="Arial;Helvetica;sans-serif" w:hAnsi="Arial;Helvetica;sans-serif"/>
                <w:color w:val="8A58A0"/>
                <w:sz w:val="18"/>
              </w:rPr>
              <w:t>“How do I vote if I was a registered shareholder of Viatris as of the Record Date?”</w:t>
            </w:r>
            <w:r>
              <w:rPr>
                <w:rFonts w:ascii="Arial;Helvetica;sans-serif" w:hAnsi="Arial;Helvetica;sans-serif"/>
                <w:color w:val="636466"/>
                <w:sz w:val="18"/>
              </w:rPr>
              <w:t xml:space="preserve"> or </w:t>
            </w:r>
            <w:r>
              <w:rPr>
                <w:rFonts w:ascii="Arial;Helvetica;sans-serif" w:hAnsi="Arial;Helvetica;sans-serif"/>
                <w:color w:val="8A58A0"/>
                <w:sz w:val="18"/>
              </w:rPr>
              <w:t>“How do I vote if I am a beneficial owner of shares of Viatris common stock and hold them in street name?”</w:t>
            </w:r>
            <w:r>
              <w:rPr>
                <w:rFonts w:ascii="Arial;Helvetica;sans-serif" w:hAnsi="Arial;Helvetica;sans-serif"/>
                <w:color w:val="636466"/>
                <w:sz w:val="18"/>
              </w:rPr>
              <w:t xml:space="preserve">, as appropriate, as well as the Notice of 2025 Annual Meeting of Shareholders in this Proxy Statement. </w:t>
            </w:r>
          </w:p>
        </w:tc>
      </w:tr>
    </w:tbl>
    <w:tbl>
      <w:tblPr>
        <w:tblW w:w="5140" w:type="dxa"/>
        <w:jc w:val="left"/>
        <w:tblInd w:w="1060" w:type="dxa"/>
        <w:tblLayout w:type="fixed"/>
        <w:tblCellMar>
          <w:top w:w="0" w:type="dxa"/>
          <w:left w:w="0" w:type="dxa"/>
          <w:bottom w:w="0" w:type="dxa"/>
          <w:right w:w="0" w:type="dxa"/>
        </w:tblCellMar>
      </w:tblPr>
      <w:tblGrid>
        <w:gridCol w:w="245"/>
        <w:gridCol w:w="4895"/>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489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How can I access the proxy materials over the Internet? </w:t>
            </w:r>
          </w:p>
        </w:tc>
      </w:tr>
    </w:tbl>
    <w:tbl>
      <w:tblPr>
        <w:tblW w:w="9145" w:type="dxa"/>
        <w:jc w:val="left"/>
        <w:tblInd w:w="1060" w:type="dxa"/>
        <w:tblLayout w:type="fixed"/>
        <w:tblCellMar>
          <w:top w:w="0" w:type="dxa"/>
          <w:left w:w="0" w:type="dxa"/>
          <w:bottom w:w="0" w:type="dxa"/>
          <w:right w:w="0" w:type="dxa"/>
        </w:tblCellMar>
      </w:tblPr>
      <w:tblGrid>
        <w:gridCol w:w="187"/>
        <w:gridCol w:w="8958"/>
      </w:tblGrid>
      <w:tr>
        <w:trPr/>
        <w:tc>
          <w:tcPr>
            <w:tcW w:w="187"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A:</w:t>
            </w:r>
          </w:p>
        </w:tc>
        <w:tc>
          <w:tcPr>
            <w:tcW w:w="8958"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The Internet Notice, proxy card, or voting instruction form will contain instructions on how to view the Company’s proxy materials on the Internet and vote your shares. Our proxy materials are also available on the Company’s website at investor.viatris.com.</w:t>
            </w:r>
          </w:p>
        </w:tc>
      </w:tr>
    </w:tbl>
    <w:tbl>
      <w:tblPr>
        <w:tblW w:w="4525" w:type="dxa"/>
        <w:jc w:val="left"/>
        <w:tblInd w:w="1060" w:type="dxa"/>
        <w:tblLayout w:type="fixed"/>
        <w:tblCellMar>
          <w:top w:w="0" w:type="dxa"/>
          <w:left w:w="0" w:type="dxa"/>
          <w:bottom w:w="0" w:type="dxa"/>
          <w:right w:w="0" w:type="dxa"/>
        </w:tblCellMar>
      </w:tblPr>
      <w:tblGrid>
        <w:gridCol w:w="245"/>
        <w:gridCol w:w="4280"/>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4280"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What is the purpose of the 2025 Annual Meeting? </w:t>
            </w:r>
          </w:p>
        </w:tc>
      </w:tr>
    </w:tbl>
    <w:tbl>
      <w:tblPr>
        <w:tblW w:w="7930" w:type="dxa"/>
        <w:jc w:val="left"/>
        <w:tblInd w:w="1060" w:type="dxa"/>
        <w:tblLayout w:type="fixed"/>
        <w:tblCellMar>
          <w:top w:w="0" w:type="dxa"/>
          <w:left w:w="0" w:type="dxa"/>
          <w:bottom w:w="0" w:type="dxa"/>
          <w:right w:w="0" w:type="dxa"/>
        </w:tblCellMar>
      </w:tblPr>
      <w:tblGrid>
        <w:gridCol w:w="215"/>
        <w:gridCol w:w="7715"/>
      </w:tblGrid>
      <w:tr>
        <w:trPr/>
        <w:tc>
          <w:tcPr>
            <w:tcW w:w="21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A:</w:t>
            </w:r>
          </w:p>
        </w:tc>
        <w:tc>
          <w:tcPr>
            <w:tcW w:w="771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The 2025 Annual Meeting is being held for Viatris shareholders to vote on the following items: </w:t>
            </w:r>
          </w:p>
        </w:tc>
      </w:tr>
    </w:tbl>
    <w:tbl>
      <w:tblPr>
        <w:tblW w:w="8140" w:type="dxa"/>
        <w:jc w:val="left"/>
        <w:tblInd w:w="1060" w:type="dxa"/>
        <w:tblLayout w:type="fixed"/>
        <w:tblCellMar>
          <w:top w:w="0" w:type="dxa"/>
          <w:left w:w="0" w:type="dxa"/>
          <w:bottom w:w="0" w:type="dxa"/>
          <w:right w:w="0" w:type="dxa"/>
        </w:tblCellMar>
      </w:tblPr>
      <w:tblGrid>
        <w:gridCol w:w="200"/>
        <w:gridCol w:w="7940"/>
      </w:tblGrid>
      <w:tr>
        <w:trPr/>
        <w:tc>
          <w:tcPr>
            <w:tcW w:w="200"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1.</w:t>
            </w:r>
          </w:p>
        </w:tc>
        <w:tc>
          <w:tcPr>
            <w:tcW w:w="7940"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To elect 13 Director nominees, each to hold office until the 2026 annual meeting of shareholders </w:t>
            </w:r>
          </w:p>
        </w:tc>
      </w:tr>
    </w:tbl>
    <w:tbl>
      <w:tblPr>
        <w:tblW w:w="9145" w:type="dxa"/>
        <w:jc w:val="left"/>
        <w:tblInd w:w="1060" w:type="dxa"/>
        <w:tblLayout w:type="fixed"/>
        <w:tblCellMar>
          <w:top w:w="0" w:type="dxa"/>
          <w:left w:w="0" w:type="dxa"/>
          <w:bottom w:w="0" w:type="dxa"/>
          <w:right w:w="0" w:type="dxa"/>
        </w:tblCellMar>
      </w:tblPr>
      <w:tblGrid>
        <w:gridCol w:w="194"/>
        <w:gridCol w:w="8951"/>
      </w:tblGrid>
      <w:tr>
        <w:trPr/>
        <w:tc>
          <w:tcPr>
            <w:tcW w:w="194"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2.</w:t>
            </w:r>
          </w:p>
        </w:tc>
        <w:tc>
          <w:tcPr>
            <w:tcW w:w="8951"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To approve, on a non-binding advisory basis, the 2024 compensation of the NEOs of the Company (the Say-on-Pay vote) </w:t>
            </w:r>
          </w:p>
        </w:tc>
      </w:tr>
    </w:tbl>
    <w:tbl>
      <w:tblPr>
        <w:tblW w:w="5055" w:type="dxa"/>
        <w:jc w:val="left"/>
        <w:tblInd w:w="1060" w:type="dxa"/>
        <w:tblLayout w:type="fixed"/>
        <w:tblCellMar>
          <w:top w:w="0" w:type="dxa"/>
          <w:left w:w="0" w:type="dxa"/>
          <w:bottom w:w="0" w:type="dxa"/>
          <w:right w:w="0" w:type="dxa"/>
        </w:tblCellMar>
      </w:tblPr>
      <w:tblGrid>
        <w:gridCol w:w="2130"/>
        <w:gridCol w:w="170"/>
        <w:gridCol w:w="170"/>
        <w:gridCol w:w="2585"/>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288"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55" descr=""/>
                          <pic:cNvPicPr>
                            <a:picLocks noChangeAspect="1" noChangeArrowheads="1"/>
                          </pic:cNvPicPr>
                        </pic:nvPicPr>
                        <pic:blipFill>
                          <a:blip r:embed="rId273"/>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Statement | A-1</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289"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56" descr=""/>
                    <pic:cNvPicPr>
                      <a:picLocks noChangeAspect="1" noChangeArrowheads="1"/>
                    </pic:cNvPicPr>
                  </pic:nvPicPr>
                  <pic:blipFill>
                    <a:blip r:embed="rId274"/>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87" w:name="ny20055082x771_def14a_300-appa_pg2"/>
        <w:bookmarkEnd w:id="18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left"/>
        <w:rPr>
          <w:caps/>
          <w:color w:val="1F1C6B"/>
          <w:u w:val="single"/>
        </w:rPr>
      </w:pPr>
      <w:r>
        <w:rPr>
          <w:caps/>
          <w:color w:val="1F1C6B"/>
          <w:u w:val="single"/>
        </w:rPr>
        <w:t> </w:t>
      </w:r>
      <w:r>
        <w:rPr>
          <w:rFonts w:ascii="Arial;Helvetica;sans-serif" w:hAnsi="Arial;Helvetica;sans-serif"/>
          <w:caps/>
          <w:color w:val="1F1C6B"/>
          <w:sz w:val="18"/>
          <w:u w:val="single"/>
        </w:rPr>
        <w:t>Appendix A — Questions and Answers  </w:t>
      </w:r>
    </w:p>
    <w:tbl>
      <w:tblPr>
        <w:tblW w:w="9145" w:type="dxa"/>
        <w:jc w:val="left"/>
        <w:tblInd w:w="1060" w:type="dxa"/>
        <w:tblLayout w:type="fixed"/>
        <w:tblCellMar>
          <w:top w:w="0" w:type="dxa"/>
          <w:left w:w="0" w:type="dxa"/>
          <w:bottom w:w="0" w:type="dxa"/>
          <w:right w:w="0" w:type="dxa"/>
        </w:tblCellMar>
      </w:tblPr>
      <w:tblGrid>
        <w:gridCol w:w="190"/>
        <w:gridCol w:w="8955"/>
      </w:tblGrid>
      <w:tr>
        <w:trPr/>
        <w:tc>
          <w:tcPr>
            <w:tcW w:w="190"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3.</w:t>
            </w:r>
          </w:p>
        </w:tc>
        <w:tc>
          <w:tcPr>
            <w:tcW w:w="895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To ratify the selection of Deloitte as Viatris’ independent registered public accounting firm for the fiscal year ending December 31, 2025 </w:t>
            </w:r>
          </w:p>
        </w:tc>
      </w:tr>
    </w:tbl>
    <w:tbl>
      <w:tblPr>
        <w:tblW w:w="5005" w:type="dxa"/>
        <w:jc w:val="left"/>
        <w:tblInd w:w="1060" w:type="dxa"/>
        <w:tblLayout w:type="fixed"/>
        <w:tblCellMar>
          <w:top w:w="0" w:type="dxa"/>
          <w:left w:w="0" w:type="dxa"/>
          <w:bottom w:w="0" w:type="dxa"/>
          <w:right w:w="0" w:type="dxa"/>
        </w:tblCellMar>
      </w:tblPr>
      <w:tblGrid>
        <w:gridCol w:w="245"/>
        <w:gridCol w:w="4760"/>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4760"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When and where will the 2025 Annual Meeting be held? </w:t>
            </w:r>
          </w:p>
        </w:tc>
      </w:tr>
    </w:tbl>
    <w:tbl>
      <w:tblPr>
        <w:tblW w:w="9145" w:type="dxa"/>
        <w:jc w:val="left"/>
        <w:tblInd w:w="1060" w:type="dxa"/>
        <w:tblLayout w:type="fixed"/>
        <w:tblCellMar>
          <w:top w:w="0" w:type="dxa"/>
          <w:left w:w="0" w:type="dxa"/>
          <w:bottom w:w="0" w:type="dxa"/>
          <w:right w:w="0" w:type="dxa"/>
        </w:tblCellMar>
      </w:tblPr>
      <w:tblGrid>
        <w:gridCol w:w="194"/>
        <w:gridCol w:w="8951"/>
      </w:tblGrid>
      <w:tr>
        <w:trPr/>
        <w:tc>
          <w:tcPr>
            <w:tcW w:w="194"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A:</w:t>
            </w:r>
          </w:p>
        </w:tc>
        <w:tc>
          <w:tcPr>
            <w:tcW w:w="8951"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The 2025 Annual Meeting will be held at the DoubleTree Resort by Hilton Hollywood Beach, 4000 South Ocean Drive, Hollywood, FL 33019, on December 5, 2025, at 11:00 a.m. Eastern Time.</w:t>
            </w:r>
          </w:p>
        </w:tc>
      </w:tr>
    </w:tbl>
    <w:p>
      <w:pPr>
        <w:pStyle w:val="TextBody"/>
        <w:bidi w:val="0"/>
        <w:spacing w:before="240" w:after="283"/>
        <w:ind w:left="1460" w:right="0" w:hanging="0"/>
        <w:jc w:val="left"/>
        <w:rPr>
          <w:rFonts w:ascii="Arial;Helvetica;sans-serif" w:hAnsi="Arial;Helvetica;sans-serif"/>
          <w:color w:val="636466"/>
          <w:sz w:val="18"/>
        </w:rPr>
      </w:pPr>
      <w:r>
        <w:rPr>
          <w:rFonts w:ascii="Arial;Helvetica;sans-serif" w:hAnsi="Arial;Helvetica;sans-serif"/>
          <w:color w:val="636466"/>
          <w:sz w:val="18"/>
        </w:rPr>
        <w:t xml:space="preserve">Persons attending the 2025 Annual Meeting will not be permitted to use cameras, recording devices and other similar electronic devices during the meeting. In addition, attendees may be subject to additional requirements prior to entry to the meeting – see the question below entitled </w:t>
      </w:r>
      <w:r>
        <w:rPr>
          <w:rFonts w:ascii="Arial;Helvetica;sans-serif" w:hAnsi="Arial;Helvetica;sans-serif"/>
          <w:color w:val="8A58A0"/>
          <w:sz w:val="18"/>
        </w:rPr>
        <w:t>“How can I attend the 2025 Annual Meeting?”</w:t>
      </w:r>
      <w:r>
        <w:rPr>
          <w:rFonts w:ascii="Arial;Helvetica;sans-serif" w:hAnsi="Arial;Helvetica;sans-serif"/>
          <w:color w:val="636466"/>
          <w:sz w:val="18"/>
        </w:rPr>
        <w:t xml:space="preserve">. </w:t>
      </w:r>
    </w:p>
    <w:tbl>
      <w:tblPr>
        <w:tblW w:w="4120" w:type="dxa"/>
        <w:jc w:val="left"/>
        <w:tblInd w:w="1060" w:type="dxa"/>
        <w:tblLayout w:type="fixed"/>
        <w:tblCellMar>
          <w:top w:w="0" w:type="dxa"/>
          <w:left w:w="0" w:type="dxa"/>
          <w:bottom w:w="0" w:type="dxa"/>
          <w:right w:w="0" w:type="dxa"/>
        </w:tblCellMar>
      </w:tblPr>
      <w:tblGrid>
        <w:gridCol w:w="245"/>
        <w:gridCol w:w="3875"/>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387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How does Viatris’ Board recommend I vote? </w:t>
            </w:r>
          </w:p>
        </w:tc>
      </w:tr>
    </w:tbl>
    <w:tbl>
      <w:tblPr>
        <w:tblW w:w="9145" w:type="dxa"/>
        <w:jc w:val="left"/>
        <w:tblInd w:w="1060" w:type="dxa"/>
        <w:tblLayout w:type="fixed"/>
        <w:tblCellMar>
          <w:top w:w="0" w:type="dxa"/>
          <w:left w:w="0" w:type="dxa"/>
          <w:bottom w:w="0" w:type="dxa"/>
          <w:right w:w="0" w:type="dxa"/>
        </w:tblCellMar>
      </w:tblPr>
      <w:tblGrid>
        <w:gridCol w:w="181"/>
        <w:gridCol w:w="8964"/>
      </w:tblGrid>
      <w:tr>
        <w:trPr/>
        <w:tc>
          <w:tcPr>
            <w:tcW w:w="181"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A:</w:t>
            </w:r>
          </w:p>
        </w:tc>
        <w:tc>
          <w:tcPr>
            <w:tcW w:w="8964"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Viatris’ Board unanimously recommends that the Company’s shareholders vote </w:t>
            </w:r>
            <w:r>
              <w:rPr>
                <w:rFonts w:ascii="Arial;Helvetica;sans-serif" w:hAnsi="Arial;Helvetica;sans-serif"/>
                <w:color w:val="72288A"/>
                <w:sz w:val="18"/>
              </w:rPr>
              <w:t>“</w:t>
            </w:r>
            <w:r>
              <w:rPr>
                <w:rFonts w:ascii="Arial;Helvetica;sans-serif" w:hAnsi="Arial;Helvetica;sans-serif"/>
                <w:b/>
                <w:color w:val="72288A"/>
                <w:sz w:val="18"/>
              </w:rPr>
              <w:t>FOR”</w:t>
            </w:r>
            <w:r>
              <w:rPr>
                <w:rFonts w:ascii="Arial;Helvetica;sans-serif" w:hAnsi="Arial;Helvetica;sans-serif"/>
                <w:color w:val="636466"/>
                <w:sz w:val="18"/>
              </w:rPr>
              <w:t xml:space="preserve"> the election of each Director nominee; </w:t>
            </w:r>
            <w:r>
              <w:rPr>
                <w:rFonts w:ascii="Arial;Helvetica;sans-serif" w:hAnsi="Arial;Helvetica;sans-serif"/>
                <w:color w:val="72288A"/>
                <w:sz w:val="18"/>
              </w:rPr>
              <w:t>“</w:t>
            </w:r>
            <w:r>
              <w:rPr>
                <w:rFonts w:ascii="Arial;Helvetica;sans-serif" w:hAnsi="Arial;Helvetica;sans-serif"/>
                <w:b/>
                <w:color w:val="72288A"/>
                <w:sz w:val="18"/>
              </w:rPr>
              <w:t>FOR”</w:t>
            </w:r>
            <w:r>
              <w:rPr>
                <w:rFonts w:ascii="Arial;Helvetica;sans-serif" w:hAnsi="Arial;Helvetica;sans-serif"/>
                <w:color w:val="636466"/>
                <w:sz w:val="18"/>
              </w:rPr>
              <w:t xml:space="preserve"> approval, on an advisory basis, of the 2024 compensation of the NEOs of the Company; and </w:t>
            </w:r>
            <w:r>
              <w:rPr>
                <w:rFonts w:ascii="Arial;Helvetica;sans-serif" w:hAnsi="Arial;Helvetica;sans-serif"/>
                <w:color w:val="72288A"/>
                <w:sz w:val="18"/>
              </w:rPr>
              <w:t>“</w:t>
            </w:r>
            <w:r>
              <w:rPr>
                <w:rFonts w:ascii="Arial;Helvetica;sans-serif" w:hAnsi="Arial;Helvetica;sans-serif"/>
                <w:b/>
                <w:color w:val="72288A"/>
                <w:sz w:val="18"/>
              </w:rPr>
              <w:t>FOR”</w:t>
            </w:r>
            <w:r>
              <w:rPr>
                <w:rFonts w:ascii="Arial;Helvetica;sans-serif" w:hAnsi="Arial;Helvetica;sans-serif"/>
                <w:color w:val="636466"/>
                <w:sz w:val="18"/>
              </w:rPr>
              <w:t xml:space="preserve"> ratification of the selection of Deloitte as Viatris’ independent registered public accounting firm for the fiscal year ending December 31, 2025.</w:t>
            </w:r>
          </w:p>
        </w:tc>
      </w:tr>
    </w:tbl>
    <w:p>
      <w:pPr>
        <w:pStyle w:val="Normal"/>
        <w:bidi w:val="0"/>
        <w:spacing w:before="0" w:after="0"/>
        <w:ind w:left="1060" w:right="0" w:hanging="0"/>
        <w:jc w:val="left"/>
        <w:rPr>
          <w:sz w:val="4"/>
          <w:szCs w:val="4"/>
        </w:rPr>
      </w:pPr>
      <w:r>
        <w:rPr>
          <w:sz w:val="4"/>
          <w:szCs w:val="4"/>
        </w:rPr>
      </w:r>
      <w:bookmarkStart w:id="188" w:name="tHCI"/>
      <w:bookmarkStart w:id="189" w:name="tHCI"/>
      <w:bookmarkEnd w:id="189"/>
    </w:p>
    <w:tbl>
      <w:tblPr>
        <w:tblW w:w="4030" w:type="dxa"/>
        <w:jc w:val="left"/>
        <w:tblInd w:w="1060" w:type="dxa"/>
        <w:tblLayout w:type="fixed"/>
        <w:tblCellMar>
          <w:top w:w="0" w:type="dxa"/>
          <w:left w:w="0" w:type="dxa"/>
          <w:bottom w:w="0" w:type="dxa"/>
          <w:right w:w="0" w:type="dxa"/>
        </w:tblCellMar>
      </w:tblPr>
      <w:tblGrid>
        <w:gridCol w:w="245"/>
        <w:gridCol w:w="3785"/>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378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How can I attend the 2025 Annual Meeting? </w:t>
            </w:r>
          </w:p>
        </w:tc>
      </w:tr>
    </w:tbl>
    <w:tbl>
      <w:tblPr>
        <w:tblW w:w="9145" w:type="dxa"/>
        <w:jc w:val="left"/>
        <w:tblInd w:w="1060" w:type="dxa"/>
        <w:tblLayout w:type="fixed"/>
        <w:tblCellMar>
          <w:top w:w="0" w:type="dxa"/>
          <w:left w:w="0" w:type="dxa"/>
          <w:bottom w:w="0" w:type="dxa"/>
          <w:right w:w="0" w:type="dxa"/>
        </w:tblCellMar>
      </w:tblPr>
      <w:tblGrid>
        <w:gridCol w:w="181"/>
        <w:gridCol w:w="8964"/>
      </w:tblGrid>
      <w:tr>
        <w:trPr/>
        <w:tc>
          <w:tcPr>
            <w:tcW w:w="181"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A:</w:t>
            </w:r>
          </w:p>
        </w:tc>
        <w:tc>
          <w:tcPr>
            <w:tcW w:w="8964"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If you wish to attend the 2025 Annual Meeting in person, please so inform Viatris in writing by sending notice to the attention of Viatris’ Corporate Secretary at 1000 Mylan Blvd., Canonsburg, PA 15317 (the “Corporate Address”) or by e-mail to corporatesecretary@viatris.com, in each case prior to 5:00 p.m. Eastern Time on December 4, 2025. </w:t>
            </w:r>
          </w:p>
        </w:tc>
      </w:tr>
    </w:tbl>
    <w:p>
      <w:pPr>
        <w:pStyle w:val="TextBody"/>
        <w:bidi w:val="0"/>
        <w:spacing w:before="240" w:after="283"/>
        <w:ind w:left="1460" w:right="0" w:hanging="0"/>
        <w:jc w:val="left"/>
        <w:rPr>
          <w:rFonts w:ascii="Arial;Helvetica;sans-serif" w:hAnsi="Arial;Helvetica;sans-serif"/>
          <w:color w:val="636466"/>
          <w:sz w:val="18"/>
        </w:rPr>
      </w:pPr>
      <w:r>
        <w:rPr>
          <w:rFonts w:ascii="Arial;Helvetica;sans-serif" w:hAnsi="Arial;Helvetica;sans-serif"/>
          <w:color w:val="636466"/>
          <w:sz w:val="18"/>
        </w:rPr>
        <w:t xml:space="preserve">Beneficial owners of Viatris common stock that are held through a broker, bank, trust company or other nominee (“street name”) may not vote the underlying shares of common stock at the 2025 Annual Meeting unless they first obtain (where appropriate, through the relevant broker, bank, trust company or other nominee) a signed proxy card from the relevant registered shareholder (as defined in the following Question and Answer) of the underlying shares on the Record Date. In addition, beneficial owners of Viatris common stock must provide proof of ownership, such as a recent account statement or letter from a brokerage firm, bank nominee or other institution proving ownership on the Record Date. </w:t>
      </w:r>
    </w:p>
    <w:p>
      <w:pPr>
        <w:pStyle w:val="TextBody"/>
        <w:bidi w:val="0"/>
        <w:spacing w:before="240" w:after="283"/>
        <w:ind w:left="1460" w:right="0" w:hanging="0"/>
        <w:jc w:val="left"/>
        <w:rPr>
          <w:rFonts w:ascii="Arial;Helvetica;sans-serif" w:hAnsi="Arial;Helvetica;sans-serif"/>
          <w:color w:val="636466"/>
          <w:sz w:val="18"/>
        </w:rPr>
      </w:pPr>
      <w:r>
        <w:rPr>
          <w:rFonts w:ascii="Arial;Helvetica;sans-serif" w:hAnsi="Arial;Helvetica;sans-serif"/>
          <w:color w:val="636466"/>
          <w:sz w:val="18"/>
        </w:rPr>
        <w:t xml:space="preserve">Proper identification, such as a valid driver’s license or passport, along with your notice of the meeting, must be presented at the meeting. </w:t>
      </w:r>
    </w:p>
    <w:p>
      <w:pPr>
        <w:pStyle w:val="TextBody"/>
        <w:bidi w:val="0"/>
        <w:spacing w:before="310" w:after="283"/>
        <w:ind w:left="1460" w:right="0" w:hanging="0"/>
        <w:jc w:val="left"/>
        <w:rPr>
          <w:rFonts w:ascii="Arial;Helvetica;sans-serif" w:hAnsi="Arial;Helvetica;sans-serif"/>
          <w:color w:val="636466"/>
          <w:sz w:val="18"/>
        </w:rPr>
      </w:pPr>
      <w:r>
        <w:rPr>
          <w:rFonts w:ascii="Arial;Helvetica;sans-serif" w:hAnsi="Arial;Helvetica;sans-serif"/>
          <w:color w:val="636466"/>
          <w:sz w:val="18"/>
        </w:rPr>
        <w:t xml:space="preserve">Failure to comply with such notification and identification requirements may result in not being admitted to the meeting. </w:t>
      </w:r>
    </w:p>
    <w:tbl>
      <w:tblPr>
        <w:tblW w:w="7600" w:type="dxa"/>
        <w:jc w:val="left"/>
        <w:tblInd w:w="1060" w:type="dxa"/>
        <w:tblLayout w:type="fixed"/>
        <w:tblCellMar>
          <w:top w:w="0" w:type="dxa"/>
          <w:left w:w="0" w:type="dxa"/>
          <w:bottom w:w="0" w:type="dxa"/>
          <w:right w:w="0" w:type="dxa"/>
        </w:tblCellMar>
      </w:tblPr>
      <w:tblGrid>
        <w:gridCol w:w="245"/>
        <w:gridCol w:w="7355"/>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735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Who is entitled to vote at the 2025 Annual Meeting and how many votes do they have?</w:t>
            </w:r>
          </w:p>
        </w:tc>
      </w:tr>
    </w:tbl>
    <w:tbl>
      <w:tblPr>
        <w:tblW w:w="9145" w:type="dxa"/>
        <w:jc w:val="left"/>
        <w:tblInd w:w="1060" w:type="dxa"/>
        <w:tblLayout w:type="fixed"/>
        <w:tblCellMar>
          <w:top w:w="0" w:type="dxa"/>
          <w:left w:w="0" w:type="dxa"/>
          <w:bottom w:w="0" w:type="dxa"/>
          <w:right w:w="0" w:type="dxa"/>
        </w:tblCellMar>
      </w:tblPr>
      <w:tblGrid>
        <w:gridCol w:w="175"/>
        <w:gridCol w:w="8970"/>
      </w:tblGrid>
      <w:tr>
        <w:trPr/>
        <w:tc>
          <w:tcPr>
            <w:tcW w:w="17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A:</w:t>
            </w:r>
          </w:p>
        </w:tc>
        <w:tc>
          <w:tcPr>
            <w:tcW w:w="8970"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Holders of Viatris common stock as of the Record Date are entitled to vote their shares at the 2025 Annual Meeting. If your shares are registered in your name with the Company’s transfer agent and registrar, Equiniti Trust Company, LLC, you are the “registered shareholder” of those shares. Registered shareholders as of the Record Date may attend the 2025 Annual Meeting and, if relevant, vote in person or authorize a third party to attend and, if relevant, vote at the 2025 Annual Meeting on their behalf through use of a proxy card. If you are a beneficial owner of Viatris common stock and hold your shares in street name, the relevant institution will send you instructions describing the procedure for instructing the institution how to vote the shares of Viatris common stock you beneficially own.</w:t>
            </w:r>
          </w:p>
        </w:tc>
      </w:tr>
    </w:tbl>
    <w:p>
      <w:pPr>
        <w:pStyle w:val="TextBody"/>
        <w:bidi w:val="0"/>
        <w:spacing w:before="240" w:after="283"/>
        <w:ind w:left="1460" w:right="0" w:hanging="0"/>
        <w:jc w:val="left"/>
        <w:rPr>
          <w:rFonts w:ascii="Arial;Helvetica;sans-serif" w:hAnsi="Arial;Helvetica;sans-serif"/>
          <w:color w:val="636466"/>
          <w:sz w:val="18"/>
        </w:rPr>
      </w:pPr>
      <w:r>
        <w:rPr>
          <w:rFonts w:ascii="Arial;Helvetica;sans-serif" w:hAnsi="Arial;Helvetica;sans-serif"/>
          <w:color w:val="636466"/>
          <w:sz w:val="18"/>
        </w:rPr>
        <w:t xml:space="preserve">If you wish to vote the shares of Viatris common stock you beneficially own directly either in person at the 2025 Annual Meeting or by proxy, you first must obtain a signed “legal proxy” from the bank, broker, trust company or other nominee through which you beneficially own your shares of Viatris common stock. </w:t>
      </w:r>
    </w:p>
    <w:tbl>
      <w:tblPr>
        <w:tblW w:w="5055" w:type="dxa"/>
        <w:jc w:val="left"/>
        <w:tblInd w:w="1060" w:type="dxa"/>
        <w:tblLayout w:type="fixed"/>
        <w:tblCellMar>
          <w:top w:w="0" w:type="dxa"/>
          <w:left w:w="0" w:type="dxa"/>
          <w:bottom w:w="0" w:type="dxa"/>
          <w:right w:w="0" w:type="dxa"/>
        </w:tblCellMar>
      </w:tblPr>
      <w:tblGrid>
        <w:gridCol w:w="2555"/>
        <w:gridCol w:w="170"/>
        <w:gridCol w:w="170"/>
        <w:gridCol w:w="2160"/>
      </w:tblGrid>
      <w:tr>
        <w:trPr/>
        <w:tc>
          <w:tcPr>
            <w:tcW w:w="25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555"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A-2 | 2025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290"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57" descr=""/>
                          <pic:cNvPicPr>
                            <a:picLocks noChangeAspect="1" noChangeArrowheads="1"/>
                          </pic:cNvPicPr>
                        </pic:nvPicPr>
                        <pic:blipFill>
                          <a:blip r:embed="rId275"/>
                          <a:stretch>
                            <a:fillRect/>
                          </a:stretch>
                        </pic:blipFill>
                        <pic:spPr bwMode="auto">
                          <a:xfrm>
                            <a:off x="0" y="0"/>
                            <a:ext cx="1323975" cy="352425"/>
                          </a:xfrm>
                          <a:prstGeom prst="rect">
                            <a:avLst/>
                          </a:prstGeom>
                        </pic:spPr>
                      </pic:pic>
                    </a:graphicData>
                  </a:graphic>
                </wp:inline>
              </w:drawing>
            </w:r>
          </w:p>
        </w:tc>
      </w:tr>
      <w:tr>
        <w:trPr/>
        <w:tc>
          <w:tcPr>
            <w:tcW w:w="25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291"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58" descr=""/>
                    <pic:cNvPicPr>
                      <a:picLocks noChangeAspect="1" noChangeArrowheads="1"/>
                    </pic:cNvPicPr>
                  </pic:nvPicPr>
                  <pic:blipFill>
                    <a:blip r:embed="rId276"/>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90" w:name="ny20055082x771_def14a_300-appa_pg3"/>
        <w:bookmarkEnd w:id="19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right"/>
        <w:rPr>
          <w:caps/>
          <w:color w:val="1F1C6B"/>
          <w:u w:val="single"/>
        </w:rPr>
      </w:pPr>
      <w:r>
        <w:rPr>
          <w:caps/>
          <w:color w:val="1F1C6B"/>
          <w:u w:val="single"/>
        </w:rPr>
        <w:t> </w:t>
      </w:r>
      <w:r>
        <w:rPr>
          <w:rFonts w:ascii="Arial;Helvetica;sans-serif" w:hAnsi="Arial;Helvetica;sans-serif"/>
          <w:caps/>
          <w:color w:val="1F1C6B"/>
          <w:sz w:val="18"/>
          <w:u w:val="single"/>
        </w:rPr>
        <w:t>Appendix A — Questions and Answers  </w:t>
      </w:r>
    </w:p>
    <w:p>
      <w:pPr>
        <w:pStyle w:val="TextBody"/>
        <w:bidi w:val="0"/>
        <w:spacing w:before="120" w:after="283"/>
        <w:ind w:left="1460" w:right="0" w:hanging="0"/>
        <w:jc w:val="left"/>
        <w:rPr>
          <w:rFonts w:ascii="Arial;Helvetica;sans-serif" w:hAnsi="Arial;Helvetica;sans-serif"/>
          <w:color w:val="636466"/>
          <w:sz w:val="18"/>
        </w:rPr>
      </w:pPr>
      <w:r>
        <w:rPr>
          <w:rFonts w:ascii="Arial;Helvetica;sans-serif" w:hAnsi="Arial;Helvetica;sans-serif"/>
          <w:color w:val="636466"/>
          <w:sz w:val="18"/>
        </w:rPr>
        <w:t>As of the close of business (5:00 p.m. Eastern Time) on October 10, 2025, there were 1,156,584,735 shares of Viatris common stock outstanding and entitled to vote. Each share of Viatris common stock, which is Viatris’ only outstanding voting security, is entitled to one vote on each matter properly brought before the 2025 Annual Meeting. Shareholders do not have cumulative voting rights.</w:t>
      </w:r>
    </w:p>
    <w:tbl>
      <w:tblPr>
        <w:tblW w:w="9145" w:type="dxa"/>
        <w:jc w:val="left"/>
        <w:tblInd w:w="1060" w:type="dxa"/>
        <w:tblLayout w:type="fixed"/>
        <w:tblCellMar>
          <w:top w:w="0" w:type="dxa"/>
          <w:left w:w="0" w:type="dxa"/>
          <w:bottom w:w="0" w:type="dxa"/>
          <w:right w:w="0" w:type="dxa"/>
        </w:tblCellMar>
      </w:tblPr>
      <w:tblGrid>
        <w:gridCol w:w="238"/>
        <w:gridCol w:w="8907"/>
      </w:tblGrid>
      <w:tr>
        <w:trPr/>
        <w:tc>
          <w:tcPr>
            <w:tcW w:w="238"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8907"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What vote is required to elect Directors and adopt each of the other proposals discussed in this Proxy Statement? </w:t>
            </w:r>
          </w:p>
        </w:tc>
      </w:tr>
    </w:tbl>
    <w:tbl>
      <w:tblPr>
        <w:tblW w:w="6985" w:type="dxa"/>
        <w:jc w:val="left"/>
        <w:tblInd w:w="1060" w:type="dxa"/>
        <w:tblLayout w:type="fixed"/>
        <w:tblCellMar>
          <w:top w:w="0" w:type="dxa"/>
          <w:left w:w="0" w:type="dxa"/>
          <w:bottom w:w="0" w:type="dxa"/>
          <w:right w:w="0" w:type="dxa"/>
        </w:tblCellMar>
      </w:tblPr>
      <w:tblGrid>
        <w:gridCol w:w="215"/>
        <w:gridCol w:w="6770"/>
      </w:tblGrid>
      <w:tr>
        <w:trPr/>
        <w:tc>
          <w:tcPr>
            <w:tcW w:w="21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A:</w:t>
            </w:r>
          </w:p>
        </w:tc>
        <w:tc>
          <w:tcPr>
            <w:tcW w:w="6770"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If a quorum exists at the 2025 Annual Meeting, shareholders shall have approved: </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pPr>
            <w:r>
              <w:rPr>
                <w:rFonts w:ascii="Arial;Helvetica;sans-serif" w:hAnsi="Arial;Helvetica;sans-serif"/>
                <w:color w:val="636466"/>
                <w:sz w:val="18"/>
              </w:rPr>
              <w:t xml:space="preserve">the election of a Director if a majority of the votes cast are in favor of such election. For purposes of the preceding sentence, a majority of votes cast means that the number of shares voted “for” a Director’s election exceeds 50% of the number of votes cast with respect to that Director’s election. Votes cast include any votes against that Director’s election and any direction to withhold authority in each case and exclude abstentions and broker non-votes (as defined below) with respect to that Director’s election. If a nominee for Director who is an incumbent Director is not elected and no successor has been elected at such meeting, the Director must promptly tender their irrevocable resignation to the Board in accordance with our Bylaws (Please see </w:t>
            </w:r>
            <w:r>
              <w:rPr>
                <w:rFonts w:ascii="Arial;Helvetica;sans-serif" w:hAnsi="Arial;Helvetica;sans-serif"/>
                <w:color w:val="8A58A0"/>
                <w:sz w:val="18"/>
              </w:rPr>
              <w:t xml:space="preserve">“How Our Board Governs and Is Governed – Viatris’ Board Structure” </w:t>
            </w:r>
            <w:r>
              <w:rPr>
                <w:rFonts w:ascii="Arial;Helvetica;sans-serif" w:hAnsi="Arial;Helvetica;sans-serif"/>
                <w:color w:val="636466"/>
                <w:sz w:val="18"/>
              </w:rPr>
              <w:t xml:space="preserve">beginning on page </w:t>
            </w:r>
            <w:hyperlink w:anchor="tHOB">
              <w:r>
                <w:rPr>
                  <w:rStyle w:val="InternetLink"/>
                  <w:rFonts w:ascii="Arial;Helvetica;sans-serif" w:hAnsi="Arial;Helvetica;sans-serif"/>
                  <w:color w:val="000080"/>
                  <w:sz w:val="18"/>
                </w:rPr>
                <w:t>23</w:t>
              </w:r>
            </w:hyperlink>
            <w:r>
              <w:rPr>
                <w:rFonts w:ascii="Arial;Helvetica;sans-serif" w:hAnsi="Arial;Helvetica;sans-serif"/>
                <w:color w:val="636466"/>
                <w:sz w:val="18"/>
              </w:rPr>
              <w:t xml:space="preserve">). </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the Say-on-Pay vote and ratification of the selection of Deloitte as Viatris’ independent registered public accounting firm for the fiscal year ending December 31, 2025, if, in each case, a majority of votes cast on such matter by shareholders present in person or represented by proxy at the meeting and entitled to vote on such matter are in favor of such matter. For purposes of the preceding sentence, a majority of votes cast means that the number of shares voted “for” a matter exceeds 50% of the number of votes cast with respect to that matter. Votes cast include votes against the matter and exclude abstentions and broker non-votes with respect to these matters. </w:t>
            </w:r>
          </w:p>
        </w:tc>
      </w:tr>
    </w:tbl>
    <w:tbl>
      <w:tblPr>
        <w:tblW w:w="2770" w:type="dxa"/>
        <w:jc w:val="left"/>
        <w:tblInd w:w="1060" w:type="dxa"/>
        <w:tblLayout w:type="fixed"/>
        <w:tblCellMar>
          <w:top w:w="0" w:type="dxa"/>
          <w:left w:w="0" w:type="dxa"/>
          <w:bottom w:w="0" w:type="dxa"/>
          <w:right w:w="0" w:type="dxa"/>
        </w:tblCellMar>
      </w:tblPr>
      <w:tblGrid>
        <w:gridCol w:w="245"/>
        <w:gridCol w:w="2525"/>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252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What constitutes a quorum? </w:t>
            </w:r>
          </w:p>
        </w:tc>
      </w:tr>
    </w:tbl>
    <w:tbl>
      <w:tblPr>
        <w:tblW w:w="9145" w:type="dxa"/>
        <w:jc w:val="left"/>
        <w:tblInd w:w="1060" w:type="dxa"/>
        <w:tblLayout w:type="fixed"/>
        <w:tblCellMar>
          <w:top w:w="0" w:type="dxa"/>
          <w:left w:w="0" w:type="dxa"/>
          <w:bottom w:w="0" w:type="dxa"/>
          <w:right w:w="0" w:type="dxa"/>
        </w:tblCellMar>
      </w:tblPr>
      <w:tblGrid>
        <w:gridCol w:w="184"/>
        <w:gridCol w:w="8961"/>
      </w:tblGrid>
      <w:tr>
        <w:trPr/>
        <w:tc>
          <w:tcPr>
            <w:tcW w:w="184"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A:</w:t>
            </w:r>
          </w:p>
        </w:tc>
        <w:tc>
          <w:tcPr>
            <w:tcW w:w="8961"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The holders of stock representing a majority of the voting power of all shares of stock issued and outstanding and entitled to vote at the 2025 Annual Meeting, present in person or represented by proxy, constitutes a quorum. Broker non-votes and abstentions will be considered for purposes of establishing a quorum. </w:t>
            </w:r>
          </w:p>
        </w:tc>
      </w:tr>
    </w:tbl>
    <w:tbl>
      <w:tblPr>
        <w:tblW w:w="7120" w:type="dxa"/>
        <w:jc w:val="left"/>
        <w:tblInd w:w="1060" w:type="dxa"/>
        <w:tblLayout w:type="fixed"/>
        <w:tblCellMar>
          <w:top w:w="0" w:type="dxa"/>
          <w:left w:w="0" w:type="dxa"/>
          <w:bottom w:w="0" w:type="dxa"/>
          <w:right w:w="0" w:type="dxa"/>
        </w:tblCellMar>
      </w:tblPr>
      <w:tblGrid>
        <w:gridCol w:w="245"/>
        <w:gridCol w:w="6875"/>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687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How do I vote if I was a registered shareholder of Viatris as of the Record Date? </w:t>
            </w:r>
          </w:p>
        </w:tc>
      </w:tr>
    </w:tbl>
    <w:tbl>
      <w:tblPr>
        <w:tblW w:w="9085" w:type="dxa"/>
        <w:jc w:val="left"/>
        <w:tblInd w:w="1060" w:type="dxa"/>
        <w:tblLayout w:type="fixed"/>
        <w:tblCellMar>
          <w:top w:w="0" w:type="dxa"/>
          <w:left w:w="0" w:type="dxa"/>
          <w:bottom w:w="0" w:type="dxa"/>
          <w:right w:w="0" w:type="dxa"/>
        </w:tblCellMar>
      </w:tblPr>
      <w:tblGrid>
        <w:gridCol w:w="215"/>
        <w:gridCol w:w="8870"/>
      </w:tblGrid>
      <w:tr>
        <w:trPr/>
        <w:tc>
          <w:tcPr>
            <w:tcW w:w="21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A:</w:t>
            </w:r>
          </w:p>
        </w:tc>
        <w:tc>
          <w:tcPr>
            <w:tcW w:w="8870"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If you were a registered shareholder as of the Record Date, the Internet Notice has been sent directly to you. </w:t>
            </w:r>
          </w:p>
        </w:tc>
      </w:tr>
    </w:tbl>
    <w:p>
      <w:pPr>
        <w:pStyle w:val="TextBody"/>
        <w:bidi w:val="0"/>
        <w:spacing w:before="240" w:after="283"/>
        <w:ind w:left="1460" w:right="0" w:hanging="0"/>
        <w:jc w:val="left"/>
        <w:rPr>
          <w:rFonts w:ascii="Arial;Helvetica;sans-serif" w:hAnsi="Arial;Helvetica;sans-serif"/>
          <w:color w:val="636466"/>
          <w:sz w:val="18"/>
        </w:rPr>
      </w:pPr>
      <w:r>
        <w:rPr>
          <w:rFonts w:ascii="Arial;Helvetica;sans-serif" w:hAnsi="Arial;Helvetica;sans-serif"/>
          <w:color w:val="636466"/>
          <w:sz w:val="18"/>
        </w:rPr>
        <w:t xml:space="preserve">If you were a registered shareholder as of the Record Date, plan to attend the 2025 Annual Meeting and wish to vote in person, you will be given a ballot at the 2025 Annual Meeting. In addition, if you plan to attend the 2025 Annual Meeting, please be prepared to provide proper identification, such as a valid driver’s license or passport. </w:t>
      </w:r>
    </w:p>
    <w:p>
      <w:pPr>
        <w:pStyle w:val="TextBody"/>
        <w:bidi w:val="0"/>
        <w:spacing w:before="240" w:after="283"/>
        <w:ind w:left="1460" w:right="0" w:hanging="0"/>
        <w:jc w:val="left"/>
        <w:rPr>
          <w:rFonts w:ascii="Arial;Helvetica;sans-serif" w:hAnsi="Arial;Helvetica;sans-serif"/>
          <w:color w:val="636466"/>
          <w:sz w:val="18"/>
        </w:rPr>
      </w:pPr>
      <w:r>
        <w:rPr>
          <w:rFonts w:ascii="Arial;Helvetica;sans-serif" w:hAnsi="Arial;Helvetica;sans-serif"/>
          <w:color w:val="636466"/>
          <w:sz w:val="18"/>
        </w:rPr>
        <w:t xml:space="preserve">If you were a registered shareholder as of the Record Date and do not plan to attend the 2025 Annual Meeting in person, you may cast your vote no later than December 4, 2025 at 11:59 p.m. Eastern Time (the “Cut-Off Time”) by Internet by following the instructions provided in the Internet Notice or, if you requested to receive printed proxy materials, you can also vote by telephone or mail pursuant to the instructions provided on the proxy card. Viatris requests that you promptly submit your proxy. </w:t>
      </w:r>
    </w:p>
    <w:p>
      <w:pPr>
        <w:pStyle w:val="TextBody"/>
        <w:bidi w:val="0"/>
        <w:spacing w:before="240" w:after="283"/>
        <w:ind w:left="1460" w:right="0" w:hanging="0"/>
        <w:jc w:val="left"/>
        <w:rPr>
          <w:rFonts w:ascii="Arial;Helvetica;sans-serif" w:hAnsi="Arial;Helvetica;sans-serif"/>
          <w:color w:val="636466"/>
          <w:sz w:val="18"/>
        </w:rPr>
      </w:pPr>
      <w:r>
        <w:rPr>
          <w:rFonts w:ascii="Arial;Helvetica;sans-serif" w:hAnsi="Arial;Helvetica;sans-serif"/>
          <w:color w:val="636466"/>
          <w:sz w:val="18"/>
        </w:rPr>
        <w:t xml:space="preserve">See the Internet Notice and Notice of 2025 Annual Meeting of Shareholders above for additional information about how to vote. </w:t>
      </w:r>
    </w:p>
    <w:p>
      <w:pPr>
        <w:pStyle w:val="TextBody"/>
        <w:bidi w:val="0"/>
        <w:spacing w:before="240" w:after="283"/>
        <w:ind w:left="1460" w:right="0" w:hanging="0"/>
        <w:jc w:val="left"/>
        <w:rPr>
          <w:rFonts w:ascii="Arial;Helvetica;sans-serif" w:hAnsi="Arial;Helvetica;sans-serif"/>
          <w:color w:val="636466"/>
          <w:sz w:val="18"/>
        </w:rPr>
      </w:pPr>
      <w:r>
        <w:rPr>
          <w:rFonts w:ascii="Arial;Helvetica;sans-serif" w:hAnsi="Arial;Helvetica;sans-serif"/>
          <w:color w:val="636466"/>
          <w:sz w:val="18"/>
        </w:rPr>
        <w:t xml:space="preserve">If you were a registered shareholder as of the Record Date and you vote by proxy, the individuals named as proxy holders will vote your shares of Viatris common stock in the manner you indicate. All shares of Viatris common stock represented by properly executed proxies received no later than the Cut-Off Time will be voted at the meeting in the manner specified by the Viatris shareholder giving those proxies. If the proxy is returned without an indication as to how the shares of Viatris </w:t>
      </w:r>
    </w:p>
    <w:tbl>
      <w:tblPr>
        <w:tblW w:w="5055" w:type="dxa"/>
        <w:jc w:val="left"/>
        <w:tblInd w:w="1060" w:type="dxa"/>
        <w:tblLayout w:type="fixed"/>
        <w:tblCellMar>
          <w:top w:w="0" w:type="dxa"/>
          <w:left w:w="0" w:type="dxa"/>
          <w:bottom w:w="0" w:type="dxa"/>
          <w:right w:w="0" w:type="dxa"/>
        </w:tblCellMar>
      </w:tblPr>
      <w:tblGrid>
        <w:gridCol w:w="2130"/>
        <w:gridCol w:w="170"/>
        <w:gridCol w:w="170"/>
        <w:gridCol w:w="2585"/>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292"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59" descr=""/>
                          <pic:cNvPicPr>
                            <a:picLocks noChangeAspect="1" noChangeArrowheads="1"/>
                          </pic:cNvPicPr>
                        </pic:nvPicPr>
                        <pic:blipFill>
                          <a:blip r:embed="rId277"/>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Statement | A-3</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293"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60" descr=""/>
                    <pic:cNvPicPr>
                      <a:picLocks noChangeAspect="1" noChangeArrowheads="1"/>
                    </pic:cNvPicPr>
                  </pic:nvPicPr>
                  <pic:blipFill>
                    <a:blip r:embed="rId278"/>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91" w:name="ny20055082x771_def14a_300-appa_pg4"/>
        <w:bookmarkEnd w:id="19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left"/>
        <w:rPr>
          <w:caps/>
          <w:color w:val="1F1C6B"/>
          <w:u w:val="single"/>
        </w:rPr>
      </w:pPr>
      <w:r>
        <w:rPr>
          <w:caps/>
          <w:color w:val="1F1C6B"/>
          <w:u w:val="single"/>
        </w:rPr>
        <w:t> </w:t>
      </w:r>
      <w:r>
        <w:rPr>
          <w:rFonts w:ascii="Arial;Helvetica;sans-serif" w:hAnsi="Arial;Helvetica;sans-serif"/>
          <w:caps/>
          <w:color w:val="1F1C6B"/>
          <w:sz w:val="18"/>
          <w:u w:val="single"/>
        </w:rPr>
        <w:t>Appendix A — Questions and Answers  </w:t>
      </w:r>
    </w:p>
    <w:p>
      <w:pPr>
        <w:pStyle w:val="TextBody"/>
        <w:bidi w:val="0"/>
        <w:spacing w:before="120" w:after="283"/>
        <w:ind w:left="1460" w:right="0" w:hanging="0"/>
        <w:jc w:val="left"/>
        <w:rPr>
          <w:rFonts w:ascii="Arial;Helvetica;sans-serif" w:hAnsi="Arial;Helvetica;sans-serif"/>
          <w:color w:val="636466"/>
          <w:sz w:val="18"/>
        </w:rPr>
      </w:pPr>
      <w:r>
        <w:rPr>
          <w:rFonts w:ascii="Arial;Helvetica;sans-serif" w:hAnsi="Arial;Helvetica;sans-serif"/>
          <w:color w:val="636466"/>
          <w:sz w:val="18"/>
        </w:rPr>
        <w:t xml:space="preserve">common stock represented are to be voted with respect to one or more items (and without expressly indicating to abstain), the shares of Viatris common stock represented by the proxy will be voted in accordance with the recommendation of the Viatris Board, as described in the Proxy Statement. </w:t>
      </w:r>
    </w:p>
    <w:tbl>
      <w:tblPr>
        <w:tblW w:w="9145" w:type="dxa"/>
        <w:jc w:val="left"/>
        <w:tblInd w:w="1060" w:type="dxa"/>
        <w:tblLayout w:type="fixed"/>
        <w:tblCellMar>
          <w:top w:w="0" w:type="dxa"/>
          <w:left w:w="0" w:type="dxa"/>
          <w:bottom w:w="0" w:type="dxa"/>
          <w:right w:w="0" w:type="dxa"/>
        </w:tblCellMar>
      </w:tblPr>
      <w:tblGrid>
        <w:gridCol w:w="203"/>
        <w:gridCol w:w="8942"/>
      </w:tblGrid>
      <w:tr>
        <w:trPr/>
        <w:tc>
          <w:tcPr>
            <w:tcW w:w="203"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8942"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How do I vote if I am a participant in the Mylan Profit Sharing 401(k) Plan or the Viatris Pharmaceuticals LLC Profit Sharing Employee Savings Plan (formerly the Pfizer Pharmaceuticals LLC Profit Sharing Employee Savings Plan), and continue to hold shares of Viatris common stock in my plan account? </w:t>
            </w:r>
          </w:p>
        </w:tc>
      </w:tr>
    </w:tbl>
    <w:tbl>
      <w:tblPr>
        <w:tblW w:w="9145" w:type="dxa"/>
        <w:jc w:val="left"/>
        <w:tblInd w:w="1060" w:type="dxa"/>
        <w:tblLayout w:type="fixed"/>
        <w:tblCellMar>
          <w:top w:w="0" w:type="dxa"/>
          <w:left w:w="0" w:type="dxa"/>
          <w:bottom w:w="0" w:type="dxa"/>
          <w:right w:w="0" w:type="dxa"/>
        </w:tblCellMar>
      </w:tblPr>
      <w:tblGrid>
        <w:gridCol w:w="177"/>
        <w:gridCol w:w="8968"/>
      </w:tblGrid>
      <w:tr>
        <w:trPr/>
        <w:tc>
          <w:tcPr>
            <w:tcW w:w="177"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A:</w:t>
            </w:r>
          </w:p>
        </w:tc>
        <w:tc>
          <w:tcPr>
            <w:tcW w:w="8968"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Participants in the Mylan Profit Sharing 401(k) Plan or the Viatris Pharmaceuticals LLC Profit Sharing Employee Savings Plan and who continue to hold Viatris common stock in their plan accounts will receive voting instructions for their shares of Viatris common stock held in those plans. In order to have the trustee vote your shares as you direct, you must timely furnish your voting instructions. To allow sufficient time for voting by the relevant trustees, your voting instructions must be received by December 3, 2025 at 8:00 a.m. Eastern Time. </w:t>
            </w:r>
          </w:p>
        </w:tc>
      </w:tr>
    </w:tbl>
    <w:p>
      <w:pPr>
        <w:pStyle w:val="Normal"/>
        <w:bidi w:val="0"/>
        <w:spacing w:before="0" w:after="0"/>
        <w:ind w:left="1060" w:right="0" w:hanging="0"/>
        <w:jc w:val="left"/>
        <w:rPr>
          <w:sz w:val="4"/>
          <w:szCs w:val="4"/>
        </w:rPr>
      </w:pPr>
      <w:r>
        <w:rPr>
          <w:sz w:val="4"/>
          <w:szCs w:val="4"/>
        </w:rPr>
      </w:r>
      <w:bookmarkStart w:id="192" w:name="tHDI"/>
      <w:bookmarkStart w:id="193" w:name="tHDI"/>
      <w:bookmarkEnd w:id="193"/>
    </w:p>
    <w:tbl>
      <w:tblPr>
        <w:tblW w:w="9145" w:type="dxa"/>
        <w:jc w:val="left"/>
        <w:tblInd w:w="1060" w:type="dxa"/>
        <w:tblLayout w:type="fixed"/>
        <w:tblCellMar>
          <w:top w:w="0" w:type="dxa"/>
          <w:left w:w="0" w:type="dxa"/>
          <w:bottom w:w="0" w:type="dxa"/>
          <w:right w:w="0" w:type="dxa"/>
        </w:tblCellMar>
      </w:tblPr>
      <w:tblGrid>
        <w:gridCol w:w="244"/>
        <w:gridCol w:w="8901"/>
      </w:tblGrid>
      <w:tr>
        <w:trPr/>
        <w:tc>
          <w:tcPr>
            <w:tcW w:w="244"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8901"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How do I vote if I am a beneficial owner of shares of Viatris common stock and hold them in street name? </w:t>
            </w:r>
          </w:p>
        </w:tc>
      </w:tr>
    </w:tbl>
    <w:tbl>
      <w:tblPr>
        <w:tblW w:w="9145" w:type="dxa"/>
        <w:jc w:val="left"/>
        <w:tblInd w:w="1060" w:type="dxa"/>
        <w:tblLayout w:type="fixed"/>
        <w:tblCellMar>
          <w:top w:w="0" w:type="dxa"/>
          <w:left w:w="0" w:type="dxa"/>
          <w:bottom w:w="0" w:type="dxa"/>
          <w:right w:w="0" w:type="dxa"/>
        </w:tblCellMar>
      </w:tblPr>
      <w:tblGrid>
        <w:gridCol w:w="177"/>
        <w:gridCol w:w="8968"/>
      </w:tblGrid>
      <w:tr>
        <w:trPr/>
        <w:tc>
          <w:tcPr>
            <w:tcW w:w="177"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A:</w:t>
            </w:r>
          </w:p>
        </w:tc>
        <w:tc>
          <w:tcPr>
            <w:tcW w:w="8968"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If you are a beneficial owner of Viatris common stock and hold your shares in street name, you may also vote through a voting instruction form over the Internet by following the instructions provided in the Internet Notice or, if you requested to receive printed proxy materials, the relevant institution will send you instructions describing the procedure for instructing the institution how to vote the shares of Viatris common stock you beneficially own. Please comply with the deadlines included in the voting instructions provided by your broker, bank, trust company or other nominee.</w:t>
            </w:r>
          </w:p>
        </w:tc>
      </w:tr>
    </w:tbl>
    <w:p>
      <w:pPr>
        <w:pStyle w:val="TextBody"/>
        <w:bidi w:val="0"/>
        <w:spacing w:before="240" w:after="283"/>
        <w:ind w:left="1460" w:right="0" w:hanging="0"/>
        <w:jc w:val="left"/>
        <w:rPr>
          <w:rFonts w:ascii="Arial;Helvetica;sans-serif" w:hAnsi="Arial;Helvetica;sans-serif"/>
          <w:color w:val="636466"/>
          <w:sz w:val="18"/>
        </w:rPr>
      </w:pPr>
      <w:r>
        <w:rPr>
          <w:rFonts w:ascii="Arial;Helvetica;sans-serif" w:hAnsi="Arial;Helvetica;sans-serif"/>
          <w:color w:val="636466"/>
          <w:sz w:val="18"/>
        </w:rPr>
        <w:t xml:space="preserve">If you are a beneficial owner of Viatris common stock and hold your shares in street name, plan to attend the 2025 Annual Meeting, and wish to vote in person, you will be given a ballot at the 2025 Annual Meeting. Please note, however, that you must bring to the 2025 Annual Meeting a legal proxy executed in your favor from the registered shareholder of the underlying shares on the Record Date (through your broker, bank, trust company or other nominee) authorizing you to vote at the 2025 Annual Meeting. You must also provide proof of ownership, such as a recent account statement or letter from your brokerage firm, bank nominee or other institution proving ownership on the Record Date. In addition, if you plan to attend the 2025 Annual Meeting, please be prepared to provide proper identification, such as a valid driver’s license or passport. </w:t>
      </w:r>
    </w:p>
    <w:p>
      <w:pPr>
        <w:pStyle w:val="TextBody"/>
        <w:bidi w:val="0"/>
        <w:spacing w:before="240" w:after="283"/>
        <w:ind w:left="1460" w:right="0" w:hanging="0"/>
        <w:jc w:val="left"/>
        <w:rPr>
          <w:rFonts w:ascii="Arial;Helvetica;sans-serif" w:hAnsi="Arial;Helvetica;sans-serif"/>
          <w:color w:val="636466"/>
          <w:sz w:val="18"/>
        </w:rPr>
      </w:pPr>
      <w:r>
        <w:rPr>
          <w:rFonts w:ascii="Arial;Helvetica;sans-serif" w:hAnsi="Arial;Helvetica;sans-serif"/>
          <w:color w:val="636466"/>
          <w:sz w:val="18"/>
        </w:rPr>
        <w:t xml:space="preserve">If you are a beneficial owner of shares of Viatris common stock and hold your shares in street name, see </w:t>
      </w:r>
      <w:r>
        <w:rPr>
          <w:rFonts w:ascii="Arial;Helvetica;sans-serif" w:hAnsi="Arial;Helvetica;sans-serif"/>
          <w:color w:val="8A58A0"/>
          <w:sz w:val="18"/>
        </w:rPr>
        <w:t>“If my shares are held in street name by my broker, will my broker automatically vote my shares for me?”</w:t>
      </w:r>
      <w:r>
        <w:rPr>
          <w:rFonts w:ascii="Arial;Helvetica;sans-serif" w:hAnsi="Arial;Helvetica;sans-serif"/>
          <w:color w:val="636466"/>
          <w:sz w:val="18"/>
        </w:rPr>
        <w:t xml:space="preserve"> below for more information on giving instructions to your broker, bank, trust company or other nominee. </w:t>
      </w:r>
    </w:p>
    <w:p>
      <w:pPr>
        <w:pStyle w:val="TextBody"/>
        <w:bidi w:val="0"/>
        <w:spacing w:before="240" w:after="283"/>
        <w:ind w:left="1460" w:right="0" w:hanging="0"/>
        <w:jc w:val="left"/>
        <w:rPr>
          <w:rFonts w:ascii="Arial;Helvetica;sans-serif" w:hAnsi="Arial;Helvetica;sans-serif"/>
          <w:color w:val="636466"/>
          <w:sz w:val="18"/>
        </w:rPr>
      </w:pPr>
      <w:r>
        <w:rPr>
          <w:rFonts w:ascii="Arial;Helvetica;sans-serif" w:hAnsi="Arial;Helvetica;sans-serif"/>
          <w:color w:val="636466"/>
          <w:sz w:val="18"/>
        </w:rPr>
        <w:t xml:space="preserve">See the Internet Notice and Notice of 2025 Annual Meeting of Shareholders above for additional information about how to vote. </w:t>
      </w:r>
    </w:p>
    <w:tbl>
      <w:tblPr>
        <w:tblW w:w="9145" w:type="dxa"/>
        <w:jc w:val="left"/>
        <w:tblInd w:w="1060" w:type="dxa"/>
        <w:tblLayout w:type="fixed"/>
        <w:tblCellMar>
          <w:top w:w="0" w:type="dxa"/>
          <w:left w:w="0" w:type="dxa"/>
          <w:bottom w:w="0" w:type="dxa"/>
          <w:right w:w="0" w:type="dxa"/>
        </w:tblCellMar>
      </w:tblPr>
      <w:tblGrid>
        <w:gridCol w:w="244"/>
        <w:gridCol w:w="8901"/>
      </w:tblGrid>
      <w:tr>
        <w:trPr/>
        <w:tc>
          <w:tcPr>
            <w:tcW w:w="244"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8901"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If my shares are held in street name by my broker, will my broker automatically vote my shares for me? </w:t>
            </w:r>
          </w:p>
        </w:tc>
      </w:tr>
    </w:tbl>
    <w:tbl>
      <w:tblPr>
        <w:tblW w:w="9145" w:type="dxa"/>
        <w:jc w:val="left"/>
        <w:tblInd w:w="1060" w:type="dxa"/>
        <w:tblLayout w:type="fixed"/>
        <w:tblCellMar>
          <w:top w:w="0" w:type="dxa"/>
          <w:left w:w="0" w:type="dxa"/>
          <w:bottom w:w="0" w:type="dxa"/>
          <w:right w:w="0" w:type="dxa"/>
        </w:tblCellMar>
      </w:tblPr>
      <w:tblGrid>
        <w:gridCol w:w="175"/>
        <w:gridCol w:w="8970"/>
      </w:tblGrid>
      <w:tr>
        <w:trPr/>
        <w:tc>
          <w:tcPr>
            <w:tcW w:w="17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A:</w:t>
            </w:r>
          </w:p>
        </w:tc>
        <w:tc>
          <w:tcPr>
            <w:tcW w:w="8970"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If you are a beneficial owner of Viatris common stock and hold your shares in street name, your broker, bank, trust company or other nominee cannot vote your shares on non-routine matters without instructions from you. All of the items to be voted on at the 2025 Annual Meeting other than the ratification of the selection of Deloitte as Viatris’ independent registered public accounting firm for fiscal year 2025 are considered non-routine matters. You should instruct your broker, bank, trust company or other nominee as to how to vote your shares of Viatris common stock, following the directions from your broker, bank, trust company or other nominee provided to you. Please check the voting form used by your broker, bank, trust company or other nominee. </w:t>
            </w:r>
          </w:p>
        </w:tc>
      </w:tr>
    </w:tbl>
    <w:p>
      <w:pPr>
        <w:pStyle w:val="TextBody"/>
        <w:bidi w:val="0"/>
        <w:spacing w:before="240" w:after="283"/>
        <w:ind w:left="1460" w:right="0" w:hanging="0"/>
        <w:jc w:val="left"/>
        <w:rPr>
          <w:rFonts w:ascii="Arial;Helvetica;sans-serif" w:hAnsi="Arial;Helvetica;sans-serif"/>
          <w:color w:val="636466"/>
          <w:sz w:val="18"/>
        </w:rPr>
      </w:pPr>
      <w:r>
        <w:rPr>
          <w:rFonts w:ascii="Arial;Helvetica;sans-serif" w:hAnsi="Arial;Helvetica;sans-serif"/>
          <w:color w:val="636466"/>
          <w:sz w:val="18"/>
        </w:rPr>
        <w:t xml:space="preserve">If you do not give instructions to your broker, bank, trust company or other nominee, (i) your shares will not be voted on any proposal on which the broker does not have discretionary authority to vote (a so-called “broker non-vote”) but (ii) the broker, bank, trust company or other nominee will nevertheless be entitled to vote your shares of common stock in its discretion on routine matters and may give or authorize the giving of a proxy to vote such shares in its discretion on such matters. </w:t>
      </w:r>
    </w:p>
    <w:tbl>
      <w:tblPr>
        <w:tblW w:w="5055" w:type="dxa"/>
        <w:jc w:val="left"/>
        <w:tblInd w:w="1060" w:type="dxa"/>
        <w:tblLayout w:type="fixed"/>
        <w:tblCellMar>
          <w:top w:w="0" w:type="dxa"/>
          <w:left w:w="0" w:type="dxa"/>
          <w:bottom w:w="0" w:type="dxa"/>
          <w:right w:w="0" w:type="dxa"/>
        </w:tblCellMar>
      </w:tblPr>
      <w:tblGrid>
        <w:gridCol w:w="2555"/>
        <w:gridCol w:w="170"/>
        <w:gridCol w:w="170"/>
        <w:gridCol w:w="2160"/>
      </w:tblGrid>
      <w:tr>
        <w:trPr/>
        <w:tc>
          <w:tcPr>
            <w:tcW w:w="25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555"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A-4 | 2025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294"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61" descr=""/>
                          <pic:cNvPicPr>
                            <a:picLocks noChangeAspect="1" noChangeArrowheads="1"/>
                          </pic:cNvPicPr>
                        </pic:nvPicPr>
                        <pic:blipFill>
                          <a:blip r:embed="rId279"/>
                          <a:stretch>
                            <a:fillRect/>
                          </a:stretch>
                        </pic:blipFill>
                        <pic:spPr bwMode="auto">
                          <a:xfrm>
                            <a:off x="0" y="0"/>
                            <a:ext cx="1323975" cy="352425"/>
                          </a:xfrm>
                          <a:prstGeom prst="rect">
                            <a:avLst/>
                          </a:prstGeom>
                        </pic:spPr>
                      </pic:pic>
                    </a:graphicData>
                  </a:graphic>
                </wp:inline>
              </w:drawing>
            </w:r>
          </w:p>
        </w:tc>
      </w:tr>
      <w:tr>
        <w:trPr/>
        <w:tc>
          <w:tcPr>
            <w:tcW w:w="25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295"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62" descr=""/>
                    <pic:cNvPicPr>
                      <a:picLocks noChangeAspect="1" noChangeArrowheads="1"/>
                    </pic:cNvPicPr>
                  </pic:nvPicPr>
                  <pic:blipFill>
                    <a:blip r:embed="rId280"/>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94" w:name="ny20055082x771_def14a_300-appa_pg5"/>
        <w:bookmarkEnd w:id="19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right"/>
        <w:rPr>
          <w:caps/>
          <w:color w:val="1F1C6B"/>
          <w:u w:val="single"/>
        </w:rPr>
      </w:pPr>
      <w:r>
        <w:rPr>
          <w:caps/>
          <w:color w:val="1F1C6B"/>
          <w:u w:val="single"/>
        </w:rPr>
        <w:t> </w:t>
      </w:r>
      <w:r>
        <w:rPr>
          <w:rFonts w:ascii="Arial;Helvetica;sans-serif" w:hAnsi="Arial;Helvetica;sans-serif"/>
          <w:caps/>
          <w:color w:val="1F1C6B"/>
          <w:sz w:val="18"/>
          <w:u w:val="single"/>
        </w:rPr>
        <w:t>Appendix A — Questions and Answers  </w:t>
      </w:r>
    </w:p>
    <w:p>
      <w:pPr>
        <w:pStyle w:val="TextBody"/>
        <w:bidi w:val="0"/>
        <w:spacing w:before="120" w:after="283"/>
        <w:ind w:left="1460" w:right="0" w:hanging="0"/>
        <w:jc w:val="left"/>
        <w:rPr>
          <w:rFonts w:ascii="Arial;Helvetica;sans-serif" w:hAnsi="Arial;Helvetica;sans-serif"/>
          <w:color w:val="636466"/>
          <w:sz w:val="18"/>
        </w:rPr>
      </w:pPr>
      <w:r>
        <w:rPr>
          <w:rFonts w:ascii="Arial;Helvetica;sans-serif" w:hAnsi="Arial;Helvetica;sans-serif"/>
          <w:color w:val="636466"/>
          <w:sz w:val="18"/>
        </w:rPr>
        <w:t xml:space="preserve">As discussed above, beneficial owners of Viatris common stock held through a broker, bank, trust company or other nominee may not vote the underlying shares at the 2025 Annual Meeting unless they first obtain (where appropriate, through the relevant broker, bank, trust company or other nominee) a signed proxy card from the relevant registered shareholder on the Record Date of the underlying shares of common stock. </w:t>
      </w:r>
    </w:p>
    <w:tbl>
      <w:tblPr>
        <w:tblW w:w="7405" w:type="dxa"/>
        <w:jc w:val="left"/>
        <w:tblInd w:w="1060" w:type="dxa"/>
        <w:tblLayout w:type="fixed"/>
        <w:tblCellMar>
          <w:top w:w="0" w:type="dxa"/>
          <w:left w:w="0" w:type="dxa"/>
          <w:bottom w:w="0" w:type="dxa"/>
          <w:right w:w="0" w:type="dxa"/>
        </w:tblCellMar>
      </w:tblPr>
      <w:tblGrid>
        <w:gridCol w:w="245"/>
        <w:gridCol w:w="7160"/>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7160"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May I change my vote or revoke my proxy or voting instructions after I have voted?</w:t>
            </w:r>
          </w:p>
        </w:tc>
      </w:tr>
    </w:tbl>
    <w:tbl>
      <w:tblPr>
        <w:tblW w:w="9145" w:type="dxa"/>
        <w:jc w:val="left"/>
        <w:tblInd w:w="1060" w:type="dxa"/>
        <w:tblLayout w:type="fixed"/>
        <w:tblCellMar>
          <w:top w:w="0" w:type="dxa"/>
          <w:left w:w="0" w:type="dxa"/>
          <w:bottom w:w="0" w:type="dxa"/>
          <w:right w:w="0" w:type="dxa"/>
        </w:tblCellMar>
      </w:tblPr>
      <w:tblGrid>
        <w:gridCol w:w="176"/>
        <w:gridCol w:w="8969"/>
      </w:tblGrid>
      <w:tr>
        <w:trPr/>
        <w:tc>
          <w:tcPr>
            <w:tcW w:w="176"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A:</w:t>
            </w:r>
          </w:p>
        </w:tc>
        <w:tc>
          <w:tcPr>
            <w:tcW w:w="8969"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Yes. If you are a registered shareholder, you may change your vote of your shares of Viatris common stock or revoke your proxy at any time prior to the Cut-Off Time. You can do this by submitting a new proxy at a later date (but prior to the Cut-Off Time) via the Internet, by telephone, or by mail following the instructions provided in the Internet Notice or, if requested, the proxy card. Alternatively, you may give notice of your attendance at the 2025 Annual Meeting (prior to the Cut-Off Time in the manner described above) and vote in person. You may also revoke your proxy by sending a written statement prior to the Cut-Off Time revoking your proxy to Viatris’ Corporate Address to the attention of Viatris’ Corporate Secretary. </w:t>
            </w:r>
          </w:p>
        </w:tc>
      </w:tr>
    </w:tbl>
    <w:p>
      <w:pPr>
        <w:pStyle w:val="TextBody"/>
        <w:bidi w:val="0"/>
        <w:spacing w:before="240" w:after="283"/>
        <w:ind w:left="1460" w:right="0" w:hanging="0"/>
        <w:jc w:val="left"/>
        <w:rPr>
          <w:rFonts w:ascii="Arial;Helvetica;sans-serif" w:hAnsi="Arial;Helvetica;sans-serif"/>
          <w:color w:val="636466"/>
          <w:sz w:val="18"/>
        </w:rPr>
      </w:pPr>
      <w:r>
        <w:rPr>
          <w:rFonts w:ascii="Arial;Helvetica;sans-serif" w:hAnsi="Arial;Helvetica;sans-serif"/>
          <w:color w:val="636466"/>
          <w:sz w:val="18"/>
        </w:rPr>
        <w:t xml:space="preserve">If your shares are held through and/or in street name by your broker, bank, trust company or other nominee, you should contact your broker, bank, trust company or other nominee to change your vote or revoke your voting instructions. </w:t>
      </w:r>
    </w:p>
    <w:tbl>
      <w:tblPr>
        <w:tblW w:w="8500" w:type="dxa"/>
        <w:jc w:val="left"/>
        <w:tblInd w:w="1060" w:type="dxa"/>
        <w:tblLayout w:type="fixed"/>
        <w:tblCellMar>
          <w:top w:w="0" w:type="dxa"/>
          <w:left w:w="0" w:type="dxa"/>
          <w:bottom w:w="0" w:type="dxa"/>
          <w:right w:w="0" w:type="dxa"/>
        </w:tblCellMar>
      </w:tblPr>
      <w:tblGrid>
        <w:gridCol w:w="245"/>
        <w:gridCol w:w="8255"/>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825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What happens if I transfer my shares of Viatris common stock before the 2025 Annual Meeting? </w:t>
            </w:r>
          </w:p>
        </w:tc>
      </w:tr>
    </w:tbl>
    <w:tbl>
      <w:tblPr>
        <w:tblW w:w="9145" w:type="dxa"/>
        <w:jc w:val="left"/>
        <w:tblInd w:w="1060" w:type="dxa"/>
        <w:tblLayout w:type="fixed"/>
        <w:tblCellMar>
          <w:top w:w="0" w:type="dxa"/>
          <w:left w:w="0" w:type="dxa"/>
          <w:bottom w:w="0" w:type="dxa"/>
          <w:right w:w="0" w:type="dxa"/>
        </w:tblCellMar>
      </w:tblPr>
      <w:tblGrid>
        <w:gridCol w:w="189"/>
        <w:gridCol w:w="8956"/>
      </w:tblGrid>
      <w:tr>
        <w:trPr/>
        <w:tc>
          <w:tcPr>
            <w:tcW w:w="189"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A:</w:t>
            </w:r>
          </w:p>
        </w:tc>
        <w:tc>
          <w:tcPr>
            <w:tcW w:w="8956"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The Record Date for the 2025 Annual Meeting is earlier than the date of the 2025 Annual Meeting. If you transfer your shares of Viatris common stock after the Record Date, you will retain your right to attend and vote at the 2025 Annual Meeting. </w:t>
            </w:r>
          </w:p>
        </w:tc>
      </w:tr>
    </w:tbl>
    <w:tbl>
      <w:tblPr>
        <w:tblW w:w="2530" w:type="dxa"/>
        <w:jc w:val="left"/>
        <w:tblInd w:w="106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228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Who tabulates the votes? </w:t>
            </w:r>
          </w:p>
        </w:tc>
      </w:tr>
    </w:tbl>
    <w:tbl>
      <w:tblPr>
        <w:tblW w:w="9145" w:type="dxa"/>
        <w:jc w:val="left"/>
        <w:tblInd w:w="1060" w:type="dxa"/>
        <w:tblLayout w:type="fixed"/>
        <w:tblCellMar>
          <w:top w:w="0" w:type="dxa"/>
          <w:left w:w="0" w:type="dxa"/>
          <w:bottom w:w="0" w:type="dxa"/>
          <w:right w:w="0" w:type="dxa"/>
        </w:tblCellMar>
      </w:tblPr>
      <w:tblGrid>
        <w:gridCol w:w="189"/>
        <w:gridCol w:w="8956"/>
      </w:tblGrid>
      <w:tr>
        <w:trPr/>
        <w:tc>
          <w:tcPr>
            <w:tcW w:w="189"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A:</w:t>
            </w:r>
          </w:p>
        </w:tc>
        <w:tc>
          <w:tcPr>
            <w:tcW w:w="8956"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The inspector of election will, among other matters, determine the number of shares represented at the 2025 Annual Meeting to confirm the presence of a quorum, determine the validity of all proxies and ballots and certify the voting results.</w:t>
            </w:r>
          </w:p>
        </w:tc>
      </w:tr>
    </w:tbl>
    <w:tbl>
      <w:tblPr>
        <w:tblW w:w="5725" w:type="dxa"/>
        <w:jc w:val="left"/>
        <w:tblInd w:w="1060" w:type="dxa"/>
        <w:tblLayout w:type="fixed"/>
        <w:tblCellMar>
          <w:top w:w="0" w:type="dxa"/>
          <w:left w:w="0" w:type="dxa"/>
          <w:bottom w:w="0" w:type="dxa"/>
          <w:right w:w="0" w:type="dxa"/>
        </w:tblCellMar>
      </w:tblPr>
      <w:tblGrid>
        <w:gridCol w:w="245"/>
        <w:gridCol w:w="5480"/>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5480"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Where can I find the voting results of the 2025 Annual Meeting? </w:t>
            </w:r>
          </w:p>
        </w:tc>
      </w:tr>
    </w:tbl>
    <w:tbl>
      <w:tblPr>
        <w:tblW w:w="9145" w:type="dxa"/>
        <w:jc w:val="left"/>
        <w:tblInd w:w="1060" w:type="dxa"/>
        <w:tblLayout w:type="fixed"/>
        <w:tblCellMar>
          <w:top w:w="0" w:type="dxa"/>
          <w:left w:w="0" w:type="dxa"/>
          <w:bottom w:w="0" w:type="dxa"/>
          <w:right w:w="0" w:type="dxa"/>
        </w:tblCellMar>
      </w:tblPr>
      <w:tblGrid>
        <w:gridCol w:w="187"/>
        <w:gridCol w:w="8958"/>
      </w:tblGrid>
      <w:tr>
        <w:trPr/>
        <w:tc>
          <w:tcPr>
            <w:tcW w:w="187"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A:</w:t>
            </w:r>
          </w:p>
        </w:tc>
        <w:tc>
          <w:tcPr>
            <w:tcW w:w="8958"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Viatris expects to announce the preliminary voting results at the 2025 Annual Meeting. In addition, within four business days following certification of the final voting results, Viatris intends to report the final voting results in a Current Report on Form 8-K filed with the SEC. </w:t>
            </w:r>
          </w:p>
        </w:tc>
      </w:tr>
    </w:tbl>
    <w:tbl>
      <w:tblPr>
        <w:tblW w:w="4375" w:type="dxa"/>
        <w:jc w:val="left"/>
        <w:tblInd w:w="1060" w:type="dxa"/>
        <w:tblLayout w:type="fixed"/>
        <w:tblCellMar>
          <w:top w:w="0" w:type="dxa"/>
          <w:left w:w="0" w:type="dxa"/>
          <w:bottom w:w="0" w:type="dxa"/>
          <w:right w:w="0" w:type="dxa"/>
        </w:tblCellMar>
      </w:tblPr>
      <w:tblGrid>
        <w:gridCol w:w="245"/>
        <w:gridCol w:w="4130"/>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4130"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How are proxies solicited and what is the cost? </w:t>
            </w:r>
          </w:p>
        </w:tc>
      </w:tr>
    </w:tbl>
    <w:tbl>
      <w:tblPr>
        <w:tblW w:w="9145" w:type="dxa"/>
        <w:jc w:val="left"/>
        <w:tblInd w:w="1060" w:type="dxa"/>
        <w:tblLayout w:type="fixed"/>
        <w:tblCellMar>
          <w:top w:w="0" w:type="dxa"/>
          <w:left w:w="0" w:type="dxa"/>
          <w:bottom w:w="0" w:type="dxa"/>
          <w:right w:w="0" w:type="dxa"/>
        </w:tblCellMar>
      </w:tblPr>
      <w:tblGrid>
        <w:gridCol w:w="175"/>
        <w:gridCol w:w="8970"/>
      </w:tblGrid>
      <w:tr>
        <w:trPr/>
        <w:tc>
          <w:tcPr>
            <w:tcW w:w="17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A:</w:t>
            </w:r>
          </w:p>
        </w:tc>
        <w:tc>
          <w:tcPr>
            <w:tcW w:w="8970"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Viatris will bear all expenses incurred in connection with the solicitation of proxies, including the costs associated with the filing, printing and publication of the Proxy Statement. Viatris has retained Innisfree M&amp;A Incorporated to assist in its solicitation of proxies and has agreed to pay them a fee of approximately $25,000, plus reasonable expenses, for these services. Viatris will reimburse brokerage firms, bank nominees and other institutions for their costs in forwarding proxy materials to beneficial owners of Viatris common stock. Our Directors, officers and employees, some of whom may be considered participants in the solicitation, may also solicit proxies by mail, telephone or personal contact without additional remuneration. </w:t>
            </w:r>
          </w:p>
        </w:tc>
      </w:tr>
    </w:tbl>
    <w:tbl>
      <w:tblPr>
        <w:tblW w:w="2290" w:type="dxa"/>
        <w:jc w:val="left"/>
        <w:tblInd w:w="1060" w:type="dxa"/>
        <w:tblLayout w:type="fixed"/>
        <w:tblCellMar>
          <w:top w:w="0" w:type="dxa"/>
          <w:left w:w="0" w:type="dxa"/>
          <w:bottom w:w="0" w:type="dxa"/>
          <w:right w:w="0" w:type="dxa"/>
        </w:tblCellMar>
      </w:tblPr>
      <w:tblGrid>
        <w:gridCol w:w="245"/>
        <w:gridCol w:w="2045"/>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20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What is householding? </w:t>
            </w:r>
          </w:p>
        </w:tc>
      </w:tr>
    </w:tbl>
    <w:tbl>
      <w:tblPr>
        <w:tblW w:w="9145" w:type="dxa"/>
        <w:jc w:val="left"/>
        <w:tblInd w:w="1060" w:type="dxa"/>
        <w:tblLayout w:type="fixed"/>
        <w:tblCellMar>
          <w:top w:w="0" w:type="dxa"/>
          <w:left w:w="0" w:type="dxa"/>
          <w:bottom w:w="0" w:type="dxa"/>
          <w:right w:w="0" w:type="dxa"/>
        </w:tblCellMar>
      </w:tblPr>
      <w:tblGrid>
        <w:gridCol w:w="175"/>
        <w:gridCol w:w="8970"/>
      </w:tblGrid>
      <w:tr>
        <w:trPr/>
        <w:tc>
          <w:tcPr>
            <w:tcW w:w="17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A:</w:t>
            </w:r>
          </w:p>
        </w:tc>
        <w:tc>
          <w:tcPr>
            <w:tcW w:w="8970"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We have adopted a procedure called “householding”, which the SEC has approved. Under this procedure, we are sending only one copy of the Internet Notice and, if applicable, the proxy materials, to that address unless we have received contrary instructions from any shareholder at that address. This practice is designed to reduce printing and postage costs. However, if any shareholder residing at such an address wishes to receive a separate copy of the Internet Notice and, if applicable, the proxy materials, Viatris will promptly deliver, upon oral or written request, a separate copy of the Internet Notice and, if applicable, the proxy materials to any shareholder residing at an address to which only one copy was mailed. If you would like to request additional copies of the Internet Notice and, if applicable, the proxy materials (or in the future would like to receive </w:t>
            </w:r>
          </w:p>
        </w:tc>
      </w:tr>
    </w:tbl>
    <w:tbl>
      <w:tblPr>
        <w:tblW w:w="5055" w:type="dxa"/>
        <w:jc w:val="left"/>
        <w:tblInd w:w="1060" w:type="dxa"/>
        <w:tblLayout w:type="fixed"/>
        <w:tblCellMar>
          <w:top w:w="0" w:type="dxa"/>
          <w:left w:w="0" w:type="dxa"/>
          <w:bottom w:w="0" w:type="dxa"/>
          <w:right w:w="0" w:type="dxa"/>
        </w:tblCellMar>
      </w:tblPr>
      <w:tblGrid>
        <w:gridCol w:w="2130"/>
        <w:gridCol w:w="170"/>
        <w:gridCol w:w="170"/>
        <w:gridCol w:w="2585"/>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296"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63" descr=""/>
                          <pic:cNvPicPr>
                            <a:picLocks noChangeAspect="1" noChangeArrowheads="1"/>
                          </pic:cNvPicPr>
                        </pic:nvPicPr>
                        <pic:blipFill>
                          <a:blip r:embed="rId281"/>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Statement | A-5</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297"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64" descr=""/>
                    <pic:cNvPicPr>
                      <a:picLocks noChangeAspect="1" noChangeArrowheads="1"/>
                    </pic:cNvPicPr>
                  </pic:nvPicPr>
                  <pic:blipFill>
                    <a:blip r:embed="rId282"/>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95" w:name="ny20055082x771_def14a_300-appa_pg6"/>
        <w:bookmarkEnd w:id="19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left"/>
        <w:rPr>
          <w:caps/>
          <w:color w:val="1F1C6B"/>
          <w:u w:val="single"/>
        </w:rPr>
      </w:pPr>
      <w:r>
        <w:rPr>
          <w:caps/>
          <w:color w:val="1F1C6B"/>
          <w:u w:val="single"/>
        </w:rPr>
        <w:t> </w:t>
      </w:r>
      <w:r>
        <w:rPr>
          <w:rFonts w:ascii="Arial;Helvetica;sans-serif" w:hAnsi="Arial;Helvetica;sans-serif"/>
          <w:caps/>
          <w:color w:val="1F1C6B"/>
          <w:sz w:val="18"/>
          <w:u w:val="single"/>
        </w:rPr>
        <w:t>Appendix A — Questions and Answers  </w:t>
      </w:r>
    </w:p>
    <w:p>
      <w:pPr>
        <w:pStyle w:val="TextBody"/>
        <w:bidi w:val="0"/>
        <w:spacing w:before="120" w:after="283"/>
        <w:ind w:left="1460" w:right="0" w:hanging="0"/>
        <w:jc w:val="left"/>
        <w:rPr>
          <w:rFonts w:ascii="Arial;Helvetica;sans-serif" w:hAnsi="Arial;Helvetica;sans-serif"/>
          <w:color w:val="636466"/>
          <w:sz w:val="18"/>
        </w:rPr>
      </w:pPr>
      <w:r>
        <w:rPr>
          <w:rFonts w:ascii="Arial;Helvetica;sans-serif" w:hAnsi="Arial;Helvetica;sans-serif"/>
          <w:color w:val="636466"/>
          <w:sz w:val="18"/>
        </w:rPr>
        <w:t xml:space="preserve">separate copies) or if you are receiving multiple copies and would like to request that only a single copy be mailed in the future, you can request householding by contacting the Corporate Secretary as described under </w:t>
      </w:r>
      <w:r>
        <w:rPr>
          <w:rFonts w:ascii="Arial;Helvetica;sans-serif" w:hAnsi="Arial;Helvetica;sans-serif"/>
          <w:color w:val="8A58A0"/>
          <w:sz w:val="18"/>
        </w:rPr>
        <w:t xml:space="preserve">“How may I communicate with Viatris’ Directors?” </w:t>
      </w:r>
      <w:r>
        <w:rPr>
          <w:rFonts w:ascii="Arial;Helvetica;sans-serif" w:hAnsi="Arial;Helvetica;sans-serif"/>
          <w:color w:val="636466"/>
          <w:sz w:val="18"/>
        </w:rPr>
        <w:t xml:space="preserve">below. </w:t>
      </w:r>
    </w:p>
    <w:tbl>
      <w:tblPr>
        <w:tblW w:w="4465" w:type="dxa"/>
        <w:jc w:val="left"/>
        <w:tblInd w:w="1060" w:type="dxa"/>
        <w:tblLayout w:type="fixed"/>
        <w:tblCellMar>
          <w:top w:w="0" w:type="dxa"/>
          <w:left w:w="0" w:type="dxa"/>
          <w:bottom w:w="0" w:type="dxa"/>
          <w:right w:w="0" w:type="dxa"/>
        </w:tblCellMar>
      </w:tblPr>
      <w:tblGrid>
        <w:gridCol w:w="245"/>
        <w:gridCol w:w="4220"/>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4220"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How may I communicate with Viatris’ Directors? </w:t>
            </w:r>
          </w:p>
        </w:tc>
      </w:tr>
    </w:tbl>
    <w:tbl>
      <w:tblPr>
        <w:tblW w:w="9145" w:type="dxa"/>
        <w:jc w:val="left"/>
        <w:tblInd w:w="1060" w:type="dxa"/>
        <w:tblLayout w:type="fixed"/>
        <w:tblCellMar>
          <w:top w:w="0" w:type="dxa"/>
          <w:left w:w="0" w:type="dxa"/>
          <w:bottom w:w="0" w:type="dxa"/>
          <w:right w:w="0" w:type="dxa"/>
        </w:tblCellMar>
      </w:tblPr>
      <w:tblGrid>
        <w:gridCol w:w="191"/>
        <w:gridCol w:w="8954"/>
      </w:tblGrid>
      <w:tr>
        <w:trPr/>
        <w:tc>
          <w:tcPr>
            <w:tcW w:w="191"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A:</w:t>
            </w:r>
          </w:p>
        </w:tc>
        <w:tc>
          <w:tcPr>
            <w:tcW w:w="8954"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Viatris’ Board has established a process for any interested parties to contact the Board, or the independent Directors as a group or any other group or committee of Directors, by writing to them at the following address: </w:t>
            </w:r>
          </w:p>
        </w:tc>
      </w:tr>
    </w:tbl>
    <w:p>
      <w:pPr>
        <w:pStyle w:val="TextBody"/>
        <w:bidi w:val="0"/>
        <w:spacing w:before="310" w:after="283"/>
        <w:ind w:left="1060" w:right="0" w:hanging="0"/>
        <w:jc w:val="center"/>
        <w:rPr>
          <w:rFonts w:ascii="Arial;Helvetica;sans-serif" w:hAnsi="Arial;Helvetica;sans-serif"/>
          <w:color w:val="636466"/>
          <w:sz w:val="18"/>
        </w:rPr>
      </w:pPr>
      <w:r>
        <w:rPr>
          <w:rFonts w:ascii="Arial;Helvetica;sans-serif" w:hAnsi="Arial;Helvetica;sans-serif"/>
          <w:color w:val="636466"/>
          <w:sz w:val="18"/>
        </w:rPr>
        <w:t xml:space="preserve">Viatris Inc. </w:t>
      </w:r>
    </w:p>
    <w:p>
      <w:pPr>
        <w:pStyle w:val="TextBody"/>
        <w:bidi w:val="0"/>
        <w:spacing w:before="0" w:after="283"/>
        <w:jc w:val="center"/>
        <w:rPr>
          <w:rFonts w:ascii="Arial;Helvetica;sans-serif" w:hAnsi="Arial;Helvetica;sans-serif"/>
          <w:color w:val="636466"/>
          <w:sz w:val="18"/>
        </w:rPr>
      </w:pPr>
      <w:r>
        <w:rPr>
          <w:rFonts w:ascii="Arial;Helvetica;sans-serif" w:hAnsi="Arial;Helvetica;sans-serif"/>
          <w:color w:val="636466"/>
          <w:sz w:val="18"/>
        </w:rPr>
        <w:t xml:space="preserve">Corporate Secretary </w:t>
      </w:r>
    </w:p>
    <w:p>
      <w:pPr>
        <w:pStyle w:val="TextBody"/>
        <w:bidi w:val="0"/>
        <w:spacing w:before="0" w:after="283"/>
        <w:jc w:val="center"/>
        <w:rPr>
          <w:rFonts w:ascii="Arial;Helvetica;sans-serif" w:hAnsi="Arial;Helvetica;sans-serif"/>
          <w:color w:val="636466"/>
          <w:sz w:val="18"/>
        </w:rPr>
      </w:pPr>
      <w:r>
        <w:rPr>
          <w:rFonts w:ascii="Arial;Helvetica;sans-serif" w:hAnsi="Arial;Helvetica;sans-serif"/>
          <w:color w:val="636466"/>
          <w:sz w:val="18"/>
        </w:rPr>
        <w:t xml:space="preserve">1000 Mylan Boulevard </w:t>
      </w:r>
    </w:p>
    <w:p>
      <w:pPr>
        <w:pStyle w:val="TextBody"/>
        <w:bidi w:val="0"/>
        <w:spacing w:before="0" w:after="283"/>
        <w:jc w:val="center"/>
        <w:rPr>
          <w:rFonts w:ascii="Arial;Helvetica;sans-serif" w:hAnsi="Arial;Helvetica;sans-serif"/>
          <w:color w:val="636466"/>
          <w:sz w:val="18"/>
        </w:rPr>
      </w:pPr>
      <w:r>
        <w:rPr>
          <w:rFonts w:ascii="Arial;Helvetica;sans-serif" w:hAnsi="Arial;Helvetica;sans-serif"/>
          <w:color w:val="636466"/>
          <w:sz w:val="18"/>
        </w:rPr>
        <w:t xml:space="preserve">Canonsburg, PA 15317 </w:t>
      </w:r>
    </w:p>
    <w:p>
      <w:pPr>
        <w:pStyle w:val="TextBody"/>
        <w:bidi w:val="0"/>
        <w:spacing w:before="0" w:after="283"/>
        <w:jc w:val="center"/>
        <w:rPr>
          <w:rFonts w:ascii="Arial;Helvetica;sans-serif" w:hAnsi="Arial;Helvetica;sans-serif"/>
          <w:color w:val="636466"/>
          <w:sz w:val="18"/>
        </w:rPr>
      </w:pPr>
      <w:r>
        <w:rPr>
          <w:rFonts w:ascii="Arial;Helvetica;sans-serif" w:hAnsi="Arial;Helvetica;sans-serif"/>
          <w:color w:val="636466"/>
          <w:sz w:val="18"/>
        </w:rPr>
        <w:t xml:space="preserve">Corporate Secretary – CorporateSecretary@Viatris.com </w:t>
      </w:r>
    </w:p>
    <w:p>
      <w:pPr>
        <w:pStyle w:val="TextBody"/>
        <w:bidi w:val="0"/>
        <w:spacing w:before="0" w:after="283"/>
        <w:jc w:val="center"/>
        <w:rPr>
          <w:rFonts w:ascii="Arial;Helvetica;sans-serif" w:hAnsi="Arial;Helvetica;sans-serif"/>
          <w:color w:val="636466"/>
          <w:sz w:val="18"/>
        </w:rPr>
      </w:pPr>
      <w:r>
        <w:rPr>
          <w:rFonts w:ascii="Arial;Helvetica;sans-serif" w:hAnsi="Arial;Helvetica;sans-serif"/>
          <w:color w:val="636466"/>
          <w:sz w:val="18"/>
        </w:rPr>
        <w:t xml:space="preserve">Phone: 724.514.1800 </w:t>
      </w:r>
    </w:p>
    <w:p>
      <w:pPr>
        <w:pStyle w:val="TextBody"/>
        <w:bidi w:val="0"/>
        <w:spacing w:before="240" w:after="283"/>
        <w:ind w:left="1460" w:right="0" w:hanging="0"/>
        <w:jc w:val="left"/>
        <w:rPr>
          <w:rFonts w:ascii="Arial;Helvetica;sans-serif" w:hAnsi="Arial;Helvetica;sans-serif"/>
          <w:color w:val="636466"/>
          <w:sz w:val="18"/>
        </w:rPr>
      </w:pPr>
      <w:r>
        <w:rPr>
          <w:rFonts w:ascii="Arial;Helvetica;sans-serif" w:hAnsi="Arial;Helvetica;sans-serif"/>
          <w:color w:val="636466"/>
          <w:sz w:val="18"/>
        </w:rPr>
        <w:t xml:space="preserve">Communications regarding accounting, internal accounting controls or auditing matters may be reported to our Directors using AuditCommitteeChair@Viatris.com. All communications received as set forth above shall be opened by the office of the Corporate Secretary for the purpose of determining whether the contents represent an appropriate message to the Company’s Directors. Materials that are not in the nature of advertising, solicitations, or promotions of a product or service or patently offensive shall be forwarded to the Chair of the Board and as appropriate to each Director who is a member of the group or committee to which the envelope is addressed. </w:t>
      </w:r>
    </w:p>
    <w:tbl>
      <w:tblPr>
        <w:tblW w:w="9145" w:type="dxa"/>
        <w:jc w:val="left"/>
        <w:tblInd w:w="1060" w:type="dxa"/>
        <w:tblLayout w:type="fixed"/>
        <w:tblCellMar>
          <w:top w:w="0" w:type="dxa"/>
          <w:left w:w="0" w:type="dxa"/>
          <w:bottom w:w="0" w:type="dxa"/>
          <w:right w:w="0" w:type="dxa"/>
        </w:tblCellMar>
      </w:tblPr>
      <w:tblGrid>
        <w:gridCol w:w="241"/>
        <w:gridCol w:w="8904"/>
      </w:tblGrid>
      <w:tr>
        <w:trPr/>
        <w:tc>
          <w:tcPr>
            <w:tcW w:w="241"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8904"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Could matters other than those stated in the notice of the meeting be considered at the 2025 Annual Meeting? </w:t>
            </w:r>
          </w:p>
        </w:tc>
      </w:tr>
    </w:tbl>
    <w:tbl>
      <w:tblPr>
        <w:tblW w:w="9145" w:type="dxa"/>
        <w:jc w:val="left"/>
        <w:tblInd w:w="1060" w:type="dxa"/>
        <w:tblLayout w:type="fixed"/>
        <w:tblCellMar>
          <w:top w:w="0" w:type="dxa"/>
          <w:left w:w="0" w:type="dxa"/>
          <w:bottom w:w="0" w:type="dxa"/>
          <w:right w:w="0" w:type="dxa"/>
        </w:tblCellMar>
      </w:tblPr>
      <w:tblGrid>
        <w:gridCol w:w="185"/>
        <w:gridCol w:w="8960"/>
      </w:tblGrid>
      <w:tr>
        <w:trPr/>
        <w:tc>
          <w:tcPr>
            <w:tcW w:w="18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A:</w:t>
            </w:r>
          </w:p>
        </w:tc>
        <w:tc>
          <w:tcPr>
            <w:tcW w:w="8960"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The Board is not aware of any matters that are expected to come before the 2025 Annual Meeting other than those referred to in this Proxy Statement. If other business is properly brought before the meeting, the accompanying proxy will be voted in accordance with the judgment of the proxy holders. </w:t>
            </w:r>
          </w:p>
        </w:tc>
      </w:tr>
    </w:tbl>
    <w:tbl>
      <w:tblPr>
        <w:tblW w:w="9055" w:type="dxa"/>
        <w:jc w:val="left"/>
        <w:tblInd w:w="1060" w:type="dxa"/>
        <w:tblLayout w:type="fixed"/>
        <w:tblCellMar>
          <w:top w:w="0" w:type="dxa"/>
          <w:left w:w="0" w:type="dxa"/>
          <w:bottom w:w="0" w:type="dxa"/>
          <w:right w:w="0" w:type="dxa"/>
        </w:tblCellMar>
      </w:tblPr>
      <w:tblGrid>
        <w:gridCol w:w="245"/>
        <w:gridCol w:w="8810"/>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8810"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What is the deadline to propose actions for consideration at the 2026 annual meeting of shareholders? </w:t>
            </w:r>
          </w:p>
        </w:tc>
      </w:tr>
    </w:tbl>
    <w:tbl>
      <w:tblPr>
        <w:tblW w:w="9145" w:type="dxa"/>
        <w:jc w:val="left"/>
        <w:tblInd w:w="1060" w:type="dxa"/>
        <w:tblLayout w:type="fixed"/>
        <w:tblCellMar>
          <w:top w:w="0" w:type="dxa"/>
          <w:left w:w="0" w:type="dxa"/>
          <w:bottom w:w="0" w:type="dxa"/>
          <w:right w:w="0" w:type="dxa"/>
        </w:tblCellMar>
      </w:tblPr>
      <w:tblGrid>
        <w:gridCol w:w="175"/>
        <w:gridCol w:w="8970"/>
      </w:tblGrid>
      <w:tr>
        <w:trPr/>
        <w:tc>
          <w:tcPr>
            <w:tcW w:w="17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A:</w:t>
            </w:r>
          </w:p>
        </w:tc>
        <w:tc>
          <w:tcPr>
            <w:tcW w:w="8970"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Viatris will hold its 2026 annual meeting of stockholders on May 15, 2026. Pursuant to U.S. federal securities laws, if a shareholder wishes to have a proposal included in Viatris’ Proxy Statement for the 2026 annual meeting of shareholders, then the shareholder must follow the procedures outlined in Rule 14a-8 of the Exchange Act. If you wish to submit a proposal intended to be presented at the 2026 annual meeting pursuant to Rule 14a-8, your proposal must be received by us at our principal executive offices (1000 Mylan Boulevard, Canonsburg, PA 15317) no later than November 24, 2025, and must otherwise comply with the requirements of Rule 14a-8 to be considered for inclusion in the 2026 proxy statement and form of proxy. </w:t>
            </w:r>
          </w:p>
        </w:tc>
      </w:tr>
    </w:tbl>
    <w:p>
      <w:pPr>
        <w:pStyle w:val="TextBody"/>
        <w:bidi w:val="0"/>
        <w:spacing w:before="240" w:after="283"/>
        <w:ind w:left="1460" w:right="0" w:hanging="0"/>
        <w:jc w:val="left"/>
        <w:rPr>
          <w:rFonts w:ascii="Arial;Helvetica;sans-serif" w:hAnsi="Arial;Helvetica;sans-serif"/>
          <w:color w:val="636466"/>
          <w:sz w:val="18"/>
        </w:rPr>
      </w:pPr>
      <w:r>
        <w:rPr>
          <w:rFonts w:ascii="Arial;Helvetica;sans-serif" w:hAnsi="Arial;Helvetica;sans-serif"/>
          <w:color w:val="636466"/>
          <w:sz w:val="18"/>
        </w:rPr>
        <w:t xml:space="preserve">Under our proxy access bylaw, if a shareholder (or a group of no more than 20 shareholders) who has owned at least 3% of the voting power of the outstanding shares of all classes of capital stock entitled to vote in the election of Directors, voting together as a single class, continuously for at least three years immediately preceding the date of the notice of proxy access nomination and has otherwise complied with the requirements set forth in our Bylaws wants us to include Director nominees (up to the greater of two nominees or 20% of the Board) in our proxy statement for the 2026 annual meeting of shareholders, the nominations must be delivered to or be mailed and received by the Corporate Secretary at the principal executive offices of the Company not less than 120 days nor more than 150 days in advance of the anniversary of the date that the Company first distributed its proxy statement to shareholders for the previous year’s annual meeting of shareholders, provided, however, that in the event the date of the annual meeting is more than 30 days before or more than 60 days after the first anniversary of the preceding year’s annual meeting, the nominations must be so delivered to or be mailed and received by the Corporate Secretary not earlier than the close of business (5:00 p.m. Eastern Time) on the 150th day prior to the date of such annual meeting and not later than the close of business (5:00 p.m. Eastern Time) on the later of </w:t>
      </w:r>
    </w:p>
    <w:tbl>
      <w:tblPr>
        <w:tblW w:w="5055" w:type="dxa"/>
        <w:jc w:val="left"/>
        <w:tblInd w:w="1060" w:type="dxa"/>
        <w:tblLayout w:type="fixed"/>
        <w:tblCellMar>
          <w:top w:w="0" w:type="dxa"/>
          <w:left w:w="0" w:type="dxa"/>
          <w:bottom w:w="0" w:type="dxa"/>
          <w:right w:w="0" w:type="dxa"/>
        </w:tblCellMar>
      </w:tblPr>
      <w:tblGrid>
        <w:gridCol w:w="2555"/>
        <w:gridCol w:w="170"/>
        <w:gridCol w:w="170"/>
        <w:gridCol w:w="2160"/>
      </w:tblGrid>
      <w:tr>
        <w:trPr/>
        <w:tc>
          <w:tcPr>
            <w:tcW w:w="25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555"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A-6 | 2025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298"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65" descr=""/>
                          <pic:cNvPicPr>
                            <a:picLocks noChangeAspect="1" noChangeArrowheads="1"/>
                          </pic:cNvPicPr>
                        </pic:nvPicPr>
                        <pic:blipFill>
                          <a:blip r:embed="rId283"/>
                          <a:stretch>
                            <a:fillRect/>
                          </a:stretch>
                        </pic:blipFill>
                        <pic:spPr bwMode="auto">
                          <a:xfrm>
                            <a:off x="0" y="0"/>
                            <a:ext cx="1323975" cy="352425"/>
                          </a:xfrm>
                          <a:prstGeom prst="rect">
                            <a:avLst/>
                          </a:prstGeom>
                        </pic:spPr>
                      </pic:pic>
                    </a:graphicData>
                  </a:graphic>
                </wp:inline>
              </w:drawing>
            </w:r>
          </w:p>
        </w:tc>
      </w:tr>
      <w:tr>
        <w:trPr/>
        <w:tc>
          <w:tcPr>
            <w:tcW w:w="25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299"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66" descr=""/>
                    <pic:cNvPicPr>
                      <a:picLocks noChangeAspect="1" noChangeArrowheads="1"/>
                    </pic:cNvPicPr>
                  </pic:nvPicPr>
                  <pic:blipFill>
                    <a:blip r:embed="rId284"/>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96" w:name="ny20055082x771_def14a_300-appa_pg7"/>
        <w:bookmarkEnd w:id="19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right"/>
        <w:rPr>
          <w:caps/>
          <w:color w:val="1F1C6B"/>
          <w:u w:val="single"/>
        </w:rPr>
      </w:pPr>
      <w:r>
        <w:rPr>
          <w:caps/>
          <w:color w:val="1F1C6B"/>
          <w:u w:val="single"/>
        </w:rPr>
        <w:t> </w:t>
      </w:r>
      <w:r>
        <w:rPr>
          <w:rFonts w:ascii="Arial;Helvetica;sans-serif" w:hAnsi="Arial;Helvetica;sans-serif"/>
          <w:caps/>
          <w:color w:val="1F1C6B"/>
          <w:sz w:val="18"/>
          <w:u w:val="single"/>
        </w:rPr>
        <w:t>Appendix A — Questions and Answers  </w:t>
      </w:r>
    </w:p>
    <w:p>
      <w:pPr>
        <w:pStyle w:val="TextBody"/>
        <w:bidi w:val="0"/>
        <w:spacing w:before="120" w:after="283"/>
        <w:ind w:left="1460" w:right="0" w:hanging="0"/>
        <w:jc w:val="left"/>
        <w:rPr>
          <w:rFonts w:ascii="Arial;Helvetica;sans-serif" w:hAnsi="Arial;Helvetica;sans-serif"/>
          <w:color w:val="636466"/>
          <w:sz w:val="18"/>
        </w:rPr>
      </w:pPr>
      <w:r>
        <w:rPr>
          <w:rFonts w:ascii="Arial;Helvetica;sans-serif" w:hAnsi="Arial;Helvetica;sans-serif"/>
          <w:color w:val="636466"/>
          <w:sz w:val="18"/>
        </w:rPr>
        <w:t xml:space="preserve">the 120th day prior to the date of such annual meeting or the 10th day following the day on which public announcement of the date of such meeting is first made by the Company (which would be no earlier than December 16, 2025 and no later than January 15, 2026). </w:t>
      </w:r>
    </w:p>
    <w:p>
      <w:pPr>
        <w:pStyle w:val="TextBody"/>
        <w:bidi w:val="0"/>
        <w:spacing w:before="240" w:after="283"/>
        <w:ind w:left="1460" w:right="0" w:hanging="0"/>
        <w:jc w:val="left"/>
        <w:rPr>
          <w:rFonts w:ascii="Arial;Helvetica;sans-serif" w:hAnsi="Arial;Helvetica;sans-serif"/>
          <w:color w:val="636466"/>
          <w:sz w:val="18"/>
        </w:rPr>
      </w:pPr>
      <w:r>
        <w:rPr>
          <w:rFonts w:ascii="Arial;Helvetica;sans-serif" w:hAnsi="Arial;Helvetica;sans-serif"/>
          <w:color w:val="636466"/>
          <w:sz w:val="18"/>
        </w:rPr>
        <w:t xml:space="preserve">In addition, for any nominations or any other business that is not to be included in our proxy statement to be properly brought before an annual meeting of shareholders, the shareholder must give timely notice in writing to the Corporate Secretary and comply with the requirements set forth in our Bylaws and such other business must otherwise be a proper matter for shareholder action. To be timely, a shareholder’s notice must be delivered to the Corporate Secretary at the principal executive offices of the Company not earlier than the close of business (5:00 p.m. Eastern Time) on the 120th day and not later than the close of business (5:00 p.m. Eastern Time) on the 90th day prior to the first anniversary of the preceding year’s annual meeting, provided, however, that in the event that the date of the annual meeting is more than 30 days before or more than 60 days after such anniversary date, notice by the shareholder must be so delivered not earlier than the close of business (5:00 p.m. Eastern Time) on the 120th day prior to the date of such annual meeting and not later than the close of business (5:00 p.m. Eastern Time) on the later of the 90th day prior to the date of such annual meeting or, if the first public announcement of the date of such annual meeting is less than 100 days prior to the date of such annual meeting, the 10th day following the day on which public announcement of the date of such meeting is first made by the Company (which would be no earlier than January 15, 2026 and no later than February 14, 2026). </w:t>
      </w:r>
    </w:p>
    <w:p>
      <w:pPr>
        <w:pStyle w:val="TextBody"/>
        <w:bidi w:val="0"/>
        <w:spacing w:before="240" w:after="283"/>
        <w:ind w:left="1460" w:right="0" w:hanging="0"/>
        <w:jc w:val="left"/>
        <w:rPr>
          <w:rFonts w:ascii="Arial;Helvetica;sans-serif" w:hAnsi="Arial;Helvetica;sans-serif"/>
          <w:color w:val="636466"/>
          <w:sz w:val="18"/>
        </w:rPr>
      </w:pPr>
      <w:r>
        <w:rPr>
          <w:rFonts w:ascii="Arial;Helvetica;sans-serif" w:hAnsi="Arial;Helvetica;sans-serif"/>
          <w:color w:val="636466"/>
          <w:sz w:val="18"/>
        </w:rPr>
        <w:t xml:space="preserve">In addition to satisfying the requirements under our Bylaws, to comply with the universal proxy rules, shareholders who intend to solicit proxies in support of Director nominees other than the Company’s nominees must also provide notice that sets forth the information required by Rule 14a-19 under the Exchange Act no later than March 16, 2026. </w:t>
      </w:r>
    </w:p>
    <w:p>
      <w:pPr>
        <w:pStyle w:val="TextBody"/>
        <w:bidi w:val="0"/>
        <w:spacing w:before="310" w:after="283"/>
        <w:ind w:left="1460" w:right="0" w:hanging="0"/>
        <w:jc w:val="left"/>
        <w:rPr>
          <w:rFonts w:ascii="Arial;Helvetica;sans-serif" w:hAnsi="Arial;Helvetica;sans-serif"/>
          <w:color w:val="636466"/>
          <w:sz w:val="18"/>
        </w:rPr>
      </w:pPr>
      <w:r>
        <w:rPr>
          <w:rFonts w:ascii="Arial;Helvetica;sans-serif" w:hAnsi="Arial;Helvetica;sans-serif"/>
          <w:color w:val="636466"/>
          <w:sz w:val="18"/>
        </w:rPr>
        <w:t xml:space="preserve">The Bylaws are available on our website at https://www.viatris.com/en/About-Us/Corporate-Governance. </w:t>
      </w:r>
    </w:p>
    <w:p>
      <w:pPr>
        <w:pStyle w:val="Normal"/>
        <w:bidi w:val="0"/>
        <w:spacing w:before="0" w:after="0"/>
        <w:jc w:val="left"/>
        <w:rPr>
          <w:sz w:val="4"/>
          <w:szCs w:val="4"/>
        </w:rPr>
      </w:pPr>
      <w:r>
        <w:rPr>
          <w:sz w:val="4"/>
          <w:szCs w:val="4"/>
        </w:rPr>
      </w:r>
      <w:bookmarkStart w:id="197" w:name="tHRC"/>
      <w:bookmarkStart w:id="198" w:name="tHRC"/>
      <w:bookmarkEnd w:id="198"/>
    </w:p>
    <w:tbl>
      <w:tblPr>
        <w:tblW w:w="6010" w:type="dxa"/>
        <w:jc w:val="left"/>
        <w:tblInd w:w="1060" w:type="dxa"/>
        <w:tblLayout w:type="fixed"/>
        <w:tblCellMar>
          <w:top w:w="0" w:type="dxa"/>
          <w:left w:w="0" w:type="dxa"/>
          <w:bottom w:w="0" w:type="dxa"/>
          <w:right w:w="0" w:type="dxa"/>
        </w:tblCellMar>
      </w:tblPr>
      <w:tblGrid>
        <w:gridCol w:w="245"/>
        <w:gridCol w:w="5765"/>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576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How do I recommend a candidate for nomination to Viatris’ Board? </w:t>
            </w:r>
          </w:p>
        </w:tc>
      </w:tr>
    </w:tbl>
    <w:tbl>
      <w:tblPr>
        <w:tblW w:w="9145" w:type="dxa"/>
        <w:jc w:val="left"/>
        <w:tblInd w:w="1060" w:type="dxa"/>
        <w:tblLayout w:type="fixed"/>
        <w:tblCellMar>
          <w:top w:w="0" w:type="dxa"/>
          <w:left w:w="0" w:type="dxa"/>
          <w:bottom w:w="0" w:type="dxa"/>
          <w:right w:w="0" w:type="dxa"/>
        </w:tblCellMar>
      </w:tblPr>
      <w:tblGrid>
        <w:gridCol w:w="176"/>
        <w:gridCol w:w="8969"/>
      </w:tblGrid>
      <w:tr>
        <w:trPr/>
        <w:tc>
          <w:tcPr>
            <w:tcW w:w="176"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A:</w:t>
            </w:r>
          </w:p>
        </w:tc>
        <w:tc>
          <w:tcPr>
            <w:tcW w:w="8969"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The Governance and Sustainability Committee will consider for nomination to the Viatris Board potential Director candidates properly recommended by shareholders, subject to the discretion of the Board and to Viatris’ Amended and Restated Certificate of Incorporation and our Bylaws. In considering candidates recommended by shareholders, the Governance and Sustainability Committee will take into consideration, among other matters, the needs of the Board and Viatris and the qualifications of the candidate, including, among other things, those traits, abilities and experiences described above (Please see “How Our Directors Are Selected and Evaluated” on pages 34 to 35). </w:t>
            </w:r>
          </w:p>
        </w:tc>
      </w:tr>
    </w:tbl>
    <w:p>
      <w:pPr>
        <w:pStyle w:val="TextBody"/>
        <w:bidi w:val="0"/>
        <w:spacing w:before="240" w:after="283"/>
        <w:ind w:left="1460" w:right="0" w:hanging="0"/>
        <w:jc w:val="left"/>
        <w:rPr>
          <w:rFonts w:ascii="Arial;Helvetica;sans-serif" w:hAnsi="Arial;Helvetica;sans-serif"/>
          <w:color w:val="636466"/>
          <w:sz w:val="18"/>
        </w:rPr>
      </w:pPr>
      <w:r>
        <w:rPr>
          <w:rFonts w:ascii="Arial;Helvetica;sans-serif" w:hAnsi="Arial;Helvetica;sans-serif"/>
          <w:color w:val="636466"/>
          <w:sz w:val="18"/>
        </w:rPr>
        <w:t xml:space="preserve">Any submission to the Governance and Sustainability Committee of a recommended candidate for consideration must include, among other information, the name of the recommending shareholder and evidence of such person’s ownership of Viatris shares, and the name of the recommended candidate, their resume or a statement of their principal occupation or employment, and the recommended candidate’s signed consent to be named as a Director if recommended by the Governance and Sustainability Committee and nominated by the Board. Any shareholder recommendations for Director must be sent to Viatris’ Corporate Secretary not later than 120 days prior to the anniversary date of Viatris’ most recent annual meeting of shareholders, provided that in the event the date of the annual meeting is more than 30 days before or more than 60 days after such anniversary date, any shareholder recommendations must be sent to Viatris’ Corporate Secretary not later than the 120th day prior to the date of such annual meeting (which would be January 15, 2026) at the following address: </w:t>
      </w:r>
    </w:p>
    <w:p>
      <w:pPr>
        <w:pStyle w:val="TextBody"/>
        <w:bidi w:val="0"/>
        <w:spacing w:before="310" w:after="283"/>
        <w:jc w:val="center"/>
        <w:rPr>
          <w:rFonts w:ascii="Arial;Helvetica;sans-serif" w:hAnsi="Arial;Helvetica;sans-serif"/>
          <w:color w:val="636466"/>
          <w:sz w:val="18"/>
        </w:rPr>
      </w:pPr>
      <w:r>
        <w:rPr>
          <w:rFonts w:ascii="Arial;Helvetica;sans-serif" w:hAnsi="Arial;Helvetica;sans-serif"/>
          <w:color w:val="636466"/>
          <w:sz w:val="18"/>
        </w:rPr>
        <w:t xml:space="preserve">Viatris Inc. </w:t>
      </w:r>
    </w:p>
    <w:p>
      <w:pPr>
        <w:pStyle w:val="TextBody"/>
        <w:bidi w:val="0"/>
        <w:spacing w:before="0" w:after="283"/>
        <w:jc w:val="center"/>
        <w:rPr>
          <w:rFonts w:ascii="Arial;Helvetica;sans-serif" w:hAnsi="Arial;Helvetica;sans-serif"/>
          <w:color w:val="636466"/>
          <w:sz w:val="18"/>
        </w:rPr>
      </w:pPr>
      <w:r>
        <w:rPr>
          <w:rFonts w:ascii="Arial;Helvetica;sans-serif" w:hAnsi="Arial;Helvetica;sans-serif"/>
          <w:color w:val="636466"/>
          <w:sz w:val="18"/>
        </w:rPr>
        <w:t xml:space="preserve">Corporate Secretary </w:t>
      </w:r>
    </w:p>
    <w:p>
      <w:pPr>
        <w:pStyle w:val="TextBody"/>
        <w:bidi w:val="0"/>
        <w:spacing w:before="0" w:after="283"/>
        <w:jc w:val="center"/>
        <w:rPr>
          <w:rFonts w:ascii="Arial;Helvetica;sans-serif" w:hAnsi="Arial;Helvetica;sans-serif"/>
          <w:color w:val="636466"/>
          <w:sz w:val="18"/>
        </w:rPr>
      </w:pPr>
      <w:r>
        <w:rPr>
          <w:rFonts w:ascii="Arial;Helvetica;sans-serif" w:hAnsi="Arial;Helvetica;sans-serif"/>
          <w:color w:val="636466"/>
          <w:sz w:val="18"/>
        </w:rPr>
        <w:t xml:space="preserve">1000 Mylan Boulevard </w:t>
      </w:r>
    </w:p>
    <w:p>
      <w:pPr>
        <w:pStyle w:val="TextBody"/>
        <w:bidi w:val="0"/>
        <w:spacing w:before="0" w:after="283"/>
        <w:jc w:val="center"/>
        <w:rPr>
          <w:rFonts w:ascii="Arial;Helvetica;sans-serif" w:hAnsi="Arial;Helvetica;sans-serif"/>
          <w:color w:val="636466"/>
          <w:sz w:val="18"/>
        </w:rPr>
      </w:pPr>
      <w:r>
        <w:rPr>
          <w:rFonts w:ascii="Arial;Helvetica;sans-serif" w:hAnsi="Arial;Helvetica;sans-serif"/>
          <w:color w:val="636466"/>
          <w:sz w:val="18"/>
        </w:rPr>
        <w:t xml:space="preserve">Canonsburg, PA 15317 </w:t>
      </w:r>
    </w:p>
    <w:p>
      <w:pPr>
        <w:pStyle w:val="TextBody"/>
        <w:bidi w:val="0"/>
        <w:spacing w:before="240" w:after="283"/>
        <w:ind w:left="1460" w:right="0" w:hanging="0"/>
        <w:jc w:val="left"/>
        <w:rPr>
          <w:rFonts w:ascii="Arial;Helvetica;sans-serif" w:hAnsi="Arial;Helvetica;sans-serif"/>
          <w:color w:val="636466"/>
          <w:sz w:val="18"/>
        </w:rPr>
      </w:pPr>
      <w:r>
        <w:rPr>
          <w:rFonts w:ascii="Arial;Helvetica;sans-serif" w:hAnsi="Arial;Helvetica;sans-serif"/>
          <w:color w:val="636466"/>
          <w:sz w:val="18"/>
        </w:rPr>
        <w:t xml:space="preserve">Any shareholder nominations must be made according to the procedures set forth in our Bylaws (including via our proxy access bylaw) as described under </w:t>
      </w:r>
      <w:r>
        <w:rPr>
          <w:rFonts w:ascii="Arial;Helvetica;sans-serif" w:hAnsi="Arial;Helvetica;sans-serif"/>
          <w:color w:val="8A58A0"/>
          <w:sz w:val="18"/>
        </w:rPr>
        <w:t>“What is the deadline to propose actions for consideration at the 2026 annual meeting of shareholders?”</w:t>
      </w:r>
      <w:r>
        <w:rPr>
          <w:rFonts w:ascii="Arial;Helvetica;sans-serif" w:hAnsi="Arial;Helvetica;sans-serif"/>
          <w:color w:val="636466"/>
          <w:sz w:val="18"/>
        </w:rPr>
        <w:t xml:space="preserve"> above. </w:t>
      </w:r>
    </w:p>
    <w:tbl>
      <w:tblPr>
        <w:tblW w:w="5055" w:type="dxa"/>
        <w:jc w:val="left"/>
        <w:tblInd w:w="1060" w:type="dxa"/>
        <w:tblLayout w:type="fixed"/>
        <w:tblCellMar>
          <w:top w:w="0" w:type="dxa"/>
          <w:left w:w="0" w:type="dxa"/>
          <w:bottom w:w="0" w:type="dxa"/>
          <w:right w:w="0" w:type="dxa"/>
        </w:tblCellMar>
      </w:tblPr>
      <w:tblGrid>
        <w:gridCol w:w="2130"/>
        <w:gridCol w:w="170"/>
        <w:gridCol w:w="170"/>
        <w:gridCol w:w="2585"/>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300"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267" descr=""/>
                          <pic:cNvPicPr>
                            <a:picLocks noChangeAspect="1" noChangeArrowheads="1"/>
                          </pic:cNvPicPr>
                        </pic:nvPicPr>
                        <pic:blipFill>
                          <a:blip r:embed="rId285"/>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Statement | A-7</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301"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68" descr=""/>
                    <pic:cNvPicPr>
                      <a:picLocks noChangeAspect="1" noChangeArrowheads="1"/>
                    </pic:cNvPicPr>
                  </pic:nvPicPr>
                  <pic:blipFill>
                    <a:blip r:embed="rId286"/>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99" w:name="ny20055082x771_def14a_300-appa_pg8"/>
        <w:bookmarkEnd w:id="19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left"/>
        <w:rPr>
          <w:caps/>
          <w:color w:val="1F1C6B"/>
          <w:u w:val="single"/>
        </w:rPr>
      </w:pPr>
      <w:r>
        <w:rPr>
          <w:caps/>
          <w:color w:val="1F1C6B"/>
          <w:u w:val="single"/>
        </w:rPr>
        <w:t> </w:t>
      </w:r>
      <w:r>
        <w:rPr>
          <w:rFonts w:ascii="Arial;Helvetica;sans-serif" w:hAnsi="Arial;Helvetica;sans-serif"/>
          <w:caps/>
          <w:color w:val="1F1C6B"/>
          <w:sz w:val="18"/>
          <w:u w:val="single"/>
        </w:rPr>
        <w:t>Appendix A — Questions and Answers  </w:t>
      </w:r>
    </w:p>
    <w:tbl>
      <w:tblPr>
        <w:tblW w:w="7540" w:type="dxa"/>
        <w:jc w:val="left"/>
        <w:tblInd w:w="106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729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How do I inspect the list of shareholders entitled to vote at the 2025 Annual Meeting? </w:t>
            </w:r>
          </w:p>
        </w:tc>
      </w:tr>
    </w:tbl>
    <w:tbl>
      <w:tblPr>
        <w:tblW w:w="9145" w:type="dxa"/>
        <w:jc w:val="left"/>
        <w:tblInd w:w="1060" w:type="dxa"/>
        <w:tblLayout w:type="fixed"/>
        <w:tblCellMar>
          <w:top w:w="0" w:type="dxa"/>
          <w:left w:w="0" w:type="dxa"/>
          <w:bottom w:w="0" w:type="dxa"/>
          <w:right w:w="0" w:type="dxa"/>
        </w:tblCellMar>
      </w:tblPr>
      <w:tblGrid>
        <w:gridCol w:w="174"/>
        <w:gridCol w:w="8971"/>
      </w:tblGrid>
      <w:tr>
        <w:trPr/>
        <w:tc>
          <w:tcPr>
            <w:tcW w:w="174"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A:</w:t>
            </w:r>
          </w:p>
        </w:tc>
        <w:tc>
          <w:tcPr>
            <w:tcW w:w="8971"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A list of shareholders entitled to vote at the 2025 Annual Meeting will be available for inspection during ordinary business hours at the Corporate Address from November 25, 2025 to December 4, 2025. Please contact the Corporate Secretary by sending an email to corporatesecretary@viatris.com if you wish to inspect the list prior to the 2025 Annual Meeting. Please include (i) your name and (ii) if you are a beneficial owner of Viatris common stock, proof of ownership, such as a recent account statement or letter from a brokerage firm, bank nominee or other institution proving ownership on the Record Date. Upon verification of your status as a shareholder, you will receive confirmation of your request and instructions on how to view the list at the Corporate Address. </w:t>
            </w:r>
          </w:p>
        </w:tc>
      </w:tr>
    </w:tbl>
    <w:tbl>
      <w:tblPr>
        <w:tblW w:w="2575" w:type="dxa"/>
        <w:jc w:val="left"/>
        <w:tblInd w:w="1060" w:type="dxa"/>
        <w:tblLayout w:type="fixed"/>
        <w:tblCellMar>
          <w:top w:w="0" w:type="dxa"/>
          <w:left w:w="0" w:type="dxa"/>
          <w:bottom w:w="0" w:type="dxa"/>
          <w:right w:w="0" w:type="dxa"/>
        </w:tblCellMar>
      </w:tblPr>
      <w:tblGrid>
        <w:gridCol w:w="245"/>
        <w:gridCol w:w="2330"/>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2330"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What do I need to do now? </w:t>
            </w:r>
          </w:p>
        </w:tc>
      </w:tr>
    </w:tbl>
    <w:tbl>
      <w:tblPr>
        <w:tblW w:w="9145" w:type="dxa"/>
        <w:jc w:val="left"/>
        <w:tblInd w:w="1060" w:type="dxa"/>
        <w:tblLayout w:type="fixed"/>
        <w:tblCellMar>
          <w:top w:w="0" w:type="dxa"/>
          <w:left w:w="0" w:type="dxa"/>
          <w:bottom w:w="0" w:type="dxa"/>
          <w:right w:w="0" w:type="dxa"/>
        </w:tblCellMar>
      </w:tblPr>
      <w:tblGrid>
        <w:gridCol w:w="184"/>
        <w:gridCol w:w="8961"/>
      </w:tblGrid>
      <w:tr>
        <w:trPr/>
        <w:tc>
          <w:tcPr>
            <w:tcW w:w="184"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A:</w:t>
            </w:r>
          </w:p>
        </w:tc>
        <w:tc>
          <w:tcPr>
            <w:tcW w:w="8961"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Carefully read and consider the information contained in this Proxy Statement and vote your shares either in person or by following the instructions in the Internet Notice or, if you requested to receive printed proxy materials, pursuant to the instructions provided on the proxy card or voting instruction form, as applicable. </w:t>
            </w:r>
          </w:p>
        </w:tc>
      </w:tr>
    </w:tbl>
    <w:tbl>
      <w:tblPr>
        <w:tblW w:w="3445" w:type="dxa"/>
        <w:jc w:val="left"/>
        <w:tblInd w:w="1060" w:type="dxa"/>
        <w:tblLayout w:type="fixed"/>
        <w:tblCellMar>
          <w:top w:w="0" w:type="dxa"/>
          <w:left w:w="0" w:type="dxa"/>
          <w:bottom w:w="0" w:type="dxa"/>
          <w:right w:w="0" w:type="dxa"/>
        </w:tblCellMar>
      </w:tblPr>
      <w:tblGrid>
        <w:gridCol w:w="245"/>
        <w:gridCol w:w="3200"/>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3200"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Who can help answer my questions?</w:t>
            </w:r>
          </w:p>
        </w:tc>
      </w:tr>
    </w:tbl>
    <w:tbl>
      <w:tblPr>
        <w:tblW w:w="9145" w:type="dxa"/>
        <w:jc w:val="left"/>
        <w:tblInd w:w="1060" w:type="dxa"/>
        <w:tblLayout w:type="fixed"/>
        <w:tblCellMar>
          <w:top w:w="0" w:type="dxa"/>
          <w:left w:w="0" w:type="dxa"/>
          <w:bottom w:w="0" w:type="dxa"/>
          <w:right w:w="0" w:type="dxa"/>
        </w:tblCellMar>
      </w:tblPr>
      <w:tblGrid>
        <w:gridCol w:w="192"/>
        <w:gridCol w:w="8953"/>
      </w:tblGrid>
      <w:tr>
        <w:trPr/>
        <w:tc>
          <w:tcPr>
            <w:tcW w:w="192"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A:</w:t>
            </w:r>
          </w:p>
        </w:tc>
        <w:tc>
          <w:tcPr>
            <w:tcW w:w="8953"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If you have questions about the 2025 Annual Meeting, including the items to be voted on at the meeting, need assistance in voting, or if you desire copies of this Proxy Statement or proxy cards, you should contact: </w:t>
            </w:r>
          </w:p>
        </w:tc>
      </w:tr>
    </w:tbl>
    <w:p>
      <w:pPr>
        <w:pStyle w:val="TextBody"/>
        <w:bidi w:val="0"/>
        <w:spacing w:before="300" w:after="283"/>
        <w:ind w:left="1060" w:right="0" w:hanging="0"/>
        <w:jc w:val="center"/>
        <w:rPr>
          <w:rFonts w:ascii="Arial;Helvetica;sans-serif" w:hAnsi="Arial;Helvetica;sans-serif"/>
          <w:color w:val="636466"/>
          <w:sz w:val="18"/>
        </w:rPr>
      </w:pPr>
      <w:r>
        <w:rPr>
          <w:rFonts w:ascii="Arial;Helvetica;sans-serif" w:hAnsi="Arial;Helvetica;sans-serif"/>
          <w:color w:val="636466"/>
          <w:sz w:val="18"/>
        </w:rPr>
        <w:t xml:space="preserve">Innisfree M&amp;A Incorporated </w:t>
      </w:r>
    </w:p>
    <w:p>
      <w:pPr>
        <w:pStyle w:val="TextBody"/>
        <w:bidi w:val="0"/>
        <w:spacing w:before="0" w:after="283"/>
        <w:jc w:val="center"/>
        <w:rPr>
          <w:rFonts w:ascii="Arial;Helvetica;sans-serif" w:hAnsi="Arial;Helvetica;sans-serif"/>
          <w:color w:val="636466"/>
          <w:sz w:val="18"/>
        </w:rPr>
      </w:pPr>
      <w:r>
        <w:rPr>
          <w:rFonts w:ascii="Arial;Helvetica;sans-serif" w:hAnsi="Arial;Helvetica;sans-serif"/>
          <w:color w:val="636466"/>
          <w:sz w:val="18"/>
        </w:rPr>
        <w:t xml:space="preserve">501 Madison Avenue </w:t>
      </w:r>
    </w:p>
    <w:p>
      <w:pPr>
        <w:pStyle w:val="TextBody"/>
        <w:bidi w:val="0"/>
        <w:spacing w:before="0" w:after="283"/>
        <w:jc w:val="center"/>
        <w:rPr>
          <w:rFonts w:ascii="Arial;Helvetica;sans-serif" w:hAnsi="Arial;Helvetica;sans-serif"/>
          <w:color w:val="636466"/>
          <w:sz w:val="18"/>
        </w:rPr>
      </w:pPr>
      <w:r>
        <w:rPr>
          <w:rFonts w:ascii="Arial;Helvetica;sans-serif" w:hAnsi="Arial;Helvetica;sans-serif"/>
          <w:color w:val="636466"/>
          <w:sz w:val="18"/>
        </w:rPr>
        <w:t xml:space="preserve">New York, NY 10022 </w:t>
      </w:r>
    </w:p>
    <w:p>
      <w:pPr>
        <w:pStyle w:val="TextBody"/>
        <w:bidi w:val="0"/>
        <w:spacing w:before="0" w:after="283"/>
        <w:jc w:val="center"/>
        <w:rPr>
          <w:rFonts w:ascii="Arial;Helvetica;sans-serif" w:hAnsi="Arial;Helvetica;sans-serif"/>
          <w:color w:val="636466"/>
          <w:sz w:val="18"/>
        </w:rPr>
      </w:pPr>
      <w:r>
        <w:rPr>
          <w:rFonts w:ascii="Arial;Helvetica;sans-serif" w:hAnsi="Arial;Helvetica;sans-serif"/>
          <w:color w:val="636466"/>
          <w:sz w:val="18"/>
        </w:rPr>
        <w:t xml:space="preserve">+1 (877) 750-9499 (toll free) </w:t>
      </w:r>
    </w:p>
    <w:p>
      <w:pPr>
        <w:pStyle w:val="TextBody"/>
        <w:bidi w:val="0"/>
        <w:spacing w:before="0" w:after="283"/>
        <w:jc w:val="center"/>
        <w:rPr>
          <w:rFonts w:ascii="Arial;Helvetica;sans-serif" w:hAnsi="Arial;Helvetica;sans-serif"/>
          <w:color w:val="636466"/>
          <w:sz w:val="18"/>
        </w:rPr>
      </w:pPr>
      <w:r>
        <w:rPr>
          <w:rFonts w:ascii="Arial;Helvetica;sans-serif" w:hAnsi="Arial;Helvetica;sans-serif"/>
          <w:color w:val="636466"/>
          <w:sz w:val="18"/>
        </w:rPr>
        <w:t>+1 (212) 750-5833 (banks and brokers)</w:t>
      </w:r>
    </w:p>
    <w:tbl>
      <w:tblPr>
        <w:tblW w:w="5055" w:type="dxa"/>
        <w:jc w:val="left"/>
        <w:tblInd w:w="1060" w:type="dxa"/>
        <w:tblLayout w:type="fixed"/>
        <w:tblCellMar>
          <w:top w:w="0" w:type="dxa"/>
          <w:left w:w="0" w:type="dxa"/>
          <w:bottom w:w="0" w:type="dxa"/>
          <w:right w:w="0" w:type="dxa"/>
        </w:tblCellMar>
      </w:tblPr>
      <w:tblGrid>
        <w:gridCol w:w="2555"/>
        <w:gridCol w:w="170"/>
        <w:gridCol w:w="170"/>
        <w:gridCol w:w="2160"/>
      </w:tblGrid>
      <w:tr>
        <w:trPr/>
        <w:tc>
          <w:tcPr>
            <w:tcW w:w="25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555"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A-8 | 2025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302"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269" descr=""/>
                          <pic:cNvPicPr>
                            <a:picLocks noChangeAspect="1" noChangeArrowheads="1"/>
                          </pic:cNvPicPr>
                        </pic:nvPicPr>
                        <pic:blipFill>
                          <a:blip r:embed="rId287"/>
                          <a:stretch>
                            <a:fillRect/>
                          </a:stretch>
                        </pic:blipFill>
                        <pic:spPr bwMode="auto">
                          <a:xfrm>
                            <a:off x="0" y="0"/>
                            <a:ext cx="1323975" cy="352425"/>
                          </a:xfrm>
                          <a:prstGeom prst="rect">
                            <a:avLst/>
                          </a:prstGeom>
                        </pic:spPr>
                      </pic:pic>
                    </a:graphicData>
                  </a:graphic>
                </wp:inline>
              </w:drawing>
            </w:r>
          </w:p>
        </w:tc>
      </w:tr>
      <w:tr>
        <w:trPr/>
        <w:tc>
          <w:tcPr>
            <w:tcW w:w="25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303"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270" descr=""/>
                    <pic:cNvPicPr>
                      <a:picLocks noChangeAspect="1" noChangeArrowheads="1"/>
                    </pic:cNvPicPr>
                  </pic:nvPicPr>
                  <pic:blipFill>
                    <a:blip r:embed="rId288"/>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200" w:name="ny20055082x771_def14a_301-appb_pg1"/>
        <w:bookmarkEnd w:id="200"/>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1060" w:right="0" w:hanging="0"/>
        <w:jc w:val="left"/>
        <w:rPr>
          <w:color w:val="000000"/>
        </w:rPr>
      </w:pPr>
      <w:r>
        <w:rPr>
          <w:color w:val="000000"/>
        </w:rPr>
        <w:drawing>
          <wp:inline distT="0" distB="0" distL="0" distR="0">
            <wp:extent cx="685800" cy="190500"/>
            <wp:effectExtent l="0" t="0" r="0" b="0"/>
            <wp:docPr id="304"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271" descr=""/>
                    <pic:cNvPicPr>
                      <a:picLocks noChangeAspect="1" noChangeArrowheads="1"/>
                    </pic:cNvPicPr>
                  </pic:nvPicPr>
                  <pic:blipFill>
                    <a:blip r:embed="rId289"/>
                    <a:stretch>
                      <a:fillRect/>
                    </a:stretch>
                  </pic:blipFill>
                  <pic:spPr bwMode="auto">
                    <a:xfrm>
                      <a:off x="0" y="0"/>
                      <a:ext cx="685800" cy="190500"/>
                    </a:xfrm>
                    <a:prstGeom prst="rect">
                      <a:avLst/>
                    </a:prstGeom>
                  </pic:spPr>
                </pic:pic>
              </a:graphicData>
            </a:graphic>
          </wp:inline>
        </w:drawing>
      </w:r>
    </w:p>
    <w:p>
      <w:pPr>
        <w:pStyle w:val="TextBody"/>
        <w:bidi w:val="0"/>
        <w:spacing w:before="295" w:after="283"/>
        <w:ind w:left="1060" w:right="0" w:hanging="0"/>
        <w:jc w:val="left"/>
        <w:rPr>
          <w:rFonts w:ascii="Arial;Helvetica;sans-serif" w:hAnsi="Arial;Helvetica;sans-serif"/>
          <w:color w:val="1F1C6B"/>
          <w:sz w:val="44"/>
        </w:rPr>
      </w:pPr>
      <w:bookmarkStart w:id="201" w:name="tAPB"/>
      <w:bookmarkEnd w:id="201"/>
      <w:r>
        <w:rPr>
          <w:rFonts w:ascii="Arial;Helvetica;sans-serif" w:hAnsi="Arial;Helvetica;sans-serif"/>
          <w:color w:val="1F1C6B"/>
          <w:sz w:val="44"/>
        </w:rPr>
        <w:t xml:space="preserve">Appendix B </w:t>
      </w:r>
    </w:p>
    <w:p>
      <w:pPr>
        <w:pStyle w:val="TextBody"/>
        <w:bidi w:val="0"/>
        <w:spacing w:before="250" w:after="283"/>
        <w:ind w:left="1060" w:right="0" w:hanging="0"/>
        <w:jc w:val="left"/>
        <w:rPr>
          <w:rFonts w:ascii="Arial;Helvetica;sans-serif" w:hAnsi="Arial;Helvetica;sans-serif"/>
          <w:color w:val="1F1C6B"/>
          <w:sz w:val="30"/>
        </w:rPr>
      </w:pPr>
      <w:bookmarkStart w:id="202" w:name="tFLS"/>
      <w:bookmarkEnd w:id="202"/>
      <w:r>
        <w:rPr>
          <w:rFonts w:ascii="Arial;Helvetica;sans-serif" w:hAnsi="Arial;Helvetica;sans-serif"/>
          <w:color w:val="1F1C6B"/>
          <w:sz w:val="30"/>
        </w:rPr>
        <w:t xml:space="preserve">Forward-Looking Statements </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This Proxy Statement (including the Shareholder Letters) contains “forward-looking statements”. These statements are made pursuant to the safe harbor provisions of the Private Securities Litigation Reform Act of 1995. Such forward-looking statements may include, without limitation, statements about the goals or outlooks with respect to the Company’s strategic initiatives and priorities, including but not limited to divestitures, acquisitions, strategic alliances, collaborations, or other potential transactions; the benefits and synergies of such divestitures, acquisitions, strategic alliances, collaborations, or other transactions, or restructuring programs; future opportunities for the Company and its products; and any other statements regarding the Company’s future operations, financial or operating results, capital allocation, dividend policy and payments, share repurchases, debt ratio and covenants, anticipated business levels, future earnings, planned activities, anticipated growth, market opportunities, strategies, competitions, commitments, confidence in future results, efforts to create, enhance or otherwise unlock value,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w:t>
      </w:r>
    </w:p>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the possibility that the Company may not realize the intended benefits of, or achieve the intended goals or outlooks with respect to, its strategic initiatives and priorities (including divestitures, acquisitions, strategic alliances, collaborations, or other potential transactions) or accelerate its growth by building on the strength of its base business with an expanding portfolio of innovative, best-in-class, patent-protected assets; </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the possibility that the Company may be unable to achieve intended or expected benefits, goals, outlooks, synergies, growth opportunities and operating efficiencies in connection with divestitures, acquisitions, strategic alliances, collaborations, or other transactions, or restructuring programs, within the expected timeframes or at all; </w:t>
            </w:r>
          </w:p>
        </w:tc>
      </w:tr>
    </w:tbl>
    <w:tbl>
      <w:tblPr>
        <w:tblW w:w="6265" w:type="dxa"/>
        <w:jc w:val="left"/>
        <w:tblInd w:w="1060" w:type="dxa"/>
        <w:tblLayout w:type="fixed"/>
        <w:tblCellMar>
          <w:top w:w="0" w:type="dxa"/>
          <w:left w:w="0" w:type="dxa"/>
          <w:bottom w:w="0" w:type="dxa"/>
          <w:right w:w="0" w:type="dxa"/>
        </w:tblCellMar>
      </w:tblPr>
      <w:tblGrid>
        <w:gridCol w:w="140"/>
        <w:gridCol w:w="6125"/>
      </w:tblGrid>
      <w:tr>
        <w:trPr/>
        <w:tc>
          <w:tcPr>
            <w:tcW w:w="140" w:type="dxa"/>
            <w:tcBorders/>
            <w:vAlign w:val="center"/>
          </w:tcPr>
          <w:p>
            <w:pPr>
              <w:pStyle w:val="TableContents"/>
              <w:bidi w:val="0"/>
              <w:spacing w:before="0" w:after="0"/>
              <w:jc w:val="left"/>
              <w:rPr>
                <w:color w:val="636466"/>
              </w:rPr>
            </w:pPr>
            <w:r>
              <w:rPr>
                <w:color w:val="636466"/>
              </w:rPr>
              <w:t>•</w:t>
            </w:r>
          </w:p>
        </w:tc>
        <w:tc>
          <w:tcPr>
            <w:tcW w:w="612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the ongoing risks and uncertainties associated with our recent divestitures;</w:t>
            </w:r>
          </w:p>
        </w:tc>
      </w:tr>
    </w:tbl>
    <w:tbl>
      <w:tblPr>
        <w:tblW w:w="4120" w:type="dxa"/>
        <w:jc w:val="left"/>
        <w:tblInd w:w="1060" w:type="dxa"/>
        <w:tblLayout w:type="fixed"/>
        <w:tblCellMar>
          <w:top w:w="0" w:type="dxa"/>
          <w:left w:w="0" w:type="dxa"/>
          <w:bottom w:w="0" w:type="dxa"/>
          <w:right w:w="0" w:type="dxa"/>
        </w:tblCellMar>
      </w:tblPr>
      <w:tblGrid>
        <w:gridCol w:w="140"/>
        <w:gridCol w:w="3980"/>
      </w:tblGrid>
      <w:tr>
        <w:trPr/>
        <w:tc>
          <w:tcPr>
            <w:tcW w:w="140" w:type="dxa"/>
            <w:tcBorders/>
            <w:vAlign w:val="center"/>
          </w:tcPr>
          <w:p>
            <w:pPr>
              <w:pStyle w:val="TableContents"/>
              <w:bidi w:val="0"/>
              <w:spacing w:before="0" w:after="0"/>
              <w:jc w:val="left"/>
              <w:rPr>
                <w:color w:val="636466"/>
              </w:rPr>
            </w:pPr>
            <w:r>
              <w:rPr>
                <w:color w:val="636466"/>
              </w:rPr>
              <w:t>•</w:t>
            </w:r>
          </w:p>
        </w:tc>
        <w:tc>
          <w:tcPr>
            <w:tcW w:w="3980"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goodwill or impairment charges or other losses; </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the Company’s failure to achieve expected or targeted future financial and operating performance and results; </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the potential impact of natural or man-made disasters, public health outbreaks, epidemics, pandemics or social disruption in regions where we or our partners or suppliers operate; </w:t>
            </w:r>
          </w:p>
        </w:tc>
      </w:tr>
    </w:tbl>
    <w:tbl>
      <w:tblPr>
        <w:tblW w:w="5725" w:type="dxa"/>
        <w:jc w:val="left"/>
        <w:tblInd w:w="1060" w:type="dxa"/>
        <w:tblLayout w:type="fixed"/>
        <w:tblCellMar>
          <w:top w:w="0" w:type="dxa"/>
          <w:left w:w="0" w:type="dxa"/>
          <w:bottom w:w="0" w:type="dxa"/>
          <w:right w:w="0" w:type="dxa"/>
        </w:tblCellMar>
      </w:tblPr>
      <w:tblGrid>
        <w:gridCol w:w="140"/>
        <w:gridCol w:w="5585"/>
      </w:tblGrid>
      <w:tr>
        <w:trPr/>
        <w:tc>
          <w:tcPr>
            <w:tcW w:w="140" w:type="dxa"/>
            <w:tcBorders/>
            <w:vAlign w:val="center"/>
          </w:tcPr>
          <w:p>
            <w:pPr>
              <w:pStyle w:val="TableContents"/>
              <w:bidi w:val="0"/>
              <w:spacing w:before="0" w:after="0"/>
              <w:jc w:val="left"/>
              <w:rPr>
                <w:color w:val="636466"/>
              </w:rPr>
            </w:pPr>
            <w:r>
              <w:rPr>
                <w:color w:val="636466"/>
              </w:rPr>
              <w:t>•</w:t>
            </w:r>
          </w:p>
        </w:tc>
        <w:tc>
          <w:tcPr>
            <w:tcW w:w="558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actions and decisions of healthcare and pharmaceutical regulators; </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changes in relevant laws, regulations and policies and/or the application or implementation thereof, including but not limited to tax, healthcare and pharmaceutical laws, regulations and policies globally; </w:t>
            </w:r>
          </w:p>
        </w:tc>
      </w:tr>
    </w:tbl>
    <w:tbl>
      <w:tblPr>
        <w:tblW w:w="4675" w:type="dxa"/>
        <w:jc w:val="left"/>
        <w:tblInd w:w="1060" w:type="dxa"/>
        <w:tblLayout w:type="fixed"/>
        <w:tblCellMar>
          <w:top w:w="0" w:type="dxa"/>
          <w:left w:w="0" w:type="dxa"/>
          <w:bottom w:w="0" w:type="dxa"/>
          <w:right w:w="0" w:type="dxa"/>
        </w:tblCellMar>
      </w:tblPr>
      <w:tblGrid>
        <w:gridCol w:w="140"/>
        <w:gridCol w:w="4535"/>
      </w:tblGrid>
      <w:tr>
        <w:trPr/>
        <w:tc>
          <w:tcPr>
            <w:tcW w:w="140" w:type="dxa"/>
            <w:tcBorders/>
            <w:vAlign w:val="center"/>
          </w:tcPr>
          <w:p>
            <w:pPr>
              <w:pStyle w:val="TableContents"/>
              <w:bidi w:val="0"/>
              <w:spacing w:before="0" w:after="0"/>
              <w:jc w:val="left"/>
              <w:rPr>
                <w:color w:val="636466"/>
              </w:rPr>
            </w:pPr>
            <w:r>
              <w:rPr>
                <w:color w:val="636466"/>
              </w:rPr>
              <w:t>•</w:t>
            </w:r>
          </w:p>
        </w:tc>
        <w:tc>
          <w:tcPr>
            <w:tcW w:w="453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the ability to attract, motivate and retain key personnel; </w:t>
            </w:r>
          </w:p>
        </w:tc>
      </w:tr>
    </w:tbl>
    <w:tbl>
      <w:tblPr>
        <w:tblW w:w="6085" w:type="dxa"/>
        <w:jc w:val="left"/>
        <w:tblInd w:w="1060" w:type="dxa"/>
        <w:tblLayout w:type="fixed"/>
        <w:tblCellMar>
          <w:top w:w="0" w:type="dxa"/>
          <w:left w:w="0" w:type="dxa"/>
          <w:bottom w:w="0" w:type="dxa"/>
          <w:right w:w="0" w:type="dxa"/>
        </w:tblCellMar>
      </w:tblPr>
      <w:tblGrid>
        <w:gridCol w:w="140"/>
        <w:gridCol w:w="5945"/>
      </w:tblGrid>
      <w:tr>
        <w:trPr/>
        <w:tc>
          <w:tcPr>
            <w:tcW w:w="140" w:type="dxa"/>
            <w:tcBorders/>
            <w:vAlign w:val="center"/>
          </w:tcPr>
          <w:p>
            <w:pPr>
              <w:pStyle w:val="TableContents"/>
              <w:bidi w:val="0"/>
              <w:spacing w:before="0" w:after="0"/>
              <w:jc w:val="left"/>
              <w:rPr>
                <w:color w:val="636466"/>
              </w:rPr>
            </w:pPr>
            <w:r>
              <w:rPr>
                <w:color w:val="636466"/>
              </w:rPr>
              <w:t>•</w:t>
            </w:r>
          </w:p>
        </w:tc>
        <w:tc>
          <w:tcPr>
            <w:tcW w:w="594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the Company’s liquidity, capital resources and ability to obtain financing;</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any regulatory, legal or other impediments to the Company’s ability to bring new products to market, including but not limited to “at-risk launches”; </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products in development that receive regulatory approval may not achieve expected levels of market acceptance, efficacy or safety;</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longer review, response and approval times as a result of evolving regulatory priorities and reductions in personnel at health agencies;</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success of clinical trials and the Company’s or its partners’ ability to execute on new product opportunities and develop, manufacture and commercialize products; </w:t>
            </w:r>
          </w:p>
        </w:tc>
      </w:tr>
    </w:tbl>
    <w:tbl>
      <w:tblPr>
        <w:tblW w:w="5055" w:type="dxa"/>
        <w:jc w:val="left"/>
        <w:tblInd w:w="1060" w:type="dxa"/>
        <w:tblLayout w:type="fixed"/>
        <w:tblCellMar>
          <w:top w:w="0" w:type="dxa"/>
          <w:left w:w="0" w:type="dxa"/>
          <w:bottom w:w="0" w:type="dxa"/>
          <w:right w:w="0" w:type="dxa"/>
        </w:tblCellMar>
      </w:tblPr>
      <w:tblGrid>
        <w:gridCol w:w="2130"/>
        <w:gridCol w:w="170"/>
        <w:gridCol w:w="170"/>
        <w:gridCol w:w="2585"/>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305"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272" descr=""/>
                          <pic:cNvPicPr>
                            <a:picLocks noChangeAspect="1" noChangeArrowheads="1"/>
                          </pic:cNvPicPr>
                        </pic:nvPicPr>
                        <pic:blipFill>
                          <a:blip r:embed="rId290"/>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Statement | B-1</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306"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273" descr=""/>
                    <pic:cNvPicPr>
                      <a:picLocks noChangeAspect="1" noChangeArrowheads="1"/>
                    </pic:cNvPicPr>
                  </pic:nvPicPr>
                  <pic:blipFill>
                    <a:blip r:embed="rId291"/>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203" w:name="ny20055082x771_def14a_301-appb_pg2"/>
        <w:bookmarkEnd w:id="20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left"/>
        <w:rPr>
          <w:caps/>
          <w:color w:val="1F1C6B"/>
          <w:u w:val="single"/>
        </w:rPr>
      </w:pPr>
      <w:r>
        <w:rPr>
          <w:caps/>
          <w:color w:val="1F1C6B"/>
          <w:u w:val="single"/>
        </w:rPr>
        <w:t> </w:t>
      </w:r>
      <w:r>
        <w:rPr>
          <w:rFonts w:ascii="Arial;Helvetica;sans-serif" w:hAnsi="Arial;Helvetica;sans-serif"/>
          <w:caps/>
          <w:color w:val="1F1C6B"/>
          <w:sz w:val="18"/>
          <w:u w:val="single"/>
        </w:rPr>
        <w:t>Appendix B </w:t>
      </w:r>
    </w:p>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any changes in or difficulties with the Company’s manufacturing facilities, including with respect to inspections, remediation and restructuring activities, supply chain or inventory or the ability to meet anticipated demand; </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the scope, timing and outcome of any ongoing legal proceedings, including government inquiries or investigations, and the impact of any such proceedings on the Company; </w:t>
            </w:r>
          </w:p>
        </w:tc>
      </w:tr>
    </w:tbl>
    <w:tbl>
      <w:tblPr>
        <w:tblW w:w="7180" w:type="dxa"/>
        <w:jc w:val="left"/>
        <w:tblInd w:w="1060" w:type="dxa"/>
        <w:tblLayout w:type="fixed"/>
        <w:tblCellMar>
          <w:top w:w="0" w:type="dxa"/>
          <w:left w:w="0" w:type="dxa"/>
          <w:bottom w:w="0" w:type="dxa"/>
          <w:right w:w="0" w:type="dxa"/>
        </w:tblCellMar>
      </w:tblPr>
      <w:tblGrid>
        <w:gridCol w:w="140"/>
        <w:gridCol w:w="7040"/>
      </w:tblGrid>
      <w:tr>
        <w:trPr/>
        <w:tc>
          <w:tcPr>
            <w:tcW w:w="140" w:type="dxa"/>
            <w:tcBorders/>
            <w:vAlign w:val="center"/>
          </w:tcPr>
          <w:p>
            <w:pPr>
              <w:pStyle w:val="TableContents"/>
              <w:bidi w:val="0"/>
              <w:spacing w:before="0" w:after="0"/>
              <w:jc w:val="left"/>
              <w:rPr>
                <w:color w:val="636466"/>
              </w:rPr>
            </w:pPr>
            <w:r>
              <w:rPr>
                <w:color w:val="636466"/>
              </w:rPr>
              <w:t>•</w:t>
            </w:r>
          </w:p>
        </w:tc>
        <w:tc>
          <w:tcPr>
            <w:tcW w:w="7040"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any significant breach of data security or data privacy or disruptions to our IT systems; </w:t>
            </w:r>
          </w:p>
        </w:tc>
      </w:tr>
    </w:tbl>
    <w:tbl>
      <w:tblPr>
        <w:tblW w:w="5065" w:type="dxa"/>
        <w:jc w:val="left"/>
        <w:tblInd w:w="1060" w:type="dxa"/>
        <w:tblLayout w:type="fixed"/>
        <w:tblCellMar>
          <w:top w:w="0" w:type="dxa"/>
          <w:left w:w="0" w:type="dxa"/>
          <w:bottom w:w="0" w:type="dxa"/>
          <w:right w:w="0" w:type="dxa"/>
        </w:tblCellMar>
      </w:tblPr>
      <w:tblGrid>
        <w:gridCol w:w="140"/>
        <w:gridCol w:w="4925"/>
      </w:tblGrid>
      <w:tr>
        <w:trPr/>
        <w:tc>
          <w:tcPr>
            <w:tcW w:w="140" w:type="dxa"/>
            <w:tcBorders/>
            <w:vAlign w:val="center"/>
          </w:tcPr>
          <w:p>
            <w:pPr>
              <w:pStyle w:val="TableContents"/>
              <w:bidi w:val="0"/>
              <w:spacing w:before="0" w:after="0"/>
              <w:jc w:val="left"/>
              <w:rPr>
                <w:color w:val="636466"/>
              </w:rPr>
            </w:pPr>
            <w:r>
              <w:rPr>
                <w:color w:val="636466"/>
              </w:rPr>
              <w:t>•</w:t>
            </w:r>
          </w:p>
        </w:tc>
        <w:tc>
          <w:tcPr>
            <w:tcW w:w="492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risks associated with having significant operations globally; </w:t>
            </w:r>
          </w:p>
        </w:tc>
      </w:tr>
    </w:tbl>
    <w:tbl>
      <w:tblPr>
        <w:tblW w:w="6805" w:type="dxa"/>
        <w:jc w:val="left"/>
        <w:tblInd w:w="1060" w:type="dxa"/>
        <w:tblLayout w:type="fixed"/>
        <w:tblCellMar>
          <w:top w:w="0" w:type="dxa"/>
          <w:left w:w="0" w:type="dxa"/>
          <w:bottom w:w="0" w:type="dxa"/>
          <w:right w:w="0" w:type="dxa"/>
        </w:tblCellMar>
      </w:tblPr>
      <w:tblGrid>
        <w:gridCol w:w="140"/>
        <w:gridCol w:w="6665"/>
      </w:tblGrid>
      <w:tr>
        <w:trPr/>
        <w:tc>
          <w:tcPr>
            <w:tcW w:w="140" w:type="dxa"/>
            <w:tcBorders/>
            <w:vAlign w:val="center"/>
          </w:tcPr>
          <w:p>
            <w:pPr>
              <w:pStyle w:val="TableContents"/>
              <w:bidi w:val="0"/>
              <w:spacing w:before="0" w:after="0"/>
              <w:jc w:val="left"/>
              <w:rPr>
                <w:color w:val="636466"/>
              </w:rPr>
            </w:pPr>
            <w:r>
              <w:rPr>
                <w:color w:val="636466"/>
              </w:rPr>
              <w:t>•</w:t>
            </w:r>
          </w:p>
        </w:tc>
        <w:tc>
          <w:tcPr>
            <w:tcW w:w="666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the ability to protect intellectual property and preserve intellectual property rights; </w:t>
            </w:r>
          </w:p>
        </w:tc>
      </w:tr>
    </w:tbl>
    <w:tbl>
      <w:tblPr>
        <w:tblW w:w="3175" w:type="dxa"/>
        <w:jc w:val="left"/>
        <w:tblInd w:w="1060" w:type="dxa"/>
        <w:tblLayout w:type="fixed"/>
        <w:tblCellMar>
          <w:top w:w="0" w:type="dxa"/>
          <w:left w:w="0" w:type="dxa"/>
          <w:bottom w:w="0" w:type="dxa"/>
          <w:right w:w="0" w:type="dxa"/>
        </w:tblCellMar>
      </w:tblPr>
      <w:tblGrid>
        <w:gridCol w:w="140"/>
        <w:gridCol w:w="3035"/>
      </w:tblGrid>
      <w:tr>
        <w:trPr/>
        <w:tc>
          <w:tcPr>
            <w:tcW w:w="140" w:type="dxa"/>
            <w:tcBorders/>
            <w:vAlign w:val="center"/>
          </w:tcPr>
          <w:p>
            <w:pPr>
              <w:pStyle w:val="TableContents"/>
              <w:bidi w:val="0"/>
              <w:spacing w:before="0" w:after="0"/>
              <w:jc w:val="left"/>
              <w:rPr>
                <w:color w:val="636466"/>
              </w:rPr>
            </w:pPr>
            <w:r>
              <w:rPr>
                <w:color w:val="636466"/>
              </w:rPr>
              <w:t>•</w:t>
            </w:r>
          </w:p>
        </w:tc>
        <w:tc>
          <w:tcPr>
            <w:tcW w:w="303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changes in third-party relationships; </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the effect of any changes in the Company’s or its partners’ customer and supplier relationships and customer purchasing patterns, including customer loss and business disruption being greater than expected following an adverse regulatory action, acquisition or divestiture; </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the impacts of competition, including decreases in sales or revenues as a result of the loss of market exclusivity for certain products; </w:t>
            </w:r>
          </w:p>
        </w:tc>
      </w:tr>
    </w:tbl>
    <w:tbl>
      <w:tblPr>
        <w:tblW w:w="6820" w:type="dxa"/>
        <w:jc w:val="left"/>
        <w:tblInd w:w="1060" w:type="dxa"/>
        <w:tblLayout w:type="fixed"/>
        <w:tblCellMar>
          <w:top w:w="0" w:type="dxa"/>
          <w:left w:w="0" w:type="dxa"/>
          <w:bottom w:w="0" w:type="dxa"/>
          <w:right w:w="0" w:type="dxa"/>
        </w:tblCellMar>
      </w:tblPr>
      <w:tblGrid>
        <w:gridCol w:w="140"/>
        <w:gridCol w:w="6680"/>
      </w:tblGrid>
      <w:tr>
        <w:trPr/>
        <w:tc>
          <w:tcPr>
            <w:tcW w:w="140" w:type="dxa"/>
            <w:tcBorders/>
            <w:vAlign w:val="center"/>
          </w:tcPr>
          <w:p>
            <w:pPr>
              <w:pStyle w:val="TableContents"/>
              <w:bidi w:val="0"/>
              <w:spacing w:before="0" w:after="0"/>
              <w:jc w:val="left"/>
              <w:rPr>
                <w:color w:val="636466"/>
              </w:rPr>
            </w:pPr>
            <w:r>
              <w:rPr>
                <w:color w:val="636466"/>
              </w:rPr>
              <w:t>•</w:t>
            </w:r>
          </w:p>
        </w:tc>
        <w:tc>
          <w:tcPr>
            <w:tcW w:w="6680"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changes in the economic and financial conditions of the Company or its partners; </w:t>
            </w:r>
          </w:p>
        </w:tc>
      </w:tr>
    </w:tbl>
    <w:tbl>
      <w:tblPr>
        <w:tblW w:w="7990" w:type="dxa"/>
        <w:jc w:val="left"/>
        <w:tblInd w:w="1060" w:type="dxa"/>
        <w:tblLayout w:type="fixed"/>
        <w:tblCellMar>
          <w:top w:w="0" w:type="dxa"/>
          <w:left w:w="0" w:type="dxa"/>
          <w:bottom w:w="0" w:type="dxa"/>
          <w:right w:w="0" w:type="dxa"/>
        </w:tblCellMar>
      </w:tblPr>
      <w:tblGrid>
        <w:gridCol w:w="140"/>
        <w:gridCol w:w="7850"/>
      </w:tblGrid>
      <w:tr>
        <w:trPr/>
        <w:tc>
          <w:tcPr>
            <w:tcW w:w="140" w:type="dxa"/>
            <w:tcBorders/>
            <w:vAlign w:val="center"/>
          </w:tcPr>
          <w:p>
            <w:pPr>
              <w:pStyle w:val="TableContents"/>
              <w:bidi w:val="0"/>
              <w:spacing w:before="0" w:after="0"/>
              <w:jc w:val="left"/>
              <w:rPr>
                <w:color w:val="636466"/>
              </w:rPr>
            </w:pPr>
            <w:r>
              <w:rPr>
                <w:color w:val="636466"/>
              </w:rPr>
              <w:t>•</w:t>
            </w:r>
          </w:p>
        </w:tc>
        <w:tc>
          <w:tcPr>
            <w:tcW w:w="7850"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uncertainties regarding future demand, pricing and reimbursement for the Company’s products; </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 xml:space="preserve">uncertainties and matters beyond the control of management, including but not limited to general political and economic conditions, potential for adverse impacts from future tariffs and trade restrictions, inflation rates and global exchange rates; and </w:t>
            </w:r>
          </w:p>
        </w:tc>
      </w:tr>
    </w:tbl>
    <w:tbl>
      <w:tblPr>
        <w:tblW w:w="9145" w:type="dxa"/>
        <w:jc w:val="left"/>
        <w:tblInd w:w="106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636466"/>
              </w:rPr>
            </w:pPr>
            <w:r>
              <w:rPr>
                <w:color w:val="636466"/>
              </w:rPr>
              <w:t>•</w:t>
            </w:r>
          </w:p>
        </w:tc>
        <w:tc>
          <w:tcPr>
            <w:tcW w:w="9005" w:type="dxa"/>
            <w:tcBorders/>
            <w:vAlign w:val="center"/>
          </w:tcPr>
          <w:p>
            <w:pPr>
              <w:pStyle w:val="TableContents"/>
              <w:bidi w:val="0"/>
              <w:spacing w:before="0" w:after="0"/>
              <w:jc w:val="left"/>
              <w:rPr>
                <w:rFonts w:ascii="Arial;Helvetica;sans-serif" w:hAnsi="Arial;Helvetica;sans-serif"/>
                <w:color w:val="636466"/>
                <w:sz w:val="18"/>
              </w:rPr>
            </w:pPr>
            <w:r>
              <w:rPr>
                <w:rFonts w:ascii="Arial;Helvetica;sans-serif" w:hAnsi="Arial;Helvetica;sans-serif"/>
                <w:color w:val="636466"/>
                <w:sz w:val="18"/>
              </w:rPr>
              <w:t>inherent uncertainties involved in the estimates and judgments used in the preparation of financial statements, and the providing of estimates of financial measures, in accordance with U.S. GAAP and related standards or on an adjusted basis.</w:t>
            </w:r>
          </w:p>
        </w:tc>
      </w:tr>
    </w:tbl>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For more detailed information on the risks and uncertainties associated with Viatris, see the risks described in Part I, Item 1A in the Form 10-K, and our other filings with the SEC.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by reference in this Proxy Statement and shall not be deemed “filed” under the Exchange Act. Viatris undertakes no obligation to update any statements herein for revisions or changes after the filing date of this Proxy Statement other than as required by law. </w:t>
      </w:r>
    </w:p>
    <w:p>
      <w:pPr>
        <w:pStyle w:val="TextBody"/>
        <w:bidi w:val="0"/>
        <w:spacing w:before="430" w:after="283"/>
        <w:ind w:left="1060" w:right="0" w:hanging="0"/>
        <w:jc w:val="left"/>
        <w:rPr>
          <w:rFonts w:ascii="Arial;Helvetica;sans-serif" w:hAnsi="Arial;Helvetica;sans-serif"/>
          <w:color w:val="1F1C6B"/>
          <w:sz w:val="30"/>
        </w:rPr>
      </w:pPr>
      <w:bookmarkStart w:id="204" w:name="tNGF"/>
      <w:bookmarkEnd w:id="204"/>
      <w:r>
        <w:rPr>
          <w:rFonts w:ascii="Arial;Helvetica;sans-serif" w:hAnsi="Arial;Helvetica;sans-serif"/>
          <w:color w:val="1F1C6B"/>
          <w:sz w:val="30"/>
        </w:rPr>
        <w:t xml:space="preserve">Non-GAAP Financial Measures </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This Proxy Statement (including the Shareholder Letters) includes the presentation and discussion of certain financial information that differs from what is reported under U.S. GAAP. These non-GAAP financial measures, including adjusted EBITDA, free cash flow, adjusted earnings per share (“EPS”), gross leverage ratio, and long-term gross leverage target and divestiture adjusted operational revenue ex-Indore, are presented in order to supplement investors’ and other readers’ understanding and assessment of Viatris’ financial performance. Management uses these measures internally for forecasting, budgeting, measuring its operating performance, and incentive-based awards. Primarily due to acquisitions, divestitures and other significant events which may impact comparability of our periodic operating results, we believe that an evaluation of our ongoing operations (and comparisons of our current operations with historical and future operations) would be difficult if the disclosure of our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these adjusted metrics, along with other performance metrics. In addition, the Company </w:t>
      </w:r>
    </w:p>
    <w:tbl>
      <w:tblPr>
        <w:tblW w:w="5055" w:type="dxa"/>
        <w:jc w:val="left"/>
        <w:tblInd w:w="1060" w:type="dxa"/>
        <w:tblLayout w:type="fixed"/>
        <w:tblCellMar>
          <w:top w:w="0" w:type="dxa"/>
          <w:left w:w="0" w:type="dxa"/>
          <w:bottom w:w="0" w:type="dxa"/>
          <w:right w:w="0" w:type="dxa"/>
        </w:tblCellMar>
      </w:tblPr>
      <w:tblGrid>
        <w:gridCol w:w="2555"/>
        <w:gridCol w:w="170"/>
        <w:gridCol w:w="170"/>
        <w:gridCol w:w="2160"/>
      </w:tblGrid>
      <w:tr>
        <w:trPr/>
        <w:tc>
          <w:tcPr>
            <w:tcW w:w="25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555"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B-2 | 2025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307"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274" descr=""/>
                          <pic:cNvPicPr>
                            <a:picLocks noChangeAspect="1" noChangeArrowheads="1"/>
                          </pic:cNvPicPr>
                        </pic:nvPicPr>
                        <pic:blipFill>
                          <a:blip r:embed="rId292"/>
                          <a:stretch>
                            <a:fillRect/>
                          </a:stretch>
                        </pic:blipFill>
                        <pic:spPr bwMode="auto">
                          <a:xfrm>
                            <a:off x="0" y="0"/>
                            <a:ext cx="1323975" cy="352425"/>
                          </a:xfrm>
                          <a:prstGeom prst="rect">
                            <a:avLst/>
                          </a:prstGeom>
                        </pic:spPr>
                      </pic:pic>
                    </a:graphicData>
                  </a:graphic>
                </wp:inline>
              </w:drawing>
            </w:r>
          </w:p>
        </w:tc>
      </w:tr>
      <w:tr>
        <w:trPr/>
        <w:tc>
          <w:tcPr>
            <w:tcW w:w="25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308"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275" descr=""/>
                    <pic:cNvPicPr>
                      <a:picLocks noChangeAspect="1" noChangeArrowheads="1"/>
                    </pic:cNvPicPr>
                  </pic:nvPicPr>
                  <pic:blipFill>
                    <a:blip r:embed="rId293"/>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205" w:name="ny20055082x771_def14a_301-appb_pg3"/>
        <w:bookmarkEnd w:id="20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right"/>
        <w:rPr>
          <w:caps/>
          <w:color w:val="1F1C6B"/>
          <w:u w:val="single"/>
        </w:rPr>
      </w:pPr>
      <w:r>
        <w:rPr>
          <w:caps/>
          <w:color w:val="1F1C6B"/>
          <w:u w:val="single"/>
        </w:rPr>
        <w:t> </w:t>
      </w:r>
      <w:r>
        <w:rPr>
          <w:rFonts w:ascii="Arial;Helvetica;sans-serif" w:hAnsi="Arial;Helvetica;sans-serif"/>
          <w:caps/>
          <w:color w:val="1F1C6B"/>
          <w:sz w:val="18"/>
          <w:u w:val="single"/>
        </w:rPr>
        <w:t>Appendix B </w:t>
      </w:r>
    </w:p>
    <w:p>
      <w:pPr>
        <w:pStyle w:val="TextBody"/>
        <w:bidi w:val="0"/>
        <w:spacing w:before="12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believes that including EBITDA and supplemental adjustments applied in presenting adjusted EBITDA is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This Appendix B contains reconciliations of such non-GAAP financial measures to the most directly comparable U.S. GAAP financial measures. Investors and other readers are encouraged to review the related U.S. GAAP financial measures and the reconciliations of the non-GAAP measures to their most directly comparable U.S. GAAP measures set forth in this Appendix B, and investors and other readers should consider non-GAAP measures only as supplements to, not as substitutes for or as superior measures to, the measures of financial performance prepared in accordance with U.S. GAAP.</w:t>
      </w:r>
    </w:p>
    <w:p>
      <w:pPr>
        <w:pStyle w:val="TextBody"/>
        <w:bidi w:val="0"/>
        <w:spacing w:before="420" w:after="283"/>
        <w:ind w:left="1060" w:right="0" w:hanging="0"/>
        <w:jc w:val="left"/>
        <w:rPr>
          <w:rFonts w:ascii="Arial;Helvetica;sans-serif" w:hAnsi="Arial;Helvetica;sans-serif"/>
          <w:color w:val="1F1C6B"/>
          <w:sz w:val="30"/>
        </w:rPr>
      </w:pPr>
      <w:r>
        <w:rPr>
          <w:rFonts w:ascii="Arial;Helvetica;sans-serif" w:hAnsi="Arial;Helvetica;sans-serif"/>
          <w:color w:val="1F1C6B"/>
          <w:sz w:val="30"/>
        </w:rPr>
        <w:t xml:space="preserve">Reconciliations of Non-GAAP Financial Measures (Unaudited) </w:t>
      </w:r>
    </w:p>
    <w:p>
      <w:pPr>
        <w:pStyle w:val="TextBody"/>
        <w:bidi w:val="0"/>
        <w:spacing w:before="180" w:after="283"/>
        <w:ind w:left="1060" w:right="0" w:hanging="0"/>
        <w:jc w:val="left"/>
        <w:rPr>
          <w:rFonts w:ascii="Arial;Helvetica;sans-serif" w:hAnsi="Arial;Helvetica;sans-serif"/>
          <w:b/>
          <w:color w:val="1F1C6B"/>
          <w:sz w:val="18"/>
        </w:rPr>
      </w:pPr>
      <w:r>
        <w:rPr>
          <w:rFonts w:ascii="Arial;Helvetica;sans-serif" w:hAnsi="Arial;Helvetica;sans-serif"/>
          <w:b/>
          <w:color w:val="1F1C6B"/>
          <w:sz w:val="18"/>
        </w:rPr>
        <w:t xml:space="preserve">Adjusted Net Earnings and Adjusted EPS </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Below is a reconciliation of U.S. GAAP net loss and diluted loss per share to adjusted net earnings and adjusted EPS for the year ended December 31, 2024. </w:t>
      </w:r>
    </w:p>
    <w:tbl>
      <w:tblPr>
        <w:tblW w:w="8563" w:type="dxa"/>
        <w:jc w:val="left"/>
        <w:tblInd w:w="1060" w:type="dxa"/>
        <w:tblLayout w:type="fixed"/>
        <w:tblCellMar>
          <w:top w:w="0" w:type="dxa"/>
          <w:left w:w="0" w:type="dxa"/>
          <w:bottom w:w="0" w:type="dxa"/>
          <w:right w:w="0" w:type="dxa"/>
        </w:tblCellMar>
      </w:tblPr>
      <w:tblGrid>
        <w:gridCol w:w="185"/>
        <w:gridCol w:w="6260"/>
        <w:gridCol w:w="170"/>
        <w:gridCol w:w="170"/>
        <w:gridCol w:w="595"/>
        <w:gridCol w:w="171"/>
        <w:gridCol w:w="171"/>
        <w:gridCol w:w="626"/>
        <w:gridCol w:w="215"/>
      </w:tblGrid>
      <w:tr>
        <w:trPr/>
        <w:tc>
          <w:tcPr>
            <w:tcW w:w="185" w:type="dxa"/>
            <w:tcBorders/>
            <w:shd w:fill="1F1C6B" w:val="clear"/>
            <w:vAlign w:val="center"/>
          </w:tcPr>
          <w:p>
            <w:pPr>
              <w:pStyle w:val="TableContents"/>
              <w:bidi w:val="0"/>
              <w:spacing w:before="0" w:after="0"/>
              <w:jc w:val="left"/>
              <w:rPr/>
            </w:pPr>
            <w:r>
              <w:rPr/>
              <w:t> </w:t>
            </w:r>
          </w:p>
        </w:tc>
        <w:tc>
          <w:tcPr>
            <w:tcW w:w="626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563" w:type="dxa"/>
            <w:gridSpan w:val="4"/>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6260"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(in millions, except per share amounts)</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563" w:type="dxa"/>
            <w:gridSpan w:val="4"/>
            <w:tcBorders/>
            <w:shd w:fill="1F1C6B"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Year Ended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December 31, 2024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26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U.S. GAAP net loss and U.S. GAAP diluted loss per share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5" w:type="dxa"/>
            <w:tcBorders/>
            <w:vAlign w:val="center"/>
          </w:tcPr>
          <w:p>
            <w:pPr>
              <w:pStyle w:val="TableContents"/>
              <w:bidi w:val="0"/>
              <w:spacing w:before="0" w:after="283"/>
              <w:ind w:left="187" w:right="0" w:hanging="0"/>
              <w:jc w:val="left"/>
              <w:rPr>
                <w:rFonts w:ascii="Arial;Helvetica;sans-serif" w:hAnsi="Arial;Helvetica;sans-serif"/>
                <w:color w:val="636466"/>
                <w:sz w:val="16"/>
              </w:rPr>
            </w:pPr>
            <w:r>
              <w:rPr>
                <w:rFonts w:ascii="Arial;Helvetica;sans-serif" w:hAnsi="Arial;Helvetica;sans-serif"/>
                <w:color w:val="636466"/>
                <w:sz w:val="16"/>
              </w:rPr>
              <w:t>$(634)</w:t>
            </w:r>
          </w:p>
        </w:tc>
        <w:tc>
          <w:tcPr>
            <w:tcW w:w="171" w:type="dxa"/>
            <w:tcBorders/>
            <w:vAlign w:val="center"/>
          </w:tcPr>
          <w:p>
            <w:pPr>
              <w:pStyle w:val="TableContents"/>
              <w:bidi w:val="0"/>
              <w:spacing w:before="0" w:after="0"/>
              <w:jc w:val="left"/>
              <w:rPr/>
            </w:pPr>
            <w:r>
              <w:rPr/>
              <w:t> </w:t>
            </w:r>
          </w:p>
        </w:tc>
        <w:tc>
          <w:tcPr>
            <w:tcW w:w="171" w:type="dxa"/>
            <w:tcBorders/>
            <w:vAlign w:val="center"/>
          </w:tcPr>
          <w:p>
            <w:pPr>
              <w:pStyle w:val="TableContents"/>
              <w:bidi w:val="0"/>
              <w:spacing w:before="0" w:after="0"/>
              <w:jc w:val="left"/>
              <w:rPr/>
            </w:pPr>
            <w:r>
              <w:rPr/>
              <w:t> </w:t>
            </w:r>
          </w:p>
        </w:tc>
        <w:tc>
          <w:tcPr>
            <w:tcW w:w="626" w:type="dxa"/>
            <w:tcBorders/>
            <w:vAlign w:val="center"/>
          </w:tcPr>
          <w:p>
            <w:pPr>
              <w:pStyle w:val="TableContents"/>
              <w:bidi w:val="0"/>
              <w:spacing w:before="0" w:after="283"/>
              <w:ind w:left="93" w:right="0" w:hanging="0"/>
              <w:jc w:val="left"/>
              <w:rPr>
                <w:rFonts w:ascii="Arial;Helvetica;sans-serif" w:hAnsi="Arial;Helvetica;sans-serif"/>
                <w:color w:val="636466"/>
                <w:sz w:val="16"/>
              </w:rPr>
            </w:pPr>
            <w:r>
              <w:rPr>
                <w:rFonts w:ascii="Arial;Helvetica;sans-serif" w:hAnsi="Arial;Helvetica;sans-serif"/>
                <w:color w:val="636466"/>
                <w:sz w:val="16"/>
              </w:rPr>
              <w:t xml:space="preserve">$(0.53)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6260"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Purchase accounting amortization (primarily included in cost of sales)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95" w:type="dxa"/>
            <w:tcBorders/>
            <w:shd w:fill="E7E0EF" w:val="clear"/>
            <w:vAlign w:val="center"/>
          </w:tcPr>
          <w:p>
            <w:pPr>
              <w:pStyle w:val="TableContents"/>
              <w:bidi w:val="0"/>
              <w:spacing w:before="0" w:after="283"/>
              <w:ind w:left="187" w:right="0" w:hanging="0"/>
              <w:jc w:val="left"/>
              <w:rPr>
                <w:rFonts w:ascii="Arial;Helvetica;sans-serif" w:hAnsi="Arial;Helvetica;sans-serif"/>
                <w:color w:val="636466"/>
                <w:sz w:val="16"/>
              </w:rPr>
            </w:pPr>
            <w:r>
              <w:rPr>
                <w:rFonts w:ascii="Arial;Helvetica;sans-serif" w:hAnsi="Arial;Helvetica;sans-serif"/>
                <w:color w:val="636466"/>
                <w:sz w:val="16"/>
              </w:rPr>
              <w:t>2,581</w:t>
            </w:r>
          </w:p>
        </w:tc>
        <w:tc>
          <w:tcPr>
            <w:tcW w:w="171" w:type="dxa"/>
            <w:tcBorders/>
            <w:shd w:fill="E7E0EF" w:val="clear"/>
            <w:vAlign w:val="center"/>
          </w:tcPr>
          <w:p>
            <w:pPr>
              <w:pStyle w:val="TableContents"/>
              <w:bidi w:val="0"/>
              <w:spacing w:before="0" w:after="0"/>
              <w:jc w:val="left"/>
              <w:rPr/>
            </w:pPr>
            <w:r>
              <w:rPr/>
              <w:t> </w:t>
            </w:r>
          </w:p>
        </w:tc>
        <w:tc>
          <w:tcPr>
            <w:tcW w:w="171" w:type="dxa"/>
            <w:tcBorders/>
            <w:shd w:fill="E7E0EF" w:val="clear"/>
            <w:vAlign w:val="center"/>
          </w:tcPr>
          <w:p>
            <w:pPr>
              <w:pStyle w:val="TableContents"/>
              <w:bidi w:val="0"/>
              <w:spacing w:before="0" w:after="0"/>
              <w:jc w:val="left"/>
              <w:rPr/>
            </w:pPr>
            <w:r>
              <w:rPr/>
              <w:t> </w:t>
            </w:r>
          </w:p>
        </w:tc>
        <w:tc>
          <w:tcPr>
            <w:tcW w:w="626" w:type="dxa"/>
            <w:tcBorders/>
            <w:shd w:fill="E7E0EF" w:val="clear"/>
            <w:vAlign w:val="center"/>
          </w:tcPr>
          <w:p>
            <w:pPr>
              <w:pStyle w:val="TableContents"/>
              <w:bidi w:val="0"/>
              <w:spacing w:before="0" w:after="283"/>
              <w:ind w:left="93" w:right="0" w:hanging="0"/>
              <w:jc w:val="left"/>
              <w:rPr>
                <w:color w:val="636466"/>
              </w:rPr>
            </w:pPr>
            <w:r>
              <w:rPr>
                <w:color w:val="636466"/>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26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Impairment of goodwill (included in SG&amp;A)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5" w:type="dxa"/>
            <w:tcBorders/>
            <w:vAlign w:val="center"/>
          </w:tcPr>
          <w:p>
            <w:pPr>
              <w:pStyle w:val="TableContents"/>
              <w:bidi w:val="0"/>
              <w:spacing w:before="0" w:after="283"/>
              <w:ind w:left="187" w:right="0" w:hanging="0"/>
              <w:jc w:val="left"/>
              <w:rPr>
                <w:rFonts w:ascii="Arial;Helvetica;sans-serif" w:hAnsi="Arial;Helvetica;sans-serif"/>
                <w:color w:val="636466"/>
                <w:sz w:val="16"/>
              </w:rPr>
            </w:pPr>
            <w:r>
              <w:rPr>
                <w:rFonts w:ascii="Arial;Helvetica;sans-serif" w:hAnsi="Arial;Helvetica;sans-serif"/>
                <w:color w:val="636466"/>
                <w:sz w:val="16"/>
              </w:rPr>
              <w:t>321</w:t>
            </w:r>
          </w:p>
        </w:tc>
        <w:tc>
          <w:tcPr>
            <w:tcW w:w="171" w:type="dxa"/>
            <w:tcBorders/>
            <w:vAlign w:val="center"/>
          </w:tcPr>
          <w:p>
            <w:pPr>
              <w:pStyle w:val="TableContents"/>
              <w:bidi w:val="0"/>
              <w:spacing w:before="0" w:after="0"/>
              <w:jc w:val="left"/>
              <w:rPr/>
            </w:pPr>
            <w:r>
              <w:rPr/>
              <w:t> </w:t>
            </w:r>
          </w:p>
        </w:tc>
        <w:tc>
          <w:tcPr>
            <w:tcW w:w="171" w:type="dxa"/>
            <w:tcBorders/>
            <w:vAlign w:val="center"/>
          </w:tcPr>
          <w:p>
            <w:pPr>
              <w:pStyle w:val="TableContents"/>
              <w:bidi w:val="0"/>
              <w:spacing w:before="0" w:after="0"/>
              <w:jc w:val="left"/>
              <w:rPr/>
            </w:pPr>
            <w:r>
              <w:rPr/>
              <w:t> </w:t>
            </w:r>
          </w:p>
        </w:tc>
        <w:tc>
          <w:tcPr>
            <w:tcW w:w="626" w:type="dxa"/>
            <w:tcBorders/>
            <w:vAlign w:val="center"/>
          </w:tcPr>
          <w:p>
            <w:pPr>
              <w:pStyle w:val="TableContents"/>
              <w:bidi w:val="0"/>
              <w:spacing w:before="0" w:after="283"/>
              <w:ind w:left="93" w:right="0" w:hanging="0"/>
              <w:jc w:val="left"/>
              <w:rPr>
                <w:color w:val="636466"/>
              </w:rPr>
            </w:pPr>
            <w:r>
              <w:rPr>
                <w:color w:val="636466"/>
              </w:rPr>
              <w:t>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6260"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Litigation settlements and other contingencies, net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95" w:type="dxa"/>
            <w:tcBorders/>
            <w:shd w:fill="E7E0EF" w:val="clear"/>
            <w:vAlign w:val="center"/>
          </w:tcPr>
          <w:p>
            <w:pPr>
              <w:pStyle w:val="TableContents"/>
              <w:bidi w:val="0"/>
              <w:spacing w:before="0" w:after="283"/>
              <w:ind w:left="187" w:right="0" w:hanging="0"/>
              <w:jc w:val="left"/>
              <w:rPr>
                <w:rFonts w:ascii="Arial;Helvetica;sans-serif" w:hAnsi="Arial;Helvetica;sans-serif"/>
                <w:color w:val="636466"/>
                <w:sz w:val="16"/>
              </w:rPr>
            </w:pPr>
            <w:r>
              <w:rPr>
                <w:rFonts w:ascii="Arial;Helvetica;sans-serif" w:hAnsi="Arial;Helvetica;sans-serif"/>
                <w:color w:val="636466"/>
                <w:sz w:val="16"/>
              </w:rPr>
              <w:t>351</w:t>
            </w:r>
          </w:p>
        </w:tc>
        <w:tc>
          <w:tcPr>
            <w:tcW w:w="171" w:type="dxa"/>
            <w:tcBorders/>
            <w:shd w:fill="E7E0EF" w:val="clear"/>
            <w:vAlign w:val="center"/>
          </w:tcPr>
          <w:p>
            <w:pPr>
              <w:pStyle w:val="TableContents"/>
              <w:bidi w:val="0"/>
              <w:spacing w:before="0" w:after="0"/>
              <w:jc w:val="left"/>
              <w:rPr/>
            </w:pPr>
            <w:r>
              <w:rPr/>
              <w:t> </w:t>
            </w:r>
          </w:p>
        </w:tc>
        <w:tc>
          <w:tcPr>
            <w:tcW w:w="171" w:type="dxa"/>
            <w:tcBorders/>
            <w:shd w:fill="E7E0EF" w:val="clear"/>
            <w:vAlign w:val="center"/>
          </w:tcPr>
          <w:p>
            <w:pPr>
              <w:pStyle w:val="TableContents"/>
              <w:bidi w:val="0"/>
              <w:spacing w:before="0" w:after="0"/>
              <w:jc w:val="left"/>
              <w:rPr/>
            </w:pPr>
            <w:r>
              <w:rPr/>
              <w:t> </w:t>
            </w:r>
          </w:p>
        </w:tc>
        <w:tc>
          <w:tcPr>
            <w:tcW w:w="626" w:type="dxa"/>
            <w:tcBorders/>
            <w:shd w:fill="E7E0EF" w:val="clear"/>
            <w:vAlign w:val="center"/>
          </w:tcPr>
          <w:p>
            <w:pPr>
              <w:pStyle w:val="TableContents"/>
              <w:bidi w:val="0"/>
              <w:spacing w:before="0" w:after="283"/>
              <w:ind w:left="93" w:right="0" w:hanging="0"/>
              <w:jc w:val="left"/>
              <w:rPr>
                <w:color w:val="636466"/>
              </w:rPr>
            </w:pPr>
            <w:r>
              <w:rPr>
                <w:color w:val="636466"/>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26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Interest expense (primarily amortization of premiums and discounts on long-term debt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5" w:type="dxa"/>
            <w:tcBorders/>
            <w:vAlign w:val="center"/>
          </w:tcPr>
          <w:p>
            <w:pPr>
              <w:pStyle w:val="TableContents"/>
              <w:bidi w:val="0"/>
              <w:spacing w:before="0" w:after="283"/>
              <w:ind w:left="187" w:right="0" w:hanging="0"/>
              <w:jc w:val="left"/>
              <w:rPr>
                <w:rFonts w:ascii="Arial;Helvetica;sans-serif" w:hAnsi="Arial;Helvetica;sans-serif"/>
                <w:color w:val="636466"/>
                <w:sz w:val="16"/>
              </w:rPr>
            </w:pPr>
            <w:r>
              <w:rPr>
                <w:rFonts w:ascii="Arial;Helvetica;sans-serif" w:hAnsi="Arial;Helvetica;sans-serif"/>
                <w:color w:val="636466"/>
                <w:sz w:val="16"/>
              </w:rPr>
              <w:t>(23)</w:t>
            </w:r>
          </w:p>
        </w:tc>
        <w:tc>
          <w:tcPr>
            <w:tcW w:w="171" w:type="dxa"/>
            <w:tcBorders/>
            <w:vAlign w:val="center"/>
          </w:tcPr>
          <w:p>
            <w:pPr>
              <w:pStyle w:val="TableContents"/>
              <w:bidi w:val="0"/>
              <w:spacing w:before="0" w:after="0"/>
              <w:jc w:val="left"/>
              <w:rPr/>
            </w:pPr>
            <w:r>
              <w:rPr/>
              <w:t> </w:t>
            </w:r>
          </w:p>
        </w:tc>
        <w:tc>
          <w:tcPr>
            <w:tcW w:w="171" w:type="dxa"/>
            <w:tcBorders/>
            <w:vAlign w:val="center"/>
          </w:tcPr>
          <w:p>
            <w:pPr>
              <w:pStyle w:val="TableContents"/>
              <w:bidi w:val="0"/>
              <w:spacing w:before="0" w:after="0"/>
              <w:jc w:val="left"/>
              <w:rPr/>
            </w:pPr>
            <w:r>
              <w:rPr/>
              <w:t> </w:t>
            </w:r>
          </w:p>
        </w:tc>
        <w:tc>
          <w:tcPr>
            <w:tcW w:w="626" w:type="dxa"/>
            <w:tcBorders/>
            <w:vAlign w:val="center"/>
          </w:tcPr>
          <w:p>
            <w:pPr>
              <w:pStyle w:val="TableContents"/>
              <w:bidi w:val="0"/>
              <w:spacing w:before="0" w:after="283"/>
              <w:ind w:left="93" w:right="0" w:hanging="0"/>
              <w:jc w:val="left"/>
              <w:rPr>
                <w:color w:val="636466"/>
              </w:rPr>
            </w:pPr>
            <w:r>
              <w:rPr>
                <w:color w:val="636466"/>
              </w:rPr>
              <w:t>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6260"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Acquisition and divestiture-related costs (primarily included in SG&amp;A)</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95" w:type="dxa"/>
            <w:tcBorders/>
            <w:shd w:fill="E7E0EF" w:val="clear"/>
            <w:vAlign w:val="center"/>
          </w:tcPr>
          <w:p>
            <w:pPr>
              <w:pStyle w:val="TableContents"/>
              <w:bidi w:val="0"/>
              <w:spacing w:before="0" w:after="283"/>
              <w:ind w:left="187" w:right="0" w:hanging="0"/>
              <w:jc w:val="left"/>
              <w:rPr>
                <w:rFonts w:ascii="Arial;Helvetica;sans-serif" w:hAnsi="Arial;Helvetica;sans-serif"/>
                <w:color w:val="636466"/>
                <w:sz w:val="16"/>
              </w:rPr>
            </w:pPr>
            <w:r>
              <w:rPr>
                <w:rFonts w:ascii="Arial;Helvetica;sans-serif" w:hAnsi="Arial;Helvetica;sans-serif"/>
                <w:color w:val="636466"/>
                <w:sz w:val="16"/>
              </w:rPr>
              <w:t>361</w:t>
            </w:r>
          </w:p>
        </w:tc>
        <w:tc>
          <w:tcPr>
            <w:tcW w:w="171" w:type="dxa"/>
            <w:tcBorders/>
            <w:shd w:fill="E7E0EF" w:val="clear"/>
            <w:vAlign w:val="center"/>
          </w:tcPr>
          <w:p>
            <w:pPr>
              <w:pStyle w:val="TableContents"/>
              <w:bidi w:val="0"/>
              <w:spacing w:before="0" w:after="0"/>
              <w:jc w:val="left"/>
              <w:rPr/>
            </w:pPr>
            <w:r>
              <w:rPr/>
              <w:t> </w:t>
            </w:r>
          </w:p>
        </w:tc>
        <w:tc>
          <w:tcPr>
            <w:tcW w:w="171" w:type="dxa"/>
            <w:tcBorders/>
            <w:shd w:fill="E7E0EF" w:val="clear"/>
            <w:vAlign w:val="center"/>
          </w:tcPr>
          <w:p>
            <w:pPr>
              <w:pStyle w:val="TableContents"/>
              <w:bidi w:val="0"/>
              <w:spacing w:before="0" w:after="0"/>
              <w:jc w:val="left"/>
              <w:rPr/>
            </w:pPr>
            <w:r>
              <w:rPr/>
              <w:t> </w:t>
            </w:r>
          </w:p>
        </w:tc>
        <w:tc>
          <w:tcPr>
            <w:tcW w:w="626" w:type="dxa"/>
            <w:tcBorders/>
            <w:shd w:fill="E7E0EF" w:val="clear"/>
            <w:vAlign w:val="center"/>
          </w:tcPr>
          <w:p>
            <w:pPr>
              <w:pStyle w:val="TableContents"/>
              <w:bidi w:val="0"/>
              <w:spacing w:before="0" w:after="283"/>
              <w:ind w:left="93" w:right="0" w:hanging="0"/>
              <w:jc w:val="left"/>
              <w:rPr>
                <w:color w:val="636466"/>
              </w:rPr>
            </w:pPr>
            <w:r>
              <w:rPr>
                <w:color w:val="636466"/>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26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Loss (gain) on divestitures of businesses (included in other expense (income), net)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5" w:type="dxa"/>
            <w:tcBorders/>
            <w:vAlign w:val="center"/>
          </w:tcPr>
          <w:p>
            <w:pPr>
              <w:pStyle w:val="TableContents"/>
              <w:bidi w:val="0"/>
              <w:spacing w:before="0" w:after="283"/>
              <w:ind w:left="187" w:right="0" w:hanging="0"/>
              <w:jc w:val="left"/>
              <w:rPr>
                <w:rFonts w:ascii="Arial;Helvetica;sans-serif" w:hAnsi="Arial;Helvetica;sans-serif"/>
                <w:color w:val="636466"/>
                <w:sz w:val="16"/>
              </w:rPr>
            </w:pPr>
            <w:r>
              <w:rPr>
                <w:rFonts w:ascii="Arial;Helvetica;sans-serif" w:hAnsi="Arial;Helvetica;sans-serif"/>
                <w:color w:val="636466"/>
                <w:sz w:val="16"/>
              </w:rPr>
              <w:t>399</w:t>
            </w:r>
          </w:p>
        </w:tc>
        <w:tc>
          <w:tcPr>
            <w:tcW w:w="171" w:type="dxa"/>
            <w:tcBorders/>
            <w:vAlign w:val="center"/>
          </w:tcPr>
          <w:p>
            <w:pPr>
              <w:pStyle w:val="TableContents"/>
              <w:bidi w:val="0"/>
              <w:spacing w:before="0" w:after="0"/>
              <w:jc w:val="left"/>
              <w:rPr/>
            </w:pPr>
            <w:r>
              <w:rPr/>
              <w:t> </w:t>
            </w:r>
          </w:p>
        </w:tc>
        <w:tc>
          <w:tcPr>
            <w:tcW w:w="171" w:type="dxa"/>
            <w:tcBorders/>
            <w:vAlign w:val="center"/>
          </w:tcPr>
          <w:p>
            <w:pPr>
              <w:pStyle w:val="TableContents"/>
              <w:bidi w:val="0"/>
              <w:spacing w:before="0" w:after="0"/>
              <w:jc w:val="left"/>
              <w:rPr/>
            </w:pPr>
            <w:r>
              <w:rPr/>
              <w:t> </w:t>
            </w:r>
          </w:p>
        </w:tc>
        <w:tc>
          <w:tcPr>
            <w:tcW w:w="626" w:type="dxa"/>
            <w:tcBorders/>
            <w:vAlign w:val="center"/>
          </w:tcPr>
          <w:p>
            <w:pPr>
              <w:pStyle w:val="TableContents"/>
              <w:bidi w:val="0"/>
              <w:spacing w:before="0" w:after="283"/>
              <w:ind w:left="93" w:right="0" w:hanging="0"/>
              <w:jc w:val="left"/>
              <w:rPr>
                <w:color w:val="636466"/>
              </w:rPr>
            </w:pPr>
            <w:r>
              <w:rPr>
                <w:color w:val="636466"/>
              </w:rPr>
              <w:t>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6260"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Restructuring-related costs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95" w:type="dxa"/>
            <w:tcBorders/>
            <w:shd w:fill="E7E0EF" w:val="clear"/>
            <w:vAlign w:val="center"/>
          </w:tcPr>
          <w:p>
            <w:pPr>
              <w:pStyle w:val="TableContents"/>
              <w:bidi w:val="0"/>
              <w:spacing w:before="0" w:after="283"/>
              <w:ind w:left="187" w:right="0" w:hanging="0"/>
              <w:jc w:val="left"/>
              <w:rPr>
                <w:rFonts w:ascii="Arial;Helvetica;sans-serif" w:hAnsi="Arial;Helvetica;sans-serif"/>
                <w:color w:val="636466"/>
                <w:sz w:val="16"/>
              </w:rPr>
            </w:pPr>
            <w:r>
              <w:rPr>
                <w:rFonts w:ascii="Arial;Helvetica;sans-serif" w:hAnsi="Arial;Helvetica;sans-serif"/>
                <w:color w:val="636466"/>
                <w:sz w:val="16"/>
              </w:rPr>
              <w:t>211</w:t>
            </w:r>
          </w:p>
        </w:tc>
        <w:tc>
          <w:tcPr>
            <w:tcW w:w="171" w:type="dxa"/>
            <w:tcBorders/>
            <w:shd w:fill="E7E0EF" w:val="clear"/>
            <w:vAlign w:val="center"/>
          </w:tcPr>
          <w:p>
            <w:pPr>
              <w:pStyle w:val="TableContents"/>
              <w:bidi w:val="0"/>
              <w:spacing w:before="0" w:after="0"/>
              <w:jc w:val="left"/>
              <w:rPr/>
            </w:pPr>
            <w:r>
              <w:rPr/>
              <w:t> </w:t>
            </w:r>
          </w:p>
        </w:tc>
        <w:tc>
          <w:tcPr>
            <w:tcW w:w="171" w:type="dxa"/>
            <w:tcBorders/>
            <w:shd w:fill="E7E0EF" w:val="clear"/>
            <w:vAlign w:val="center"/>
          </w:tcPr>
          <w:p>
            <w:pPr>
              <w:pStyle w:val="TableContents"/>
              <w:bidi w:val="0"/>
              <w:spacing w:before="0" w:after="0"/>
              <w:jc w:val="left"/>
              <w:rPr/>
            </w:pPr>
            <w:r>
              <w:rPr/>
              <w:t> </w:t>
            </w:r>
          </w:p>
        </w:tc>
        <w:tc>
          <w:tcPr>
            <w:tcW w:w="626" w:type="dxa"/>
            <w:tcBorders/>
            <w:shd w:fill="E7E0EF" w:val="clear"/>
            <w:vAlign w:val="center"/>
          </w:tcPr>
          <w:p>
            <w:pPr>
              <w:pStyle w:val="TableContents"/>
              <w:bidi w:val="0"/>
              <w:spacing w:before="0" w:after="283"/>
              <w:ind w:left="93" w:right="0" w:hanging="0"/>
              <w:jc w:val="left"/>
              <w:rPr>
                <w:color w:val="636466"/>
              </w:rPr>
            </w:pPr>
            <w:r>
              <w:rPr>
                <w:color w:val="636466"/>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26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Share-based compensation expense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5" w:type="dxa"/>
            <w:tcBorders/>
            <w:vAlign w:val="center"/>
          </w:tcPr>
          <w:p>
            <w:pPr>
              <w:pStyle w:val="TableContents"/>
              <w:bidi w:val="0"/>
              <w:spacing w:before="0" w:after="283"/>
              <w:ind w:left="187" w:right="0" w:hanging="0"/>
              <w:jc w:val="left"/>
              <w:rPr>
                <w:rFonts w:ascii="Arial;Helvetica;sans-serif" w:hAnsi="Arial;Helvetica;sans-serif"/>
                <w:color w:val="636466"/>
                <w:sz w:val="16"/>
              </w:rPr>
            </w:pPr>
            <w:r>
              <w:rPr>
                <w:rFonts w:ascii="Arial;Helvetica;sans-serif" w:hAnsi="Arial;Helvetica;sans-serif"/>
                <w:color w:val="636466"/>
                <w:sz w:val="16"/>
              </w:rPr>
              <w:t>146</w:t>
            </w:r>
          </w:p>
        </w:tc>
        <w:tc>
          <w:tcPr>
            <w:tcW w:w="171" w:type="dxa"/>
            <w:tcBorders/>
            <w:vAlign w:val="center"/>
          </w:tcPr>
          <w:p>
            <w:pPr>
              <w:pStyle w:val="TableContents"/>
              <w:bidi w:val="0"/>
              <w:spacing w:before="0" w:after="0"/>
              <w:jc w:val="left"/>
              <w:rPr/>
            </w:pPr>
            <w:r>
              <w:rPr/>
              <w:t> </w:t>
            </w:r>
          </w:p>
        </w:tc>
        <w:tc>
          <w:tcPr>
            <w:tcW w:w="171" w:type="dxa"/>
            <w:tcBorders/>
            <w:vAlign w:val="center"/>
          </w:tcPr>
          <w:p>
            <w:pPr>
              <w:pStyle w:val="TableContents"/>
              <w:bidi w:val="0"/>
              <w:spacing w:before="0" w:after="0"/>
              <w:jc w:val="left"/>
              <w:rPr/>
            </w:pPr>
            <w:r>
              <w:rPr/>
              <w:t> </w:t>
            </w:r>
          </w:p>
        </w:tc>
        <w:tc>
          <w:tcPr>
            <w:tcW w:w="626" w:type="dxa"/>
            <w:tcBorders/>
            <w:vAlign w:val="center"/>
          </w:tcPr>
          <w:p>
            <w:pPr>
              <w:pStyle w:val="TableContents"/>
              <w:bidi w:val="0"/>
              <w:spacing w:before="0" w:after="283"/>
              <w:ind w:left="93" w:right="0" w:hanging="0"/>
              <w:jc w:val="left"/>
              <w:rPr>
                <w:color w:val="636466"/>
              </w:rPr>
            </w:pPr>
            <w:r>
              <w:rPr>
                <w:color w:val="636466"/>
              </w:rPr>
              <w:t>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6260"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Other special items included in:</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95" w:type="dxa"/>
            <w:tcBorders/>
            <w:shd w:fill="E7E0EF" w:val="clear"/>
            <w:vAlign w:val="center"/>
          </w:tcPr>
          <w:p>
            <w:pPr>
              <w:pStyle w:val="TableContents"/>
              <w:bidi w:val="0"/>
              <w:spacing w:before="0" w:after="283"/>
              <w:ind w:left="187" w:right="0" w:hanging="0"/>
              <w:jc w:val="left"/>
              <w:rPr>
                <w:color w:val="636466"/>
              </w:rPr>
            </w:pPr>
            <w:r>
              <w:rPr>
                <w:color w:val="636466"/>
              </w:rPr>
              <w:t> </w:t>
            </w:r>
          </w:p>
        </w:tc>
        <w:tc>
          <w:tcPr>
            <w:tcW w:w="171" w:type="dxa"/>
            <w:tcBorders/>
            <w:shd w:fill="E7E0EF" w:val="clear"/>
            <w:vAlign w:val="center"/>
          </w:tcPr>
          <w:p>
            <w:pPr>
              <w:pStyle w:val="TableContents"/>
              <w:bidi w:val="0"/>
              <w:spacing w:before="0" w:after="0"/>
              <w:jc w:val="left"/>
              <w:rPr/>
            </w:pPr>
            <w:r>
              <w:rPr/>
              <w:t> </w:t>
            </w:r>
          </w:p>
        </w:tc>
        <w:tc>
          <w:tcPr>
            <w:tcW w:w="171" w:type="dxa"/>
            <w:tcBorders/>
            <w:shd w:fill="E7E0EF" w:val="clear"/>
            <w:vAlign w:val="center"/>
          </w:tcPr>
          <w:p>
            <w:pPr>
              <w:pStyle w:val="TableContents"/>
              <w:bidi w:val="0"/>
              <w:spacing w:before="0" w:after="0"/>
              <w:jc w:val="left"/>
              <w:rPr/>
            </w:pPr>
            <w:r>
              <w:rPr/>
              <w:t> </w:t>
            </w:r>
          </w:p>
        </w:tc>
        <w:tc>
          <w:tcPr>
            <w:tcW w:w="626" w:type="dxa"/>
            <w:tcBorders/>
            <w:shd w:fill="E7E0EF" w:val="clear"/>
            <w:vAlign w:val="center"/>
          </w:tcPr>
          <w:p>
            <w:pPr>
              <w:pStyle w:val="TableContents"/>
              <w:bidi w:val="0"/>
              <w:spacing w:before="0" w:after="283"/>
              <w:ind w:left="93" w:right="0" w:hanging="0"/>
              <w:jc w:val="left"/>
              <w:rPr>
                <w:color w:val="636466"/>
              </w:rPr>
            </w:pPr>
            <w:r>
              <w:rPr>
                <w:color w:val="636466"/>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260" w:type="dxa"/>
            <w:tcBorders/>
            <w:vAlign w:val="center"/>
          </w:tcPr>
          <w:p>
            <w:pPr>
              <w:pStyle w:val="TableContents"/>
              <w:bidi w:val="0"/>
              <w:spacing w:before="0" w:after="283"/>
              <w:ind w:left="230" w:right="0" w:hanging="0"/>
              <w:jc w:val="left"/>
              <w:rPr>
                <w:rFonts w:ascii="Arial;Helvetica;sans-serif" w:hAnsi="Arial;Helvetica;sans-serif"/>
                <w:color w:val="636466"/>
                <w:sz w:val="16"/>
              </w:rPr>
            </w:pPr>
            <w:r>
              <w:rPr>
                <w:rFonts w:ascii="Arial;Helvetica;sans-serif" w:hAnsi="Arial;Helvetica;sans-serif"/>
                <w:color w:val="636466"/>
                <w:sz w:val="16"/>
              </w:rPr>
              <w:t>Cost of sales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5" w:type="dxa"/>
            <w:tcBorders/>
            <w:vAlign w:val="center"/>
          </w:tcPr>
          <w:p>
            <w:pPr>
              <w:pStyle w:val="TableContents"/>
              <w:bidi w:val="0"/>
              <w:spacing w:before="0" w:after="283"/>
              <w:ind w:left="187" w:right="0" w:hanging="0"/>
              <w:jc w:val="left"/>
              <w:rPr>
                <w:rFonts w:ascii="Arial;Helvetica;sans-serif" w:hAnsi="Arial;Helvetica;sans-serif"/>
                <w:color w:val="636466"/>
                <w:sz w:val="16"/>
              </w:rPr>
            </w:pPr>
            <w:r>
              <w:rPr>
                <w:rFonts w:ascii="Arial;Helvetica;sans-serif" w:hAnsi="Arial;Helvetica;sans-serif"/>
                <w:color w:val="636466"/>
                <w:sz w:val="16"/>
              </w:rPr>
              <w:t>143</w:t>
            </w:r>
          </w:p>
        </w:tc>
        <w:tc>
          <w:tcPr>
            <w:tcW w:w="171" w:type="dxa"/>
            <w:tcBorders/>
            <w:vAlign w:val="center"/>
          </w:tcPr>
          <w:p>
            <w:pPr>
              <w:pStyle w:val="TableContents"/>
              <w:bidi w:val="0"/>
              <w:spacing w:before="0" w:after="0"/>
              <w:jc w:val="left"/>
              <w:rPr/>
            </w:pPr>
            <w:r>
              <w:rPr/>
              <w:t> </w:t>
            </w:r>
          </w:p>
        </w:tc>
        <w:tc>
          <w:tcPr>
            <w:tcW w:w="171" w:type="dxa"/>
            <w:tcBorders/>
            <w:vAlign w:val="center"/>
          </w:tcPr>
          <w:p>
            <w:pPr>
              <w:pStyle w:val="TableContents"/>
              <w:bidi w:val="0"/>
              <w:spacing w:before="0" w:after="0"/>
              <w:jc w:val="left"/>
              <w:rPr/>
            </w:pPr>
            <w:r>
              <w:rPr/>
              <w:t> </w:t>
            </w:r>
          </w:p>
        </w:tc>
        <w:tc>
          <w:tcPr>
            <w:tcW w:w="626" w:type="dxa"/>
            <w:tcBorders/>
            <w:vAlign w:val="center"/>
          </w:tcPr>
          <w:p>
            <w:pPr>
              <w:pStyle w:val="TableContents"/>
              <w:bidi w:val="0"/>
              <w:spacing w:before="0" w:after="283"/>
              <w:ind w:left="93" w:right="0" w:hanging="0"/>
              <w:jc w:val="left"/>
              <w:rPr>
                <w:color w:val="636466"/>
              </w:rPr>
            </w:pPr>
            <w:r>
              <w:rPr>
                <w:color w:val="636466"/>
              </w:rPr>
              <w:t>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6260" w:type="dxa"/>
            <w:tcBorders/>
            <w:shd w:fill="E7E0EF" w:val="clear"/>
            <w:vAlign w:val="center"/>
          </w:tcPr>
          <w:p>
            <w:pPr>
              <w:pStyle w:val="TableContents"/>
              <w:bidi w:val="0"/>
              <w:spacing w:before="0" w:after="283"/>
              <w:ind w:left="230" w:right="0" w:hanging="0"/>
              <w:jc w:val="left"/>
              <w:rPr>
                <w:rFonts w:ascii="Arial;Helvetica;sans-serif" w:hAnsi="Arial;Helvetica;sans-serif"/>
                <w:color w:val="636466"/>
                <w:sz w:val="16"/>
              </w:rPr>
            </w:pPr>
            <w:r>
              <w:rPr>
                <w:rFonts w:ascii="Arial;Helvetica;sans-serif" w:hAnsi="Arial;Helvetica;sans-serif"/>
                <w:color w:val="636466"/>
                <w:sz w:val="16"/>
              </w:rPr>
              <w:t>Research and development expense</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95" w:type="dxa"/>
            <w:tcBorders/>
            <w:shd w:fill="E7E0EF" w:val="clear"/>
            <w:vAlign w:val="center"/>
          </w:tcPr>
          <w:p>
            <w:pPr>
              <w:pStyle w:val="TableContents"/>
              <w:bidi w:val="0"/>
              <w:spacing w:before="0" w:after="283"/>
              <w:ind w:left="187" w:right="0" w:hanging="0"/>
              <w:jc w:val="left"/>
              <w:rPr>
                <w:rFonts w:ascii="Arial;Helvetica;sans-serif" w:hAnsi="Arial;Helvetica;sans-serif"/>
                <w:color w:val="636466"/>
                <w:sz w:val="16"/>
              </w:rPr>
            </w:pPr>
            <w:r>
              <w:rPr>
                <w:rFonts w:ascii="Arial;Helvetica;sans-serif" w:hAnsi="Arial;Helvetica;sans-serif"/>
                <w:color w:val="636466"/>
                <w:sz w:val="16"/>
              </w:rPr>
              <w:t>3</w:t>
            </w:r>
          </w:p>
        </w:tc>
        <w:tc>
          <w:tcPr>
            <w:tcW w:w="171" w:type="dxa"/>
            <w:tcBorders/>
            <w:shd w:fill="E7E0EF" w:val="clear"/>
            <w:vAlign w:val="center"/>
          </w:tcPr>
          <w:p>
            <w:pPr>
              <w:pStyle w:val="TableContents"/>
              <w:bidi w:val="0"/>
              <w:spacing w:before="0" w:after="0"/>
              <w:jc w:val="left"/>
              <w:rPr/>
            </w:pPr>
            <w:r>
              <w:rPr/>
              <w:t> </w:t>
            </w:r>
          </w:p>
        </w:tc>
        <w:tc>
          <w:tcPr>
            <w:tcW w:w="171" w:type="dxa"/>
            <w:tcBorders/>
            <w:shd w:fill="E7E0EF" w:val="clear"/>
            <w:vAlign w:val="center"/>
          </w:tcPr>
          <w:p>
            <w:pPr>
              <w:pStyle w:val="TableContents"/>
              <w:bidi w:val="0"/>
              <w:spacing w:before="0" w:after="0"/>
              <w:jc w:val="left"/>
              <w:rPr/>
            </w:pPr>
            <w:r>
              <w:rPr/>
              <w:t> </w:t>
            </w:r>
          </w:p>
        </w:tc>
        <w:tc>
          <w:tcPr>
            <w:tcW w:w="626" w:type="dxa"/>
            <w:tcBorders/>
            <w:shd w:fill="E7E0EF" w:val="clear"/>
            <w:vAlign w:val="center"/>
          </w:tcPr>
          <w:p>
            <w:pPr>
              <w:pStyle w:val="TableContents"/>
              <w:bidi w:val="0"/>
              <w:spacing w:before="0" w:after="283"/>
              <w:ind w:left="93" w:right="0" w:hanging="0"/>
              <w:jc w:val="left"/>
              <w:rPr>
                <w:color w:val="636466"/>
              </w:rPr>
            </w:pPr>
            <w:r>
              <w:rPr>
                <w:color w:val="636466"/>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260" w:type="dxa"/>
            <w:tcBorders/>
            <w:vAlign w:val="center"/>
          </w:tcPr>
          <w:p>
            <w:pPr>
              <w:pStyle w:val="TableContents"/>
              <w:bidi w:val="0"/>
              <w:spacing w:before="0" w:after="283"/>
              <w:ind w:left="230" w:right="0" w:hanging="0"/>
              <w:jc w:val="left"/>
              <w:rPr>
                <w:rFonts w:ascii="Arial;Helvetica;sans-serif" w:hAnsi="Arial;Helvetica;sans-serif"/>
                <w:color w:val="636466"/>
                <w:sz w:val="16"/>
              </w:rPr>
            </w:pPr>
            <w:r>
              <w:rPr>
                <w:rFonts w:ascii="Arial;Helvetica;sans-serif" w:hAnsi="Arial;Helvetica;sans-serif"/>
                <w:color w:val="636466"/>
                <w:sz w:val="16"/>
              </w:rPr>
              <w:t>Selling, general and administrative expense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5" w:type="dxa"/>
            <w:tcBorders/>
            <w:vAlign w:val="center"/>
          </w:tcPr>
          <w:p>
            <w:pPr>
              <w:pStyle w:val="TableContents"/>
              <w:bidi w:val="0"/>
              <w:spacing w:before="0" w:after="283"/>
              <w:ind w:left="187" w:right="0" w:hanging="0"/>
              <w:jc w:val="left"/>
              <w:rPr>
                <w:rFonts w:ascii="Arial;Helvetica;sans-serif" w:hAnsi="Arial;Helvetica;sans-serif"/>
                <w:color w:val="636466"/>
                <w:sz w:val="16"/>
              </w:rPr>
            </w:pPr>
            <w:r>
              <w:rPr>
                <w:rFonts w:ascii="Arial;Helvetica;sans-serif" w:hAnsi="Arial;Helvetica;sans-serif"/>
                <w:color w:val="636466"/>
                <w:sz w:val="16"/>
              </w:rPr>
              <w:t>90</w:t>
            </w:r>
          </w:p>
        </w:tc>
        <w:tc>
          <w:tcPr>
            <w:tcW w:w="171" w:type="dxa"/>
            <w:tcBorders/>
            <w:vAlign w:val="center"/>
          </w:tcPr>
          <w:p>
            <w:pPr>
              <w:pStyle w:val="TableContents"/>
              <w:bidi w:val="0"/>
              <w:spacing w:before="0" w:after="0"/>
              <w:jc w:val="left"/>
              <w:rPr/>
            </w:pPr>
            <w:r>
              <w:rPr/>
              <w:t> </w:t>
            </w:r>
          </w:p>
        </w:tc>
        <w:tc>
          <w:tcPr>
            <w:tcW w:w="171" w:type="dxa"/>
            <w:tcBorders/>
            <w:vAlign w:val="center"/>
          </w:tcPr>
          <w:p>
            <w:pPr>
              <w:pStyle w:val="TableContents"/>
              <w:bidi w:val="0"/>
              <w:spacing w:before="0" w:after="0"/>
              <w:jc w:val="left"/>
              <w:rPr/>
            </w:pPr>
            <w:r>
              <w:rPr/>
              <w:t> </w:t>
            </w:r>
          </w:p>
        </w:tc>
        <w:tc>
          <w:tcPr>
            <w:tcW w:w="626" w:type="dxa"/>
            <w:tcBorders/>
            <w:vAlign w:val="center"/>
          </w:tcPr>
          <w:p>
            <w:pPr>
              <w:pStyle w:val="TableContents"/>
              <w:bidi w:val="0"/>
              <w:spacing w:before="0" w:after="283"/>
              <w:ind w:left="93" w:right="0" w:hanging="0"/>
              <w:jc w:val="left"/>
              <w:rPr>
                <w:color w:val="636466"/>
              </w:rPr>
            </w:pPr>
            <w:r>
              <w:rPr>
                <w:color w:val="636466"/>
              </w:rPr>
              <w:t>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6260" w:type="dxa"/>
            <w:tcBorders/>
            <w:shd w:fill="E7E0EF" w:val="clear"/>
            <w:vAlign w:val="center"/>
          </w:tcPr>
          <w:p>
            <w:pPr>
              <w:pStyle w:val="TableContents"/>
              <w:bidi w:val="0"/>
              <w:spacing w:before="0" w:after="283"/>
              <w:ind w:left="230" w:right="0" w:hanging="0"/>
              <w:jc w:val="left"/>
              <w:rPr>
                <w:rFonts w:ascii="Arial;Helvetica;sans-serif" w:hAnsi="Arial;Helvetica;sans-serif"/>
                <w:color w:val="636466"/>
                <w:sz w:val="16"/>
              </w:rPr>
            </w:pPr>
            <w:r>
              <w:rPr>
                <w:rFonts w:ascii="Arial;Helvetica;sans-serif" w:hAnsi="Arial;Helvetica;sans-serif"/>
                <w:color w:val="636466"/>
                <w:sz w:val="16"/>
              </w:rPr>
              <w:t>Other expense (income), net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95" w:type="dxa"/>
            <w:tcBorders/>
            <w:shd w:fill="E7E0EF" w:val="clear"/>
            <w:vAlign w:val="center"/>
          </w:tcPr>
          <w:p>
            <w:pPr>
              <w:pStyle w:val="TableContents"/>
              <w:bidi w:val="0"/>
              <w:spacing w:before="0" w:after="283"/>
              <w:ind w:left="187" w:right="0" w:hanging="0"/>
              <w:jc w:val="left"/>
              <w:rPr>
                <w:rFonts w:ascii="Arial;Helvetica;sans-serif" w:hAnsi="Arial;Helvetica;sans-serif"/>
                <w:color w:val="636466"/>
                <w:sz w:val="16"/>
              </w:rPr>
            </w:pPr>
            <w:r>
              <w:rPr>
                <w:rFonts w:ascii="Arial;Helvetica;sans-serif" w:hAnsi="Arial;Helvetica;sans-serif"/>
                <w:color w:val="636466"/>
                <w:sz w:val="16"/>
              </w:rPr>
              <w:t>(160)</w:t>
            </w:r>
          </w:p>
        </w:tc>
        <w:tc>
          <w:tcPr>
            <w:tcW w:w="171" w:type="dxa"/>
            <w:tcBorders/>
            <w:shd w:fill="E7E0EF" w:val="clear"/>
            <w:vAlign w:val="center"/>
          </w:tcPr>
          <w:p>
            <w:pPr>
              <w:pStyle w:val="TableContents"/>
              <w:bidi w:val="0"/>
              <w:spacing w:before="0" w:after="0"/>
              <w:jc w:val="left"/>
              <w:rPr/>
            </w:pPr>
            <w:r>
              <w:rPr/>
              <w:t> </w:t>
            </w:r>
          </w:p>
        </w:tc>
        <w:tc>
          <w:tcPr>
            <w:tcW w:w="171" w:type="dxa"/>
            <w:tcBorders/>
            <w:shd w:fill="E7E0EF" w:val="clear"/>
            <w:vAlign w:val="center"/>
          </w:tcPr>
          <w:p>
            <w:pPr>
              <w:pStyle w:val="TableContents"/>
              <w:bidi w:val="0"/>
              <w:spacing w:before="0" w:after="0"/>
              <w:jc w:val="left"/>
              <w:rPr/>
            </w:pPr>
            <w:r>
              <w:rPr/>
              <w:t> </w:t>
            </w:r>
          </w:p>
        </w:tc>
        <w:tc>
          <w:tcPr>
            <w:tcW w:w="626" w:type="dxa"/>
            <w:tcBorders/>
            <w:shd w:fill="E7E0EF" w:val="clear"/>
            <w:vAlign w:val="center"/>
          </w:tcPr>
          <w:p>
            <w:pPr>
              <w:pStyle w:val="TableContents"/>
              <w:bidi w:val="0"/>
              <w:spacing w:before="0" w:after="283"/>
              <w:ind w:left="93" w:right="0" w:hanging="0"/>
              <w:jc w:val="left"/>
              <w:rPr>
                <w:color w:val="636466"/>
              </w:rPr>
            </w:pPr>
            <w:r>
              <w:rPr>
                <w:color w:val="636466"/>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26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Tax effect of the above items and other income tax related items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5" w:type="dxa"/>
            <w:tcBorders/>
            <w:vAlign w:val="center"/>
          </w:tcPr>
          <w:p>
            <w:pPr>
              <w:pStyle w:val="TableContents"/>
              <w:bidi w:val="0"/>
              <w:spacing w:before="0" w:after="283"/>
              <w:ind w:left="187" w:right="0" w:hanging="0"/>
              <w:jc w:val="left"/>
              <w:rPr>
                <w:rFonts w:ascii="Arial;Helvetica;sans-serif" w:hAnsi="Arial;Helvetica;sans-serif"/>
                <w:color w:val="636466"/>
                <w:sz w:val="16"/>
              </w:rPr>
            </w:pPr>
            <w:r>
              <w:rPr>
                <w:rFonts w:ascii="Arial;Helvetica;sans-serif" w:hAnsi="Arial;Helvetica;sans-serif"/>
                <w:color w:val="636466"/>
                <w:sz w:val="16"/>
                <w:bdr w:val="single" w:sz="8" w:space="4" w:color="000000"/>
              </w:rPr>
              <w:t>(597</w:t>
            </w:r>
            <w:r>
              <w:rPr>
                <w:rFonts w:ascii="Arial;Helvetica;sans-serif" w:hAnsi="Arial;Helvetica;sans-serif"/>
                <w:color w:val="636466"/>
                <w:sz w:val="16"/>
              </w:rPr>
              <w:t>)</w:t>
            </w:r>
          </w:p>
        </w:tc>
        <w:tc>
          <w:tcPr>
            <w:tcW w:w="171" w:type="dxa"/>
            <w:tcBorders/>
            <w:vAlign w:val="center"/>
          </w:tcPr>
          <w:p>
            <w:pPr>
              <w:pStyle w:val="TableContents"/>
              <w:bidi w:val="0"/>
              <w:spacing w:before="0" w:after="0"/>
              <w:jc w:val="left"/>
              <w:rPr/>
            </w:pPr>
            <w:r>
              <w:rPr/>
              <w:t> </w:t>
            </w:r>
          </w:p>
        </w:tc>
        <w:tc>
          <w:tcPr>
            <w:tcW w:w="171" w:type="dxa"/>
            <w:tcBorders/>
            <w:vAlign w:val="center"/>
          </w:tcPr>
          <w:p>
            <w:pPr>
              <w:pStyle w:val="TableContents"/>
              <w:bidi w:val="0"/>
              <w:spacing w:before="0" w:after="0"/>
              <w:jc w:val="left"/>
              <w:rPr/>
            </w:pPr>
            <w:r>
              <w:rPr/>
              <w:t> </w:t>
            </w:r>
          </w:p>
        </w:tc>
        <w:tc>
          <w:tcPr>
            <w:tcW w:w="626" w:type="dxa"/>
            <w:tcBorders/>
            <w:vAlign w:val="center"/>
          </w:tcPr>
          <w:p>
            <w:pPr>
              <w:pStyle w:val="TableContents"/>
              <w:bidi w:val="0"/>
              <w:spacing w:before="0" w:after="283"/>
              <w:ind w:left="93" w:right="0" w:hanging="0"/>
              <w:jc w:val="left"/>
              <w:rPr>
                <w:color w:val="636466"/>
              </w:rPr>
            </w:pPr>
            <w:r>
              <w:rPr>
                <w:color w:val="636466"/>
              </w:rPr>
              <w:t>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6260"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Adjusted net earnings and adjusted EPS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95" w:type="dxa"/>
            <w:tcBorders/>
            <w:shd w:fill="E7E0EF" w:val="clear"/>
            <w:vAlign w:val="center"/>
          </w:tcPr>
          <w:p>
            <w:pPr>
              <w:pStyle w:val="TableContents"/>
              <w:bidi w:val="0"/>
              <w:spacing w:before="0" w:after="283"/>
              <w:ind w:left="187" w:right="0" w:hanging="0"/>
              <w:jc w:val="left"/>
              <w:rPr>
                <w:rFonts w:ascii="Arial;Helvetica;sans-serif" w:hAnsi="Arial;Helvetica;sans-serif"/>
                <w:color w:val="636466"/>
                <w:sz w:val="16"/>
                <w:bdr w:val="double" w:sz="8" w:space="3" w:color="000000"/>
              </w:rPr>
            </w:pPr>
            <w:r>
              <w:rPr>
                <w:rFonts w:ascii="Arial;Helvetica;sans-serif" w:hAnsi="Arial;Helvetica;sans-serif"/>
                <w:color w:val="636466"/>
                <w:sz w:val="16"/>
                <w:bdr w:val="double" w:sz="8" w:space="3" w:color="000000"/>
              </w:rPr>
              <w:t>$3,192</w:t>
            </w:r>
          </w:p>
        </w:tc>
        <w:tc>
          <w:tcPr>
            <w:tcW w:w="171" w:type="dxa"/>
            <w:tcBorders/>
            <w:shd w:fill="E7E0EF" w:val="clear"/>
            <w:vAlign w:val="center"/>
          </w:tcPr>
          <w:p>
            <w:pPr>
              <w:pStyle w:val="TableContents"/>
              <w:bidi w:val="0"/>
              <w:spacing w:before="0" w:after="0"/>
              <w:jc w:val="left"/>
              <w:rPr/>
            </w:pPr>
            <w:r>
              <w:rPr/>
              <w:t> </w:t>
            </w:r>
          </w:p>
        </w:tc>
        <w:tc>
          <w:tcPr>
            <w:tcW w:w="171" w:type="dxa"/>
            <w:tcBorders/>
            <w:shd w:fill="E7E0EF" w:val="clear"/>
            <w:vAlign w:val="center"/>
          </w:tcPr>
          <w:p>
            <w:pPr>
              <w:pStyle w:val="TableContents"/>
              <w:bidi w:val="0"/>
              <w:spacing w:before="0" w:after="0"/>
              <w:jc w:val="left"/>
              <w:rPr/>
            </w:pPr>
            <w:r>
              <w:rPr/>
              <w:t> </w:t>
            </w:r>
          </w:p>
        </w:tc>
        <w:tc>
          <w:tcPr>
            <w:tcW w:w="626" w:type="dxa"/>
            <w:tcBorders/>
            <w:shd w:fill="E7E0EF" w:val="clear"/>
            <w:vAlign w:val="center"/>
          </w:tcPr>
          <w:p>
            <w:pPr>
              <w:pStyle w:val="TableContents"/>
              <w:bidi w:val="0"/>
              <w:spacing w:before="0" w:after="283"/>
              <w:ind w:left="93" w:right="0" w:hanging="0"/>
              <w:jc w:val="left"/>
              <w:rPr>
                <w:rFonts w:ascii="Arial;Helvetica;sans-serif" w:hAnsi="Arial;Helvetica;sans-serif"/>
                <w:color w:val="636466"/>
                <w:sz w:val="16"/>
              </w:rPr>
            </w:pPr>
            <w:r>
              <w:rPr>
                <w:rFonts w:ascii="Arial;Helvetica;sans-serif" w:hAnsi="Arial;Helvetica;sans-serif"/>
                <w:color w:val="636466"/>
                <w:sz w:val="16"/>
              </w:rPr>
              <w:t xml:space="preserve">$2.65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26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Weighted average diluted shares outstanding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5" w:type="dxa"/>
            <w:tcBorders/>
            <w:vAlign w:val="center"/>
          </w:tcPr>
          <w:p>
            <w:pPr>
              <w:pStyle w:val="TableContents"/>
              <w:bidi w:val="0"/>
              <w:spacing w:before="0" w:after="283"/>
              <w:ind w:left="187" w:right="0" w:hanging="0"/>
              <w:jc w:val="left"/>
              <w:rPr>
                <w:rFonts w:ascii="Arial;Helvetica;sans-serif" w:hAnsi="Arial;Helvetica;sans-serif"/>
                <w:color w:val="636466"/>
                <w:sz w:val="16"/>
              </w:rPr>
            </w:pPr>
            <w:r>
              <w:rPr>
                <w:rFonts w:ascii="Arial;Helvetica;sans-serif" w:hAnsi="Arial;Helvetica;sans-serif"/>
                <w:color w:val="636466"/>
                <w:sz w:val="16"/>
              </w:rPr>
              <w:t>1,202.7</w:t>
            </w:r>
          </w:p>
        </w:tc>
        <w:tc>
          <w:tcPr>
            <w:tcW w:w="171" w:type="dxa"/>
            <w:tcBorders/>
            <w:vAlign w:val="center"/>
          </w:tcPr>
          <w:p>
            <w:pPr>
              <w:pStyle w:val="TableContents"/>
              <w:bidi w:val="0"/>
              <w:spacing w:before="0" w:after="0"/>
              <w:jc w:val="left"/>
              <w:rPr/>
            </w:pPr>
            <w:r>
              <w:rPr/>
              <w:t> </w:t>
            </w:r>
          </w:p>
        </w:tc>
        <w:tc>
          <w:tcPr>
            <w:tcW w:w="171" w:type="dxa"/>
            <w:tcBorders/>
            <w:vAlign w:val="center"/>
          </w:tcPr>
          <w:p>
            <w:pPr>
              <w:pStyle w:val="TableContents"/>
              <w:bidi w:val="0"/>
              <w:spacing w:before="0" w:after="0"/>
              <w:jc w:val="left"/>
              <w:rPr/>
            </w:pPr>
            <w:r>
              <w:rPr/>
              <w:t> </w:t>
            </w:r>
          </w:p>
        </w:tc>
        <w:tc>
          <w:tcPr>
            <w:tcW w:w="626" w:type="dxa"/>
            <w:tcBorders/>
            <w:vAlign w:val="center"/>
          </w:tcPr>
          <w:p>
            <w:pPr>
              <w:pStyle w:val="TableContents"/>
              <w:bidi w:val="0"/>
              <w:spacing w:before="0" w:after="283"/>
              <w:ind w:left="93" w:right="0" w:hanging="0"/>
              <w:jc w:val="left"/>
              <w:rPr>
                <w:color w:val="636466"/>
              </w:rPr>
            </w:pPr>
            <w:r>
              <w:rPr>
                <w:color w:val="636466"/>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5" w:type="dxa"/>
            <w:tcBorders/>
            <w:vAlign w:val="center"/>
          </w:tcPr>
          <w:p>
            <w:pPr>
              <w:pStyle w:val="TableContents"/>
              <w:bidi w:val="0"/>
              <w:spacing w:before="0" w:after="0"/>
              <w:jc w:val="left"/>
              <w:rPr/>
            </w:pPr>
            <w:r>
              <w:rPr/>
              <w:t> </w:t>
            </w:r>
          </w:p>
        </w:tc>
        <w:tc>
          <w:tcPr>
            <w:tcW w:w="171" w:type="dxa"/>
            <w:tcBorders/>
            <w:vAlign w:val="center"/>
          </w:tcPr>
          <w:p>
            <w:pPr>
              <w:pStyle w:val="TableContents"/>
              <w:bidi w:val="0"/>
              <w:spacing w:before="0" w:after="0"/>
              <w:jc w:val="left"/>
              <w:rPr/>
            </w:pPr>
            <w:r>
              <w:rPr/>
              <w:t> </w:t>
            </w:r>
          </w:p>
        </w:tc>
        <w:tc>
          <w:tcPr>
            <w:tcW w:w="171" w:type="dxa"/>
            <w:tcBorders/>
            <w:vAlign w:val="center"/>
          </w:tcPr>
          <w:p>
            <w:pPr>
              <w:pStyle w:val="TableContents"/>
              <w:bidi w:val="0"/>
              <w:spacing w:before="0" w:after="0"/>
              <w:jc w:val="left"/>
              <w:rPr/>
            </w:pPr>
            <w:r>
              <w:rPr/>
              <w:t> </w:t>
            </w:r>
          </w:p>
        </w:tc>
        <w:tc>
          <w:tcPr>
            <w:tcW w:w="626"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5055" w:type="dxa"/>
        <w:jc w:val="left"/>
        <w:tblInd w:w="1060" w:type="dxa"/>
        <w:tblLayout w:type="fixed"/>
        <w:tblCellMar>
          <w:top w:w="0" w:type="dxa"/>
          <w:left w:w="0" w:type="dxa"/>
          <w:bottom w:w="0" w:type="dxa"/>
          <w:right w:w="0" w:type="dxa"/>
        </w:tblCellMar>
      </w:tblPr>
      <w:tblGrid>
        <w:gridCol w:w="2130"/>
        <w:gridCol w:w="170"/>
        <w:gridCol w:w="170"/>
        <w:gridCol w:w="2585"/>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309"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276" descr=""/>
                          <pic:cNvPicPr>
                            <a:picLocks noChangeAspect="1" noChangeArrowheads="1"/>
                          </pic:cNvPicPr>
                        </pic:nvPicPr>
                        <pic:blipFill>
                          <a:blip r:embed="rId294"/>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Statement | B-3</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310"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277" descr=""/>
                    <pic:cNvPicPr>
                      <a:picLocks noChangeAspect="1" noChangeArrowheads="1"/>
                    </pic:cNvPicPr>
                  </pic:nvPicPr>
                  <pic:blipFill>
                    <a:blip r:embed="rId295"/>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206" w:name="ny20055082x771_def14a_301-appb_pg4"/>
        <w:bookmarkEnd w:id="20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left"/>
        <w:rPr>
          <w:caps/>
          <w:color w:val="1F1C6B"/>
          <w:u w:val="single"/>
        </w:rPr>
      </w:pPr>
      <w:r>
        <w:rPr>
          <w:caps/>
          <w:color w:val="1F1C6B"/>
          <w:u w:val="single"/>
        </w:rPr>
        <w:t> </w:t>
      </w:r>
      <w:r>
        <w:rPr>
          <w:rFonts w:ascii="Arial;Helvetica;sans-serif" w:hAnsi="Arial;Helvetica;sans-serif"/>
          <w:caps/>
          <w:color w:val="1F1C6B"/>
          <w:sz w:val="18"/>
          <w:u w:val="single"/>
        </w:rPr>
        <w:t>Appendix B </w:t>
      </w:r>
    </w:p>
    <w:p>
      <w:pPr>
        <w:pStyle w:val="TextBody"/>
        <w:bidi w:val="0"/>
        <w:spacing w:before="120" w:after="283"/>
        <w:ind w:left="1060" w:right="0" w:hanging="0"/>
        <w:jc w:val="left"/>
        <w:rPr>
          <w:rFonts w:ascii="Arial;Helvetica;sans-serif" w:hAnsi="Arial;Helvetica;sans-serif"/>
          <w:b/>
          <w:color w:val="1F1C6B"/>
          <w:sz w:val="18"/>
        </w:rPr>
      </w:pPr>
      <w:r>
        <w:rPr>
          <w:rFonts w:ascii="Arial;Helvetica;sans-serif" w:hAnsi="Arial;Helvetica;sans-serif"/>
          <w:b/>
          <w:color w:val="1F1C6B"/>
          <w:sz w:val="18"/>
        </w:rPr>
        <w:t xml:space="preserve">Adjusted EBITDA </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Adjusted EBITDA for purposes of the 2024 annual compensation awards is derived from Viatris’ financial statements in the same manner as Viatris’ publicly reported adjusted EBITDA for 2024 (“as reported”), except that the calculation for the 2024 annual incentive program (“for 2024 annual incentive compensation”) utilized 2024 budgeted foreign exchange rates (“currency impact”) and further adjusts for all impacts of the Company’s divestitures following their consummation (“impact of divestitures”), acquired in-process R&amp;D (“IPR&amp;D”) costs, and the impact of divestitures. </w:t>
      </w:r>
    </w:p>
    <w:tbl>
      <w:tblPr>
        <w:tblW w:w="7620" w:type="dxa"/>
        <w:jc w:val="left"/>
        <w:tblInd w:w="1060" w:type="dxa"/>
        <w:tblLayout w:type="fixed"/>
        <w:tblCellMar>
          <w:top w:w="0" w:type="dxa"/>
          <w:left w:w="0" w:type="dxa"/>
          <w:bottom w:w="0" w:type="dxa"/>
          <w:right w:w="0" w:type="dxa"/>
        </w:tblCellMar>
      </w:tblPr>
      <w:tblGrid>
        <w:gridCol w:w="185"/>
        <w:gridCol w:w="5360"/>
        <w:gridCol w:w="170"/>
        <w:gridCol w:w="170"/>
        <w:gridCol w:w="1520"/>
        <w:gridCol w:w="215"/>
      </w:tblGrid>
      <w:tr>
        <w:trPr/>
        <w:tc>
          <w:tcPr>
            <w:tcW w:w="185" w:type="dxa"/>
            <w:tcBorders/>
            <w:shd w:fill="1F1C6B" w:val="clear"/>
            <w:vAlign w:val="center"/>
          </w:tcPr>
          <w:p>
            <w:pPr>
              <w:pStyle w:val="TableContents"/>
              <w:bidi w:val="0"/>
              <w:spacing w:before="0" w:after="0"/>
              <w:jc w:val="left"/>
              <w:rPr/>
            </w:pPr>
            <w:r>
              <w:rPr/>
              <w:t> </w:t>
            </w:r>
          </w:p>
        </w:tc>
        <w:tc>
          <w:tcPr>
            <w:tcW w:w="536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520"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5360"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(in millions)</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520" w:type="dxa"/>
            <w:tcBorders/>
            <w:shd w:fill="1F1C6B"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Year Ended</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December 31, 2024</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36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U.S. GAAP net loss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977" w:right="0" w:hanging="0"/>
              <w:jc w:val="left"/>
              <w:rPr>
                <w:rFonts w:ascii="Arial;Helvetica;sans-serif" w:hAnsi="Arial;Helvetica;sans-serif"/>
                <w:color w:val="636466"/>
                <w:sz w:val="16"/>
              </w:rPr>
            </w:pPr>
            <w:r>
              <w:rPr>
                <w:rFonts w:ascii="Arial;Helvetica;sans-serif" w:hAnsi="Arial;Helvetica;sans-serif"/>
                <w:color w:val="636466"/>
                <w:sz w:val="16"/>
              </w:rPr>
              <w:t xml:space="preserve">$(634)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360"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Add adjustments: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20" w:type="dxa"/>
            <w:tcBorders/>
            <w:shd w:fill="E7E0EF" w:val="clear"/>
            <w:vAlign w:val="center"/>
          </w:tcPr>
          <w:p>
            <w:pPr>
              <w:pStyle w:val="TableContents"/>
              <w:bidi w:val="0"/>
              <w:spacing w:before="0" w:after="283"/>
              <w:ind w:left="977" w:right="0" w:hanging="0"/>
              <w:jc w:val="left"/>
              <w:rPr>
                <w:color w:val="636466"/>
              </w:rPr>
            </w:pPr>
            <w:r>
              <w:rPr>
                <w:color w:val="636466"/>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360" w:type="dxa"/>
            <w:tcBorders/>
            <w:vAlign w:val="center"/>
          </w:tcPr>
          <w:p>
            <w:pPr>
              <w:pStyle w:val="TableContents"/>
              <w:bidi w:val="0"/>
              <w:spacing w:before="0" w:after="283"/>
              <w:ind w:left="230" w:right="0" w:hanging="0"/>
              <w:jc w:val="left"/>
              <w:rPr>
                <w:rFonts w:ascii="Arial;Helvetica;sans-serif" w:hAnsi="Arial;Helvetica;sans-serif"/>
                <w:color w:val="636466"/>
                <w:sz w:val="16"/>
              </w:rPr>
            </w:pPr>
            <w:r>
              <w:rPr>
                <w:rFonts w:ascii="Arial;Helvetica;sans-serif" w:hAnsi="Arial;Helvetica;sans-serif"/>
                <w:color w:val="636466"/>
                <w:sz w:val="16"/>
              </w:rPr>
              <w:t>Income tax provision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977" w:right="0" w:hanging="0"/>
              <w:jc w:val="left"/>
              <w:rPr>
                <w:rFonts w:ascii="Arial;Helvetica;sans-serif" w:hAnsi="Arial;Helvetica;sans-serif"/>
                <w:color w:val="636466"/>
                <w:sz w:val="16"/>
              </w:rPr>
            </w:pPr>
            <w:r>
              <w:rPr>
                <w:rFonts w:ascii="Arial;Helvetica;sans-serif" w:hAnsi="Arial;Helvetica;sans-serif"/>
                <w:color w:val="636466"/>
                <w:sz w:val="16"/>
              </w:rPr>
              <w:t xml:space="preserve">11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360" w:type="dxa"/>
            <w:tcBorders/>
            <w:shd w:fill="E7E0EF" w:val="clear"/>
            <w:vAlign w:val="center"/>
          </w:tcPr>
          <w:p>
            <w:pPr>
              <w:pStyle w:val="TableContents"/>
              <w:bidi w:val="0"/>
              <w:spacing w:before="0" w:after="283"/>
              <w:ind w:left="230" w:right="0" w:hanging="0"/>
              <w:jc w:val="left"/>
              <w:rPr>
                <w:rFonts w:ascii="Arial;Helvetica;sans-serif" w:hAnsi="Arial;Helvetica;sans-serif"/>
                <w:color w:val="636466"/>
                <w:sz w:val="16"/>
              </w:rPr>
            </w:pPr>
            <w:r>
              <w:rPr>
                <w:rFonts w:ascii="Arial;Helvetica;sans-serif" w:hAnsi="Arial;Helvetica;sans-serif"/>
                <w:color w:val="636466"/>
                <w:sz w:val="16"/>
              </w:rPr>
              <w:t>Interest expense</w:t>
            </w:r>
            <w:r>
              <w:rPr>
                <w:rFonts w:ascii="Arial;Helvetica;sans-serif" w:hAnsi="Arial;Helvetica;sans-serif"/>
                <w:color w:val="636466"/>
                <w:position w:val="5"/>
                <w:sz w:val="13"/>
                <w:sz w:val="16"/>
              </w:rPr>
              <w:t>a</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20" w:type="dxa"/>
            <w:tcBorders/>
            <w:shd w:fill="E7E0EF" w:val="clear"/>
            <w:vAlign w:val="center"/>
          </w:tcPr>
          <w:p>
            <w:pPr>
              <w:pStyle w:val="TableContents"/>
              <w:bidi w:val="0"/>
              <w:spacing w:before="0" w:after="283"/>
              <w:ind w:left="977" w:right="0" w:hanging="0"/>
              <w:jc w:val="left"/>
              <w:rPr>
                <w:rFonts w:ascii="Arial;Helvetica;sans-serif" w:hAnsi="Arial;Helvetica;sans-serif"/>
                <w:color w:val="636466"/>
                <w:sz w:val="16"/>
              </w:rPr>
            </w:pPr>
            <w:r>
              <w:rPr>
                <w:rFonts w:ascii="Arial;Helvetica;sans-serif" w:hAnsi="Arial;Helvetica;sans-serif"/>
                <w:color w:val="636466"/>
                <w:sz w:val="16"/>
              </w:rPr>
              <w:t xml:space="preserve">550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360" w:type="dxa"/>
            <w:tcBorders/>
            <w:vAlign w:val="center"/>
          </w:tcPr>
          <w:p>
            <w:pPr>
              <w:pStyle w:val="TableContents"/>
              <w:bidi w:val="0"/>
              <w:spacing w:before="0" w:after="283"/>
              <w:ind w:left="230" w:right="0" w:hanging="0"/>
              <w:jc w:val="left"/>
              <w:rPr>
                <w:rFonts w:ascii="Arial;Helvetica;sans-serif" w:hAnsi="Arial;Helvetica;sans-serif"/>
                <w:color w:val="636466"/>
                <w:sz w:val="16"/>
              </w:rPr>
            </w:pPr>
            <w:r>
              <w:rPr>
                <w:rFonts w:ascii="Arial;Helvetica;sans-serif" w:hAnsi="Arial;Helvetica;sans-serif"/>
                <w:color w:val="636466"/>
                <w:sz w:val="16"/>
              </w:rPr>
              <w:t>Depreciation and amortization</w:t>
            </w:r>
            <w:r>
              <w:rPr>
                <w:rFonts w:ascii="Arial;Helvetica;sans-serif" w:hAnsi="Arial;Helvetica;sans-serif"/>
                <w:color w:val="636466"/>
                <w:position w:val="5"/>
                <w:sz w:val="13"/>
                <w:sz w:val="16"/>
              </w:rPr>
              <w:t>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977" w:right="0" w:hanging="0"/>
              <w:jc w:val="left"/>
              <w:rPr>
                <w:rFonts w:ascii="Arial;Helvetica;sans-serif" w:hAnsi="Arial;Helvetica;sans-serif"/>
                <w:color w:val="636466"/>
                <w:sz w:val="16"/>
                <w:bdr w:val="single" w:sz="8" w:space="4" w:color="000000"/>
              </w:rPr>
            </w:pPr>
            <w:r>
              <w:rPr>
                <w:rFonts w:ascii="Arial;Helvetica;sans-serif" w:hAnsi="Arial;Helvetica;sans-serif"/>
                <w:color w:val="636466"/>
                <w:sz w:val="16"/>
                <w:bdr w:val="single" w:sz="8" w:space="4" w:color="000000"/>
              </w:rPr>
              <w:t xml:space="preserve">2,893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360"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EBITDA</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20" w:type="dxa"/>
            <w:tcBorders/>
            <w:shd w:fill="E7E0EF" w:val="clear"/>
            <w:vAlign w:val="center"/>
          </w:tcPr>
          <w:p>
            <w:pPr>
              <w:pStyle w:val="TableContents"/>
              <w:bidi w:val="0"/>
              <w:spacing w:before="0" w:after="283"/>
              <w:ind w:left="977" w:right="0" w:hanging="0"/>
              <w:jc w:val="left"/>
              <w:rPr>
                <w:rFonts w:ascii="Arial;Helvetica;sans-serif" w:hAnsi="Arial;Helvetica;sans-serif"/>
                <w:color w:val="636466"/>
                <w:sz w:val="16"/>
              </w:rPr>
            </w:pPr>
            <w:r>
              <w:rPr>
                <w:rFonts w:ascii="Arial;Helvetica;sans-serif" w:hAnsi="Arial;Helvetica;sans-serif"/>
                <w:color w:val="636466"/>
                <w:sz w:val="16"/>
              </w:rPr>
              <w:t xml:space="preserve">$2,820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36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Add adjustments: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977" w:right="0" w:hanging="0"/>
              <w:jc w:val="left"/>
              <w:rPr>
                <w:color w:val="636466"/>
              </w:rPr>
            </w:pPr>
            <w:r>
              <w:rPr>
                <w:color w:val="636466"/>
              </w:rPr>
              <w:t>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360" w:type="dxa"/>
            <w:tcBorders/>
            <w:shd w:fill="E7E0EF" w:val="clear"/>
            <w:vAlign w:val="center"/>
          </w:tcPr>
          <w:p>
            <w:pPr>
              <w:pStyle w:val="TableContents"/>
              <w:bidi w:val="0"/>
              <w:spacing w:before="0" w:after="283"/>
              <w:ind w:left="230" w:right="0" w:hanging="0"/>
              <w:jc w:val="left"/>
              <w:rPr>
                <w:rFonts w:ascii="Arial;Helvetica;sans-serif" w:hAnsi="Arial;Helvetica;sans-serif"/>
                <w:color w:val="636466"/>
                <w:sz w:val="16"/>
              </w:rPr>
            </w:pPr>
            <w:r>
              <w:rPr>
                <w:rFonts w:ascii="Arial;Helvetica;sans-serif" w:hAnsi="Arial;Helvetica;sans-serif"/>
                <w:color w:val="636466"/>
                <w:sz w:val="16"/>
              </w:rPr>
              <w:t>Share-based compensation expense</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20" w:type="dxa"/>
            <w:tcBorders/>
            <w:shd w:fill="E7E0EF" w:val="clear"/>
            <w:vAlign w:val="center"/>
          </w:tcPr>
          <w:p>
            <w:pPr>
              <w:pStyle w:val="TableContents"/>
              <w:bidi w:val="0"/>
              <w:spacing w:before="0" w:after="283"/>
              <w:ind w:left="977" w:right="0" w:hanging="0"/>
              <w:jc w:val="left"/>
              <w:rPr>
                <w:rFonts w:ascii="Arial;Helvetica;sans-serif" w:hAnsi="Arial;Helvetica;sans-serif"/>
                <w:color w:val="636466"/>
                <w:sz w:val="16"/>
              </w:rPr>
            </w:pPr>
            <w:r>
              <w:rPr>
                <w:rFonts w:ascii="Arial;Helvetica;sans-serif" w:hAnsi="Arial;Helvetica;sans-serif"/>
                <w:color w:val="636466"/>
                <w:sz w:val="16"/>
              </w:rPr>
              <w:t xml:space="preserve">146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360" w:type="dxa"/>
            <w:tcBorders/>
            <w:vAlign w:val="center"/>
          </w:tcPr>
          <w:p>
            <w:pPr>
              <w:pStyle w:val="TableContents"/>
              <w:bidi w:val="0"/>
              <w:spacing w:before="0" w:after="283"/>
              <w:ind w:left="230" w:right="0" w:hanging="0"/>
              <w:jc w:val="left"/>
              <w:rPr>
                <w:rFonts w:ascii="Arial;Helvetica;sans-serif" w:hAnsi="Arial;Helvetica;sans-serif"/>
                <w:color w:val="636466"/>
                <w:sz w:val="16"/>
              </w:rPr>
            </w:pPr>
            <w:r>
              <w:rPr>
                <w:rFonts w:ascii="Arial;Helvetica;sans-serif" w:hAnsi="Arial;Helvetica;sans-serif"/>
                <w:color w:val="636466"/>
                <w:sz w:val="16"/>
              </w:rPr>
              <w:t>Litigation settlements and other contingencies, net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977" w:right="0" w:hanging="0"/>
              <w:jc w:val="left"/>
              <w:rPr>
                <w:rFonts w:ascii="Arial;Helvetica;sans-serif" w:hAnsi="Arial;Helvetica;sans-serif"/>
                <w:color w:val="636466"/>
                <w:sz w:val="16"/>
              </w:rPr>
            </w:pPr>
            <w:r>
              <w:rPr>
                <w:rFonts w:ascii="Arial;Helvetica;sans-serif" w:hAnsi="Arial;Helvetica;sans-serif"/>
                <w:color w:val="636466"/>
                <w:sz w:val="16"/>
              </w:rPr>
              <w:t xml:space="preserve">351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360" w:type="dxa"/>
            <w:tcBorders/>
            <w:shd w:fill="E7E0EF" w:val="clear"/>
            <w:vAlign w:val="center"/>
          </w:tcPr>
          <w:p>
            <w:pPr>
              <w:pStyle w:val="TableContents"/>
              <w:bidi w:val="0"/>
              <w:spacing w:before="0" w:after="283"/>
              <w:ind w:left="230" w:right="0" w:hanging="0"/>
              <w:jc w:val="left"/>
              <w:rPr>
                <w:rFonts w:ascii="Arial;Helvetica;sans-serif" w:hAnsi="Arial;Helvetica;sans-serif"/>
                <w:color w:val="636466"/>
                <w:sz w:val="16"/>
              </w:rPr>
            </w:pPr>
            <w:r>
              <w:rPr>
                <w:rFonts w:ascii="Arial;Helvetica;sans-serif" w:hAnsi="Arial;Helvetica;sans-serif"/>
                <w:color w:val="636466"/>
                <w:sz w:val="16"/>
              </w:rPr>
              <w:t>Loss on divestitures of businesses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20" w:type="dxa"/>
            <w:tcBorders/>
            <w:shd w:fill="E7E0EF" w:val="clear"/>
            <w:vAlign w:val="center"/>
          </w:tcPr>
          <w:p>
            <w:pPr>
              <w:pStyle w:val="TableContents"/>
              <w:bidi w:val="0"/>
              <w:spacing w:before="0" w:after="283"/>
              <w:ind w:left="977" w:right="0" w:hanging="0"/>
              <w:jc w:val="left"/>
              <w:rPr>
                <w:rFonts w:ascii="Arial;Helvetica;sans-serif" w:hAnsi="Arial;Helvetica;sans-serif"/>
                <w:color w:val="636466"/>
                <w:sz w:val="16"/>
              </w:rPr>
            </w:pPr>
            <w:r>
              <w:rPr>
                <w:rFonts w:ascii="Arial;Helvetica;sans-serif" w:hAnsi="Arial;Helvetica;sans-serif"/>
                <w:color w:val="636466"/>
                <w:sz w:val="16"/>
              </w:rPr>
              <w:t xml:space="preserve">399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360" w:type="dxa"/>
            <w:tcBorders/>
            <w:vAlign w:val="center"/>
          </w:tcPr>
          <w:p>
            <w:pPr>
              <w:pStyle w:val="TableContents"/>
              <w:bidi w:val="0"/>
              <w:spacing w:before="0" w:after="283"/>
              <w:ind w:left="230" w:right="0" w:hanging="0"/>
              <w:jc w:val="left"/>
              <w:rPr>
                <w:rFonts w:ascii="Arial;Helvetica;sans-serif" w:hAnsi="Arial;Helvetica;sans-serif"/>
                <w:color w:val="636466"/>
                <w:sz w:val="16"/>
              </w:rPr>
            </w:pPr>
            <w:r>
              <w:rPr>
                <w:rFonts w:ascii="Arial;Helvetica;sans-serif" w:hAnsi="Arial;Helvetica;sans-serif"/>
                <w:color w:val="636466"/>
                <w:sz w:val="16"/>
              </w:rPr>
              <w:t>Impairment of goodwill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977" w:right="0" w:hanging="0"/>
              <w:jc w:val="left"/>
              <w:rPr>
                <w:rFonts w:ascii="Arial;Helvetica;sans-serif" w:hAnsi="Arial;Helvetica;sans-serif"/>
                <w:color w:val="636466"/>
                <w:sz w:val="16"/>
              </w:rPr>
            </w:pPr>
            <w:r>
              <w:rPr>
                <w:rFonts w:ascii="Arial;Helvetica;sans-serif" w:hAnsi="Arial;Helvetica;sans-serif"/>
                <w:color w:val="636466"/>
                <w:sz w:val="16"/>
              </w:rPr>
              <w:t xml:space="preserve">321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360" w:type="dxa"/>
            <w:tcBorders/>
            <w:shd w:fill="E7E0EF" w:val="clear"/>
            <w:vAlign w:val="center"/>
          </w:tcPr>
          <w:p>
            <w:pPr>
              <w:pStyle w:val="TableContents"/>
              <w:bidi w:val="0"/>
              <w:spacing w:before="0" w:after="283"/>
              <w:ind w:left="230" w:right="0" w:hanging="0"/>
              <w:jc w:val="left"/>
              <w:rPr>
                <w:rFonts w:ascii="Arial;Helvetica;sans-serif" w:hAnsi="Arial;Helvetica;sans-serif"/>
                <w:color w:val="636466"/>
                <w:sz w:val="16"/>
              </w:rPr>
            </w:pPr>
            <w:r>
              <w:rPr>
                <w:rFonts w:ascii="Arial;Helvetica;sans-serif" w:hAnsi="Arial;Helvetica;sans-serif"/>
                <w:color w:val="636466"/>
                <w:sz w:val="16"/>
              </w:rPr>
              <w:t>Restructuring, acquisition and divestiture-related and other special items</w:t>
            </w:r>
            <w:r>
              <w:rPr>
                <w:rFonts w:ascii="Arial;Helvetica;sans-serif" w:hAnsi="Arial;Helvetica;sans-serif"/>
                <w:color w:val="636466"/>
                <w:position w:val="5"/>
                <w:sz w:val="13"/>
                <w:sz w:val="16"/>
              </w:rPr>
              <w:t>c</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20" w:type="dxa"/>
            <w:tcBorders/>
            <w:shd w:fill="E7E0EF" w:val="clear"/>
            <w:vAlign w:val="center"/>
          </w:tcPr>
          <w:p>
            <w:pPr>
              <w:pStyle w:val="TableContents"/>
              <w:bidi w:val="0"/>
              <w:spacing w:before="0" w:after="283"/>
              <w:ind w:left="977" w:right="0" w:hanging="0"/>
              <w:jc w:val="left"/>
              <w:rPr>
                <w:rFonts w:ascii="Arial;Helvetica;sans-serif" w:hAnsi="Arial;Helvetica;sans-serif"/>
                <w:color w:val="636466"/>
                <w:sz w:val="16"/>
                <w:bdr w:val="single" w:sz="8" w:space="4" w:color="000000"/>
              </w:rPr>
            </w:pPr>
            <w:r>
              <w:rPr>
                <w:rFonts w:ascii="Arial;Helvetica;sans-serif" w:hAnsi="Arial;Helvetica;sans-serif"/>
                <w:color w:val="636466"/>
                <w:sz w:val="16"/>
                <w:bdr w:val="single" w:sz="8" w:space="4" w:color="000000"/>
              </w:rPr>
              <w:t xml:space="preserve">632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36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Adjusted EBITDA (as reported)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977" w:right="0" w:hanging="0"/>
              <w:jc w:val="left"/>
              <w:rPr>
                <w:rFonts w:ascii="Arial;Helvetica;sans-serif" w:hAnsi="Arial;Helvetica;sans-serif"/>
                <w:color w:val="636466"/>
                <w:sz w:val="16"/>
                <w:bdr w:val="double" w:sz="8" w:space="3" w:color="000000"/>
              </w:rPr>
            </w:pPr>
            <w:r>
              <w:rPr>
                <w:rFonts w:ascii="Arial;Helvetica;sans-serif" w:hAnsi="Arial;Helvetica;sans-serif"/>
                <w:color w:val="636466"/>
                <w:sz w:val="16"/>
                <w:bdr w:val="double" w:sz="8" w:space="3" w:color="000000"/>
              </w:rPr>
              <w:t xml:space="preserve">$4,669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360" w:type="dxa"/>
            <w:tcBorders/>
            <w:shd w:fill="E7E0EF" w:val="clear"/>
            <w:vAlign w:val="center"/>
          </w:tcPr>
          <w:p>
            <w:pPr>
              <w:pStyle w:val="TableContents"/>
              <w:bidi w:val="0"/>
              <w:spacing w:before="0" w:after="283"/>
              <w:ind w:left="230" w:right="0" w:hanging="0"/>
              <w:jc w:val="left"/>
              <w:rPr>
                <w:rFonts w:ascii="Arial;Helvetica;sans-serif" w:hAnsi="Arial;Helvetica;sans-serif"/>
                <w:color w:val="636466"/>
                <w:sz w:val="16"/>
              </w:rPr>
            </w:pPr>
            <w:r>
              <w:rPr>
                <w:rFonts w:ascii="Arial;Helvetica;sans-serif" w:hAnsi="Arial;Helvetica;sans-serif"/>
                <w:color w:val="636466"/>
                <w:sz w:val="16"/>
              </w:rPr>
              <w:t>Currency impact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20" w:type="dxa"/>
            <w:tcBorders/>
            <w:shd w:fill="E7E0EF" w:val="clear"/>
            <w:vAlign w:val="center"/>
          </w:tcPr>
          <w:p>
            <w:pPr>
              <w:pStyle w:val="TableContents"/>
              <w:bidi w:val="0"/>
              <w:spacing w:before="0" w:after="283"/>
              <w:ind w:left="977" w:right="0" w:hanging="0"/>
              <w:jc w:val="left"/>
              <w:rPr>
                <w:rFonts w:ascii="Arial;Helvetica;sans-serif" w:hAnsi="Arial;Helvetica;sans-serif"/>
                <w:color w:val="636466"/>
                <w:sz w:val="16"/>
              </w:rPr>
            </w:pPr>
            <w:r>
              <w:rPr>
                <w:rFonts w:ascii="Arial;Helvetica;sans-serif" w:hAnsi="Arial;Helvetica;sans-serif"/>
                <w:color w:val="636466"/>
                <w:sz w:val="16"/>
              </w:rPr>
              <w:t xml:space="preserve">61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360" w:type="dxa"/>
            <w:tcBorders/>
            <w:vAlign w:val="center"/>
          </w:tcPr>
          <w:p>
            <w:pPr>
              <w:pStyle w:val="TableContents"/>
              <w:bidi w:val="0"/>
              <w:spacing w:before="0" w:after="283"/>
              <w:ind w:left="230" w:right="0" w:hanging="0"/>
              <w:jc w:val="left"/>
              <w:rPr>
                <w:rFonts w:ascii="Arial;Helvetica;sans-serif" w:hAnsi="Arial;Helvetica;sans-serif"/>
                <w:color w:val="636466"/>
                <w:sz w:val="16"/>
              </w:rPr>
            </w:pPr>
            <w:r>
              <w:rPr>
                <w:rFonts w:ascii="Arial;Helvetica;sans-serif" w:hAnsi="Arial;Helvetica;sans-serif"/>
                <w:color w:val="636466"/>
                <w:sz w:val="16"/>
              </w:rPr>
              <w:t>Impact of divestitures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977" w:right="0" w:hanging="0"/>
              <w:jc w:val="left"/>
              <w:rPr>
                <w:rFonts w:ascii="Arial;Helvetica;sans-serif" w:hAnsi="Arial;Helvetica;sans-serif"/>
                <w:color w:val="636466"/>
                <w:sz w:val="16"/>
              </w:rPr>
            </w:pPr>
            <w:r>
              <w:rPr>
                <w:rFonts w:ascii="Arial;Helvetica;sans-serif" w:hAnsi="Arial;Helvetica;sans-serif"/>
                <w:color w:val="636466"/>
                <w:sz w:val="16"/>
              </w:rPr>
              <w:t xml:space="preserve">205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360" w:type="dxa"/>
            <w:tcBorders/>
            <w:shd w:fill="E7E0EF" w:val="clear"/>
            <w:vAlign w:val="center"/>
          </w:tcPr>
          <w:p>
            <w:pPr>
              <w:pStyle w:val="TableContents"/>
              <w:bidi w:val="0"/>
              <w:spacing w:before="0" w:after="283"/>
              <w:ind w:left="230" w:right="0" w:hanging="0"/>
              <w:jc w:val="left"/>
              <w:rPr>
                <w:rFonts w:ascii="Arial;Helvetica;sans-serif" w:hAnsi="Arial;Helvetica;sans-serif"/>
                <w:color w:val="636466"/>
                <w:sz w:val="16"/>
              </w:rPr>
            </w:pPr>
            <w:r>
              <w:rPr>
                <w:rFonts w:ascii="Arial;Helvetica;sans-serif" w:hAnsi="Arial;Helvetica;sans-serif"/>
                <w:color w:val="636466"/>
                <w:sz w:val="16"/>
              </w:rPr>
              <w:t>Acquired IPR&amp;D costs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20" w:type="dxa"/>
            <w:tcBorders/>
            <w:shd w:fill="E7E0EF" w:val="clear"/>
            <w:vAlign w:val="center"/>
          </w:tcPr>
          <w:p>
            <w:pPr>
              <w:pStyle w:val="TableContents"/>
              <w:bidi w:val="0"/>
              <w:spacing w:before="0" w:after="283"/>
              <w:ind w:left="977" w:right="0" w:hanging="0"/>
              <w:jc w:val="left"/>
              <w:rPr>
                <w:rFonts w:ascii="Arial;Helvetica;sans-serif" w:hAnsi="Arial;Helvetica;sans-serif"/>
                <w:color w:val="636466"/>
                <w:sz w:val="16"/>
              </w:rPr>
            </w:pPr>
            <w:r>
              <w:rPr>
                <w:rFonts w:ascii="Arial;Helvetica;sans-serif" w:hAnsi="Arial;Helvetica;sans-serif"/>
                <w:color w:val="636466"/>
                <w:sz w:val="16"/>
              </w:rPr>
              <w:t xml:space="preserve">28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360" w:type="dxa"/>
            <w:tcBorders/>
            <w:vAlign w:val="center"/>
          </w:tcPr>
          <w:p>
            <w:pPr>
              <w:pStyle w:val="TableContents"/>
              <w:bidi w:val="0"/>
              <w:spacing w:before="0" w:after="283"/>
              <w:ind w:left="230" w:right="0" w:hanging="0"/>
              <w:jc w:val="left"/>
              <w:rPr>
                <w:rFonts w:ascii="Arial;Helvetica;sans-serif" w:hAnsi="Arial;Helvetica;sans-serif"/>
                <w:color w:val="636466"/>
                <w:sz w:val="16"/>
              </w:rPr>
            </w:pPr>
            <w:r>
              <w:rPr>
                <w:rFonts w:ascii="Arial;Helvetica;sans-serif" w:hAnsi="Arial;Helvetica;sans-serif"/>
                <w:color w:val="636466"/>
                <w:sz w:val="16"/>
              </w:rPr>
              <w:t>Other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977" w:right="0" w:hanging="0"/>
              <w:jc w:val="left"/>
              <w:rPr>
                <w:rFonts w:ascii="Arial;Helvetica;sans-serif" w:hAnsi="Arial;Helvetica;sans-serif"/>
                <w:color w:val="636466"/>
                <w:sz w:val="16"/>
                <w:bdr w:val="single" w:sz="8" w:space="4" w:color="000000"/>
              </w:rPr>
            </w:pPr>
            <w:r>
              <w:rPr>
                <w:rFonts w:ascii="Arial;Helvetica;sans-serif" w:hAnsi="Arial;Helvetica;sans-serif"/>
                <w:color w:val="636466"/>
                <w:sz w:val="16"/>
                <w:bdr w:val="single" w:sz="8" w:space="4" w:color="000000"/>
              </w:rPr>
              <w:t xml:space="preserve">12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360"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Adjusted EBITDA (for 2024 annual incentive compensation)</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20" w:type="dxa"/>
            <w:tcBorders/>
            <w:shd w:fill="E7E0EF" w:val="clear"/>
            <w:vAlign w:val="center"/>
          </w:tcPr>
          <w:p>
            <w:pPr>
              <w:pStyle w:val="TableContents"/>
              <w:bidi w:val="0"/>
              <w:spacing w:before="0" w:after="283"/>
              <w:ind w:left="977" w:right="0" w:hanging="0"/>
              <w:jc w:val="left"/>
              <w:rPr>
                <w:rFonts w:ascii="Arial;Helvetica;sans-serif" w:hAnsi="Arial;Helvetica;sans-serif"/>
                <w:color w:val="636466"/>
                <w:sz w:val="16"/>
              </w:rPr>
            </w:pPr>
            <w:r>
              <w:rPr>
                <w:rFonts w:ascii="Arial;Helvetica;sans-serif" w:hAnsi="Arial;Helvetica;sans-serif"/>
                <w:color w:val="636466"/>
                <w:sz w:val="16"/>
              </w:rPr>
              <w:t>$4,975</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36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20"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tbl>
      <w:tblPr>
        <w:tblW w:w="4405" w:type="dxa"/>
        <w:jc w:val="left"/>
        <w:tblInd w:w="1060" w:type="dxa"/>
        <w:tblLayout w:type="fixed"/>
        <w:tblCellMar>
          <w:top w:w="0" w:type="dxa"/>
          <w:left w:w="0" w:type="dxa"/>
          <w:bottom w:w="0" w:type="dxa"/>
          <w:right w:w="0" w:type="dxa"/>
        </w:tblCellMar>
      </w:tblPr>
      <w:tblGrid>
        <w:gridCol w:w="125"/>
        <w:gridCol w:w="428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a</w:t>
            </w:r>
          </w:p>
        </w:tc>
        <w:tc>
          <w:tcPr>
            <w:tcW w:w="428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Includes amortization of premiums and discounts on long-term debt.</w:t>
            </w:r>
          </w:p>
        </w:tc>
      </w:tr>
    </w:tbl>
    <w:tbl>
      <w:tblPr>
        <w:tblW w:w="3370" w:type="dxa"/>
        <w:jc w:val="left"/>
        <w:tblInd w:w="1060" w:type="dxa"/>
        <w:tblLayout w:type="fixed"/>
        <w:tblCellMar>
          <w:top w:w="0" w:type="dxa"/>
          <w:left w:w="0" w:type="dxa"/>
          <w:bottom w:w="0" w:type="dxa"/>
          <w:right w:w="0" w:type="dxa"/>
        </w:tblCellMar>
      </w:tblPr>
      <w:tblGrid>
        <w:gridCol w:w="125"/>
        <w:gridCol w:w="3245"/>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b</w:t>
            </w:r>
          </w:p>
        </w:tc>
        <w:tc>
          <w:tcPr>
            <w:tcW w:w="324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Includes purchase accounting related amortization.</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c</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Includes restructuring-related costs, acquisition and divestiture-related costs (primarily included in selling, general and administrative expense (“SG&amp;A”)), and other special items included in cost of sales, R&amp;D expense, SG&amp;A, and other expense (income), net.</w:t>
            </w:r>
          </w:p>
        </w:tc>
      </w:tr>
    </w:tbl>
    <w:p>
      <w:pPr>
        <w:pStyle w:val="TextBody"/>
        <w:bidi w:val="0"/>
        <w:spacing w:before="390" w:after="283"/>
        <w:ind w:left="1060" w:right="0" w:hanging="0"/>
        <w:jc w:val="left"/>
        <w:rPr>
          <w:rFonts w:ascii="Arial;Helvetica;sans-serif" w:hAnsi="Arial;Helvetica;sans-serif"/>
          <w:b/>
          <w:color w:val="1F1C6B"/>
          <w:sz w:val="18"/>
        </w:rPr>
      </w:pPr>
      <w:r>
        <w:rPr>
          <w:rFonts w:ascii="Arial;Helvetica;sans-serif" w:hAnsi="Arial;Helvetica;sans-serif"/>
          <w:b/>
          <w:color w:val="1F1C6B"/>
          <w:sz w:val="18"/>
        </w:rPr>
        <w:t xml:space="preserve">Free Cash Flow </w:t>
      </w:r>
    </w:p>
    <w:p>
      <w:pPr>
        <w:pStyle w:val="TextBody"/>
        <w:bidi w:val="0"/>
        <w:spacing w:before="270" w:after="283"/>
        <w:ind w:left="1060" w:right="0" w:hanging="0"/>
        <w:jc w:val="left"/>
        <w:rPr>
          <w:rFonts w:ascii="Arial;Helvetica;sans-serif" w:hAnsi="Arial;Helvetica;sans-serif"/>
          <w:b/>
          <w:color w:val="636466"/>
          <w:sz w:val="18"/>
        </w:rPr>
      </w:pPr>
      <w:r>
        <w:rPr>
          <w:rFonts w:ascii="Arial;Helvetica;sans-serif" w:hAnsi="Arial;Helvetica;sans-serif"/>
          <w:b/>
          <w:color w:val="636466"/>
          <w:sz w:val="18"/>
        </w:rPr>
        <w:t xml:space="preserve">2024 Annual Incentive Program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Free cash flow is derived from Viatris’ audited financial statements in the same manner as Viatris’ publicly reported free cash flow for 2024 (U.S. GAAP net cash provided by operating activities less capital expenditures) (“as reported”), except that the calculation for the 2024 annual incentive program (“for 2024 annual incentive compensation”) utilized 2024 budgeted foreign exchange rates (“currency impact”) and further adjusts for transaction costs and taxes primarily related to the Company’s divestitures </w:t>
      </w:r>
    </w:p>
    <w:tbl>
      <w:tblPr>
        <w:tblW w:w="5055" w:type="dxa"/>
        <w:jc w:val="left"/>
        <w:tblInd w:w="1060" w:type="dxa"/>
        <w:tblLayout w:type="fixed"/>
        <w:tblCellMar>
          <w:top w:w="0" w:type="dxa"/>
          <w:left w:w="0" w:type="dxa"/>
          <w:bottom w:w="0" w:type="dxa"/>
          <w:right w:w="0" w:type="dxa"/>
        </w:tblCellMar>
      </w:tblPr>
      <w:tblGrid>
        <w:gridCol w:w="2555"/>
        <w:gridCol w:w="170"/>
        <w:gridCol w:w="170"/>
        <w:gridCol w:w="2160"/>
      </w:tblGrid>
      <w:tr>
        <w:trPr/>
        <w:tc>
          <w:tcPr>
            <w:tcW w:w="25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555"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B-4 | 2025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311"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278" descr=""/>
                          <pic:cNvPicPr>
                            <a:picLocks noChangeAspect="1" noChangeArrowheads="1"/>
                          </pic:cNvPicPr>
                        </pic:nvPicPr>
                        <pic:blipFill>
                          <a:blip r:embed="rId296"/>
                          <a:stretch>
                            <a:fillRect/>
                          </a:stretch>
                        </pic:blipFill>
                        <pic:spPr bwMode="auto">
                          <a:xfrm>
                            <a:off x="0" y="0"/>
                            <a:ext cx="1323975" cy="352425"/>
                          </a:xfrm>
                          <a:prstGeom prst="rect">
                            <a:avLst/>
                          </a:prstGeom>
                        </pic:spPr>
                      </pic:pic>
                    </a:graphicData>
                  </a:graphic>
                </wp:inline>
              </w:drawing>
            </w:r>
          </w:p>
        </w:tc>
      </w:tr>
      <w:tr>
        <w:trPr/>
        <w:tc>
          <w:tcPr>
            <w:tcW w:w="25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312"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279" descr=""/>
                    <pic:cNvPicPr>
                      <a:picLocks noChangeAspect="1" noChangeArrowheads="1"/>
                    </pic:cNvPicPr>
                  </pic:nvPicPr>
                  <pic:blipFill>
                    <a:blip r:embed="rId297"/>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207" w:name="ny20055082x771_def14a_301-appb_pg5"/>
        <w:bookmarkEnd w:id="20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right"/>
        <w:rPr>
          <w:caps/>
          <w:color w:val="1F1C6B"/>
          <w:u w:val="single"/>
        </w:rPr>
      </w:pPr>
      <w:r>
        <w:rPr>
          <w:caps/>
          <w:color w:val="1F1C6B"/>
          <w:u w:val="single"/>
        </w:rPr>
        <w:t> </w:t>
      </w:r>
      <w:r>
        <w:rPr>
          <w:rFonts w:ascii="Arial;Helvetica;sans-serif" w:hAnsi="Arial;Helvetica;sans-serif"/>
          <w:caps/>
          <w:color w:val="1F1C6B"/>
          <w:sz w:val="18"/>
          <w:u w:val="single"/>
        </w:rPr>
        <w:t>Appendix B </w:t>
      </w:r>
    </w:p>
    <w:p>
      <w:pPr>
        <w:pStyle w:val="TextBody"/>
        <w:bidi w:val="0"/>
        <w:spacing w:before="12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(“transaction costs”), all impacts of the Company’s divestitures following their consummation (“impact of divestitures”), proceeds from the sale of property, plant and equipment, and material unplanned litigation gains and losses equal or greater than $25 million in the aggregate (“unplanned litigation”). </w:t>
      </w:r>
    </w:p>
    <w:tbl>
      <w:tblPr>
        <w:tblW w:w="6930" w:type="dxa"/>
        <w:jc w:val="left"/>
        <w:tblInd w:w="1060" w:type="dxa"/>
        <w:tblLayout w:type="fixed"/>
        <w:tblCellMar>
          <w:top w:w="0" w:type="dxa"/>
          <w:left w:w="0" w:type="dxa"/>
          <w:bottom w:w="0" w:type="dxa"/>
          <w:right w:w="0" w:type="dxa"/>
        </w:tblCellMar>
      </w:tblPr>
      <w:tblGrid>
        <w:gridCol w:w="185"/>
        <w:gridCol w:w="4670"/>
        <w:gridCol w:w="170"/>
        <w:gridCol w:w="170"/>
        <w:gridCol w:w="1520"/>
        <w:gridCol w:w="215"/>
      </w:tblGrid>
      <w:tr>
        <w:trPr/>
        <w:tc>
          <w:tcPr>
            <w:tcW w:w="185" w:type="dxa"/>
            <w:tcBorders/>
            <w:shd w:fill="1F1C6B" w:val="clear"/>
            <w:vAlign w:val="center"/>
          </w:tcPr>
          <w:p>
            <w:pPr>
              <w:pStyle w:val="TableContents"/>
              <w:bidi w:val="0"/>
              <w:spacing w:before="0" w:after="0"/>
              <w:jc w:val="left"/>
              <w:rPr/>
            </w:pPr>
            <w:r>
              <w:rPr/>
              <w:t> </w:t>
            </w:r>
          </w:p>
        </w:tc>
        <w:tc>
          <w:tcPr>
            <w:tcW w:w="46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520"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4670"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(in millions)</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520" w:type="dxa"/>
            <w:tcBorders/>
            <w:shd w:fill="1F1C6B"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Year Ended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December 31, 2024</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7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U.S. GAAP net cash provided by operating activities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977" w:right="0" w:hanging="0"/>
              <w:jc w:val="left"/>
              <w:rPr>
                <w:rFonts w:ascii="Arial;Helvetica;sans-serif" w:hAnsi="Arial;Helvetica;sans-serif"/>
                <w:color w:val="636466"/>
                <w:sz w:val="16"/>
              </w:rPr>
            </w:pPr>
            <w:r>
              <w:rPr>
                <w:rFonts w:ascii="Arial;Helvetica;sans-serif" w:hAnsi="Arial;Helvetica;sans-serif"/>
                <w:color w:val="636466"/>
                <w:sz w:val="16"/>
              </w:rPr>
              <w:t xml:space="preserve">$2,303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670"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Add / (deduct):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20" w:type="dxa"/>
            <w:tcBorders/>
            <w:shd w:fill="E7E0EF" w:val="clear"/>
            <w:vAlign w:val="center"/>
          </w:tcPr>
          <w:p>
            <w:pPr>
              <w:pStyle w:val="TableContents"/>
              <w:bidi w:val="0"/>
              <w:spacing w:before="0" w:after="283"/>
              <w:ind w:left="977" w:right="0" w:hanging="0"/>
              <w:jc w:val="left"/>
              <w:rPr>
                <w:color w:val="636466"/>
              </w:rPr>
            </w:pPr>
            <w:r>
              <w:rPr>
                <w:color w:val="636466"/>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70" w:type="dxa"/>
            <w:tcBorders/>
            <w:vAlign w:val="center"/>
          </w:tcPr>
          <w:p>
            <w:pPr>
              <w:pStyle w:val="TableContents"/>
              <w:bidi w:val="0"/>
              <w:spacing w:before="0" w:after="283"/>
              <w:ind w:left="230" w:right="0" w:hanging="0"/>
              <w:jc w:val="left"/>
              <w:rPr>
                <w:rFonts w:ascii="Arial;Helvetica;sans-serif" w:hAnsi="Arial;Helvetica;sans-serif"/>
                <w:color w:val="636466"/>
                <w:sz w:val="16"/>
              </w:rPr>
            </w:pPr>
            <w:r>
              <w:rPr>
                <w:rFonts w:ascii="Arial;Helvetica;sans-serif" w:hAnsi="Arial;Helvetica;sans-serif"/>
                <w:color w:val="636466"/>
                <w:sz w:val="16"/>
              </w:rPr>
              <w:t>Capital expenditures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977" w:right="0" w:hanging="0"/>
              <w:jc w:val="left"/>
              <w:rPr>
                <w:rFonts w:ascii="Arial;Helvetica;sans-serif" w:hAnsi="Arial;Helvetica;sans-serif"/>
                <w:color w:val="636466"/>
                <w:sz w:val="16"/>
              </w:rPr>
            </w:pPr>
            <w:r>
              <w:rPr>
                <w:rFonts w:ascii="Arial;Helvetica;sans-serif" w:hAnsi="Arial;Helvetica;sans-serif"/>
                <w:color w:val="636466"/>
                <w:sz w:val="16"/>
                <w:bdr w:val="single" w:sz="8" w:space="4" w:color="000000"/>
              </w:rPr>
              <w:t>(326</w:t>
            </w:r>
            <w:r>
              <w:rPr>
                <w:rFonts w:ascii="Arial;Helvetica;sans-serif" w:hAnsi="Arial;Helvetica;sans-serif"/>
                <w:color w:val="636466"/>
                <w:sz w:val="16"/>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670"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Free cash flow (as reported)</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20" w:type="dxa"/>
            <w:tcBorders/>
            <w:shd w:fill="E7E0EF" w:val="clear"/>
            <w:vAlign w:val="center"/>
          </w:tcPr>
          <w:p>
            <w:pPr>
              <w:pStyle w:val="TableContents"/>
              <w:bidi w:val="0"/>
              <w:spacing w:before="0" w:after="283"/>
              <w:ind w:left="977" w:right="0" w:hanging="0"/>
              <w:jc w:val="left"/>
              <w:rPr>
                <w:rFonts w:ascii="Arial;Helvetica;sans-serif" w:hAnsi="Arial;Helvetica;sans-serif"/>
                <w:color w:val="636466"/>
                <w:sz w:val="16"/>
                <w:bdr w:val="double" w:sz="8" w:space="3" w:color="000000"/>
              </w:rPr>
            </w:pPr>
            <w:r>
              <w:rPr>
                <w:rFonts w:ascii="Arial;Helvetica;sans-serif" w:hAnsi="Arial;Helvetica;sans-serif"/>
                <w:color w:val="636466"/>
                <w:sz w:val="16"/>
                <w:bdr w:val="double" w:sz="8" w:space="3" w:color="000000"/>
              </w:rPr>
              <w:t xml:space="preserve">$1,977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70" w:type="dxa"/>
            <w:tcBorders/>
            <w:vAlign w:val="center"/>
          </w:tcPr>
          <w:p>
            <w:pPr>
              <w:pStyle w:val="TableContents"/>
              <w:bidi w:val="0"/>
              <w:spacing w:before="0" w:after="283"/>
              <w:ind w:left="230" w:right="0" w:hanging="0"/>
              <w:jc w:val="left"/>
              <w:rPr>
                <w:rFonts w:ascii="Arial;Helvetica;sans-serif" w:hAnsi="Arial;Helvetica;sans-serif"/>
                <w:color w:val="636466"/>
                <w:sz w:val="16"/>
              </w:rPr>
            </w:pPr>
            <w:r>
              <w:rPr>
                <w:rFonts w:ascii="Arial;Helvetica;sans-serif" w:hAnsi="Arial;Helvetica;sans-serif"/>
                <w:color w:val="636466"/>
                <w:sz w:val="16"/>
              </w:rPr>
              <w:t>Currency impact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977" w:right="0" w:hanging="0"/>
              <w:jc w:val="left"/>
              <w:rPr>
                <w:rFonts w:ascii="Arial;Helvetica;sans-serif" w:hAnsi="Arial;Helvetica;sans-serif"/>
                <w:color w:val="636466"/>
                <w:sz w:val="16"/>
              </w:rPr>
            </w:pPr>
            <w:r>
              <w:rPr>
                <w:rFonts w:ascii="Arial;Helvetica;sans-serif" w:hAnsi="Arial;Helvetica;sans-serif"/>
                <w:color w:val="636466"/>
                <w:sz w:val="16"/>
              </w:rPr>
              <w:t xml:space="preserve">91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670" w:type="dxa"/>
            <w:tcBorders/>
            <w:shd w:fill="E7E0EF" w:val="clear"/>
            <w:vAlign w:val="center"/>
          </w:tcPr>
          <w:p>
            <w:pPr>
              <w:pStyle w:val="TableContents"/>
              <w:bidi w:val="0"/>
              <w:spacing w:before="0" w:after="283"/>
              <w:ind w:left="230" w:right="0" w:hanging="0"/>
              <w:jc w:val="left"/>
              <w:rPr>
                <w:rFonts w:ascii="Arial;Helvetica;sans-serif" w:hAnsi="Arial;Helvetica;sans-serif"/>
                <w:color w:val="636466"/>
                <w:sz w:val="16"/>
              </w:rPr>
            </w:pPr>
            <w:r>
              <w:rPr>
                <w:rFonts w:ascii="Arial;Helvetica;sans-serif" w:hAnsi="Arial;Helvetica;sans-serif"/>
                <w:color w:val="636466"/>
                <w:sz w:val="16"/>
              </w:rPr>
              <w:t>Transaction costs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20" w:type="dxa"/>
            <w:tcBorders/>
            <w:shd w:fill="E7E0EF" w:val="clear"/>
            <w:vAlign w:val="center"/>
          </w:tcPr>
          <w:p>
            <w:pPr>
              <w:pStyle w:val="TableContents"/>
              <w:bidi w:val="0"/>
              <w:spacing w:before="0" w:after="283"/>
              <w:ind w:left="977" w:right="0" w:hanging="0"/>
              <w:jc w:val="left"/>
              <w:rPr>
                <w:rFonts w:ascii="Arial;Helvetica;sans-serif" w:hAnsi="Arial;Helvetica;sans-serif"/>
                <w:color w:val="636466"/>
                <w:sz w:val="16"/>
              </w:rPr>
            </w:pPr>
            <w:r>
              <w:rPr>
                <w:rFonts w:ascii="Arial;Helvetica;sans-serif" w:hAnsi="Arial;Helvetica;sans-serif"/>
                <w:color w:val="636466"/>
                <w:sz w:val="16"/>
              </w:rPr>
              <w:t xml:space="preserve">649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70" w:type="dxa"/>
            <w:tcBorders/>
            <w:vAlign w:val="center"/>
          </w:tcPr>
          <w:p>
            <w:pPr>
              <w:pStyle w:val="TableContents"/>
              <w:bidi w:val="0"/>
              <w:spacing w:before="0" w:after="283"/>
              <w:ind w:left="230" w:right="0" w:hanging="0"/>
              <w:jc w:val="left"/>
              <w:rPr>
                <w:rFonts w:ascii="Arial;Helvetica;sans-serif" w:hAnsi="Arial;Helvetica;sans-serif"/>
                <w:color w:val="636466"/>
                <w:sz w:val="16"/>
              </w:rPr>
            </w:pPr>
            <w:r>
              <w:rPr>
                <w:rFonts w:ascii="Arial;Helvetica;sans-serif" w:hAnsi="Arial;Helvetica;sans-serif"/>
                <w:color w:val="636466"/>
                <w:sz w:val="16"/>
              </w:rPr>
              <w:t>Impact of divestitures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977" w:right="0" w:hanging="0"/>
              <w:jc w:val="left"/>
              <w:rPr>
                <w:rFonts w:ascii="Arial;Helvetica;sans-serif" w:hAnsi="Arial;Helvetica;sans-serif"/>
                <w:color w:val="636466"/>
                <w:sz w:val="16"/>
              </w:rPr>
            </w:pPr>
            <w:r>
              <w:rPr>
                <w:rFonts w:ascii="Arial;Helvetica;sans-serif" w:hAnsi="Arial;Helvetica;sans-serif"/>
                <w:color w:val="636466"/>
                <w:sz w:val="16"/>
              </w:rPr>
              <w:t xml:space="preserve">130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670" w:type="dxa"/>
            <w:tcBorders/>
            <w:shd w:fill="E7E0EF" w:val="clear"/>
            <w:vAlign w:val="center"/>
          </w:tcPr>
          <w:p>
            <w:pPr>
              <w:pStyle w:val="TableContents"/>
              <w:bidi w:val="0"/>
              <w:spacing w:before="0" w:after="283"/>
              <w:ind w:left="230" w:right="0" w:hanging="0"/>
              <w:jc w:val="left"/>
              <w:rPr>
                <w:rFonts w:ascii="Arial;Helvetica;sans-serif" w:hAnsi="Arial;Helvetica;sans-serif"/>
                <w:color w:val="636466"/>
                <w:sz w:val="16"/>
              </w:rPr>
            </w:pPr>
            <w:r>
              <w:rPr>
                <w:rFonts w:ascii="Arial;Helvetica;sans-serif" w:hAnsi="Arial;Helvetica;sans-serif"/>
                <w:color w:val="636466"/>
                <w:sz w:val="16"/>
              </w:rPr>
              <w:t>Proceeds from the sale of certain property, plant and equipment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20" w:type="dxa"/>
            <w:tcBorders/>
            <w:shd w:fill="E7E0EF" w:val="clear"/>
            <w:vAlign w:val="center"/>
          </w:tcPr>
          <w:p>
            <w:pPr>
              <w:pStyle w:val="TableContents"/>
              <w:bidi w:val="0"/>
              <w:spacing w:before="0" w:after="283"/>
              <w:ind w:left="977" w:right="0" w:hanging="0"/>
              <w:jc w:val="left"/>
              <w:rPr>
                <w:rFonts w:ascii="Arial;Helvetica;sans-serif" w:hAnsi="Arial;Helvetica;sans-serif"/>
                <w:color w:val="636466"/>
                <w:sz w:val="16"/>
              </w:rPr>
            </w:pPr>
            <w:r>
              <w:rPr>
                <w:rFonts w:ascii="Arial;Helvetica;sans-serif" w:hAnsi="Arial;Helvetica;sans-serif"/>
                <w:color w:val="636466"/>
                <w:sz w:val="16"/>
              </w:rPr>
              <w:t xml:space="preserve">3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70" w:type="dxa"/>
            <w:tcBorders/>
            <w:vAlign w:val="center"/>
          </w:tcPr>
          <w:p>
            <w:pPr>
              <w:pStyle w:val="TableContents"/>
              <w:bidi w:val="0"/>
              <w:spacing w:before="0" w:after="283"/>
              <w:ind w:left="230" w:right="0" w:hanging="0"/>
              <w:jc w:val="left"/>
              <w:rPr>
                <w:rFonts w:ascii="Arial;Helvetica;sans-serif" w:hAnsi="Arial;Helvetica;sans-serif"/>
                <w:color w:val="636466"/>
                <w:sz w:val="16"/>
              </w:rPr>
            </w:pPr>
            <w:r>
              <w:rPr>
                <w:rFonts w:ascii="Arial;Helvetica;sans-serif" w:hAnsi="Arial;Helvetica;sans-serif"/>
                <w:color w:val="636466"/>
                <w:sz w:val="16"/>
              </w:rPr>
              <w:t>Unplanned litigation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977" w:right="0" w:hanging="0"/>
              <w:jc w:val="left"/>
              <w:rPr>
                <w:rFonts w:ascii="Arial;Helvetica;sans-serif" w:hAnsi="Arial;Helvetica;sans-serif"/>
                <w:color w:val="636466"/>
                <w:sz w:val="16"/>
                <w:bdr w:val="single" w:sz="8" w:space="4" w:color="000000"/>
              </w:rPr>
            </w:pPr>
            <w:r>
              <w:rPr>
                <w:rFonts w:ascii="Arial;Helvetica;sans-serif" w:hAnsi="Arial;Helvetica;sans-serif"/>
                <w:color w:val="636466"/>
                <w:sz w:val="16"/>
                <w:bdr w:val="single" w:sz="8" w:space="4" w:color="000000"/>
              </w:rPr>
              <w:t xml:space="preserve">74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670"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Free cash flow (for 2024 annual incentive compensation)</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20" w:type="dxa"/>
            <w:tcBorders/>
            <w:shd w:fill="E7E0EF" w:val="clear"/>
            <w:vAlign w:val="center"/>
          </w:tcPr>
          <w:p>
            <w:pPr>
              <w:pStyle w:val="TableContents"/>
              <w:bidi w:val="0"/>
              <w:spacing w:before="0" w:after="283"/>
              <w:ind w:left="977" w:right="0" w:hanging="0"/>
              <w:jc w:val="left"/>
              <w:rPr>
                <w:rFonts w:ascii="Arial;Helvetica;sans-serif" w:hAnsi="Arial;Helvetica;sans-serif"/>
                <w:color w:val="636466"/>
                <w:sz w:val="16"/>
              </w:rPr>
            </w:pPr>
            <w:r>
              <w:rPr>
                <w:rFonts w:ascii="Arial;Helvetica;sans-serif" w:hAnsi="Arial;Helvetica;sans-serif"/>
                <w:color w:val="636466"/>
                <w:sz w:val="16"/>
              </w:rPr>
              <w:t>$2,924</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6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20"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p>
      <w:pPr>
        <w:pStyle w:val="TextBody"/>
        <w:bidi w:val="0"/>
        <w:spacing w:before="210" w:after="283"/>
        <w:ind w:left="1060" w:right="0" w:hanging="0"/>
        <w:jc w:val="left"/>
        <w:rPr>
          <w:rFonts w:ascii="Arial;Helvetica;sans-serif" w:hAnsi="Arial;Helvetica;sans-serif"/>
          <w:b/>
          <w:color w:val="636466"/>
          <w:sz w:val="18"/>
        </w:rPr>
      </w:pPr>
      <w:r>
        <w:rPr>
          <w:rFonts w:ascii="Arial;Helvetica;sans-serif" w:hAnsi="Arial;Helvetica;sans-serif"/>
          <w:b/>
          <w:color w:val="636466"/>
          <w:sz w:val="18"/>
        </w:rPr>
        <w:t xml:space="preserve">2024 PRSUs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Free cash flow is derived from Viatris’ audited financial statements in the same manner as the calculation for Viatris’ 2024 annual incentive program, except that the calculation for the 2024 PRSUs further adjusts for any of the following, as applicable: material changes in tax laws, unbudgeted restructuring costs and unbudgeted R&amp;D expense. Free cash flow for the 2024 PRSUs will be the sum of such free cash flow measure for each of the years ended December 31, 2024, 2025 and 2026 and will utilize budgeted foreign exchange rates for the relevant year.</w:t>
      </w:r>
    </w:p>
    <w:p>
      <w:pPr>
        <w:pStyle w:val="TextBody"/>
        <w:bidi w:val="0"/>
        <w:spacing w:before="270" w:after="283"/>
        <w:ind w:left="1060" w:right="0" w:hanging="0"/>
        <w:jc w:val="left"/>
        <w:rPr>
          <w:rFonts w:ascii="Arial;Helvetica;sans-serif" w:hAnsi="Arial;Helvetica;sans-serif"/>
          <w:b/>
          <w:color w:val="636466"/>
          <w:sz w:val="18"/>
        </w:rPr>
      </w:pPr>
      <w:r>
        <w:rPr>
          <w:rFonts w:ascii="Arial;Helvetica;sans-serif" w:hAnsi="Arial;Helvetica;sans-serif"/>
          <w:b/>
          <w:color w:val="636466"/>
          <w:sz w:val="18"/>
        </w:rPr>
        <w:t xml:space="preserve">2022-2024 Three-Year PRSUs </w:t>
      </w:r>
    </w:p>
    <w:p>
      <w:pPr>
        <w:pStyle w:val="TextBody"/>
        <w:bidi w:val="0"/>
        <w:spacing w:before="24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Free cash flow is derived from Viatris’ audited financial statements in the same manner as Viatris’ publicly reported free cash flow (“as reported”), except that the calculation for the 2022-2024 three-year PRSUs (“for 2022-2024 three-year PRSUs”) utilized budgeted foreign exchange rates for the relevant year (“currency impact”) and further adjusts for the following, as applicable: transaction costs and taxes related to the acquisitions of Oyster Point and Famy Life Sciences as well as any incremental transaction costs and taxes related to other select assets sales or reshaping initiatives and other impacts of divestitures (“transaction costs”), Biocon Biologics Transaction-related taxes and transaction costs and results of the divested biosimilars business from the closing of the transaction on November 29, 2022 through December 31, 2022 (“Biocon Biologics Transaction-related taxes, costs and results”), material unplanned litigation gains or losses equal to or greater than $25 million in the aggregate (“unplanned litigation”), proceeds from the sale of property, plant and equipment, unbudgeted R&amp;D costs, unbudgeted </w:t>
      </w:r>
    </w:p>
    <w:tbl>
      <w:tblPr>
        <w:tblW w:w="5055" w:type="dxa"/>
        <w:jc w:val="left"/>
        <w:tblInd w:w="1060" w:type="dxa"/>
        <w:tblLayout w:type="fixed"/>
        <w:tblCellMar>
          <w:top w:w="0" w:type="dxa"/>
          <w:left w:w="0" w:type="dxa"/>
          <w:bottom w:w="0" w:type="dxa"/>
          <w:right w:w="0" w:type="dxa"/>
        </w:tblCellMar>
      </w:tblPr>
      <w:tblGrid>
        <w:gridCol w:w="2130"/>
        <w:gridCol w:w="170"/>
        <w:gridCol w:w="170"/>
        <w:gridCol w:w="2585"/>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313"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280" descr=""/>
                          <pic:cNvPicPr>
                            <a:picLocks noChangeAspect="1" noChangeArrowheads="1"/>
                          </pic:cNvPicPr>
                        </pic:nvPicPr>
                        <pic:blipFill>
                          <a:blip r:embed="rId298"/>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Statement | B-5</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314"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281" descr=""/>
                    <pic:cNvPicPr>
                      <a:picLocks noChangeAspect="1" noChangeArrowheads="1"/>
                    </pic:cNvPicPr>
                  </pic:nvPicPr>
                  <pic:blipFill>
                    <a:blip r:embed="rId299"/>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208" w:name="ny20055082x771_def14a_301-appb_pg6"/>
        <w:bookmarkEnd w:id="20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left"/>
        <w:rPr>
          <w:caps/>
          <w:color w:val="1F1C6B"/>
          <w:u w:val="single"/>
        </w:rPr>
      </w:pPr>
      <w:r>
        <w:rPr>
          <w:caps/>
          <w:color w:val="1F1C6B"/>
          <w:u w:val="single"/>
        </w:rPr>
        <w:t> </w:t>
      </w:r>
      <w:r>
        <w:rPr>
          <w:rFonts w:ascii="Arial;Helvetica;sans-serif" w:hAnsi="Arial;Helvetica;sans-serif"/>
          <w:caps/>
          <w:color w:val="1F1C6B"/>
          <w:sz w:val="18"/>
          <w:u w:val="single"/>
        </w:rPr>
        <w:t>Appendix B </w:t>
      </w:r>
    </w:p>
    <w:p>
      <w:pPr>
        <w:pStyle w:val="TextBody"/>
        <w:bidi w:val="0"/>
        <w:spacing w:before="12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restructuring costs, and the impact of free cash flow from divestitures that closed in 2022 to 2024 (“free cash flow impact of divestitures”). Free cash flow for the 2022-2024 three-year PRSUs is the sum of such free cash flow measure for each of the years ended December 31, 2022, 2023, and 2024.</w:t>
      </w:r>
    </w:p>
    <w:tbl>
      <w:tblPr>
        <w:tblW w:w="8610" w:type="dxa"/>
        <w:jc w:val="left"/>
        <w:tblInd w:w="1060" w:type="dxa"/>
        <w:tblLayout w:type="fixed"/>
        <w:tblCellMar>
          <w:top w:w="0" w:type="dxa"/>
          <w:left w:w="0" w:type="dxa"/>
          <w:bottom w:w="0" w:type="dxa"/>
          <w:right w:w="0" w:type="dxa"/>
        </w:tblCellMar>
      </w:tblPr>
      <w:tblGrid>
        <w:gridCol w:w="185"/>
        <w:gridCol w:w="4670"/>
        <w:gridCol w:w="170"/>
        <w:gridCol w:w="170"/>
        <w:gridCol w:w="545"/>
        <w:gridCol w:w="170"/>
        <w:gridCol w:w="170"/>
        <w:gridCol w:w="545"/>
        <w:gridCol w:w="170"/>
        <w:gridCol w:w="170"/>
        <w:gridCol w:w="545"/>
        <w:gridCol w:w="170"/>
        <w:gridCol w:w="170"/>
        <w:gridCol w:w="545"/>
        <w:gridCol w:w="215"/>
      </w:tblGrid>
      <w:tr>
        <w:trPr/>
        <w:tc>
          <w:tcPr>
            <w:tcW w:w="185" w:type="dxa"/>
            <w:tcBorders/>
            <w:shd w:fill="1F1C6B" w:val="clear"/>
            <w:vAlign w:val="center"/>
          </w:tcPr>
          <w:p>
            <w:pPr>
              <w:pStyle w:val="TableContents"/>
              <w:bidi w:val="0"/>
              <w:spacing w:before="0" w:after="0"/>
              <w:jc w:val="left"/>
              <w:rPr/>
            </w:pPr>
            <w:r>
              <w:rPr/>
              <w:t> </w:t>
            </w:r>
          </w:p>
        </w:tc>
        <w:tc>
          <w:tcPr>
            <w:tcW w:w="46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3200" w:type="dxa"/>
            <w:gridSpan w:val="10"/>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4670" w:type="dxa"/>
            <w:tcBorders/>
            <w:shd w:fill="1F1C6B" w:val="clear"/>
            <w:vAlign w:val="center"/>
          </w:tcPr>
          <w:p>
            <w:pPr>
              <w:pStyle w:val="TableContents"/>
              <w:bidi w:val="0"/>
              <w:spacing w:before="0" w:after="283"/>
              <w:ind w:left="30" w:right="0" w:hanging="0"/>
              <w:jc w:val="left"/>
              <w:rPr>
                <w:color w:val="FFFFFF"/>
              </w:rPr>
            </w:pPr>
            <w:r>
              <w:rPr>
                <w:color w:val="FFFFFF"/>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3200" w:type="dxa"/>
            <w:gridSpan w:val="10"/>
            <w:tcBorders>
              <w:bottom w:val="single" w:sz="8" w:space="0" w:color="FFFFFF"/>
            </w:tcBorders>
            <w:shd w:fill="1F1C6B" w:val="clear"/>
            <w:tcMar>
              <w:bottom w:w="5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Year Ended December 31</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4670"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(in millions)</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545" w:type="dxa"/>
            <w:tcBorders/>
            <w:shd w:fill="1F1C6B"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2022</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545" w:type="dxa"/>
            <w:tcBorders/>
            <w:shd w:fill="1F1C6B"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2023</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545" w:type="dxa"/>
            <w:tcBorders/>
            <w:shd w:fill="1F1C6B"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2024</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545" w:type="dxa"/>
            <w:tcBorders/>
            <w:shd w:fill="1F1C6B"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Total</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7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U.S. GAAP net cash provided by operating activities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$2,999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$2,900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$2,303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color w:val="636466"/>
              </w:rPr>
            </w:pPr>
            <w:r>
              <w:rPr>
                <w:color w:val="636466"/>
              </w:rPr>
              <w:t>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670"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Add / (deduct):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color w:val="636466"/>
              </w:rPr>
            </w:pP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color w:val="636466"/>
              </w:rPr>
            </w:pP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color w:val="636466"/>
              </w:rPr>
            </w:pPr>
            <w:r>
              <w:rPr>
                <w:color w:val="636466"/>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color w:val="636466"/>
              </w:rPr>
            </w:pPr>
            <w:r>
              <w:rPr>
                <w:color w:val="636466"/>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70" w:type="dxa"/>
            <w:tcBorders/>
            <w:vAlign w:val="center"/>
          </w:tcPr>
          <w:p>
            <w:pPr>
              <w:pStyle w:val="TableContents"/>
              <w:bidi w:val="0"/>
              <w:spacing w:before="0" w:after="283"/>
              <w:ind w:left="230" w:right="0" w:hanging="0"/>
              <w:jc w:val="left"/>
              <w:rPr>
                <w:rFonts w:ascii="Arial;Helvetica;sans-serif" w:hAnsi="Arial;Helvetica;sans-serif"/>
                <w:color w:val="636466"/>
                <w:sz w:val="16"/>
              </w:rPr>
            </w:pPr>
            <w:r>
              <w:rPr>
                <w:rFonts w:ascii="Arial;Helvetica;sans-serif" w:hAnsi="Arial;Helvetica;sans-serif"/>
                <w:color w:val="636466"/>
                <w:sz w:val="16"/>
              </w:rPr>
              <w:t>Capital expenditures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bdr w:val="single" w:sz="8" w:space="4" w:color="000000"/>
              </w:rPr>
              <w:t>(406</w:t>
            </w:r>
            <w:r>
              <w:rPr>
                <w:rFonts w:ascii="Arial;Helvetica;sans-serif" w:hAnsi="Arial;Helvetica;sans-serif"/>
                <w:color w:val="636466"/>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bdr w:val="single" w:sz="8" w:space="4" w:color="000000"/>
              </w:rPr>
              <w:t>(377</w:t>
            </w:r>
            <w:r>
              <w:rPr>
                <w:rFonts w:ascii="Arial;Helvetica;sans-serif" w:hAnsi="Arial;Helvetica;sans-serif"/>
                <w:color w:val="636466"/>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bdr w:val="single" w:sz="8" w:space="4" w:color="000000"/>
              </w:rPr>
              <w:t>(326</w:t>
            </w:r>
            <w:r>
              <w:rPr>
                <w:rFonts w:ascii="Arial;Helvetica;sans-serif" w:hAnsi="Arial;Helvetica;sans-serif"/>
                <w:color w:val="636466"/>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color w:val="636466"/>
              </w:rPr>
            </w:pPr>
            <w:r>
              <w:rPr>
                <w:color w:val="636466"/>
              </w:rPr>
              <w:t>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670"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Free cash flow (as reported)</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bdr w:val="double" w:sz="8" w:space="3" w:color="000000"/>
              </w:rPr>
            </w:pPr>
            <w:r>
              <w:rPr>
                <w:rFonts w:ascii="Arial;Helvetica;sans-serif" w:hAnsi="Arial;Helvetica;sans-serif"/>
                <w:color w:val="636466"/>
                <w:sz w:val="16"/>
                <w:bdr w:val="double" w:sz="8" w:space="3" w:color="000000"/>
              </w:rPr>
              <w:t>$2,593</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bdr w:val="double" w:sz="8" w:space="3" w:color="000000"/>
              </w:rPr>
            </w:pPr>
            <w:r>
              <w:rPr>
                <w:rFonts w:ascii="Arial;Helvetica;sans-serif" w:hAnsi="Arial;Helvetica;sans-serif"/>
                <w:color w:val="636466"/>
                <w:sz w:val="16"/>
                <w:bdr w:val="double" w:sz="8" w:space="3" w:color="000000"/>
              </w:rPr>
              <w:t>$2,523</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bdr w:val="double" w:sz="8" w:space="3" w:color="000000"/>
              </w:rPr>
            </w:pPr>
            <w:r>
              <w:rPr>
                <w:rFonts w:ascii="Arial;Helvetica;sans-serif" w:hAnsi="Arial;Helvetica;sans-serif"/>
                <w:color w:val="636466"/>
                <w:sz w:val="16"/>
                <w:bdr w:val="double" w:sz="8" w:space="3" w:color="000000"/>
              </w:rPr>
              <w:t>$1,977</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color w:val="636466"/>
              </w:rPr>
            </w:pPr>
            <w:r>
              <w:rPr>
                <w:color w:val="636466"/>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70" w:type="dxa"/>
            <w:tcBorders/>
            <w:vAlign w:val="center"/>
          </w:tcPr>
          <w:p>
            <w:pPr>
              <w:pStyle w:val="TableContents"/>
              <w:bidi w:val="0"/>
              <w:spacing w:before="0" w:after="283"/>
              <w:ind w:left="230" w:right="0" w:hanging="0"/>
              <w:jc w:val="left"/>
              <w:rPr>
                <w:rFonts w:ascii="Arial;Helvetica;sans-serif" w:hAnsi="Arial;Helvetica;sans-serif"/>
                <w:color w:val="636466"/>
                <w:sz w:val="16"/>
              </w:rPr>
            </w:pPr>
            <w:r>
              <w:rPr>
                <w:rFonts w:ascii="Arial;Helvetica;sans-serif" w:hAnsi="Arial;Helvetica;sans-serif"/>
                <w:color w:val="636466"/>
                <w:sz w:val="16"/>
              </w:rPr>
              <w:t>Currency impact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203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145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color w:val="636466"/>
              </w:rPr>
            </w:pPr>
            <w:r>
              <w:rPr>
                <w:color w:val="636466"/>
              </w:rPr>
              <w:t>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670" w:type="dxa"/>
            <w:tcBorders/>
            <w:shd w:fill="E7E0EF" w:val="clear"/>
            <w:vAlign w:val="center"/>
          </w:tcPr>
          <w:p>
            <w:pPr>
              <w:pStyle w:val="TableContents"/>
              <w:bidi w:val="0"/>
              <w:spacing w:before="0" w:after="283"/>
              <w:ind w:left="230" w:right="0" w:hanging="0"/>
              <w:jc w:val="left"/>
              <w:rPr>
                <w:rFonts w:ascii="Arial;Helvetica;sans-serif" w:hAnsi="Arial;Helvetica;sans-serif"/>
                <w:color w:val="636466"/>
                <w:sz w:val="16"/>
              </w:rPr>
            </w:pPr>
            <w:r>
              <w:rPr>
                <w:rFonts w:ascii="Arial;Helvetica;sans-serif" w:hAnsi="Arial;Helvetica;sans-serif"/>
                <w:color w:val="636466"/>
                <w:sz w:val="16"/>
              </w:rPr>
              <w:t>Transaction costs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color w:val="636466"/>
              </w:rPr>
            </w:pPr>
            <w:r>
              <w:rPr>
                <w:color w:val="636466"/>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235</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649</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color w:val="636466"/>
              </w:rPr>
            </w:pPr>
            <w:r>
              <w:rPr>
                <w:color w:val="636466"/>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70" w:type="dxa"/>
            <w:tcBorders/>
            <w:vAlign w:val="center"/>
          </w:tcPr>
          <w:p>
            <w:pPr>
              <w:pStyle w:val="TableContents"/>
              <w:bidi w:val="0"/>
              <w:spacing w:before="0" w:after="283"/>
              <w:ind w:left="230" w:right="0" w:hanging="0"/>
              <w:jc w:val="left"/>
              <w:rPr>
                <w:rFonts w:ascii="Arial;Helvetica;sans-serif" w:hAnsi="Arial;Helvetica;sans-serif"/>
                <w:color w:val="636466"/>
                <w:sz w:val="16"/>
              </w:rPr>
            </w:pPr>
            <w:r>
              <w:rPr>
                <w:rFonts w:ascii="Arial;Helvetica;sans-serif" w:hAnsi="Arial;Helvetica;sans-serif"/>
                <w:color w:val="636466"/>
                <w:sz w:val="16"/>
              </w:rPr>
              <w:t>Biocon Biologics Transaction-related taxes, costs and results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272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color w:val="636466"/>
              </w:rPr>
            </w:pPr>
            <w:r>
              <w:rPr>
                <w:color w:val="63646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color w:val="636466"/>
              </w:rPr>
            </w:pPr>
            <w:r>
              <w:rPr>
                <w:color w:val="63646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color w:val="636466"/>
              </w:rPr>
            </w:pPr>
            <w:r>
              <w:rPr>
                <w:color w:val="636466"/>
              </w:rPr>
              <w:t>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670" w:type="dxa"/>
            <w:tcBorders/>
            <w:shd w:fill="E7E0EF" w:val="clear"/>
            <w:vAlign w:val="center"/>
          </w:tcPr>
          <w:p>
            <w:pPr>
              <w:pStyle w:val="TableContents"/>
              <w:bidi w:val="0"/>
              <w:spacing w:before="0" w:after="283"/>
              <w:ind w:left="230" w:right="0" w:hanging="0"/>
              <w:jc w:val="left"/>
              <w:rPr>
                <w:rFonts w:ascii="Arial;Helvetica;sans-serif" w:hAnsi="Arial;Helvetica;sans-serif"/>
                <w:color w:val="636466"/>
                <w:sz w:val="16"/>
              </w:rPr>
            </w:pPr>
            <w:r>
              <w:rPr>
                <w:rFonts w:ascii="Arial;Helvetica;sans-serif" w:hAnsi="Arial;Helvetica;sans-serif"/>
                <w:color w:val="636466"/>
                <w:sz w:val="16"/>
              </w:rPr>
              <w:t>Unplanned litigation</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86</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color w:val="636466"/>
              </w:rPr>
            </w:pPr>
            <w:r>
              <w:rPr>
                <w:color w:val="636466"/>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74</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color w:val="636466"/>
              </w:rPr>
            </w:pPr>
            <w:r>
              <w:rPr>
                <w:color w:val="636466"/>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70" w:type="dxa"/>
            <w:tcBorders/>
            <w:vAlign w:val="center"/>
          </w:tcPr>
          <w:p>
            <w:pPr>
              <w:pStyle w:val="TableContents"/>
              <w:bidi w:val="0"/>
              <w:spacing w:before="0" w:after="283"/>
              <w:ind w:left="230" w:right="0" w:hanging="0"/>
              <w:jc w:val="left"/>
              <w:rPr>
                <w:rFonts w:ascii="Arial;Helvetica;sans-serif" w:hAnsi="Arial;Helvetica;sans-serif"/>
                <w:color w:val="636466"/>
                <w:sz w:val="16"/>
              </w:rPr>
            </w:pPr>
            <w:r>
              <w:rPr>
                <w:rFonts w:ascii="Arial;Helvetica;sans-serif" w:hAnsi="Arial;Helvetica;sans-serif"/>
                <w:color w:val="636466"/>
                <w:sz w:val="16"/>
              </w:rPr>
              <w:t>Proceeds from the sale of certain property, plant and equipment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color w:val="636466"/>
              </w:rPr>
            </w:pPr>
            <w:r>
              <w:rPr>
                <w:color w:val="636466"/>
              </w:rPr>
              <w:t>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670" w:type="dxa"/>
            <w:tcBorders/>
            <w:shd w:fill="E7E0EF" w:val="clear"/>
            <w:vAlign w:val="center"/>
          </w:tcPr>
          <w:p>
            <w:pPr>
              <w:pStyle w:val="TableContents"/>
              <w:bidi w:val="0"/>
              <w:spacing w:before="0" w:after="283"/>
              <w:ind w:left="230" w:right="0" w:hanging="0"/>
              <w:jc w:val="left"/>
              <w:rPr>
                <w:rFonts w:ascii="Arial;Helvetica;sans-serif" w:hAnsi="Arial;Helvetica;sans-serif"/>
                <w:color w:val="636466"/>
                <w:sz w:val="16"/>
              </w:rPr>
            </w:pPr>
            <w:r>
              <w:rPr>
                <w:rFonts w:ascii="Arial;Helvetica;sans-serif" w:hAnsi="Arial;Helvetica;sans-serif"/>
                <w:color w:val="636466"/>
                <w:sz w:val="16"/>
              </w:rPr>
              <w:t>Unbudgeted R&amp;D costs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color w:val="636466"/>
              </w:rPr>
            </w:pPr>
            <w:r>
              <w:rPr>
                <w:color w:val="636466"/>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color w:val="636466"/>
              </w:rPr>
            </w:pPr>
            <w:r>
              <w:rPr>
                <w:color w:val="636466"/>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47</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color w:val="636466"/>
              </w:rPr>
            </w:pPr>
            <w:r>
              <w:rPr>
                <w:color w:val="636466"/>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70" w:type="dxa"/>
            <w:tcBorders/>
            <w:vAlign w:val="center"/>
          </w:tcPr>
          <w:p>
            <w:pPr>
              <w:pStyle w:val="TableContents"/>
              <w:bidi w:val="0"/>
              <w:spacing w:before="0" w:after="283"/>
              <w:ind w:left="230" w:right="0" w:hanging="0"/>
              <w:jc w:val="left"/>
              <w:rPr>
                <w:rFonts w:ascii="Arial;Helvetica;sans-serif" w:hAnsi="Arial;Helvetica;sans-serif"/>
                <w:color w:val="636466"/>
                <w:sz w:val="16"/>
              </w:rPr>
            </w:pPr>
            <w:r>
              <w:rPr>
                <w:rFonts w:ascii="Arial;Helvetica;sans-serif" w:hAnsi="Arial;Helvetica;sans-serif"/>
                <w:color w:val="636466"/>
                <w:sz w:val="16"/>
              </w:rPr>
              <w:t>Unbudgeted restructuring costs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color w:val="636466"/>
              </w:rPr>
            </w:pPr>
            <w:r>
              <w:rPr>
                <w:color w:val="63646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color w:val="636466"/>
              </w:rPr>
            </w:pPr>
            <w:r>
              <w:rPr>
                <w:color w:val="63646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color w:val="636466"/>
              </w:rPr>
            </w:pPr>
            <w:r>
              <w:rPr>
                <w:color w:val="636466"/>
              </w:rPr>
              <w:t>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670" w:type="dxa"/>
            <w:tcBorders/>
            <w:shd w:fill="E7E0EF" w:val="clear"/>
            <w:vAlign w:val="center"/>
          </w:tcPr>
          <w:p>
            <w:pPr>
              <w:pStyle w:val="TableContents"/>
              <w:bidi w:val="0"/>
              <w:spacing w:before="0" w:after="283"/>
              <w:ind w:left="230" w:right="0" w:hanging="0"/>
              <w:jc w:val="left"/>
              <w:rPr>
                <w:rFonts w:ascii="Arial;Helvetica;sans-serif" w:hAnsi="Arial;Helvetica;sans-serif"/>
                <w:color w:val="636466"/>
                <w:sz w:val="16"/>
              </w:rPr>
            </w:pPr>
            <w:r>
              <w:rPr>
                <w:rFonts w:ascii="Arial;Helvetica;sans-serif" w:hAnsi="Arial;Helvetica;sans-serif"/>
                <w:color w:val="636466"/>
                <w:sz w:val="16"/>
              </w:rPr>
              <w:t>Free cash flow impact of divestitures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color w:val="636466"/>
                <w:bdr w:val="single" w:sz="8" w:space="4" w:color="000000"/>
              </w:rPr>
            </w:pPr>
            <w:r>
              <w:rPr>
                <w:color w:val="636466"/>
                <w:bdr w:val="single" w:sz="8" w:space="4" w:color="00000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bdr w:val="single" w:sz="8" w:space="4" w:color="000000"/>
              </w:rPr>
            </w:pPr>
            <w:r>
              <w:rPr>
                <w:rFonts w:ascii="Arial;Helvetica;sans-serif" w:hAnsi="Arial;Helvetica;sans-serif"/>
                <w:color w:val="636466"/>
                <w:sz w:val="16"/>
                <w:bdr w:val="single" w:sz="8" w:space="4" w:color="000000"/>
              </w:rPr>
              <w:t>141</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rFonts w:ascii="Arial;Helvetica;sans-serif" w:hAnsi="Arial;Helvetica;sans-serif"/>
                <w:color w:val="636466"/>
                <w:sz w:val="16"/>
                <w:bdr w:val="single" w:sz="8" w:space="4" w:color="000000"/>
              </w:rPr>
            </w:pPr>
            <w:r>
              <w:rPr>
                <w:rFonts w:ascii="Arial;Helvetica;sans-serif" w:hAnsi="Arial;Helvetica;sans-serif"/>
                <w:color w:val="636466"/>
                <w:sz w:val="16"/>
                <w:bdr w:val="single" w:sz="8" w:space="4" w:color="000000"/>
              </w:rPr>
              <w:t>404</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color w:val="636466"/>
              </w:rPr>
            </w:pPr>
            <w:r>
              <w:rPr>
                <w:color w:val="636466"/>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70"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Free cash flow for 2022-2024 three-year PRSUs</w:t>
            </w:r>
            <w:r>
              <w:rPr>
                <w:rFonts w:ascii="Arial;Helvetica;sans-serif" w:hAnsi="Arial;Helvetica;sans-serif"/>
                <w:color w:val="636466"/>
                <w:position w:val="5"/>
                <w:sz w:val="13"/>
                <w:sz w:val="16"/>
              </w:rPr>
              <w:t>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$3,168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$3,057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$3,270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color w:val="636466"/>
                <w:sz w:val="16"/>
              </w:rPr>
            </w:pPr>
            <w:r>
              <w:rPr>
                <w:rFonts w:ascii="Arial;Helvetica;sans-serif" w:hAnsi="Arial;Helvetica;sans-serif"/>
                <w:color w:val="636466"/>
                <w:sz w:val="16"/>
              </w:rPr>
              <w:t>$9,495</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9145" w:type="dxa"/>
        <w:jc w:val="left"/>
        <w:tblInd w:w="106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a</w:t>
            </w:r>
          </w:p>
        </w:tc>
        <w:tc>
          <w:tcPr>
            <w:tcW w:w="9020" w:type="dxa"/>
            <w:tcBorders/>
            <w:vAlign w:val="center"/>
          </w:tcPr>
          <w:p>
            <w:pPr>
              <w:pStyle w:val="TableContents"/>
              <w:bidi w:val="0"/>
              <w:spacing w:before="0" w:after="0"/>
              <w:jc w:val="left"/>
              <w:rPr>
                <w:rFonts w:ascii="Arial;Helvetica;sans-serif" w:hAnsi="Arial;Helvetica;sans-serif"/>
                <w:color w:val="636466"/>
                <w:sz w:val="14"/>
              </w:rPr>
            </w:pPr>
            <w:r>
              <w:rPr>
                <w:rFonts w:ascii="Arial;Helvetica;sans-serif" w:hAnsi="Arial;Helvetica;sans-serif"/>
                <w:color w:val="636466"/>
                <w:sz w:val="14"/>
              </w:rPr>
              <w:t>Beginning in 2024, upfront and milestone payments related to externally developed IPR&amp;D projects acquired directly in a transaction other than a business combination, which were previously included in cash flows from operating activities in the consolidated statements of cash flows, are now classified as cash flows from investing activities. Certain reclassifications were made to conform the prior period consolidated financial statements to the current period presentation. The adjustments resulted in an increase to net cash provided by operating activities of $100 million for the year ended December 31, 2023, and in an increase to net cash provided by operating activities of $46 million for the year ended December 31, 2022. This reclassification has no impact on the three-year free cash flow calculation for incentive compensation purposes as these amounts were previously excluded from the calculation of free cash flow.</w:t>
            </w:r>
          </w:p>
        </w:tc>
      </w:tr>
    </w:tbl>
    <w:p>
      <w:pPr>
        <w:pStyle w:val="TextBody"/>
        <w:bidi w:val="0"/>
        <w:spacing w:before="390" w:after="283"/>
        <w:ind w:left="1060" w:right="0" w:hanging="0"/>
        <w:jc w:val="left"/>
        <w:rPr>
          <w:rFonts w:ascii="Arial;Helvetica;sans-serif" w:hAnsi="Arial;Helvetica;sans-serif"/>
          <w:b/>
          <w:color w:val="1F1C6B"/>
          <w:sz w:val="18"/>
        </w:rPr>
      </w:pPr>
      <w:r>
        <w:rPr>
          <w:rFonts w:ascii="Arial;Helvetica;sans-serif" w:hAnsi="Arial;Helvetica;sans-serif"/>
          <w:b/>
          <w:color w:val="1F1C6B"/>
          <w:sz w:val="18"/>
        </w:rPr>
        <w:t xml:space="preserve">Long-term Gross Leverage Target </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The stated forward-looking non-GAAP financial measure of long-term gross leverage target of ~3.0x, with a range of 2.8x – 3.2x, is based on the ratio of (i) targeted notional gross debt and (ii) targeted adjusted EBITDA. However, the Company has not quantified future amounts to develop this target but has stated its goal to manage notional gross debt and adjusted EBITDA over time in order to generally maintain or reach the target. This target does not reflect Company guidance. </w:t>
      </w:r>
    </w:p>
    <w:p>
      <w:pPr>
        <w:pStyle w:val="TextBody"/>
        <w:bidi w:val="0"/>
        <w:spacing w:before="420" w:after="283"/>
        <w:ind w:left="1060" w:right="0" w:hanging="0"/>
        <w:jc w:val="left"/>
        <w:rPr>
          <w:rFonts w:ascii="Arial;Helvetica;sans-serif" w:hAnsi="Arial;Helvetica;sans-serif"/>
          <w:b/>
          <w:color w:val="1F1C6B"/>
          <w:sz w:val="18"/>
        </w:rPr>
      </w:pPr>
      <w:r>
        <w:rPr>
          <w:rFonts w:ascii="Arial;Helvetica;sans-serif" w:hAnsi="Arial;Helvetica;sans-serif"/>
          <w:b/>
          <w:color w:val="1F1C6B"/>
          <w:sz w:val="18"/>
        </w:rPr>
        <w:t xml:space="preserve">Gross Leverage Ratio </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Viatris’ publicly reported gross leverage ratio (“as reported”) compares adjusted EBITDA (as reported), a reconciliation of which is set forth above, to total debt at notional amounts (as reported), a reconciliation of which is set forth below: </w:t>
      </w:r>
    </w:p>
    <w:tbl>
      <w:tblPr>
        <w:tblW w:w="7335" w:type="dxa"/>
        <w:jc w:val="left"/>
        <w:tblInd w:w="1060" w:type="dxa"/>
        <w:tblLayout w:type="fixed"/>
        <w:tblCellMar>
          <w:top w:w="0" w:type="dxa"/>
          <w:left w:w="0" w:type="dxa"/>
          <w:bottom w:w="0" w:type="dxa"/>
          <w:right w:w="0" w:type="dxa"/>
        </w:tblCellMar>
      </w:tblPr>
      <w:tblGrid>
        <w:gridCol w:w="185"/>
        <w:gridCol w:w="4745"/>
        <w:gridCol w:w="170"/>
        <w:gridCol w:w="170"/>
        <w:gridCol w:w="1850"/>
        <w:gridCol w:w="215"/>
      </w:tblGrid>
      <w:tr>
        <w:trPr/>
        <w:tc>
          <w:tcPr>
            <w:tcW w:w="185" w:type="dxa"/>
            <w:tcBorders/>
            <w:shd w:fill="1F1C6B" w:val="clear"/>
            <w:vAlign w:val="center"/>
          </w:tcPr>
          <w:p>
            <w:pPr>
              <w:pStyle w:val="TableContents"/>
              <w:bidi w:val="0"/>
              <w:spacing w:before="0" w:after="0"/>
              <w:jc w:val="left"/>
              <w:rPr/>
            </w:pPr>
            <w:r>
              <w:rPr/>
              <w:t> </w:t>
            </w:r>
          </w:p>
        </w:tc>
        <w:tc>
          <w:tcPr>
            <w:tcW w:w="474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850"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4745"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(in millions except for gross debt to adjusted EBITDA ratio)</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850" w:type="dxa"/>
            <w:tcBorders/>
            <w:shd w:fill="1F1C6B"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Twelve Months Ended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December 31, 2024</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745"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Viatris adjusted EBITDA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978" w:right="0" w:hanging="0"/>
              <w:jc w:val="left"/>
              <w:rPr>
                <w:rFonts w:ascii="Arial;Helvetica;sans-serif" w:hAnsi="Arial;Helvetica;sans-serif"/>
                <w:color w:val="636466"/>
                <w:sz w:val="16"/>
              </w:rPr>
            </w:pPr>
            <w:r>
              <w:rPr>
                <w:rFonts w:ascii="Arial;Helvetica;sans-serif" w:hAnsi="Arial;Helvetica;sans-serif"/>
                <w:color w:val="636466"/>
                <w:sz w:val="16"/>
              </w:rPr>
              <w:t xml:space="preserve">$4,669.4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745"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Reported debt balances: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850" w:type="dxa"/>
            <w:tcBorders/>
            <w:shd w:fill="E7E0EF" w:val="clear"/>
            <w:vAlign w:val="center"/>
          </w:tcPr>
          <w:p>
            <w:pPr>
              <w:pStyle w:val="TableContents"/>
              <w:bidi w:val="0"/>
              <w:spacing w:before="0" w:after="283"/>
              <w:ind w:left="978" w:right="0" w:hanging="0"/>
              <w:jc w:val="left"/>
              <w:rPr>
                <w:color w:val="636466"/>
              </w:rPr>
            </w:pPr>
            <w:r>
              <w:rPr>
                <w:color w:val="636466"/>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745" w:type="dxa"/>
            <w:tcBorders/>
            <w:vAlign w:val="center"/>
          </w:tcPr>
          <w:p>
            <w:pPr>
              <w:pStyle w:val="TableContents"/>
              <w:bidi w:val="0"/>
              <w:spacing w:before="0" w:after="283"/>
              <w:ind w:left="230" w:right="0" w:hanging="0"/>
              <w:jc w:val="left"/>
              <w:rPr>
                <w:rFonts w:ascii="Arial;Helvetica;sans-serif" w:hAnsi="Arial;Helvetica;sans-serif"/>
                <w:color w:val="636466"/>
                <w:sz w:val="16"/>
              </w:rPr>
            </w:pPr>
            <w:r>
              <w:rPr>
                <w:rFonts w:ascii="Arial;Helvetica;sans-serif" w:hAnsi="Arial;Helvetica;sans-serif"/>
                <w:color w:val="636466"/>
                <w:sz w:val="16"/>
              </w:rPr>
              <w:t>Long-term debt, including current portion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978" w:right="0" w:hanging="0"/>
              <w:jc w:val="left"/>
              <w:rPr>
                <w:rFonts w:ascii="Arial;Helvetica;sans-serif" w:hAnsi="Arial;Helvetica;sans-serif"/>
                <w:color w:val="636466"/>
                <w:sz w:val="16"/>
              </w:rPr>
            </w:pPr>
            <w:r>
              <w:rPr>
                <w:rFonts w:ascii="Arial;Helvetica;sans-serif" w:hAnsi="Arial;Helvetica;sans-serif"/>
                <w:color w:val="636466"/>
                <w:sz w:val="16"/>
              </w:rPr>
              <w:t xml:space="preserve">14,039.5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745" w:type="dxa"/>
            <w:tcBorders/>
            <w:shd w:fill="E7E0EF" w:val="clear"/>
            <w:vAlign w:val="center"/>
          </w:tcPr>
          <w:p>
            <w:pPr>
              <w:pStyle w:val="TableContents"/>
              <w:bidi w:val="0"/>
              <w:spacing w:before="0" w:after="283"/>
              <w:ind w:left="230" w:right="0" w:hanging="0"/>
              <w:jc w:val="left"/>
              <w:rPr>
                <w:rFonts w:ascii="Arial;Helvetica;sans-serif" w:hAnsi="Arial;Helvetica;sans-serif"/>
                <w:color w:val="636466"/>
                <w:sz w:val="16"/>
              </w:rPr>
            </w:pPr>
            <w:r>
              <w:rPr>
                <w:rFonts w:ascii="Arial;Helvetica;sans-serif" w:hAnsi="Arial;Helvetica;sans-serif"/>
                <w:color w:val="636466"/>
                <w:sz w:val="16"/>
              </w:rPr>
              <w:t>Short-term borrowings and other current obligations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850" w:type="dxa"/>
            <w:tcBorders/>
            <w:shd w:fill="E7E0EF" w:val="clear"/>
            <w:vAlign w:val="center"/>
          </w:tcPr>
          <w:p>
            <w:pPr>
              <w:pStyle w:val="TableContents"/>
              <w:bidi w:val="0"/>
              <w:spacing w:before="0" w:after="283"/>
              <w:ind w:left="978" w:right="0" w:hanging="0"/>
              <w:jc w:val="left"/>
              <w:rPr>
                <w:color w:val="636466"/>
                <w:bdr w:val="single" w:sz="8" w:space="4" w:color="000000"/>
              </w:rPr>
            </w:pPr>
            <w:r>
              <w:rPr>
                <w:color w:val="636466"/>
                <w:bdr w:val="single" w:sz="8" w:space="4" w:color="000000"/>
              </w:rPr>
              <w:t xml:space="preserve">—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745"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978" w:right="0" w:hanging="0"/>
              <w:jc w:val="left"/>
              <w:rPr>
                <w:rFonts w:ascii="Arial;Helvetica;sans-serif" w:hAnsi="Arial;Helvetica;sans-serif"/>
                <w:color w:val="636466"/>
                <w:sz w:val="16"/>
              </w:rPr>
            </w:pPr>
            <w:r>
              <w:rPr>
                <w:rFonts w:ascii="Arial;Helvetica;sans-serif" w:hAnsi="Arial;Helvetica;sans-serif"/>
                <w:color w:val="636466"/>
                <w:sz w:val="16"/>
              </w:rPr>
              <w:t xml:space="preserve">14,039.5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745"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Add / (deduct):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850" w:type="dxa"/>
            <w:tcBorders/>
            <w:shd w:fill="E7E0EF" w:val="clear"/>
            <w:vAlign w:val="center"/>
          </w:tcPr>
          <w:p>
            <w:pPr>
              <w:pStyle w:val="TableContents"/>
              <w:bidi w:val="0"/>
              <w:spacing w:before="0" w:after="283"/>
              <w:ind w:left="978" w:right="0" w:hanging="0"/>
              <w:jc w:val="left"/>
              <w:rPr>
                <w:color w:val="636466"/>
              </w:rPr>
            </w:pPr>
            <w:r>
              <w:rPr>
                <w:color w:val="636466"/>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745" w:type="dxa"/>
            <w:tcBorders/>
            <w:vAlign w:val="center"/>
          </w:tcPr>
          <w:p>
            <w:pPr>
              <w:pStyle w:val="TableContents"/>
              <w:bidi w:val="0"/>
              <w:spacing w:before="0" w:after="283"/>
              <w:ind w:left="230" w:right="0" w:hanging="0"/>
              <w:jc w:val="left"/>
              <w:rPr>
                <w:rFonts w:ascii="Arial;Helvetica;sans-serif" w:hAnsi="Arial;Helvetica;sans-serif"/>
                <w:color w:val="636466"/>
                <w:sz w:val="16"/>
              </w:rPr>
            </w:pPr>
            <w:r>
              <w:rPr>
                <w:rFonts w:ascii="Arial;Helvetica;sans-serif" w:hAnsi="Arial;Helvetica;sans-serif"/>
                <w:color w:val="636466"/>
                <w:sz w:val="16"/>
              </w:rPr>
              <w:t>Net premiums on various debt issuances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978" w:right="0" w:hanging="0"/>
              <w:jc w:val="left"/>
              <w:rPr>
                <w:rFonts w:ascii="Arial;Helvetica;sans-serif" w:hAnsi="Arial;Helvetica;sans-serif"/>
                <w:color w:val="636466"/>
                <w:sz w:val="16"/>
              </w:rPr>
            </w:pPr>
            <w:r>
              <w:rPr>
                <w:rFonts w:ascii="Arial;Helvetica;sans-serif" w:hAnsi="Arial;Helvetica;sans-serif"/>
                <w:color w:val="636466"/>
                <w:sz w:val="16"/>
              </w:rPr>
              <w:t xml:space="preserve">(480.9)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745" w:type="dxa"/>
            <w:tcBorders/>
            <w:shd w:fill="E7E0EF" w:val="clear"/>
            <w:vAlign w:val="center"/>
          </w:tcPr>
          <w:p>
            <w:pPr>
              <w:pStyle w:val="TableContents"/>
              <w:bidi w:val="0"/>
              <w:spacing w:before="0" w:after="283"/>
              <w:ind w:left="230" w:right="0" w:hanging="0"/>
              <w:jc w:val="left"/>
              <w:rPr>
                <w:rFonts w:ascii="Arial;Helvetica;sans-serif" w:hAnsi="Arial;Helvetica;sans-serif"/>
                <w:color w:val="636466"/>
                <w:sz w:val="16"/>
              </w:rPr>
            </w:pPr>
            <w:r>
              <w:rPr>
                <w:rFonts w:ascii="Arial;Helvetica;sans-serif" w:hAnsi="Arial;Helvetica;sans-serif"/>
                <w:color w:val="636466"/>
                <w:sz w:val="16"/>
              </w:rPr>
              <w:t>Deferred financing fees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850" w:type="dxa"/>
            <w:tcBorders/>
            <w:shd w:fill="E7E0EF" w:val="clear"/>
            <w:vAlign w:val="center"/>
          </w:tcPr>
          <w:p>
            <w:pPr>
              <w:pStyle w:val="TableContents"/>
              <w:bidi w:val="0"/>
              <w:spacing w:before="0" w:after="283"/>
              <w:ind w:left="978" w:right="0" w:hanging="0"/>
              <w:jc w:val="left"/>
              <w:rPr>
                <w:rFonts w:ascii="Arial;Helvetica;sans-serif" w:hAnsi="Arial;Helvetica;sans-serif"/>
                <w:color w:val="636466"/>
                <w:sz w:val="16"/>
                <w:bdr w:val="single" w:sz="8" w:space="4" w:color="000000"/>
              </w:rPr>
            </w:pPr>
            <w:r>
              <w:rPr>
                <w:rFonts w:ascii="Arial;Helvetica;sans-serif" w:hAnsi="Arial;Helvetica;sans-serif"/>
                <w:color w:val="636466"/>
                <w:sz w:val="16"/>
                <w:bdr w:val="single" w:sz="8" w:space="4" w:color="000000"/>
              </w:rPr>
              <w:t xml:space="preserve">24.3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745" w:type="dxa"/>
            <w:tcBorders/>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Total debt at notional amounts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978" w:right="0" w:hanging="0"/>
              <w:jc w:val="left"/>
              <w:rPr>
                <w:rFonts w:ascii="Arial;Helvetica;sans-serif" w:hAnsi="Arial;Helvetica;sans-serif"/>
                <w:color w:val="636466"/>
                <w:sz w:val="16"/>
                <w:bdr w:val="double" w:sz="8" w:space="3" w:color="000000"/>
              </w:rPr>
            </w:pPr>
            <w:r>
              <w:rPr>
                <w:rFonts w:ascii="Arial;Helvetica;sans-serif" w:hAnsi="Arial;Helvetica;sans-serif"/>
                <w:color w:val="636466"/>
                <w:sz w:val="16"/>
                <w:bdr w:val="double" w:sz="8" w:space="3" w:color="000000"/>
              </w:rPr>
              <w:t xml:space="preserve">$13,582.9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745"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Gross debt to adjusted EBITDA</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850" w:type="dxa"/>
            <w:tcBorders/>
            <w:shd w:fill="E7E0EF" w:val="clear"/>
            <w:vAlign w:val="center"/>
          </w:tcPr>
          <w:p>
            <w:pPr>
              <w:pStyle w:val="TableContents"/>
              <w:bidi w:val="0"/>
              <w:spacing w:before="0" w:after="283"/>
              <w:ind w:left="978" w:right="0" w:hanging="0"/>
              <w:jc w:val="left"/>
              <w:rPr>
                <w:rFonts w:ascii="Arial;Helvetica;sans-serif" w:hAnsi="Arial;Helvetica;sans-serif"/>
                <w:color w:val="636466"/>
                <w:sz w:val="16"/>
              </w:rPr>
            </w:pPr>
            <w:r>
              <w:rPr>
                <w:rFonts w:ascii="Arial;Helvetica;sans-serif" w:hAnsi="Arial;Helvetica;sans-serif"/>
                <w:color w:val="636466"/>
                <w:sz w:val="16"/>
              </w:rPr>
              <w:t>2.9x</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74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850"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tbl>
      <w:tblPr>
        <w:tblW w:w="5055" w:type="dxa"/>
        <w:jc w:val="left"/>
        <w:tblInd w:w="1060" w:type="dxa"/>
        <w:tblLayout w:type="fixed"/>
        <w:tblCellMar>
          <w:top w:w="0" w:type="dxa"/>
          <w:left w:w="0" w:type="dxa"/>
          <w:bottom w:w="0" w:type="dxa"/>
          <w:right w:w="0" w:type="dxa"/>
        </w:tblCellMar>
      </w:tblPr>
      <w:tblGrid>
        <w:gridCol w:w="2555"/>
        <w:gridCol w:w="170"/>
        <w:gridCol w:w="170"/>
        <w:gridCol w:w="2160"/>
      </w:tblGrid>
      <w:tr>
        <w:trPr/>
        <w:tc>
          <w:tcPr>
            <w:tcW w:w="25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555" w:type="dxa"/>
            <w:tcBorders/>
            <w:vAlign w:val="center"/>
          </w:tcPr>
          <w:p>
            <w:pPr>
              <w:pStyle w:val="TableContents"/>
              <w:bidi w:val="0"/>
              <w:spacing w:before="0" w:after="283"/>
              <w:ind w:left="0" w:right="0" w:hanging="0"/>
              <w:jc w:val="left"/>
              <w:rPr>
                <w:rFonts w:ascii="Arial;Helvetica;sans-serif" w:hAnsi="Arial;Helvetica;sans-serif"/>
                <w:color w:val="636466"/>
                <w:sz w:val="18"/>
              </w:rPr>
            </w:pPr>
            <w:r>
              <w:rPr>
                <w:rFonts w:ascii="Arial;Helvetica;sans-serif" w:hAnsi="Arial;Helvetica;sans-serif"/>
                <w:color w:val="636466"/>
                <w:sz w:val="18"/>
              </w:rPr>
              <w:t>B-6 | 2025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636466"/>
              </w:rPr>
            </w:pPr>
            <w:r>
              <w:rPr>
                <w:color w:val="636466"/>
              </w:rPr>
              <w:drawing>
                <wp:inline distT="0" distB="0" distL="0" distR="0">
                  <wp:extent cx="1323975" cy="352425"/>
                  <wp:effectExtent l="0" t="0" r="0" b="0"/>
                  <wp:docPr id="315"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282" descr=""/>
                          <pic:cNvPicPr>
                            <a:picLocks noChangeAspect="1" noChangeArrowheads="1"/>
                          </pic:cNvPicPr>
                        </pic:nvPicPr>
                        <pic:blipFill>
                          <a:blip r:embed="rId300"/>
                          <a:stretch>
                            <a:fillRect/>
                          </a:stretch>
                        </pic:blipFill>
                        <pic:spPr bwMode="auto">
                          <a:xfrm>
                            <a:off x="0" y="0"/>
                            <a:ext cx="1323975" cy="352425"/>
                          </a:xfrm>
                          <a:prstGeom prst="rect">
                            <a:avLst/>
                          </a:prstGeom>
                        </pic:spPr>
                      </pic:pic>
                    </a:graphicData>
                  </a:graphic>
                </wp:inline>
              </w:drawing>
            </w:r>
          </w:p>
        </w:tc>
      </w:tr>
      <w:tr>
        <w:trPr/>
        <w:tc>
          <w:tcPr>
            <w:tcW w:w="25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316"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283" descr=""/>
                    <pic:cNvPicPr>
                      <a:picLocks noChangeAspect="1" noChangeArrowheads="1"/>
                    </pic:cNvPicPr>
                  </pic:nvPicPr>
                  <pic:blipFill>
                    <a:blip r:embed="rId301"/>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209" w:name="ny20055082x771_def14a_301-appb_pg7"/>
        <w:bookmarkEnd w:id="20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60" w:right="0" w:hanging="0"/>
        <w:jc w:val="right"/>
        <w:rPr>
          <w:caps/>
          <w:color w:val="1F1C6B"/>
          <w:u w:val="single"/>
        </w:rPr>
      </w:pPr>
      <w:r>
        <w:rPr>
          <w:caps/>
          <w:color w:val="1F1C6B"/>
          <w:u w:val="single"/>
        </w:rPr>
        <w:t> </w:t>
      </w:r>
      <w:r>
        <w:rPr>
          <w:rFonts w:ascii="Arial;Helvetica;sans-serif" w:hAnsi="Arial;Helvetica;sans-serif"/>
          <w:caps/>
          <w:color w:val="1F1C6B"/>
          <w:sz w:val="18"/>
          <w:u w:val="single"/>
        </w:rPr>
        <w:t>Appendix B </w:t>
      </w:r>
    </w:p>
    <w:p>
      <w:pPr>
        <w:pStyle w:val="TextBody"/>
        <w:bidi w:val="0"/>
        <w:spacing w:before="120" w:after="283"/>
        <w:ind w:left="1060" w:right="0" w:hanging="0"/>
        <w:jc w:val="left"/>
        <w:rPr>
          <w:rFonts w:ascii="Arial;Helvetica;sans-serif" w:hAnsi="Arial;Helvetica;sans-serif"/>
          <w:b/>
          <w:color w:val="1F1C6B"/>
          <w:sz w:val="18"/>
        </w:rPr>
      </w:pPr>
      <w:r>
        <w:rPr>
          <w:rFonts w:ascii="Arial;Helvetica;sans-serif" w:hAnsi="Arial;Helvetica;sans-serif"/>
          <w:b/>
          <w:color w:val="1F1C6B"/>
          <w:sz w:val="18"/>
        </w:rPr>
        <w:t xml:space="preserve">Divestiture-Adjusted Operational Revenue Change Ex-Indore </w:t>
      </w:r>
    </w:p>
    <w:p>
      <w:pPr>
        <w:pStyle w:val="TextBody"/>
        <w:bidi w:val="0"/>
        <w:spacing w:before="160" w:after="283"/>
        <w:ind w:left="1060" w:right="0" w:hanging="0"/>
        <w:jc w:val="left"/>
        <w:rPr>
          <w:rFonts w:ascii="Arial;Helvetica;sans-serif" w:hAnsi="Arial;Helvetica;sans-serif"/>
          <w:color w:val="636466"/>
          <w:sz w:val="18"/>
        </w:rPr>
      </w:pPr>
      <w:r>
        <w:rPr>
          <w:rFonts w:ascii="Arial;Helvetica;sans-serif" w:hAnsi="Arial;Helvetica;sans-serif"/>
          <w:color w:val="636466"/>
          <w:sz w:val="18"/>
        </w:rPr>
        <w:t xml:space="preserve">Divestiture-adjusted operational revenue change ex-Indore is derived from Viatris’ publicly reported total revenues by comparing 2025 total revenues to 2024 total revenues, adjusted for the impact of foreign currency by translating 2025 total revenues at prior year comparative period exchange rates (“currency impact”), all impacts of the Company’s divestitures after their consummation (“impact of divestitures”), and the negative impact related to the FDA issued warning letter and import alert for our oral finished dose manufacturing facility in Indore, India (“Indore impact”). </w:t>
      </w:r>
    </w:p>
    <w:tbl>
      <w:tblPr>
        <w:tblW w:w="9145" w:type="dxa"/>
        <w:jc w:val="left"/>
        <w:tblInd w:w="1060" w:type="dxa"/>
        <w:tblLayout w:type="fixed"/>
        <w:tblCellMar>
          <w:top w:w="0" w:type="dxa"/>
          <w:left w:w="0" w:type="dxa"/>
          <w:bottom w:w="0" w:type="dxa"/>
          <w:right w:w="0" w:type="dxa"/>
        </w:tblCellMar>
      </w:tblPr>
      <w:tblGrid>
        <w:gridCol w:w="185"/>
        <w:gridCol w:w="3594"/>
        <w:gridCol w:w="170"/>
        <w:gridCol w:w="170"/>
        <w:gridCol w:w="1615"/>
        <w:gridCol w:w="170"/>
        <w:gridCol w:w="170"/>
        <w:gridCol w:w="1615"/>
        <w:gridCol w:w="170"/>
        <w:gridCol w:w="170"/>
        <w:gridCol w:w="899"/>
        <w:gridCol w:w="217"/>
      </w:tblGrid>
      <w:tr>
        <w:trPr/>
        <w:tc>
          <w:tcPr>
            <w:tcW w:w="185" w:type="dxa"/>
            <w:tcBorders/>
            <w:shd w:fill="1F1C6B" w:val="clear"/>
            <w:vAlign w:val="center"/>
          </w:tcPr>
          <w:p>
            <w:pPr>
              <w:pStyle w:val="TableContents"/>
              <w:bidi w:val="0"/>
              <w:spacing w:before="0" w:after="0"/>
              <w:jc w:val="left"/>
              <w:rPr/>
            </w:pPr>
            <w:r>
              <w:rPr/>
              <w:t> </w:t>
            </w:r>
          </w:p>
        </w:tc>
        <w:tc>
          <w:tcPr>
            <w:tcW w:w="3594"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61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61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99" w:type="dxa"/>
            <w:tcBorders/>
            <w:shd w:fill="1F1C6B" w:val="clear"/>
            <w:vAlign w:val="center"/>
          </w:tcPr>
          <w:p>
            <w:pPr>
              <w:pStyle w:val="TableContents"/>
              <w:bidi w:val="0"/>
              <w:spacing w:before="0" w:after="0"/>
              <w:jc w:val="left"/>
              <w:rPr/>
            </w:pPr>
            <w:r>
              <w:rPr/>
              <w:t> </w:t>
            </w:r>
          </w:p>
        </w:tc>
        <w:tc>
          <w:tcPr>
            <w:tcW w:w="217"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3594"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(in millions)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615" w:type="dxa"/>
            <w:tcBorders/>
            <w:shd w:fill="1F1C6B"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Three Months Ended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June 30, 2025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615" w:type="dxa"/>
            <w:tcBorders/>
            <w:shd w:fill="1F1C6B"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Three Months Ended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June 30, 2024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99" w:type="dxa"/>
            <w:tcBorders/>
            <w:shd w:fill="1F1C6B"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 Change </w:t>
            </w:r>
          </w:p>
        </w:tc>
        <w:tc>
          <w:tcPr>
            <w:tcW w:w="217"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94" w:type="dxa"/>
            <w:tcBorders/>
            <w:vAlign w:val="center"/>
          </w:tcPr>
          <w:p>
            <w:pPr>
              <w:pStyle w:val="TableContents"/>
              <w:bidi w:val="0"/>
              <w:spacing w:before="0" w:after="283"/>
              <w:ind w:left="30" w:right="0" w:hanging="0"/>
              <w:jc w:val="left"/>
              <w:rPr>
                <w:color w:val="636466"/>
              </w:rPr>
            </w:pPr>
            <w:r>
              <w:rPr>
                <w:color w:val="636466"/>
              </w:rPr>
              <w:t>​</w:t>
            </w:r>
            <w:r>
              <w:rPr>
                <w:rFonts w:ascii="Arial;Helvetica;sans-serif" w:hAnsi="Arial;Helvetica;sans-serif"/>
                <w:color w:val="636466"/>
                <w:sz w:val="16"/>
              </w:rPr>
              <w:t xml:space="preserve">Total Revenues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5" w:type="dxa"/>
            <w:tcBorders/>
            <w:vAlign w:val="center"/>
          </w:tcPr>
          <w:p>
            <w:pPr>
              <w:pStyle w:val="TableContents"/>
              <w:bidi w:val="0"/>
              <w:spacing w:before="0" w:after="283"/>
              <w:ind w:left="554" w:right="0" w:hanging="0"/>
              <w:jc w:val="left"/>
              <w:rPr>
                <w:rFonts w:ascii="Arial;Helvetica;sans-serif" w:hAnsi="Arial;Helvetica;sans-serif"/>
                <w:color w:val="636466"/>
                <w:sz w:val="16"/>
              </w:rPr>
            </w:pPr>
            <w:r>
              <w:rPr>
                <w:rFonts w:ascii="Arial;Helvetica;sans-serif" w:hAnsi="Arial;Helvetica;sans-serif"/>
                <w:color w:val="636466"/>
                <w:sz w:val="16"/>
              </w:rPr>
              <w:t xml:space="preserve">$3,582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5" w:type="dxa"/>
            <w:tcBorders/>
            <w:vAlign w:val="center"/>
          </w:tcPr>
          <w:p>
            <w:pPr>
              <w:pStyle w:val="TableContents"/>
              <w:bidi w:val="0"/>
              <w:spacing w:before="0" w:after="283"/>
              <w:ind w:left="554" w:right="0" w:hanging="0"/>
              <w:jc w:val="left"/>
              <w:rPr>
                <w:rFonts w:ascii="Arial;Helvetica;sans-serif" w:hAnsi="Arial;Helvetica;sans-serif"/>
                <w:color w:val="636466"/>
                <w:sz w:val="16"/>
              </w:rPr>
            </w:pPr>
            <w:r>
              <w:rPr>
                <w:rFonts w:ascii="Arial;Helvetica;sans-serif" w:hAnsi="Arial;Helvetica;sans-serif"/>
                <w:color w:val="636466"/>
                <w:sz w:val="16"/>
              </w:rPr>
              <w:t xml:space="preserve">$3,797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283"/>
              <w:ind w:left="311" w:right="0" w:hanging="0"/>
              <w:jc w:val="left"/>
              <w:rPr>
                <w:rFonts w:ascii="Arial;Helvetica;sans-serif" w:hAnsi="Arial;Helvetica;sans-serif"/>
                <w:color w:val="636466"/>
                <w:sz w:val="16"/>
              </w:rPr>
            </w:pPr>
            <w:r>
              <w:rPr>
                <w:rFonts w:ascii="Arial;Helvetica;sans-serif" w:hAnsi="Arial;Helvetica;sans-serif"/>
                <w:color w:val="636466"/>
                <w:sz w:val="16"/>
              </w:rPr>
              <w:t xml:space="preserve">(6%) </w:t>
            </w:r>
          </w:p>
        </w:tc>
        <w:tc>
          <w:tcPr>
            <w:tcW w:w="217"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3594" w:type="dxa"/>
            <w:tcBorders/>
            <w:shd w:fill="E7E0EF" w:val="clear"/>
            <w:vAlign w:val="center"/>
          </w:tcPr>
          <w:p>
            <w:pPr>
              <w:pStyle w:val="TableContents"/>
              <w:bidi w:val="0"/>
              <w:spacing w:before="0" w:after="283"/>
              <w:ind w:left="230" w:right="0" w:hanging="0"/>
              <w:jc w:val="left"/>
              <w:rPr>
                <w:color w:val="636466"/>
              </w:rPr>
            </w:pPr>
            <w:r>
              <w:rPr>
                <w:color w:val="636466"/>
              </w:rPr>
              <w:t>​</w:t>
            </w:r>
            <w:r>
              <w:rPr>
                <w:rFonts w:ascii="Arial;Helvetica;sans-serif" w:hAnsi="Arial;Helvetica;sans-serif"/>
                <w:color w:val="636466"/>
                <w:sz w:val="16"/>
              </w:rPr>
              <w:t xml:space="preserve">Currency impact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615" w:type="dxa"/>
            <w:tcBorders/>
            <w:shd w:fill="E7E0EF" w:val="clear"/>
            <w:vAlign w:val="center"/>
          </w:tcPr>
          <w:p>
            <w:pPr>
              <w:pStyle w:val="TableContents"/>
              <w:bidi w:val="0"/>
              <w:spacing w:before="0" w:after="283"/>
              <w:ind w:left="554" w:right="0" w:hanging="0"/>
              <w:jc w:val="left"/>
              <w:rPr>
                <w:rFonts w:ascii="Arial;Helvetica;sans-serif" w:hAnsi="Arial;Helvetica;sans-serif"/>
                <w:color w:val="636466"/>
                <w:sz w:val="16"/>
              </w:rPr>
            </w:pPr>
            <w:r>
              <w:rPr>
                <w:rFonts w:ascii="Arial;Helvetica;sans-serif" w:hAnsi="Arial;Helvetica;sans-serif"/>
                <w:color w:val="636466"/>
                <w:sz w:val="16"/>
              </w:rPr>
              <w:t>($62)</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615" w:type="dxa"/>
            <w:tcBorders/>
            <w:shd w:fill="E7E0EF" w:val="clear"/>
            <w:vAlign w:val="center"/>
          </w:tcPr>
          <w:p>
            <w:pPr>
              <w:pStyle w:val="TableContents"/>
              <w:bidi w:val="0"/>
              <w:spacing w:before="0" w:after="283"/>
              <w:ind w:left="554" w:right="0" w:hanging="0"/>
              <w:jc w:val="left"/>
              <w:rPr>
                <w:color w:val="636466"/>
              </w:rPr>
            </w:pPr>
            <w:r>
              <w:rPr>
                <w:color w:val="636466"/>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99" w:type="dxa"/>
            <w:tcBorders/>
            <w:shd w:fill="E7E0EF" w:val="clear"/>
            <w:vAlign w:val="center"/>
          </w:tcPr>
          <w:p>
            <w:pPr>
              <w:pStyle w:val="TableContents"/>
              <w:bidi w:val="0"/>
              <w:spacing w:before="0" w:after="283"/>
              <w:ind w:left="311" w:right="0" w:hanging="0"/>
              <w:jc w:val="left"/>
              <w:rPr>
                <w:color w:val="636466"/>
              </w:rPr>
            </w:pPr>
            <w:r>
              <w:rPr>
                <w:color w:val="636466"/>
              </w:rPr>
              <w:t> </w:t>
            </w:r>
          </w:p>
        </w:tc>
        <w:tc>
          <w:tcPr>
            <w:tcW w:w="217"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94" w:type="dxa"/>
            <w:tcBorders/>
            <w:vAlign w:val="center"/>
          </w:tcPr>
          <w:p>
            <w:pPr>
              <w:pStyle w:val="TableContents"/>
              <w:bidi w:val="0"/>
              <w:spacing w:before="0" w:after="283"/>
              <w:ind w:left="230" w:right="0" w:hanging="0"/>
              <w:jc w:val="left"/>
              <w:rPr>
                <w:rFonts w:ascii="Arial;Helvetica;sans-serif" w:hAnsi="Arial;Helvetica;sans-serif"/>
                <w:color w:val="636466"/>
                <w:sz w:val="16"/>
              </w:rPr>
            </w:pPr>
            <w:r>
              <w:rPr>
                <w:rFonts w:ascii="Arial;Helvetica;sans-serif" w:hAnsi="Arial;Helvetica;sans-serif"/>
                <w:color w:val="636466"/>
                <w:sz w:val="16"/>
              </w:rPr>
              <w:t xml:space="preserve">Impact of divestitures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5" w:type="dxa"/>
            <w:tcBorders/>
            <w:vAlign w:val="center"/>
          </w:tcPr>
          <w:p>
            <w:pPr>
              <w:pStyle w:val="TableContents"/>
              <w:bidi w:val="0"/>
              <w:spacing w:before="0" w:after="283"/>
              <w:ind w:left="554" w:right="0" w:hanging="0"/>
              <w:jc w:val="left"/>
              <w:rPr>
                <w:color w:val="636466"/>
                <w:bdr w:val="single" w:sz="8" w:space="4" w:color="000000"/>
              </w:rPr>
            </w:pPr>
            <w:r>
              <w:rPr>
                <w:color w:val="636466"/>
                <w:bdr w:val="single" w:sz="8" w:space="4" w:color="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5" w:type="dxa"/>
            <w:tcBorders/>
            <w:vAlign w:val="center"/>
          </w:tcPr>
          <w:p>
            <w:pPr>
              <w:pStyle w:val="TableContents"/>
              <w:bidi w:val="0"/>
              <w:spacing w:before="0" w:after="283"/>
              <w:ind w:left="554" w:right="0" w:hanging="0"/>
              <w:jc w:val="left"/>
              <w:rPr>
                <w:rFonts w:ascii="Arial;Helvetica;sans-serif" w:hAnsi="Arial;Helvetica;sans-serif"/>
                <w:color w:val="636466"/>
                <w:sz w:val="16"/>
              </w:rPr>
            </w:pPr>
            <w:r>
              <w:rPr>
                <w:rFonts w:ascii="Arial;Helvetica;sans-serif" w:hAnsi="Arial;Helvetica;sans-serif"/>
                <w:color w:val="636466"/>
                <w:sz w:val="16"/>
                <w:bdr w:val="single" w:sz="8" w:space="4" w:color="000000"/>
              </w:rPr>
              <w:t>($213</w:t>
            </w:r>
            <w:r>
              <w:rPr>
                <w:rFonts w:ascii="Arial;Helvetica;sans-serif" w:hAnsi="Arial;Helvetica;sans-serif"/>
                <w:color w:val="636466"/>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283"/>
              <w:ind w:left="311" w:right="0" w:hanging="0"/>
              <w:jc w:val="left"/>
              <w:rPr>
                <w:color w:val="636466"/>
              </w:rPr>
            </w:pPr>
            <w:r>
              <w:rPr>
                <w:color w:val="636466"/>
              </w:rPr>
              <w:t> </w:t>
            </w:r>
          </w:p>
        </w:tc>
        <w:tc>
          <w:tcPr>
            <w:tcW w:w="217"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3594" w:type="dxa"/>
            <w:tcBorders/>
            <w:shd w:fill="E7E0EF" w:val="clear"/>
            <w:vAlign w:val="center"/>
          </w:tcPr>
          <w:p>
            <w:pPr>
              <w:pStyle w:val="TableContents"/>
              <w:bidi w:val="0"/>
              <w:spacing w:before="0" w:after="283"/>
              <w:ind w:left="30" w:right="0" w:hanging="0"/>
              <w:jc w:val="left"/>
              <w:rPr>
                <w:rFonts w:ascii="Arial;Helvetica;sans-serif" w:hAnsi="Arial;Helvetica;sans-serif"/>
                <w:color w:val="636466"/>
                <w:sz w:val="16"/>
              </w:rPr>
            </w:pPr>
            <w:r>
              <w:rPr>
                <w:rFonts w:ascii="Arial;Helvetica;sans-serif" w:hAnsi="Arial;Helvetica;sans-serif"/>
                <w:color w:val="636466"/>
                <w:sz w:val="16"/>
              </w:rPr>
              <w:t>Divestiture-adjusted operational revenues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615" w:type="dxa"/>
            <w:tcBorders/>
            <w:shd w:fill="E7E0EF" w:val="clear"/>
            <w:vAlign w:val="center"/>
          </w:tcPr>
          <w:p>
            <w:pPr>
              <w:pStyle w:val="TableContents"/>
              <w:bidi w:val="0"/>
              <w:spacing w:before="0" w:after="283"/>
              <w:ind w:left="554" w:right="0" w:hanging="0"/>
              <w:jc w:val="left"/>
              <w:rPr>
                <w:rFonts w:ascii="Arial;Helvetica;sans-serif" w:hAnsi="Arial;Helvetica;sans-serif"/>
                <w:color w:val="636466"/>
                <w:sz w:val="16"/>
              </w:rPr>
            </w:pPr>
            <w:r>
              <w:rPr>
                <w:rFonts w:ascii="Arial;Helvetica;sans-serif" w:hAnsi="Arial;Helvetica;sans-serif"/>
                <w:color w:val="636466"/>
                <w:sz w:val="16"/>
              </w:rPr>
              <w:t>$3,520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615" w:type="dxa"/>
            <w:tcBorders/>
            <w:shd w:fill="E7E0EF" w:val="clear"/>
            <w:vAlign w:val="center"/>
          </w:tcPr>
          <w:p>
            <w:pPr>
              <w:pStyle w:val="TableContents"/>
              <w:bidi w:val="0"/>
              <w:spacing w:before="0" w:after="283"/>
              <w:ind w:left="554" w:right="0" w:hanging="0"/>
              <w:jc w:val="left"/>
              <w:rPr>
                <w:rFonts w:ascii="Arial;Helvetica;sans-serif" w:hAnsi="Arial;Helvetica;sans-serif"/>
                <w:color w:val="636466"/>
                <w:sz w:val="16"/>
              </w:rPr>
            </w:pPr>
            <w:r>
              <w:rPr>
                <w:rFonts w:ascii="Arial;Helvetica;sans-serif" w:hAnsi="Arial;Helvetica;sans-serif"/>
                <w:color w:val="636466"/>
                <w:sz w:val="16"/>
              </w:rPr>
              <w:t>$3,584</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99" w:type="dxa"/>
            <w:tcBorders/>
            <w:shd w:fill="E7E0EF" w:val="clear"/>
            <w:vAlign w:val="center"/>
          </w:tcPr>
          <w:p>
            <w:pPr>
              <w:pStyle w:val="TableContents"/>
              <w:bidi w:val="0"/>
              <w:spacing w:before="0" w:after="283"/>
              <w:ind w:left="311" w:right="0" w:hanging="0"/>
              <w:jc w:val="left"/>
              <w:rPr>
                <w:rFonts w:ascii="Arial;Helvetica;sans-serif" w:hAnsi="Arial;Helvetica;sans-serif"/>
                <w:color w:val="636466"/>
                <w:sz w:val="16"/>
              </w:rPr>
            </w:pPr>
            <w:r>
              <w:rPr>
                <w:rFonts w:ascii="Arial;Helvetica;sans-serif" w:hAnsi="Arial;Helvetica;sans-serif"/>
                <w:color w:val="636466"/>
                <w:sz w:val="16"/>
              </w:rPr>
              <w:t>(2%)</w:t>
            </w:r>
          </w:p>
        </w:tc>
        <w:tc>
          <w:tcPr>
            <w:tcW w:w="217"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94" w:type="dxa"/>
            <w:tcBorders/>
            <w:vAlign w:val="center"/>
          </w:tcPr>
          <w:p>
            <w:pPr>
              <w:pStyle w:val="TableContents"/>
              <w:bidi w:val="0"/>
              <w:spacing w:before="0" w:after="283"/>
              <w:ind w:left="230" w:right="0" w:hanging="0"/>
              <w:jc w:val="left"/>
              <w:rPr>
                <w:rFonts w:ascii="Arial;Helvetica;sans-serif" w:hAnsi="Arial;Helvetica;sans-serif"/>
                <w:color w:val="636466"/>
                <w:sz w:val="16"/>
              </w:rPr>
            </w:pPr>
            <w:r>
              <w:rPr>
                <w:rFonts w:ascii="Arial;Helvetica;sans-serif" w:hAnsi="Arial;Helvetica;sans-serif"/>
                <w:color w:val="636466"/>
                <w:sz w:val="16"/>
              </w:rPr>
              <w:t xml:space="preserve">Indore impact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5" w:type="dxa"/>
            <w:tcBorders/>
            <w:vAlign w:val="center"/>
          </w:tcPr>
          <w:p>
            <w:pPr>
              <w:pStyle w:val="TableContents"/>
              <w:bidi w:val="0"/>
              <w:spacing w:before="0" w:after="283"/>
              <w:ind w:left="554" w:right="0" w:hanging="0"/>
              <w:jc w:val="left"/>
              <w:rPr>
                <w:color w:val="636466"/>
                <w:bdr w:val="double" w:sz="8" w:space="3" w:color="000000"/>
              </w:rPr>
            </w:pPr>
            <w:r>
              <w:rPr>
                <w:color w:val="636466"/>
                <w:bdr w:val="double" w:sz="8" w:space="3" w:color="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5" w:type="dxa"/>
            <w:tcBorders/>
            <w:vAlign w:val="center"/>
          </w:tcPr>
          <w:p>
            <w:pPr>
              <w:pStyle w:val="TableContents"/>
              <w:bidi w:val="0"/>
              <w:spacing w:before="0" w:after="283"/>
              <w:ind w:left="554" w:right="0" w:hanging="0"/>
              <w:jc w:val="left"/>
              <w:rPr>
                <w:rFonts w:ascii="Arial;Helvetica;sans-serif" w:hAnsi="Arial;Helvetica;sans-serif"/>
                <w:color w:val="636466"/>
                <w:sz w:val="16"/>
              </w:rPr>
            </w:pPr>
            <w:r>
              <w:rPr>
                <w:rFonts w:ascii="Arial;Helvetica;sans-serif" w:hAnsi="Arial;Helvetica;sans-serif"/>
                <w:color w:val="636466"/>
                <w:sz w:val="16"/>
                <w:bdr w:val="double" w:sz="8" w:space="3" w:color="000000"/>
              </w:rPr>
              <w:t>($160</w:t>
            </w:r>
            <w:r>
              <w:rPr>
                <w:rFonts w:ascii="Arial;Helvetica;sans-serif" w:hAnsi="Arial;Helvetica;sans-serif"/>
                <w:color w:val="636466"/>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283"/>
              <w:ind w:left="311" w:right="0" w:hanging="0"/>
              <w:jc w:val="left"/>
              <w:rPr>
                <w:color w:val="636466"/>
              </w:rPr>
            </w:pPr>
            <w:r>
              <w:rPr>
                <w:color w:val="636466"/>
              </w:rPr>
              <w:t> </w:t>
            </w:r>
          </w:p>
        </w:tc>
        <w:tc>
          <w:tcPr>
            <w:tcW w:w="217"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3594" w:type="dxa"/>
            <w:tcBorders/>
            <w:shd w:fill="E7E0EF" w:val="clear"/>
            <w:vAlign w:val="center"/>
          </w:tcPr>
          <w:p>
            <w:pPr>
              <w:pStyle w:val="TableContents"/>
              <w:bidi w:val="0"/>
              <w:spacing w:before="0" w:after="283"/>
              <w:ind w:left="30" w:right="0" w:hanging="0"/>
              <w:jc w:val="left"/>
              <w:rPr>
                <w:color w:val="636466"/>
              </w:rPr>
            </w:pPr>
            <w:r>
              <w:rPr>
                <w:color w:val="636466"/>
              </w:rPr>
              <w:t>​</w:t>
            </w:r>
            <w:r>
              <w:rPr>
                <w:rFonts w:ascii="Arial;Helvetica;sans-serif" w:hAnsi="Arial;Helvetica;sans-serif"/>
                <w:color w:val="636466"/>
                <w:sz w:val="16"/>
              </w:rPr>
              <w:t xml:space="preserve">Divestiture Adjusted operational revenues ex-Indore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615" w:type="dxa"/>
            <w:tcBorders/>
            <w:shd w:fill="E7E0EF" w:val="clear"/>
            <w:vAlign w:val="center"/>
          </w:tcPr>
          <w:p>
            <w:pPr>
              <w:pStyle w:val="TableContents"/>
              <w:bidi w:val="0"/>
              <w:spacing w:before="0" w:after="283"/>
              <w:ind w:left="554" w:right="0" w:hanging="0"/>
              <w:jc w:val="left"/>
              <w:rPr>
                <w:rFonts w:ascii="Arial;Helvetica;sans-serif" w:hAnsi="Arial;Helvetica;sans-serif"/>
                <w:color w:val="636466"/>
                <w:sz w:val="16"/>
              </w:rPr>
            </w:pPr>
            <w:r>
              <w:rPr>
                <w:rFonts w:ascii="Arial;Helvetica;sans-serif" w:hAnsi="Arial;Helvetica;sans-serif"/>
                <w:color w:val="636466"/>
                <w:sz w:val="16"/>
              </w:rPr>
              <w:t xml:space="preserve">$3,520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615" w:type="dxa"/>
            <w:tcBorders/>
            <w:shd w:fill="E7E0EF" w:val="clear"/>
            <w:vAlign w:val="center"/>
          </w:tcPr>
          <w:p>
            <w:pPr>
              <w:pStyle w:val="TableContents"/>
              <w:bidi w:val="0"/>
              <w:spacing w:before="0" w:after="283"/>
              <w:ind w:left="554" w:right="0" w:hanging="0"/>
              <w:jc w:val="left"/>
              <w:rPr>
                <w:rFonts w:ascii="Arial;Helvetica;sans-serif" w:hAnsi="Arial;Helvetica;sans-serif"/>
                <w:color w:val="636466"/>
                <w:sz w:val="16"/>
              </w:rPr>
            </w:pPr>
            <w:r>
              <w:rPr>
                <w:rFonts w:ascii="Arial;Helvetica;sans-serif" w:hAnsi="Arial;Helvetica;sans-serif"/>
                <w:color w:val="636466"/>
                <w:sz w:val="16"/>
              </w:rPr>
              <w:t xml:space="preserve">$3,424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99" w:type="dxa"/>
            <w:tcBorders/>
            <w:shd w:fill="E7E0EF" w:val="clear"/>
            <w:vAlign w:val="center"/>
          </w:tcPr>
          <w:p>
            <w:pPr>
              <w:pStyle w:val="TableContents"/>
              <w:bidi w:val="0"/>
              <w:spacing w:before="0" w:after="283"/>
              <w:ind w:left="311" w:right="0" w:hanging="0"/>
              <w:jc w:val="left"/>
              <w:rPr>
                <w:rFonts w:ascii="Arial;Helvetica;sans-serif" w:hAnsi="Arial;Helvetica;sans-serif"/>
                <w:color w:val="636466"/>
                <w:sz w:val="16"/>
              </w:rPr>
            </w:pPr>
            <w:r>
              <w:rPr>
                <w:rFonts w:ascii="Arial;Helvetica;sans-serif" w:hAnsi="Arial;Helvetica;sans-serif"/>
                <w:color w:val="636466"/>
                <w:sz w:val="16"/>
              </w:rPr>
              <w:t>3%</w:t>
            </w:r>
          </w:p>
        </w:tc>
        <w:tc>
          <w:tcPr>
            <w:tcW w:w="217"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3594"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61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61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99" w:type="dxa"/>
            <w:tcBorders/>
            <w:shd w:fill="E7E0EF" w:val="clear"/>
            <w:vAlign w:val="center"/>
          </w:tcPr>
          <w:p>
            <w:pPr>
              <w:pStyle w:val="TableContents"/>
              <w:bidi w:val="0"/>
              <w:spacing w:before="0" w:after="0"/>
              <w:jc w:val="left"/>
              <w:rPr/>
            </w:pPr>
            <w:r>
              <w:rPr/>
              <w:t> </w:t>
            </w:r>
          </w:p>
        </w:tc>
        <w:tc>
          <w:tcPr>
            <w:tcW w:w="217" w:type="dxa"/>
            <w:tcBorders/>
            <w:shd w:fill="E7E0EF" w:val="clear"/>
            <w:vAlign w:val="center"/>
          </w:tcPr>
          <w:p>
            <w:pPr>
              <w:pStyle w:val="TableContents"/>
              <w:bidi w:val="0"/>
              <w:spacing w:before="0" w:after="0"/>
              <w:jc w:val="left"/>
              <w:rPr/>
            </w:pPr>
            <w:r>
              <w:rPr/>
              <w:t> </w:t>
            </w:r>
          </w:p>
        </w:tc>
      </w:tr>
    </w:tbl>
    <w:tbl>
      <w:tblPr>
        <w:tblW w:w="5055" w:type="dxa"/>
        <w:jc w:val="left"/>
        <w:tblInd w:w="1060" w:type="dxa"/>
        <w:tblLayout w:type="fixed"/>
        <w:tblCellMar>
          <w:top w:w="0" w:type="dxa"/>
          <w:left w:w="0" w:type="dxa"/>
          <w:bottom w:w="0" w:type="dxa"/>
          <w:right w:w="0" w:type="dxa"/>
        </w:tblCellMar>
      </w:tblPr>
      <w:tblGrid>
        <w:gridCol w:w="2130"/>
        <w:gridCol w:w="170"/>
        <w:gridCol w:w="170"/>
        <w:gridCol w:w="2585"/>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317"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284" descr=""/>
                          <pic:cNvPicPr>
                            <a:picLocks noChangeAspect="1" noChangeArrowheads="1"/>
                          </pic:cNvPicPr>
                        </pic:nvPicPr>
                        <pic:blipFill>
                          <a:blip r:embed="rId302"/>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283"/>
              <w:jc w:val="right"/>
              <w:rPr>
                <w:rFonts w:ascii="Arial;Helvetica;sans-serif" w:hAnsi="Arial;Helvetica;sans-serif"/>
                <w:color w:val="636466"/>
                <w:sz w:val="18"/>
              </w:rPr>
            </w:pPr>
            <w:r>
              <w:rPr>
                <w:rFonts w:ascii="Arial;Helvetica;sans-serif" w:hAnsi="Arial;Helvetica;sans-serif"/>
                <w:color w:val="636466"/>
                <w:sz w:val="18"/>
              </w:rPr>
              <w:t>2025 Proxy Statement | B-7</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001000" cy="333375"/>
            <wp:effectExtent l="0" t="0" r="0" b="0"/>
            <wp:docPr id="318"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85" descr=""/>
                    <pic:cNvPicPr>
                      <a:picLocks noChangeAspect="1" noChangeArrowheads="1"/>
                    </pic:cNvPicPr>
                  </pic:nvPicPr>
                  <pic:blipFill>
                    <a:blip r:embed="rId303"/>
                    <a:stretch>
                      <a:fillRect/>
                    </a:stretch>
                  </pic:blipFill>
                  <pic:spPr bwMode="auto">
                    <a:xfrm>
                      <a:off x="0" y="0"/>
                      <a:ext cx="8001000" cy="33337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210" w:name="ny20055082x771_def14a_400-bcv_pg1"/>
        <w:bookmarkEnd w:id="210"/>
        <w:r>
          <w:rPr>
            <w:rStyle w:val="InternetLink"/>
            <w:rFonts w:ascii="Times New Roman;Times;Serif" w:hAnsi="Times New Roman;Times;Serif"/>
            <w:b/>
            <w:caps w:val="false"/>
            <w:smallCaps w:val="false"/>
            <w:color w:val="000000"/>
            <w:sz w:val="16"/>
          </w:rPr>
          <w:t>TABLE OF CONTENTS</w:t>
        </w:r>
      </w:hyperlink>
    </w:p>
    <w:p>
      <w:pPr>
        <w:pStyle w:val="TextBody"/>
        <w:bidi w:val="0"/>
        <w:spacing w:before="0" w:after="283"/>
        <w:ind w:left="0" w:right="0" w:hanging="0"/>
        <w:jc w:val="center"/>
        <w:rPr>
          <w:color w:val="636466"/>
        </w:rPr>
      </w:pPr>
      <w:r>
        <w:rPr>
          <w:color w:val="636466"/>
        </w:rPr>
        <w:drawing>
          <wp:inline distT="0" distB="0" distL="0" distR="0">
            <wp:extent cx="8001000" cy="10287000"/>
            <wp:effectExtent l="0" t="0" r="0" b="0"/>
            <wp:docPr id="319"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286" descr=""/>
                    <pic:cNvPicPr>
                      <a:picLocks noChangeAspect="1" noChangeArrowheads="1"/>
                    </pic:cNvPicPr>
                  </pic:nvPicPr>
                  <pic:blipFill>
                    <a:blip r:embed="rId304"/>
                    <a:stretch>
                      <a:fillRect/>
                    </a:stretch>
                  </pic:blipFill>
                  <pic:spPr bwMode="auto">
                    <a:xfrm>
                      <a:off x="0" y="0"/>
                      <a:ext cx="8001000" cy="10287000"/>
                    </a:xfrm>
                    <a:prstGeom prst="rect">
                      <a:avLst/>
                    </a:prstGeom>
                  </pic:spPr>
                </pic:pic>
              </a:graphicData>
            </a:graphic>
          </wp:inline>
        </w:drawing>
      </w:r>
    </w:p>
    <w:p>
      <w:pPr>
        <w:pStyle w:val="TextBody"/>
        <w:bidi w:val="0"/>
        <w:spacing w:before="0" w:after="283"/>
        <w:ind w:left="0" w:right="0" w:hanging="0"/>
        <w:jc w:val="left"/>
        <w:rPr>
          <w:color w:val="636466"/>
        </w:rPr>
      </w:pPr>
      <w:r>
        <w:rPr>
          <w:color w:val="636466"/>
        </w:rPr>
        <w:t> </w:t>
      </w:r>
    </w:p>
    <w:p>
      <w:pPr>
        <w:pStyle w:val="HorizontalLine"/>
        <w:bidi w:val="0"/>
        <w:spacing w:before="200" w:after="200"/>
        <w:jc w:val="left"/>
        <w:rPr/>
      </w:pPr>
      <w:r>
        <w:rPr/>
      </w:r>
    </w:p>
    <w:p>
      <w:pPr>
        <w:pStyle w:val="TextBody"/>
        <w:bidi w:val="0"/>
        <w:jc w:val="left"/>
        <w:rPr/>
      </w:pPr>
      <w:hyperlink w:anchor="TOC">
        <w:bookmarkStart w:id="211" w:name="ny20055082x771_def14a_500-proxycards_pg1"/>
        <w:bookmarkEnd w:id="21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color w:val="636466"/>
        </w:rPr>
      </w:pPr>
      <w:r>
        <w:rPr>
          <w:color w:val="636466"/>
        </w:rPr>
        <w:drawing>
          <wp:inline distT="0" distB="0" distL="0" distR="0">
            <wp:extent cx="7381875" cy="9553575"/>
            <wp:effectExtent l="0" t="0" r="0" b="0"/>
            <wp:docPr id="320"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287" descr=""/>
                    <pic:cNvPicPr>
                      <a:picLocks noChangeAspect="1" noChangeArrowheads="1"/>
                    </pic:cNvPicPr>
                  </pic:nvPicPr>
                  <pic:blipFill>
                    <a:blip r:embed="rId305"/>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636466"/>
        </w:rPr>
      </w:pPr>
      <w:r>
        <w:rPr>
          <w:color w:val="636466"/>
        </w:rPr>
        <w:t> </w:t>
      </w:r>
    </w:p>
    <w:p>
      <w:pPr>
        <w:pStyle w:val="HorizontalLine"/>
        <w:bidi w:val="0"/>
        <w:spacing w:before="200" w:after="200"/>
        <w:jc w:val="left"/>
        <w:rPr/>
      </w:pPr>
      <w:r>
        <w:rPr/>
      </w:r>
    </w:p>
    <w:p>
      <w:pPr>
        <w:pStyle w:val="TextBody"/>
        <w:bidi w:val="0"/>
        <w:jc w:val="left"/>
        <w:rPr/>
      </w:pPr>
      <w:hyperlink w:anchor="TOC">
        <w:bookmarkStart w:id="212" w:name="ny20055082x771_def14a_500-proxycards_pg2"/>
        <w:bookmarkEnd w:id="21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color w:val="636466"/>
        </w:rPr>
      </w:pPr>
      <w:r>
        <w:rPr>
          <w:color w:val="636466"/>
        </w:rPr>
        <w:drawing>
          <wp:inline distT="0" distB="0" distL="0" distR="0">
            <wp:extent cx="7381875" cy="9553575"/>
            <wp:effectExtent l="0" t="0" r="0" b="0"/>
            <wp:docPr id="321"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288" descr=""/>
                    <pic:cNvPicPr>
                      <a:picLocks noChangeAspect="1" noChangeArrowheads="1"/>
                    </pic:cNvPicPr>
                  </pic:nvPicPr>
                  <pic:blipFill>
                    <a:blip r:embed="rId306"/>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636466"/>
        </w:rPr>
      </w:pPr>
      <w:r>
        <w:rPr>
          <w:color w:val="636466"/>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8.jpeg"/><Relationship Id="rId19" Type="http://schemas.openxmlformats.org/officeDocument/2006/relationships/image" Target="media/image9.jpeg"/><Relationship Id="rId20" Type="http://schemas.openxmlformats.org/officeDocument/2006/relationships/image" Target="media/image10.jpeg"/><Relationship Id="rId21" Type="http://schemas.openxmlformats.org/officeDocument/2006/relationships/image" Target="media/image7.jpeg"/><Relationship Id="rId22" Type="http://schemas.openxmlformats.org/officeDocument/2006/relationships/image" Target="media/image11.jpeg"/><Relationship Id="rId23" Type="http://schemas.openxmlformats.org/officeDocument/2006/relationships/image" Target="media/image11.jpeg"/><Relationship Id="rId24" Type="http://schemas.openxmlformats.org/officeDocument/2006/relationships/image" Target="media/image12.jpeg"/><Relationship Id="rId25" Type="http://schemas.openxmlformats.org/officeDocument/2006/relationships/image" Target="media/image13.jpeg"/><Relationship Id="rId26" Type="http://schemas.openxmlformats.org/officeDocument/2006/relationships/image" Target="media/image13.jpeg"/><Relationship Id="rId27" Type="http://schemas.openxmlformats.org/officeDocument/2006/relationships/image" Target="media/image14.jpeg"/><Relationship Id="rId28" Type="http://schemas.openxmlformats.org/officeDocument/2006/relationships/image" Target="media/image15.jpeg"/><Relationship Id="rId29" Type="http://schemas.openxmlformats.org/officeDocument/2006/relationships/image" Target="media/image12.jpeg"/><Relationship Id="rId30" Type="http://schemas.openxmlformats.org/officeDocument/2006/relationships/image" Target="media/image16.jpeg"/><Relationship Id="rId31" Type="http://schemas.openxmlformats.org/officeDocument/2006/relationships/image" Target="media/image17.jpeg"/><Relationship Id="rId32" Type="http://schemas.openxmlformats.org/officeDocument/2006/relationships/image" Target="media/image14.jpeg"/><Relationship Id="rId33" Type="http://schemas.openxmlformats.org/officeDocument/2006/relationships/image" Target="media/image18.jpeg"/><Relationship Id="rId34" Type="http://schemas.openxmlformats.org/officeDocument/2006/relationships/image" Target="media/image19.jpeg"/><Relationship Id="rId35" Type="http://schemas.openxmlformats.org/officeDocument/2006/relationships/image" Target="media/image20.jpeg"/><Relationship Id="rId36" Type="http://schemas.openxmlformats.org/officeDocument/2006/relationships/image" Target="media/image14.jpeg"/><Relationship Id="rId37" Type="http://schemas.openxmlformats.org/officeDocument/2006/relationships/image" Target="media/image15.jpeg"/><Relationship Id="rId38" Type="http://schemas.openxmlformats.org/officeDocument/2006/relationships/image" Target="media/image21.jpeg"/><Relationship Id="rId39" Type="http://schemas.openxmlformats.org/officeDocument/2006/relationships/image" Target="media/image14.jpeg"/><Relationship Id="rId40" Type="http://schemas.openxmlformats.org/officeDocument/2006/relationships/image" Target="media/image18.jpeg"/><Relationship Id="rId41" Type="http://schemas.openxmlformats.org/officeDocument/2006/relationships/image" Target="media/image14.jpeg"/><Relationship Id="rId42" Type="http://schemas.openxmlformats.org/officeDocument/2006/relationships/image" Target="media/image15.jpeg"/><Relationship Id="rId43" Type="http://schemas.openxmlformats.org/officeDocument/2006/relationships/image" Target="media/image14.jpeg"/><Relationship Id="rId44" Type="http://schemas.openxmlformats.org/officeDocument/2006/relationships/image" Target="media/image18.jpeg"/><Relationship Id="rId45" Type="http://schemas.openxmlformats.org/officeDocument/2006/relationships/image" Target="media/image12.jpeg"/><Relationship Id="rId46" Type="http://schemas.openxmlformats.org/officeDocument/2006/relationships/image" Target="media/image14.jpeg"/><Relationship Id="rId47" Type="http://schemas.openxmlformats.org/officeDocument/2006/relationships/image" Target="media/image15.jpeg"/><Relationship Id="rId48" Type="http://schemas.openxmlformats.org/officeDocument/2006/relationships/image" Target="media/image14.jpeg"/><Relationship Id="rId49" Type="http://schemas.openxmlformats.org/officeDocument/2006/relationships/image" Target="media/image18.jpeg"/><Relationship Id="rId50" Type="http://schemas.openxmlformats.org/officeDocument/2006/relationships/image" Target="media/image22.jpeg"/><Relationship Id="rId51" Type="http://schemas.openxmlformats.org/officeDocument/2006/relationships/image" Target="media/image14.jpeg"/><Relationship Id="rId52" Type="http://schemas.openxmlformats.org/officeDocument/2006/relationships/image" Target="media/image15.jpeg"/><Relationship Id="rId53" Type="http://schemas.openxmlformats.org/officeDocument/2006/relationships/image" Target="media/image12.jpeg"/><Relationship Id="rId54" Type="http://schemas.openxmlformats.org/officeDocument/2006/relationships/image" Target="media/image23.jpeg"/><Relationship Id="rId55" Type="http://schemas.openxmlformats.org/officeDocument/2006/relationships/image" Target="media/image23.jpeg"/><Relationship Id="rId56" Type="http://schemas.openxmlformats.org/officeDocument/2006/relationships/image" Target="media/image14.jpeg"/><Relationship Id="rId57" Type="http://schemas.openxmlformats.org/officeDocument/2006/relationships/image" Target="media/image18.jpeg"/><Relationship Id="rId58" Type="http://schemas.openxmlformats.org/officeDocument/2006/relationships/image" Target="media/image24.jpeg"/><Relationship Id="rId59" Type="http://schemas.openxmlformats.org/officeDocument/2006/relationships/image" Target="media/image14.jpeg"/><Relationship Id="rId60" Type="http://schemas.openxmlformats.org/officeDocument/2006/relationships/image" Target="media/image15.jpeg"/><Relationship Id="rId61" Type="http://schemas.openxmlformats.org/officeDocument/2006/relationships/image" Target="media/image25.jpeg"/><Relationship Id="rId62" Type="http://schemas.openxmlformats.org/officeDocument/2006/relationships/image" Target="media/image14.jpeg"/><Relationship Id="rId63" Type="http://schemas.openxmlformats.org/officeDocument/2006/relationships/image" Target="media/image18.jpeg"/><Relationship Id="rId64" Type="http://schemas.openxmlformats.org/officeDocument/2006/relationships/image" Target="media/image26.jpeg"/><Relationship Id="rId65" Type="http://schemas.openxmlformats.org/officeDocument/2006/relationships/image" Target="media/image14.jpeg"/><Relationship Id="rId66" Type="http://schemas.openxmlformats.org/officeDocument/2006/relationships/image" Target="media/image15.jpeg"/><Relationship Id="rId67" Type="http://schemas.openxmlformats.org/officeDocument/2006/relationships/image" Target="media/image27.jpeg"/><Relationship Id="rId68" Type="http://schemas.openxmlformats.org/officeDocument/2006/relationships/image" Target="media/image14.jpeg"/><Relationship Id="rId69" Type="http://schemas.openxmlformats.org/officeDocument/2006/relationships/image" Target="media/image18.jpeg"/><Relationship Id="rId70" Type="http://schemas.openxmlformats.org/officeDocument/2006/relationships/image" Target="media/image28.jpeg"/><Relationship Id="rId71" Type="http://schemas.openxmlformats.org/officeDocument/2006/relationships/image" Target="media/image14.jpeg"/><Relationship Id="rId72" Type="http://schemas.openxmlformats.org/officeDocument/2006/relationships/image" Target="media/image15.jpeg"/><Relationship Id="rId73" Type="http://schemas.openxmlformats.org/officeDocument/2006/relationships/image" Target="media/image29.jpeg"/><Relationship Id="rId74" Type="http://schemas.openxmlformats.org/officeDocument/2006/relationships/image" Target="media/image14.jpeg"/><Relationship Id="rId75" Type="http://schemas.openxmlformats.org/officeDocument/2006/relationships/image" Target="media/image18.jpeg"/><Relationship Id="rId76" Type="http://schemas.openxmlformats.org/officeDocument/2006/relationships/image" Target="media/image30.jpeg"/><Relationship Id="rId77" Type="http://schemas.openxmlformats.org/officeDocument/2006/relationships/image" Target="media/image14.jpeg"/><Relationship Id="rId78" Type="http://schemas.openxmlformats.org/officeDocument/2006/relationships/image" Target="media/image15.jpeg"/><Relationship Id="rId79" Type="http://schemas.openxmlformats.org/officeDocument/2006/relationships/image" Target="media/image31.jpeg"/><Relationship Id="rId80" Type="http://schemas.openxmlformats.org/officeDocument/2006/relationships/image" Target="media/image14.jpeg"/><Relationship Id="rId81" Type="http://schemas.openxmlformats.org/officeDocument/2006/relationships/image" Target="media/image18.jpeg"/><Relationship Id="rId82" Type="http://schemas.openxmlformats.org/officeDocument/2006/relationships/image" Target="media/image32.jpeg"/><Relationship Id="rId83" Type="http://schemas.openxmlformats.org/officeDocument/2006/relationships/image" Target="media/image14.jpeg"/><Relationship Id="rId84" Type="http://schemas.openxmlformats.org/officeDocument/2006/relationships/image" Target="media/image15.jpeg"/><Relationship Id="rId85" Type="http://schemas.openxmlformats.org/officeDocument/2006/relationships/image" Target="media/image33.jpeg"/><Relationship Id="rId86" Type="http://schemas.openxmlformats.org/officeDocument/2006/relationships/image" Target="media/image14.jpeg"/><Relationship Id="rId87" Type="http://schemas.openxmlformats.org/officeDocument/2006/relationships/image" Target="media/image18.jpeg"/><Relationship Id="rId88" Type="http://schemas.openxmlformats.org/officeDocument/2006/relationships/image" Target="media/image34.jpeg"/><Relationship Id="rId89" Type="http://schemas.openxmlformats.org/officeDocument/2006/relationships/image" Target="media/image14.jpeg"/><Relationship Id="rId90" Type="http://schemas.openxmlformats.org/officeDocument/2006/relationships/image" Target="media/image15.jpeg"/><Relationship Id="rId91" Type="http://schemas.openxmlformats.org/officeDocument/2006/relationships/image" Target="media/image35.jpeg"/><Relationship Id="rId92" Type="http://schemas.openxmlformats.org/officeDocument/2006/relationships/image" Target="media/image14.jpeg"/><Relationship Id="rId93" Type="http://schemas.openxmlformats.org/officeDocument/2006/relationships/image" Target="media/image18.jpeg"/><Relationship Id="rId94" Type="http://schemas.openxmlformats.org/officeDocument/2006/relationships/image" Target="media/image36.jpeg"/><Relationship Id="rId95" Type="http://schemas.openxmlformats.org/officeDocument/2006/relationships/image" Target="media/image14.jpeg"/><Relationship Id="rId96" Type="http://schemas.openxmlformats.org/officeDocument/2006/relationships/image" Target="media/image15.jpeg"/><Relationship Id="rId97" Type="http://schemas.openxmlformats.org/officeDocument/2006/relationships/image" Target="media/image14.jpeg"/><Relationship Id="rId98" Type="http://schemas.openxmlformats.org/officeDocument/2006/relationships/image" Target="media/image18.jpeg"/><Relationship Id="rId99" Type="http://schemas.openxmlformats.org/officeDocument/2006/relationships/image" Target="media/image14.jpeg"/><Relationship Id="rId100" Type="http://schemas.openxmlformats.org/officeDocument/2006/relationships/image" Target="media/image15.jpeg"/><Relationship Id="rId101" Type="http://schemas.openxmlformats.org/officeDocument/2006/relationships/image" Target="media/image37.jpeg"/><Relationship Id="rId102" Type="http://schemas.openxmlformats.org/officeDocument/2006/relationships/image" Target="media/image37.jpeg"/><Relationship Id="rId103" Type="http://schemas.openxmlformats.org/officeDocument/2006/relationships/image" Target="media/image38.jpeg"/><Relationship Id="rId104" Type="http://schemas.openxmlformats.org/officeDocument/2006/relationships/image" Target="media/image37.jpeg"/><Relationship Id="rId105" Type="http://schemas.openxmlformats.org/officeDocument/2006/relationships/image" Target="media/image37.jpeg"/><Relationship Id="rId106" Type="http://schemas.openxmlformats.org/officeDocument/2006/relationships/image" Target="media/image37.jpeg"/><Relationship Id="rId107" Type="http://schemas.openxmlformats.org/officeDocument/2006/relationships/image" Target="media/image38.jpeg"/><Relationship Id="rId108" Type="http://schemas.openxmlformats.org/officeDocument/2006/relationships/image" Target="media/image38.jpeg"/><Relationship Id="rId109" Type="http://schemas.openxmlformats.org/officeDocument/2006/relationships/image" Target="media/image37.jpeg"/><Relationship Id="rId110" Type="http://schemas.openxmlformats.org/officeDocument/2006/relationships/image" Target="media/image37.jpeg"/><Relationship Id="rId111" Type="http://schemas.openxmlformats.org/officeDocument/2006/relationships/image" Target="media/image37.jpeg"/><Relationship Id="rId112" Type="http://schemas.openxmlformats.org/officeDocument/2006/relationships/image" Target="media/image37.jpeg"/><Relationship Id="rId113" Type="http://schemas.openxmlformats.org/officeDocument/2006/relationships/image" Target="media/image37.jpeg"/><Relationship Id="rId114" Type="http://schemas.openxmlformats.org/officeDocument/2006/relationships/image" Target="media/image38.jpeg"/><Relationship Id="rId115" Type="http://schemas.openxmlformats.org/officeDocument/2006/relationships/image" Target="media/image38.jpeg"/><Relationship Id="rId116" Type="http://schemas.openxmlformats.org/officeDocument/2006/relationships/image" Target="media/image38.jpeg"/><Relationship Id="rId117" Type="http://schemas.openxmlformats.org/officeDocument/2006/relationships/image" Target="media/image38.jpeg"/><Relationship Id="rId118" Type="http://schemas.openxmlformats.org/officeDocument/2006/relationships/image" Target="media/image38.jpeg"/><Relationship Id="rId119" Type="http://schemas.openxmlformats.org/officeDocument/2006/relationships/image" Target="media/image38.jpeg"/><Relationship Id="rId120" Type="http://schemas.openxmlformats.org/officeDocument/2006/relationships/image" Target="media/image37.jpeg"/><Relationship Id="rId121" Type="http://schemas.openxmlformats.org/officeDocument/2006/relationships/image" Target="media/image37.jpeg"/><Relationship Id="rId122" Type="http://schemas.openxmlformats.org/officeDocument/2006/relationships/image" Target="media/image37.jpeg"/><Relationship Id="rId123" Type="http://schemas.openxmlformats.org/officeDocument/2006/relationships/image" Target="media/image38.jpeg"/><Relationship Id="rId124" Type="http://schemas.openxmlformats.org/officeDocument/2006/relationships/image" Target="media/image38.jpeg"/><Relationship Id="rId125" Type="http://schemas.openxmlformats.org/officeDocument/2006/relationships/image" Target="media/image37.jpeg"/><Relationship Id="rId126" Type="http://schemas.openxmlformats.org/officeDocument/2006/relationships/image" Target="media/image37.jpeg"/><Relationship Id="rId127" Type="http://schemas.openxmlformats.org/officeDocument/2006/relationships/image" Target="media/image14.jpeg"/><Relationship Id="rId128" Type="http://schemas.openxmlformats.org/officeDocument/2006/relationships/image" Target="media/image18.jpeg"/><Relationship Id="rId129" Type="http://schemas.openxmlformats.org/officeDocument/2006/relationships/image" Target="media/image14.jpeg"/><Relationship Id="rId130" Type="http://schemas.openxmlformats.org/officeDocument/2006/relationships/image" Target="media/image15.jpeg"/><Relationship Id="rId131" Type="http://schemas.openxmlformats.org/officeDocument/2006/relationships/image" Target="media/image14.jpeg"/><Relationship Id="rId132" Type="http://schemas.openxmlformats.org/officeDocument/2006/relationships/image" Target="media/image18.jpeg"/><Relationship Id="rId133" Type="http://schemas.openxmlformats.org/officeDocument/2006/relationships/image" Target="media/image14.jpeg"/><Relationship Id="rId134" Type="http://schemas.openxmlformats.org/officeDocument/2006/relationships/image" Target="media/image15.jpeg"/><Relationship Id="rId135" Type="http://schemas.openxmlformats.org/officeDocument/2006/relationships/image" Target="media/image14.jpeg"/><Relationship Id="rId136" Type="http://schemas.openxmlformats.org/officeDocument/2006/relationships/image" Target="media/image18.jpeg"/><Relationship Id="rId137" Type="http://schemas.openxmlformats.org/officeDocument/2006/relationships/image" Target="media/image14.jpeg"/><Relationship Id="rId138" Type="http://schemas.openxmlformats.org/officeDocument/2006/relationships/image" Target="media/image15.jpeg"/><Relationship Id="rId139" Type="http://schemas.openxmlformats.org/officeDocument/2006/relationships/image" Target="media/image39.jpeg"/><Relationship Id="rId140" Type="http://schemas.openxmlformats.org/officeDocument/2006/relationships/image" Target="media/image14.jpeg"/><Relationship Id="rId141" Type="http://schemas.openxmlformats.org/officeDocument/2006/relationships/image" Target="media/image18.jpeg"/><Relationship Id="rId142" Type="http://schemas.openxmlformats.org/officeDocument/2006/relationships/image" Target="media/image14.jpeg"/><Relationship Id="rId143" Type="http://schemas.openxmlformats.org/officeDocument/2006/relationships/image" Target="media/image15.jpeg"/><Relationship Id="rId144" Type="http://schemas.openxmlformats.org/officeDocument/2006/relationships/image" Target="media/image14.jpeg"/><Relationship Id="rId145" Type="http://schemas.openxmlformats.org/officeDocument/2006/relationships/image" Target="media/image18.jpeg"/><Relationship Id="rId146" Type="http://schemas.openxmlformats.org/officeDocument/2006/relationships/image" Target="media/image14.jpeg"/><Relationship Id="rId147" Type="http://schemas.openxmlformats.org/officeDocument/2006/relationships/image" Target="media/image15.jpeg"/><Relationship Id="rId148" Type="http://schemas.openxmlformats.org/officeDocument/2006/relationships/image" Target="media/image14.jpeg"/><Relationship Id="rId149" Type="http://schemas.openxmlformats.org/officeDocument/2006/relationships/image" Target="media/image18.jpeg"/><Relationship Id="rId150" Type="http://schemas.openxmlformats.org/officeDocument/2006/relationships/image" Target="media/image14.jpeg"/><Relationship Id="rId151" Type="http://schemas.openxmlformats.org/officeDocument/2006/relationships/image" Target="media/image15.jpeg"/><Relationship Id="rId152" Type="http://schemas.openxmlformats.org/officeDocument/2006/relationships/image" Target="media/image14.jpeg"/><Relationship Id="rId153" Type="http://schemas.openxmlformats.org/officeDocument/2006/relationships/image" Target="media/image18.jpeg"/><Relationship Id="rId154" Type="http://schemas.openxmlformats.org/officeDocument/2006/relationships/image" Target="media/image12.jpeg"/><Relationship Id="rId155" Type="http://schemas.openxmlformats.org/officeDocument/2006/relationships/image" Target="media/image14.jpeg"/><Relationship Id="rId156" Type="http://schemas.openxmlformats.org/officeDocument/2006/relationships/image" Target="media/image15.jpeg"/><Relationship Id="rId157" Type="http://schemas.openxmlformats.org/officeDocument/2006/relationships/image" Target="media/image14.jpeg"/><Relationship Id="rId158" Type="http://schemas.openxmlformats.org/officeDocument/2006/relationships/image" Target="media/image18.jpeg"/><Relationship Id="rId159" Type="http://schemas.openxmlformats.org/officeDocument/2006/relationships/image" Target="media/image12.jpeg"/><Relationship Id="rId160" Type="http://schemas.openxmlformats.org/officeDocument/2006/relationships/image" Target="media/image14.jpeg"/><Relationship Id="rId161" Type="http://schemas.openxmlformats.org/officeDocument/2006/relationships/image" Target="media/image15.jpeg"/><Relationship Id="rId162" Type="http://schemas.openxmlformats.org/officeDocument/2006/relationships/image" Target="media/image14.jpeg"/><Relationship Id="rId163" Type="http://schemas.openxmlformats.org/officeDocument/2006/relationships/image" Target="media/image18.jpeg"/><Relationship Id="rId164" Type="http://schemas.openxmlformats.org/officeDocument/2006/relationships/image" Target="media/image12.jpeg"/><Relationship Id="rId165" Type="http://schemas.openxmlformats.org/officeDocument/2006/relationships/image" Target="media/image40.jpeg"/><Relationship Id="rId166" Type="http://schemas.openxmlformats.org/officeDocument/2006/relationships/image" Target="media/image40.jpeg"/><Relationship Id="rId167" Type="http://schemas.openxmlformats.org/officeDocument/2006/relationships/image" Target="media/image14.jpeg"/><Relationship Id="rId168" Type="http://schemas.openxmlformats.org/officeDocument/2006/relationships/image" Target="media/image15.jpeg"/><Relationship Id="rId169" Type="http://schemas.openxmlformats.org/officeDocument/2006/relationships/image" Target="media/image12.jpeg"/><Relationship Id="rId170" Type="http://schemas.openxmlformats.org/officeDocument/2006/relationships/image" Target="media/image41.jpeg"/><Relationship Id="rId171" Type="http://schemas.openxmlformats.org/officeDocument/2006/relationships/image" Target="media/image42.jpeg"/><Relationship Id="rId172" Type="http://schemas.openxmlformats.org/officeDocument/2006/relationships/image" Target="media/image43.jpeg"/><Relationship Id="rId173" Type="http://schemas.openxmlformats.org/officeDocument/2006/relationships/image" Target="media/image44.jpeg"/><Relationship Id="rId174" Type="http://schemas.openxmlformats.org/officeDocument/2006/relationships/image" Target="media/image45.jpeg"/><Relationship Id="rId175" Type="http://schemas.openxmlformats.org/officeDocument/2006/relationships/image" Target="media/image46.jpeg"/><Relationship Id="rId176" Type="http://schemas.openxmlformats.org/officeDocument/2006/relationships/image" Target="media/image41.jpeg"/><Relationship Id="rId177" Type="http://schemas.openxmlformats.org/officeDocument/2006/relationships/image" Target="media/image42.jpeg"/><Relationship Id="rId178" Type="http://schemas.openxmlformats.org/officeDocument/2006/relationships/image" Target="media/image43.jpeg"/><Relationship Id="rId179" Type="http://schemas.openxmlformats.org/officeDocument/2006/relationships/image" Target="media/image44.jpeg"/><Relationship Id="rId180" Type="http://schemas.openxmlformats.org/officeDocument/2006/relationships/image" Target="media/image45.jpeg"/><Relationship Id="rId181" Type="http://schemas.openxmlformats.org/officeDocument/2006/relationships/image" Target="media/image46.jpeg"/><Relationship Id="rId182" Type="http://schemas.openxmlformats.org/officeDocument/2006/relationships/image" Target="media/image14.jpeg"/><Relationship Id="rId183" Type="http://schemas.openxmlformats.org/officeDocument/2006/relationships/image" Target="media/image18.jpeg"/><Relationship Id="rId184" Type="http://schemas.openxmlformats.org/officeDocument/2006/relationships/image" Target="media/image14.jpeg"/><Relationship Id="rId185" Type="http://schemas.openxmlformats.org/officeDocument/2006/relationships/image" Target="media/image15.jpeg"/><Relationship Id="rId186" Type="http://schemas.openxmlformats.org/officeDocument/2006/relationships/image" Target="media/image47.jpeg"/><Relationship Id="rId187" Type="http://schemas.openxmlformats.org/officeDocument/2006/relationships/image" Target="media/image14.jpeg"/><Relationship Id="rId188" Type="http://schemas.openxmlformats.org/officeDocument/2006/relationships/image" Target="media/image18.jpeg"/><Relationship Id="rId189" Type="http://schemas.openxmlformats.org/officeDocument/2006/relationships/image" Target="media/image14.jpeg"/><Relationship Id="rId190" Type="http://schemas.openxmlformats.org/officeDocument/2006/relationships/image" Target="media/image15.jpeg"/><Relationship Id="rId191" Type="http://schemas.openxmlformats.org/officeDocument/2006/relationships/image" Target="media/image14.jpeg"/><Relationship Id="rId192" Type="http://schemas.openxmlformats.org/officeDocument/2006/relationships/image" Target="media/image18.jpeg"/><Relationship Id="rId193" Type="http://schemas.openxmlformats.org/officeDocument/2006/relationships/image" Target="media/image14.jpeg"/><Relationship Id="rId194" Type="http://schemas.openxmlformats.org/officeDocument/2006/relationships/image" Target="media/image15.jpeg"/><Relationship Id="rId195" Type="http://schemas.openxmlformats.org/officeDocument/2006/relationships/image" Target="media/image14.jpeg"/><Relationship Id="rId196" Type="http://schemas.openxmlformats.org/officeDocument/2006/relationships/image" Target="media/image18.jpeg"/><Relationship Id="rId197" Type="http://schemas.openxmlformats.org/officeDocument/2006/relationships/image" Target="media/image14.jpeg"/><Relationship Id="rId198" Type="http://schemas.openxmlformats.org/officeDocument/2006/relationships/image" Target="media/image15.jpeg"/><Relationship Id="rId199" Type="http://schemas.openxmlformats.org/officeDocument/2006/relationships/image" Target="media/image14.jpeg"/><Relationship Id="rId200" Type="http://schemas.openxmlformats.org/officeDocument/2006/relationships/image" Target="media/image18.jpeg"/><Relationship Id="rId201" Type="http://schemas.openxmlformats.org/officeDocument/2006/relationships/image" Target="media/image14.jpeg"/><Relationship Id="rId202" Type="http://schemas.openxmlformats.org/officeDocument/2006/relationships/image" Target="media/image15.jpeg"/><Relationship Id="rId203" Type="http://schemas.openxmlformats.org/officeDocument/2006/relationships/image" Target="media/image37.jpeg"/><Relationship Id="rId204" Type="http://schemas.openxmlformats.org/officeDocument/2006/relationships/image" Target="media/image38.jpeg"/><Relationship Id="rId205" Type="http://schemas.openxmlformats.org/officeDocument/2006/relationships/image" Target="media/image37.jpeg"/><Relationship Id="rId206" Type="http://schemas.openxmlformats.org/officeDocument/2006/relationships/image" Target="media/image38.jpeg"/><Relationship Id="rId207" Type="http://schemas.openxmlformats.org/officeDocument/2006/relationships/image" Target="media/image37.jpeg"/><Relationship Id="rId208" Type="http://schemas.openxmlformats.org/officeDocument/2006/relationships/image" Target="media/image38.jpeg"/><Relationship Id="rId209" Type="http://schemas.openxmlformats.org/officeDocument/2006/relationships/image" Target="media/image37.jpeg"/><Relationship Id="rId210" Type="http://schemas.openxmlformats.org/officeDocument/2006/relationships/image" Target="media/image38.jpeg"/><Relationship Id="rId211" Type="http://schemas.openxmlformats.org/officeDocument/2006/relationships/image" Target="media/image37.jpeg"/><Relationship Id="rId212" Type="http://schemas.openxmlformats.org/officeDocument/2006/relationships/image" Target="media/image38.jpeg"/><Relationship Id="rId213" Type="http://schemas.openxmlformats.org/officeDocument/2006/relationships/image" Target="media/image37.jpeg"/><Relationship Id="rId214" Type="http://schemas.openxmlformats.org/officeDocument/2006/relationships/image" Target="media/image48.jpeg"/><Relationship Id="rId215" Type="http://schemas.openxmlformats.org/officeDocument/2006/relationships/image" Target="media/image49.jpeg"/><Relationship Id="rId216" Type="http://schemas.openxmlformats.org/officeDocument/2006/relationships/image" Target="media/image48.jpeg"/><Relationship Id="rId217" Type="http://schemas.openxmlformats.org/officeDocument/2006/relationships/image" Target="media/image49.jpeg"/><Relationship Id="rId218" Type="http://schemas.openxmlformats.org/officeDocument/2006/relationships/image" Target="media/image48.jpeg"/><Relationship Id="rId219" Type="http://schemas.openxmlformats.org/officeDocument/2006/relationships/image" Target="media/image49.jpeg"/><Relationship Id="rId220" Type="http://schemas.openxmlformats.org/officeDocument/2006/relationships/image" Target="media/image48.jpeg"/><Relationship Id="rId221" Type="http://schemas.openxmlformats.org/officeDocument/2006/relationships/image" Target="media/image14.jpeg"/><Relationship Id="rId222" Type="http://schemas.openxmlformats.org/officeDocument/2006/relationships/image" Target="media/image18.jpeg"/><Relationship Id="rId223" Type="http://schemas.openxmlformats.org/officeDocument/2006/relationships/image" Target="media/image14.jpeg"/><Relationship Id="rId224" Type="http://schemas.openxmlformats.org/officeDocument/2006/relationships/image" Target="media/image15.jpeg"/><Relationship Id="rId225" Type="http://schemas.openxmlformats.org/officeDocument/2006/relationships/image" Target="media/image14.jpeg"/><Relationship Id="rId226" Type="http://schemas.openxmlformats.org/officeDocument/2006/relationships/image" Target="media/image18.jpeg"/><Relationship Id="rId227" Type="http://schemas.openxmlformats.org/officeDocument/2006/relationships/image" Target="media/image14.jpeg"/><Relationship Id="rId228" Type="http://schemas.openxmlformats.org/officeDocument/2006/relationships/image" Target="media/image15.jpeg"/><Relationship Id="rId229" Type="http://schemas.openxmlformats.org/officeDocument/2006/relationships/image" Target="media/image14.jpeg"/><Relationship Id="rId230" Type="http://schemas.openxmlformats.org/officeDocument/2006/relationships/image" Target="media/image18.jpeg"/><Relationship Id="rId231" Type="http://schemas.openxmlformats.org/officeDocument/2006/relationships/image" Target="media/image12.jpeg"/><Relationship Id="rId232" Type="http://schemas.openxmlformats.org/officeDocument/2006/relationships/image" Target="media/image14.jpeg"/><Relationship Id="rId233" Type="http://schemas.openxmlformats.org/officeDocument/2006/relationships/image" Target="media/image15.jpeg"/><Relationship Id="rId234" Type="http://schemas.openxmlformats.org/officeDocument/2006/relationships/image" Target="media/image14.jpeg"/><Relationship Id="rId235" Type="http://schemas.openxmlformats.org/officeDocument/2006/relationships/image" Target="media/image18.jpeg"/><Relationship Id="rId236" Type="http://schemas.openxmlformats.org/officeDocument/2006/relationships/image" Target="media/image14.jpeg"/><Relationship Id="rId237" Type="http://schemas.openxmlformats.org/officeDocument/2006/relationships/image" Target="media/image15.jpeg"/><Relationship Id="rId238" Type="http://schemas.openxmlformats.org/officeDocument/2006/relationships/image" Target="media/image14.jpeg"/><Relationship Id="rId239" Type="http://schemas.openxmlformats.org/officeDocument/2006/relationships/image" Target="media/image18.jpeg"/><Relationship Id="rId240" Type="http://schemas.openxmlformats.org/officeDocument/2006/relationships/image" Target="media/image14.jpeg"/><Relationship Id="rId241" Type="http://schemas.openxmlformats.org/officeDocument/2006/relationships/image" Target="media/image15.jpeg"/><Relationship Id="rId242" Type="http://schemas.openxmlformats.org/officeDocument/2006/relationships/image" Target="media/image14.jpeg"/><Relationship Id="rId243" Type="http://schemas.openxmlformats.org/officeDocument/2006/relationships/image" Target="media/image18.jpeg"/><Relationship Id="rId244" Type="http://schemas.openxmlformats.org/officeDocument/2006/relationships/image" Target="media/image14.jpeg"/><Relationship Id="rId245" Type="http://schemas.openxmlformats.org/officeDocument/2006/relationships/image" Target="media/image15.jpeg"/><Relationship Id="rId246" Type="http://schemas.openxmlformats.org/officeDocument/2006/relationships/image" Target="media/image14.jpeg"/><Relationship Id="rId247" Type="http://schemas.openxmlformats.org/officeDocument/2006/relationships/image" Target="media/image18.jpeg"/><Relationship Id="rId248" Type="http://schemas.openxmlformats.org/officeDocument/2006/relationships/image" Target="media/image14.jpeg"/><Relationship Id="rId249" Type="http://schemas.openxmlformats.org/officeDocument/2006/relationships/image" Target="media/image15.jpeg"/><Relationship Id="rId250" Type="http://schemas.openxmlformats.org/officeDocument/2006/relationships/image" Target="media/image14.jpeg"/><Relationship Id="rId251" Type="http://schemas.openxmlformats.org/officeDocument/2006/relationships/image" Target="media/image18.jpeg"/><Relationship Id="rId252" Type="http://schemas.openxmlformats.org/officeDocument/2006/relationships/image" Target="media/image14.jpeg"/><Relationship Id="rId253" Type="http://schemas.openxmlformats.org/officeDocument/2006/relationships/image" Target="media/image15.jpeg"/><Relationship Id="rId254" Type="http://schemas.openxmlformats.org/officeDocument/2006/relationships/image" Target="media/image50.jpeg"/><Relationship Id="rId255" Type="http://schemas.openxmlformats.org/officeDocument/2006/relationships/image" Target="media/image14.jpeg"/><Relationship Id="rId256" Type="http://schemas.openxmlformats.org/officeDocument/2006/relationships/image" Target="media/image18.jpeg"/><Relationship Id="rId257" Type="http://schemas.openxmlformats.org/officeDocument/2006/relationships/image" Target="media/image51.jpeg"/><Relationship Id="rId258" Type="http://schemas.openxmlformats.org/officeDocument/2006/relationships/image" Target="media/image52.jpeg"/><Relationship Id="rId259" Type="http://schemas.openxmlformats.org/officeDocument/2006/relationships/image" Target="media/image14.jpeg"/><Relationship Id="rId260" Type="http://schemas.openxmlformats.org/officeDocument/2006/relationships/image" Target="media/image15.jpeg"/><Relationship Id="rId261" Type="http://schemas.openxmlformats.org/officeDocument/2006/relationships/image" Target="media/image14.jpeg"/><Relationship Id="rId262" Type="http://schemas.openxmlformats.org/officeDocument/2006/relationships/image" Target="media/image18.jpeg"/><Relationship Id="rId263" Type="http://schemas.openxmlformats.org/officeDocument/2006/relationships/image" Target="media/image12.jpeg"/><Relationship Id="rId264" Type="http://schemas.openxmlformats.org/officeDocument/2006/relationships/image" Target="media/image53.jpeg"/><Relationship Id="rId265" Type="http://schemas.openxmlformats.org/officeDocument/2006/relationships/image" Target="media/image53.jpeg"/><Relationship Id="rId266" Type="http://schemas.openxmlformats.org/officeDocument/2006/relationships/image" Target="media/image14.jpeg"/><Relationship Id="rId267" Type="http://schemas.openxmlformats.org/officeDocument/2006/relationships/image" Target="media/image15.jpeg"/><Relationship Id="rId268" Type="http://schemas.openxmlformats.org/officeDocument/2006/relationships/image" Target="media/image14.jpeg"/><Relationship Id="rId269" Type="http://schemas.openxmlformats.org/officeDocument/2006/relationships/image" Target="media/image18.jpeg"/><Relationship Id="rId270" Type="http://schemas.openxmlformats.org/officeDocument/2006/relationships/image" Target="media/image14.jpeg"/><Relationship Id="rId271" Type="http://schemas.openxmlformats.org/officeDocument/2006/relationships/image" Target="media/image15.jpeg"/><Relationship Id="rId272" Type="http://schemas.openxmlformats.org/officeDocument/2006/relationships/image" Target="media/image12.jpeg"/><Relationship Id="rId273" Type="http://schemas.openxmlformats.org/officeDocument/2006/relationships/image" Target="media/image14.jpeg"/><Relationship Id="rId274" Type="http://schemas.openxmlformats.org/officeDocument/2006/relationships/image" Target="media/image18.jpeg"/><Relationship Id="rId275" Type="http://schemas.openxmlformats.org/officeDocument/2006/relationships/image" Target="media/image14.jpeg"/><Relationship Id="rId276" Type="http://schemas.openxmlformats.org/officeDocument/2006/relationships/image" Target="media/image15.jpeg"/><Relationship Id="rId277" Type="http://schemas.openxmlformats.org/officeDocument/2006/relationships/image" Target="media/image14.jpeg"/><Relationship Id="rId278" Type="http://schemas.openxmlformats.org/officeDocument/2006/relationships/image" Target="media/image18.jpeg"/><Relationship Id="rId279" Type="http://schemas.openxmlformats.org/officeDocument/2006/relationships/image" Target="media/image14.jpeg"/><Relationship Id="rId280" Type="http://schemas.openxmlformats.org/officeDocument/2006/relationships/image" Target="media/image15.jpeg"/><Relationship Id="rId281" Type="http://schemas.openxmlformats.org/officeDocument/2006/relationships/image" Target="media/image14.jpeg"/><Relationship Id="rId282" Type="http://schemas.openxmlformats.org/officeDocument/2006/relationships/image" Target="media/image18.jpeg"/><Relationship Id="rId283" Type="http://schemas.openxmlformats.org/officeDocument/2006/relationships/image" Target="media/image14.jpeg"/><Relationship Id="rId284" Type="http://schemas.openxmlformats.org/officeDocument/2006/relationships/image" Target="media/image15.jpeg"/><Relationship Id="rId285" Type="http://schemas.openxmlformats.org/officeDocument/2006/relationships/image" Target="media/image14.jpeg"/><Relationship Id="rId286" Type="http://schemas.openxmlformats.org/officeDocument/2006/relationships/image" Target="media/image18.jpeg"/><Relationship Id="rId287" Type="http://schemas.openxmlformats.org/officeDocument/2006/relationships/image" Target="media/image14.jpeg"/><Relationship Id="rId288" Type="http://schemas.openxmlformats.org/officeDocument/2006/relationships/image" Target="media/image15.jpeg"/><Relationship Id="rId289" Type="http://schemas.openxmlformats.org/officeDocument/2006/relationships/image" Target="media/image12.jpeg"/><Relationship Id="rId290" Type="http://schemas.openxmlformats.org/officeDocument/2006/relationships/image" Target="media/image14.jpeg"/><Relationship Id="rId291" Type="http://schemas.openxmlformats.org/officeDocument/2006/relationships/image" Target="media/image18.jpeg"/><Relationship Id="rId292" Type="http://schemas.openxmlformats.org/officeDocument/2006/relationships/image" Target="media/image14.jpeg"/><Relationship Id="rId293" Type="http://schemas.openxmlformats.org/officeDocument/2006/relationships/image" Target="media/image15.jpeg"/><Relationship Id="rId294" Type="http://schemas.openxmlformats.org/officeDocument/2006/relationships/image" Target="media/image14.jpeg"/><Relationship Id="rId295" Type="http://schemas.openxmlformats.org/officeDocument/2006/relationships/image" Target="media/image18.jpeg"/><Relationship Id="rId296" Type="http://schemas.openxmlformats.org/officeDocument/2006/relationships/image" Target="media/image14.jpeg"/><Relationship Id="rId297" Type="http://schemas.openxmlformats.org/officeDocument/2006/relationships/image" Target="media/image15.jpeg"/><Relationship Id="rId298" Type="http://schemas.openxmlformats.org/officeDocument/2006/relationships/image" Target="media/image14.jpeg"/><Relationship Id="rId299" Type="http://schemas.openxmlformats.org/officeDocument/2006/relationships/image" Target="media/image18.jpeg"/><Relationship Id="rId300" Type="http://schemas.openxmlformats.org/officeDocument/2006/relationships/image" Target="media/image14.jpeg"/><Relationship Id="rId301" Type="http://schemas.openxmlformats.org/officeDocument/2006/relationships/image" Target="media/image15.jpeg"/><Relationship Id="rId302" Type="http://schemas.openxmlformats.org/officeDocument/2006/relationships/image" Target="media/image14.jpeg"/><Relationship Id="rId303" Type="http://schemas.openxmlformats.org/officeDocument/2006/relationships/image" Target="media/image18.jpeg"/><Relationship Id="rId304" Type="http://schemas.openxmlformats.org/officeDocument/2006/relationships/image" Target="media/image54.jpeg"/><Relationship Id="rId305" Type="http://schemas.openxmlformats.org/officeDocument/2006/relationships/image" Target="media/image55.jpeg"/><Relationship Id="rId306" Type="http://schemas.openxmlformats.org/officeDocument/2006/relationships/image" Target="media/image56.jpeg"/><Relationship Id="rId307" Type="http://schemas.openxmlformats.org/officeDocument/2006/relationships/fontTable" Target="fontTable.xml"/><Relationship Id="rId30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45795</Words>
  <Characters>259371</Characters>
  <CharactersWithSpaces>310263</CharactersWithSpaces>
  <Paragraphs>11438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